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5D2A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883" w:firstLineChars="200"/>
        <w:jc w:val="center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vertAlign w:val="baseline"/>
          <w:lang w:eastAsia="zh-CN"/>
        </w:rPr>
        <w:t>采购需求方案征集回复函（格式）</w:t>
      </w:r>
    </w:p>
    <w:p w14:paraId="442E783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征集事项名称：吉安市第一人民医院骨科、皮肤科及儿科设备采购项目</w:t>
      </w:r>
    </w:p>
    <w:p w14:paraId="6CB67BF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公司名称：（盖章）</w:t>
      </w:r>
    </w:p>
    <w:p w14:paraId="22044D5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联系人：</w:t>
      </w:r>
    </w:p>
    <w:p w14:paraId="1802A5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联系电话：</w:t>
      </w:r>
    </w:p>
    <w:p w14:paraId="79C2CA8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电子邮箱：</w:t>
      </w:r>
    </w:p>
    <w:p w14:paraId="54CB32C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供应商资格</w:t>
      </w:r>
    </w:p>
    <w:p w14:paraId="6CC3137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一、采购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  <w:t>清单</w:t>
      </w:r>
    </w:p>
    <w:tbl>
      <w:tblPr>
        <w:tblStyle w:val="7"/>
        <w:tblW w:w="515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2736"/>
        <w:gridCol w:w="2981"/>
        <w:gridCol w:w="1578"/>
        <w:gridCol w:w="1157"/>
        <w:gridCol w:w="1932"/>
        <w:gridCol w:w="3300"/>
      </w:tblGrid>
      <w:tr w14:paraId="64A8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784CD0E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  <w:t>序号</w:t>
            </w:r>
          </w:p>
        </w:tc>
        <w:tc>
          <w:tcPr>
            <w:tcW w:w="936" w:type="pct"/>
            <w:noWrap w:val="0"/>
            <w:vAlign w:val="center"/>
          </w:tcPr>
          <w:p w14:paraId="702C72E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货物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  <w:t>名称</w:t>
            </w:r>
          </w:p>
        </w:tc>
        <w:tc>
          <w:tcPr>
            <w:tcW w:w="1020" w:type="pct"/>
            <w:noWrap w:val="0"/>
            <w:vAlign w:val="center"/>
          </w:tcPr>
          <w:p w14:paraId="68A4DAD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  <w:t>品牌、制造商全称</w:t>
            </w:r>
          </w:p>
        </w:tc>
        <w:tc>
          <w:tcPr>
            <w:tcW w:w="540" w:type="pct"/>
            <w:noWrap w:val="0"/>
            <w:vAlign w:val="center"/>
          </w:tcPr>
          <w:p w14:paraId="195A996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396" w:type="pct"/>
            <w:noWrap w:val="0"/>
            <w:vAlign w:val="center"/>
          </w:tcPr>
          <w:p w14:paraId="6133574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  <w:t>数量</w:t>
            </w:r>
          </w:p>
        </w:tc>
        <w:tc>
          <w:tcPr>
            <w:tcW w:w="661" w:type="pct"/>
            <w:noWrap w:val="0"/>
            <w:vAlign w:val="center"/>
          </w:tcPr>
          <w:p w14:paraId="169A07C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1129" w:type="pct"/>
            <w:noWrap w:val="0"/>
            <w:vAlign w:val="center"/>
          </w:tcPr>
          <w:p w14:paraId="2A994CF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60A14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341A9C2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936" w:type="pct"/>
            <w:noWrap w:val="0"/>
            <w:vAlign w:val="center"/>
          </w:tcPr>
          <w:p w14:paraId="16B2F61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移动式C型臂X射线机</w:t>
            </w:r>
          </w:p>
        </w:tc>
        <w:tc>
          <w:tcPr>
            <w:tcW w:w="1020" w:type="pct"/>
            <w:noWrap w:val="0"/>
            <w:vAlign w:val="center"/>
          </w:tcPr>
          <w:p w14:paraId="4AF604F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3167798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2B24C68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5B388E6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26B2F7A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1702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1B7840F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936" w:type="pct"/>
            <w:noWrap w:val="0"/>
            <w:vAlign w:val="center"/>
          </w:tcPr>
          <w:p w14:paraId="68F9D0C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二氧化碳治疗机</w:t>
            </w:r>
          </w:p>
        </w:tc>
        <w:tc>
          <w:tcPr>
            <w:tcW w:w="1020" w:type="pct"/>
            <w:noWrap w:val="0"/>
            <w:vAlign w:val="center"/>
          </w:tcPr>
          <w:p w14:paraId="34A14AD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3B41B29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6C2E48B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4F9F25D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1E3B8D6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7F9F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17515A1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pct"/>
            <w:noWrap w:val="0"/>
            <w:vAlign w:val="center"/>
          </w:tcPr>
          <w:p w14:paraId="481CC3F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Q开关YAG激光治疗仪</w:t>
            </w:r>
          </w:p>
        </w:tc>
        <w:tc>
          <w:tcPr>
            <w:tcW w:w="1020" w:type="pct"/>
            <w:noWrap w:val="0"/>
            <w:vAlign w:val="center"/>
          </w:tcPr>
          <w:p w14:paraId="5459AD6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7E7D314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35921CB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645ED7F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2417906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6304F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05A312C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936" w:type="pct"/>
            <w:noWrap w:val="0"/>
            <w:vAlign w:val="center"/>
          </w:tcPr>
          <w:p w14:paraId="5D8A0BB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强脉冲光治疗仪</w:t>
            </w:r>
          </w:p>
        </w:tc>
        <w:tc>
          <w:tcPr>
            <w:tcW w:w="1020" w:type="pct"/>
            <w:noWrap w:val="0"/>
            <w:vAlign w:val="center"/>
          </w:tcPr>
          <w:p w14:paraId="5C1C54B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64239FC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7410847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376B923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292AC0A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2A4A1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2A89B28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936" w:type="pct"/>
            <w:noWrap w:val="0"/>
            <w:vAlign w:val="center"/>
          </w:tcPr>
          <w:p w14:paraId="4F2FC96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皮下电子注射器控制助推装置 （水光）</w:t>
            </w:r>
          </w:p>
        </w:tc>
        <w:tc>
          <w:tcPr>
            <w:tcW w:w="1020" w:type="pct"/>
            <w:noWrap w:val="0"/>
            <w:vAlign w:val="center"/>
          </w:tcPr>
          <w:p w14:paraId="1A386EF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4AA6615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1909942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1920FF7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5FB82DC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407FB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629520A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936" w:type="pct"/>
            <w:noWrap w:val="0"/>
            <w:vAlign w:val="center"/>
          </w:tcPr>
          <w:p w14:paraId="4530022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紫外线光疗仪（308准分子）</w:t>
            </w:r>
          </w:p>
        </w:tc>
        <w:tc>
          <w:tcPr>
            <w:tcW w:w="1020" w:type="pct"/>
            <w:noWrap w:val="0"/>
            <w:vAlign w:val="center"/>
          </w:tcPr>
          <w:p w14:paraId="133042C3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35E67FC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3C788B9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13FE358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0E54F4C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4D725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745C6A0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936" w:type="pct"/>
            <w:noWrap w:val="0"/>
            <w:vAlign w:val="center"/>
          </w:tcPr>
          <w:p w14:paraId="1C047A5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数字皮肤镜</w:t>
            </w:r>
          </w:p>
        </w:tc>
        <w:tc>
          <w:tcPr>
            <w:tcW w:w="1020" w:type="pct"/>
            <w:noWrap w:val="0"/>
            <w:vAlign w:val="center"/>
          </w:tcPr>
          <w:p w14:paraId="4885A7E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00D95ED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4B31ADC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0F94E17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42B976D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3730A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2BA3E90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936" w:type="pct"/>
            <w:noWrap w:val="0"/>
            <w:vAlign w:val="center"/>
          </w:tcPr>
          <w:p w14:paraId="1C220B1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真菌工作站（显微镜）</w:t>
            </w:r>
          </w:p>
        </w:tc>
        <w:tc>
          <w:tcPr>
            <w:tcW w:w="1020" w:type="pct"/>
            <w:noWrap w:val="0"/>
            <w:vAlign w:val="center"/>
          </w:tcPr>
          <w:p w14:paraId="3B2C0B3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0C9245F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28EA022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5F8A399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3A82FB7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458E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16" w:type="pct"/>
            <w:noWrap w:val="0"/>
            <w:vAlign w:val="center"/>
          </w:tcPr>
          <w:p w14:paraId="34E00D5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936" w:type="pct"/>
            <w:noWrap w:val="0"/>
            <w:vAlign w:val="center"/>
          </w:tcPr>
          <w:p w14:paraId="7753003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超声骨密度仪</w:t>
            </w:r>
          </w:p>
        </w:tc>
        <w:tc>
          <w:tcPr>
            <w:tcW w:w="1020" w:type="pct"/>
            <w:noWrap w:val="0"/>
            <w:vAlign w:val="center"/>
          </w:tcPr>
          <w:p w14:paraId="1C6ACEA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37F9415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55AAD49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45DF329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6DB1759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0C61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3B6833C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936" w:type="pct"/>
            <w:noWrap w:val="0"/>
            <w:vAlign w:val="center"/>
          </w:tcPr>
          <w:p w14:paraId="5B03783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身高体重测量仪及分析系统</w:t>
            </w:r>
          </w:p>
        </w:tc>
        <w:tc>
          <w:tcPr>
            <w:tcW w:w="1020" w:type="pct"/>
            <w:noWrap w:val="0"/>
            <w:vAlign w:val="center"/>
          </w:tcPr>
          <w:p w14:paraId="1959243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2C0F6B8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1AB6139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61" w:type="pct"/>
            <w:noWrap w:val="0"/>
            <w:vAlign w:val="center"/>
          </w:tcPr>
          <w:p w14:paraId="68F911A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479BA19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  <w:tr w14:paraId="2BD2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  <w:noWrap w:val="0"/>
            <w:vAlign w:val="center"/>
          </w:tcPr>
          <w:p w14:paraId="331ACC6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总计</w:t>
            </w:r>
          </w:p>
        </w:tc>
        <w:tc>
          <w:tcPr>
            <w:tcW w:w="3553" w:type="pct"/>
            <w:gridSpan w:val="5"/>
            <w:noWrap w:val="0"/>
            <w:vAlign w:val="center"/>
          </w:tcPr>
          <w:p w14:paraId="52C6DD7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129" w:type="pct"/>
            <w:noWrap w:val="0"/>
            <w:vAlign w:val="center"/>
          </w:tcPr>
          <w:p w14:paraId="183B111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2" w:firstLineChars="20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</w:p>
        </w:tc>
      </w:tr>
    </w:tbl>
    <w:p w14:paraId="4CC804F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  <w:t>注：报价需为包干价，包括完成本项目所需的安装费、运输费、调试费、人工费、税费等一切相关费用。</w:t>
      </w:r>
    </w:p>
    <w:p w14:paraId="355B189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二、技术参数、商务条件（包含但不限于售后服务、质保期限）</w:t>
      </w:r>
    </w:p>
    <w:tbl>
      <w:tblPr>
        <w:tblStyle w:val="7"/>
        <w:tblW w:w="492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115"/>
        <w:gridCol w:w="6972"/>
        <w:gridCol w:w="2161"/>
        <w:gridCol w:w="3146"/>
      </w:tblGrid>
      <w:tr w14:paraId="6073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6" w:type="pct"/>
            <w:noWrap w:val="0"/>
            <w:vAlign w:val="center"/>
          </w:tcPr>
          <w:p w14:paraId="640B246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99" w:type="pct"/>
            <w:noWrap w:val="0"/>
            <w:vAlign w:val="center"/>
          </w:tcPr>
          <w:p w14:paraId="13DA1F5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2494" w:type="pct"/>
            <w:noWrap w:val="0"/>
            <w:vAlign w:val="center"/>
          </w:tcPr>
          <w:p w14:paraId="2583730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基本技术参数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（为方面对征集的各品牌参数比对，请按下列设备组成、配置及主要技术参数及性能要求提供参数）</w:t>
            </w:r>
          </w:p>
        </w:tc>
        <w:tc>
          <w:tcPr>
            <w:tcW w:w="773" w:type="pct"/>
            <w:noWrap w:val="0"/>
            <w:vAlign w:val="center"/>
          </w:tcPr>
          <w:p w14:paraId="2081528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货物技术性能优势</w:t>
            </w:r>
          </w:p>
        </w:tc>
        <w:tc>
          <w:tcPr>
            <w:tcW w:w="1125" w:type="pct"/>
            <w:noWrap w:val="0"/>
            <w:vAlign w:val="center"/>
          </w:tcPr>
          <w:p w14:paraId="555A4CE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科室基本需求</w:t>
            </w:r>
          </w:p>
        </w:tc>
      </w:tr>
      <w:tr w14:paraId="76A7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2775C8B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99" w:type="pct"/>
            <w:noWrap w:val="0"/>
            <w:vAlign w:val="center"/>
          </w:tcPr>
          <w:p w14:paraId="1687193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移动式C型臂X射线机</w:t>
            </w:r>
          </w:p>
        </w:tc>
        <w:tc>
          <w:tcPr>
            <w:tcW w:w="2494" w:type="pct"/>
            <w:noWrap w:val="0"/>
            <w:vAlign w:val="center"/>
          </w:tcPr>
          <w:p w14:paraId="3F99FABC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00632EF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1D96E4B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1.中高端一体化移动式中型C臂X光机</w:t>
            </w:r>
          </w:p>
        </w:tc>
      </w:tr>
      <w:tr w14:paraId="129E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0362A8B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99" w:type="pct"/>
            <w:noWrap w:val="0"/>
            <w:vAlign w:val="center"/>
          </w:tcPr>
          <w:p w14:paraId="027756B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二氧化碳治疗机</w:t>
            </w:r>
          </w:p>
        </w:tc>
        <w:tc>
          <w:tcPr>
            <w:tcW w:w="2494" w:type="pct"/>
            <w:noWrap w:val="0"/>
            <w:vAlign w:val="center"/>
          </w:tcPr>
          <w:p w14:paraId="6366068C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2EE5EC8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796D6A5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1.消融模式（普通连续/脉冲）：皮肤良性赘生物、浅表肿物切除、皮肤科小手术</w:t>
            </w:r>
          </w:p>
          <w:p w14:paraId="05BF93E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2.点阵扫描模式（瘢痕修复、抗衰嫩肤、痤疮辅助）</w:t>
            </w:r>
          </w:p>
        </w:tc>
      </w:tr>
      <w:tr w14:paraId="7CDB9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2E71361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99" w:type="pct"/>
            <w:noWrap w:val="0"/>
            <w:vAlign w:val="center"/>
          </w:tcPr>
          <w:p w14:paraId="1B47C5F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Q开关YAG激光治疗仪</w:t>
            </w:r>
          </w:p>
        </w:tc>
        <w:tc>
          <w:tcPr>
            <w:tcW w:w="2494" w:type="pct"/>
            <w:noWrap w:val="0"/>
            <w:vAlign w:val="center"/>
          </w:tcPr>
          <w:p w14:paraId="0404C901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31109FA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5C46718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 532nm（可见光，浅层色素/红色素）</w:t>
            </w:r>
          </w:p>
          <w:p w14:paraId="7CD13B4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浅层表皮色素：雀斑、晒斑、咖啡斑、浅层黄褐斑谨慎治疗、红色纹身、纹眉/纹眼线、红色痘印、毛细血管扩张辅助</w:t>
            </w:r>
          </w:p>
          <w:p w14:paraId="37E5C0A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2. 1064nm（近红外，深层黑色素）</w:t>
            </w:r>
          </w:p>
          <w:p w14:paraId="03B01BA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先天性色素病：太田痣、颧部褐青色痣、伊藤痣、蒙古斑</w:t>
            </w:r>
          </w:p>
          <w:p w14:paraId="58BCB92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各类纹绣清洗：黑/蓝/灰纹身、老式纹眉、美瞳线、唇线</w:t>
            </w:r>
          </w:p>
          <w:p w14:paraId="5B28CCE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真皮层色斑：真皮斑、重度色沉、外伤性色素沉着</w:t>
            </w:r>
          </w:p>
          <w:p w14:paraId="71A493A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辅助项目：脂溢性角化、黑色痣浅层色素淡化、毛囊色素性病变</w:t>
            </w:r>
          </w:p>
        </w:tc>
      </w:tr>
      <w:tr w14:paraId="3A05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23789B1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99" w:type="pct"/>
            <w:noWrap w:val="0"/>
            <w:vAlign w:val="center"/>
          </w:tcPr>
          <w:p w14:paraId="1548CC3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强脉冲光治疗仪</w:t>
            </w:r>
          </w:p>
        </w:tc>
        <w:tc>
          <w:tcPr>
            <w:tcW w:w="2494" w:type="pct"/>
            <w:noWrap w:val="0"/>
            <w:vAlign w:val="center"/>
          </w:tcPr>
          <w:p w14:paraId="7EE064A9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51E61A9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221DD6C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1.飞点脱毛模式</w:t>
            </w:r>
          </w:p>
          <w:p w14:paraId="3444D20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全身多部位脱毛：腋毛、四肢毛发、唇毛、发际线、比基尼线、络腮胡，适配浅/深肤色，大面积快速治疗</w:t>
            </w:r>
          </w:p>
          <w:p w14:paraId="620A87E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2.血管改善</w:t>
            </w:r>
          </w:p>
          <w:p w14:paraId="2800039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面部潮红、毛细血管扩张、玫瑰痤疮红斑期、鲜红斑痣（轻症）、微小血管瘤、红色痘印</w:t>
            </w:r>
          </w:p>
          <w:p w14:paraId="112E835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3.色素提亮</w:t>
            </w:r>
          </w:p>
          <w:p w14:paraId="0EF3A60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晒斑、轻微雀斑、炎症后浅表层色沉、肤色暗沉不均、黄气提亮</w:t>
            </w:r>
          </w:p>
          <w:p w14:paraId="35EEFD7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嫩肤抗衰</w:t>
            </w:r>
          </w:p>
          <w:p w14:paraId="2140185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轻度干纹、粗糙肤质、光老化、毛孔细腻、油脂分泌调节（油性痤疮肌辅助控油）</w:t>
            </w:r>
          </w:p>
        </w:tc>
      </w:tr>
      <w:tr w14:paraId="7CB37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56C3088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99" w:type="pct"/>
            <w:noWrap w:val="0"/>
            <w:vAlign w:val="center"/>
          </w:tcPr>
          <w:p w14:paraId="561953C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皮下电子注射器控制助推装置 （水光）</w:t>
            </w:r>
          </w:p>
        </w:tc>
        <w:tc>
          <w:tcPr>
            <w:tcW w:w="2494" w:type="pct"/>
            <w:noWrap w:val="0"/>
            <w:vAlign w:val="center"/>
          </w:tcPr>
          <w:p w14:paraId="060690B9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0ACFCD5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7CDB37A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1.基础补水修护</w:t>
            </w:r>
          </w:p>
          <w:p w14:paraId="7D9A882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长期皮肤干燥、起皮、换季敏感卡粉、缺水干纹、屏障轻度受损</w:t>
            </w:r>
          </w:p>
          <w:p w14:paraId="129A533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2.肤色改善</w:t>
            </w:r>
          </w:p>
          <w:p w14:paraId="0B5673A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熬夜暗沉、黄气、轻微炎症色沉、晒后肤色不均、素颜无光泽</w:t>
            </w:r>
          </w:p>
          <w:p w14:paraId="72EA7CD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3.肤质精细化管理</w:t>
            </w:r>
          </w:p>
          <w:p w14:paraId="35A0160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毛孔粗大（缺水型）、轻微细纹、上妆浮粉、皮肤粗糙</w:t>
            </w:r>
          </w:p>
        </w:tc>
      </w:tr>
      <w:tr w14:paraId="347F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7371735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99" w:type="pct"/>
            <w:noWrap w:val="0"/>
            <w:vAlign w:val="center"/>
          </w:tcPr>
          <w:p w14:paraId="554377C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紫外线光疗仪（308准分子）</w:t>
            </w:r>
          </w:p>
        </w:tc>
        <w:tc>
          <w:tcPr>
            <w:tcW w:w="2494" w:type="pct"/>
            <w:noWrap w:val="0"/>
            <w:vAlign w:val="center"/>
          </w:tcPr>
          <w:p w14:paraId="5D4C4AF9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29BFF92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434D1AF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1.采用308nm氯化氙（XeCl）单一波长准分子光源</w:t>
            </w:r>
          </w:p>
        </w:tc>
      </w:tr>
      <w:tr w14:paraId="46D8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108C9BA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99" w:type="pct"/>
            <w:noWrap w:val="0"/>
            <w:vAlign w:val="center"/>
          </w:tcPr>
          <w:p w14:paraId="3536629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数字皮肤镜</w:t>
            </w:r>
          </w:p>
        </w:tc>
        <w:tc>
          <w:tcPr>
            <w:tcW w:w="2494" w:type="pct"/>
            <w:noWrap w:val="0"/>
            <w:vAlign w:val="center"/>
          </w:tcPr>
          <w:p w14:paraId="1D284B63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5CD9027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52F7319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1.用于皮肤图像的放大成像显示、处理、传输和存储，供诊断用</w:t>
            </w:r>
          </w:p>
          <w:p w14:paraId="0FC208B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2.具备毛囊毛发密度自动分析测量功能</w:t>
            </w:r>
          </w:p>
          <w:p w14:paraId="25956B8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3.可以生成皮肤镜图像报告和毛发镜影像报告</w:t>
            </w:r>
          </w:p>
        </w:tc>
      </w:tr>
      <w:tr w14:paraId="54B85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3E13263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99" w:type="pct"/>
            <w:noWrap w:val="0"/>
            <w:vAlign w:val="center"/>
          </w:tcPr>
          <w:p w14:paraId="4DCC700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真菌工作站（显微镜）</w:t>
            </w:r>
          </w:p>
        </w:tc>
        <w:tc>
          <w:tcPr>
            <w:tcW w:w="2494" w:type="pct"/>
            <w:noWrap w:val="0"/>
            <w:vAlign w:val="center"/>
          </w:tcPr>
          <w:p w14:paraId="62666EB9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751253B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2011323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1.具有防霉装置</w:t>
            </w:r>
          </w:p>
          <w:p w14:paraId="03E00A3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2.软件包含用户管理、权限分配及审计追踪功能。</w:t>
            </w:r>
          </w:p>
          <w:p w14:paraId="645F60D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3.具有定制真菌图文报告软件。</w:t>
            </w:r>
          </w:p>
          <w:p w14:paraId="49EE0E4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4.配备品牌电脑和打印机各一套</w:t>
            </w:r>
          </w:p>
        </w:tc>
      </w:tr>
      <w:tr w14:paraId="0E882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69FE58D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399" w:type="pct"/>
            <w:noWrap w:val="0"/>
            <w:vAlign w:val="center"/>
          </w:tcPr>
          <w:p w14:paraId="04BBD50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超声骨密度仪</w:t>
            </w:r>
          </w:p>
        </w:tc>
        <w:tc>
          <w:tcPr>
            <w:tcW w:w="2494" w:type="pct"/>
            <w:noWrap w:val="0"/>
            <w:vAlign w:val="center"/>
          </w:tcPr>
          <w:p w14:paraId="21C8F539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7BF647F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6EDE0C6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1.超声探头为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内置信号开关宽频探头</w:t>
            </w:r>
          </w:p>
          <w:p w14:paraId="7CC2884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2.双屏显示</w:t>
            </w:r>
          </w:p>
          <w:p w14:paraId="28B187F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3.可设置测量结果语音播报功能</w:t>
            </w:r>
          </w:p>
          <w:p w14:paraId="6692D29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4.测量模式分为快速和高精度模式可选</w:t>
            </w:r>
          </w:p>
          <w:p w14:paraId="34C0DC5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5.多体模校准</w:t>
            </w:r>
          </w:p>
        </w:tc>
      </w:tr>
      <w:tr w14:paraId="02B12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" w:type="pct"/>
            <w:noWrap w:val="0"/>
            <w:vAlign w:val="center"/>
          </w:tcPr>
          <w:p w14:paraId="61B9C39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399" w:type="pct"/>
            <w:noWrap w:val="0"/>
            <w:vAlign w:val="center"/>
          </w:tcPr>
          <w:p w14:paraId="4FCAF86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身高体重测量仪及分析系统</w:t>
            </w:r>
          </w:p>
        </w:tc>
        <w:tc>
          <w:tcPr>
            <w:tcW w:w="2494" w:type="pct"/>
            <w:noWrap w:val="0"/>
            <w:vAlign w:val="center"/>
          </w:tcPr>
          <w:p w14:paraId="539F3E1D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noWrap w:val="0"/>
            <w:vAlign w:val="center"/>
          </w:tcPr>
          <w:p w14:paraId="14C222A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5" w:type="pct"/>
            <w:noWrap w:val="0"/>
            <w:vAlign w:val="center"/>
          </w:tcPr>
          <w:p w14:paraId="4D023FC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1.0-3岁全功能体检系统及2-7岁全功能体检系统，能对接系统自动传输数据</w:t>
            </w:r>
          </w:p>
          <w:p w14:paraId="3838B30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2.功能模块:专案管理、量表在线测评、量表报告管理、提醒功能、工作量统计等</w:t>
            </w:r>
          </w:p>
          <w:p w14:paraId="67FFF3A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.量表在线测评:测评量表包含生长发育监测板块不小于7种;发育筛查类量表不少于6个;发育诊断类评定不少于5个;认知能力量表不少于7个;运动功能类量表不少于8个;语言能力类量表不少于6个;儿童行为类量表不少于9个;睡眠行为与气质类评定量表不少于12个;孤独症谱系障碍筛查诊断量表不少于19个;注意力缺陷多动与抽动障碍类评定量表不少于13个;抽动焦虑抑郁情结类量表不少于30个;个性心理类量表不少于30个;社会生活类量表不少于20个;儿科营养与过敏哮喘等测评量表不少于10个;康复类量表不少于10个</w:t>
            </w:r>
          </w:p>
          <w:p w14:paraId="1EADD9E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4.数据管理:支持儿童健康数据的录入、查询、统计、分析及导出;</w:t>
            </w:r>
          </w:p>
          <w:p w14:paraId="72CA85F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5.预警功能:对儿童生长发育异常、疫苗接种逾期、疾病筛查阳性等情况自动预警</w:t>
            </w:r>
          </w:p>
          <w:p w14:paraId="476F8E7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6.测评工具箱不少于7个(不同类型)</w:t>
            </w:r>
          </w:p>
        </w:tc>
      </w:tr>
    </w:tbl>
    <w:p w14:paraId="73BFD72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三、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其他意见</w:t>
      </w:r>
    </w:p>
    <w:p w14:paraId="5D4F5C42">
      <w:pP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YTFlNjZhYWY1OTI5ZTBiMzBjYzgwOTc0OTg4NTMifQ=="/>
  </w:docVars>
  <w:rsids>
    <w:rsidRoot w:val="00000000"/>
    <w:rsid w:val="00E969BF"/>
    <w:rsid w:val="018067FB"/>
    <w:rsid w:val="023C6C5D"/>
    <w:rsid w:val="02427F54"/>
    <w:rsid w:val="04221DEB"/>
    <w:rsid w:val="05C366CE"/>
    <w:rsid w:val="05FE0636"/>
    <w:rsid w:val="07214417"/>
    <w:rsid w:val="07237CC7"/>
    <w:rsid w:val="07AD40C1"/>
    <w:rsid w:val="08B51BE0"/>
    <w:rsid w:val="08BA0844"/>
    <w:rsid w:val="09370D21"/>
    <w:rsid w:val="0C9D4C31"/>
    <w:rsid w:val="0D687D01"/>
    <w:rsid w:val="0E7F149F"/>
    <w:rsid w:val="0EBB5FD8"/>
    <w:rsid w:val="0F451097"/>
    <w:rsid w:val="0F4D2CA8"/>
    <w:rsid w:val="10C5012D"/>
    <w:rsid w:val="11150586"/>
    <w:rsid w:val="113E480C"/>
    <w:rsid w:val="118D6394"/>
    <w:rsid w:val="124901FB"/>
    <w:rsid w:val="158601FA"/>
    <w:rsid w:val="197A172E"/>
    <w:rsid w:val="1A360447"/>
    <w:rsid w:val="1B066C72"/>
    <w:rsid w:val="1BA62EAA"/>
    <w:rsid w:val="1D7266FC"/>
    <w:rsid w:val="1E9C2CA2"/>
    <w:rsid w:val="1F0A4CCF"/>
    <w:rsid w:val="1F204D21"/>
    <w:rsid w:val="21257AF7"/>
    <w:rsid w:val="2249746C"/>
    <w:rsid w:val="22611010"/>
    <w:rsid w:val="23B81BB7"/>
    <w:rsid w:val="2501420E"/>
    <w:rsid w:val="258E50DA"/>
    <w:rsid w:val="26BF33C2"/>
    <w:rsid w:val="28BB0CDC"/>
    <w:rsid w:val="2920246A"/>
    <w:rsid w:val="2C5C383D"/>
    <w:rsid w:val="2C6244F6"/>
    <w:rsid w:val="2C820DC9"/>
    <w:rsid w:val="2D3C541C"/>
    <w:rsid w:val="2DD858CF"/>
    <w:rsid w:val="310A0C31"/>
    <w:rsid w:val="33D7571D"/>
    <w:rsid w:val="344277BC"/>
    <w:rsid w:val="34A02734"/>
    <w:rsid w:val="353D511D"/>
    <w:rsid w:val="354B7B44"/>
    <w:rsid w:val="39C72511"/>
    <w:rsid w:val="39DB5E0A"/>
    <w:rsid w:val="3A623BC1"/>
    <w:rsid w:val="3B9F3746"/>
    <w:rsid w:val="3C5A766D"/>
    <w:rsid w:val="3E412892"/>
    <w:rsid w:val="3F7D2975"/>
    <w:rsid w:val="3F934A87"/>
    <w:rsid w:val="400658AA"/>
    <w:rsid w:val="41B638DE"/>
    <w:rsid w:val="41EE7080"/>
    <w:rsid w:val="423F38A1"/>
    <w:rsid w:val="4328265A"/>
    <w:rsid w:val="43601A0D"/>
    <w:rsid w:val="459E3D5A"/>
    <w:rsid w:val="49374BB7"/>
    <w:rsid w:val="4E5A4158"/>
    <w:rsid w:val="517757E5"/>
    <w:rsid w:val="53417065"/>
    <w:rsid w:val="536C3DC2"/>
    <w:rsid w:val="550E087B"/>
    <w:rsid w:val="55116C54"/>
    <w:rsid w:val="55DD6850"/>
    <w:rsid w:val="560704F3"/>
    <w:rsid w:val="56EE019C"/>
    <w:rsid w:val="571F6CAB"/>
    <w:rsid w:val="5A1C3814"/>
    <w:rsid w:val="5BFF4CBE"/>
    <w:rsid w:val="5EA650E7"/>
    <w:rsid w:val="5EC21122"/>
    <w:rsid w:val="61620DF1"/>
    <w:rsid w:val="61E82EA1"/>
    <w:rsid w:val="627B62A3"/>
    <w:rsid w:val="654470EC"/>
    <w:rsid w:val="664F68ED"/>
    <w:rsid w:val="66D66ABA"/>
    <w:rsid w:val="68265D5D"/>
    <w:rsid w:val="691E364C"/>
    <w:rsid w:val="69320EA6"/>
    <w:rsid w:val="69B875FD"/>
    <w:rsid w:val="6AAA7ACA"/>
    <w:rsid w:val="6B6F0882"/>
    <w:rsid w:val="6C4077D6"/>
    <w:rsid w:val="6D9A3113"/>
    <w:rsid w:val="702F613F"/>
    <w:rsid w:val="7130216F"/>
    <w:rsid w:val="727A4793"/>
    <w:rsid w:val="72E433AE"/>
    <w:rsid w:val="74147690"/>
    <w:rsid w:val="74770490"/>
    <w:rsid w:val="74F72148"/>
    <w:rsid w:val="750E54F7"/>
    <w:rsid w:val="75F303C2"/>
    <w:rsid w:val="760308DA"/>
    <w:rsid w:val="77646A7F"/>
    <w:rsid w:val="7826607A"/>
    <w:rsid w:val="78297623"/>
    <w:rsid w:val="7A7F7A3F"/>
    <w:rsid w:val="7A85352B"/>
    <w:rsid w:val="7BB3231A"/>
    <w:rsid w:val="7C3F3BAE"/>
    <w:rsid w:val="7D6D777C"/>
    <w:rsid w:val="7DD722F0"/>
    <w:rsid w:val="7E0504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ind w:left="600"/>
    </w:pPr>
    <w:rPr>
      <w:rFonts w:ascii="宋体" w:hAnsi="宋体"/>
      <w:sz w:val="24"/>
    </w:rPr>
  </w:style>
  <w:style w:type="paragraph" w:styleId="4">
    <w:name w:val="header"/>
    <w:basedOn w:val="1"/>
    <w:next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</w:style>
  <w:style w:type="character" w:styleId="10">
    <w:name w:val="FollowedHyperlink"/>
    <w:basedOn w:val="8"/>
    <w:autoRedefine/>
    <w:qFormat/>
    <w:uiPriority w:val="0"/>
    <w:rPr>
      <w:color w:val="800080"/>
      <w:u w:val="none"/>
    </w:rPr>
  </w:style>
  <w:style w:type="character" w:styleId="11">
    <w:name w:val="Emphasis"/>
    <w:basedOn w:val="8"/>
    <w:autoRedefine/>
    <w:qFormat/>
    <w:uiPriority w:val="0"/>
  </w:style>
  <w:style w:type="character" w:styleId="12">
    <w:name w:val="HTML Definition"/>
    <w:basedOn w:val="8"/>
    <w:autoRedefine/>
    <w:qFormat/>
    <w:uiPriority w:val="0"/>
  </w:style>
  <w:style w:type="character" w:styleId="13">
    <w:name w:val="HTML Typewriter"/>
    <w:basedOn w:val="8"/>
    <w:autoRedefine/>
    <w:qFormat/>
    <w:uiPriority w:val="0"/>
    <w:rPr>
      <w:rFonts w:ascii="monospace" w:hAnsi="monospace" w:eastAsia="monospace" w:cs="monospace"/>
      <w:sz w:val="20"/>
    </w:rPr>
  </w:style>
  <w:style w:type="character" w:styleId="14">
    <w:name w:val="HTML Acronym"/>
    <w:basedOn w:val="8"/>
    <w:autoRedefine/>
    <w:qFormat/>
    <w:uiPriority w:val="0"/>
  </w:style>
  <w:style w:type="character" w:styleId="15">
    <w:name w:val="HTML Variable"/>
    <w:basedOn w:val="8"/>
    <w:autoRedefine/>
    <w:qFormat/>
    <w:uiPriority w:val="0"/>
  </w:style>
  <w:style w:type="character" w:styleId="16">
    <w:name w:val="Hyperlink"/>
    <w:basedOn w:val="8"/>
    <w:autoRedefine/>
    <w:qFormat/>
    <w:uiPriority w:val="0"/>
    <w:rPr>
      <w:color w:val="0000FF"/>
      <w:u w:val="none"/>
    </w:rPr>
  </w:style>
  <w:style w:type="character" w:styleId="17">
    <w:name w:val="HTML Code"/>
    <w:basedOn w:val="8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qFormat/>
    <w:uiPriority w:val="0"/>
  </w:style>
  <w:style w:type="character" w:styleId="19">
    <w:name w:val="HTML Keyboard"/>
    <w:basedOn w:val="8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8"/>
    <w:autoRedefine/>
    <w:qFormat/>
    <w:uiPriority w:val="0"/>
    <w:rPr>
      <w:rFonts w:hint="default" w:ascii="monospace" w:hAnsi="monospace" w:eastAsia="monospace" w:cs="monospace"/>
    </w:rPr>
  </w:style>
  <w:style w:type="character" w:customStyle="1" w:styleId="21">
    <w:name w:val="first-child"/>
    <w:basedOn w:val="8"/>
    <w:autoRedefine/>
    <w:qFormat/>
    <w:uiPriority w:val="0"/>
  </w:style>
  <w:style w:type="character" w:customStyle="1" w:styleId="22">
    <w:name w:val="layui-layer-tabnow"/>
    <w:basedOn w:val="8"/>
    <w:autoRedefine/>
    <w:qFormat/>
    <w:uiPriority w:val="0"/>
    <w:rPr>
      <w:bdr w:val="single" w:color="CCCCCC" w:sz="6" w:space="0"/>
      <w:shd w:val="clear" w:color="auto" w:fill="FFFFFF"/>
    </w:rPr>
  </w:style>
  <w:style w:type="character" w:customStyle="1" w:styleId="23">
    <w:name w:val="mini-outputtext1"/>
    <w:basedOn w:val="8"/>
    <w:autoRedefine/>
    <w:qFormat/>
    <w:uiPriority w:val="0"/>
  </w:style>
  <w:style w:type="character" w:customStyle="1" w:styleId="24">
    <w:name w:val="zwxxgk_bnt6"/>
    <w:basedOn w:val="8"/>
    <w:autoRedefine/>
    <w:qFormat/>
    <w:uiPriority w:val="0"/>
  </w:style>
  <w:style w:type="character" w:customStyle="1" w:styleId="25">
    <w:name w:val="zwxxgk_bnt61"/>
    <w:basedOn w:val="8"/>
    <w:autoRedefine/>
    <w:qFormat/>
    <w:uiPriority w:val="0"/>
  </w:style>
  <w:style w:type="character" w:customStyle="1" w:styleId="26">
    <w:name w:val="zwxxgk_bnt62"/>
    <w:basedOn w:val="8"/>
    <w:autoRedefine/>
    <w:qFormat/>
    <w:uiPriority w:val="0"/>
  </w:style>
  <w:style w:type="character" w:customStyle="1" w:styleId="27">
    <w:name w:val="zwxxgk_bnt5"/>
    <w:basedOn w:val="8"/>
    <w:autoRedefine/>
    <w:qFormat/>
    <w:uiPriority w:val="0"/>
  </w:style>
  <w:style w:type="character" w:customStyle="1" w:styleId="28">
    <w:name w:val="zwxxgk_bnt51"/>
    <w:basedOn w:val="8"/>
    <w:autoRedefine/>
    <w:qFormat/>
    <w:uiPriority w:val="0"/>
  </w:style>
  <w:style w:type="character" w:customStyle="1" w:styleId="29">
    <w:name w:val="zwxxgk_bnt52"/>
    <w:basedOn w:val="8"/>
    <w:autoRedefine/>
    <w:qFormat/>
    <w:uiPriority w:val="0"/>
  </w:style>
  <w:style w:type="character" w:customStyle="1" w:styleId="30">
    <w:name w:val="layui-this"/>
    <w:basedOn w:val="8"/>
    <w:autoRedefine/>
    <w:qFormat/>
    <w:uiPriority w:val="0"/>
    <w:rPr>
      <w:bdr w:val="single" w:color="EEEEEE" w:sz="6" w:space="0"/>
      <w:shd w:val="clear" w:fill="FFFFFF"/>
    </w:rPr>
  </w:style>
  <w:style w:type="character" w:customStyle="1" w:styleId="31">
    <w:name w:val="hover24"/>
    <w:basedOn w:val="8"/>
    <w:autoRedefine/>
    <w:qFormat/>
    <w:uiPriority w:val="0"/>
    <w:rPr>
      <w:color w:val="315EFB"/>
    </w:rPr>
  </w:style>
  <w:style w:type="character" w:customStyle="1" w:styleId="32">
    <w:name w:val="hover25"/>
    <w:basedOn w:val="8"/>
    <w:autoRedefine/>
    <w:qFormat/>
    <w:uiPriority w:val="0"/>
  </w:style>
  <w:style w:type="character" w:customStyle="1" w:styleId="33">
    <w:name w:val="hover26"/>
    <w:basedOn w:val="8"/>
    <w:autoRedefine/>
    <w:qFormat/>
    <w:uiPriority w:val="0"/>
    <w:rPr>
      <w:color w:val="315EFB"/>
    </w:rPr>
  </w:style>
  <w:style w:type="character" w:customStyle="1" w:styleId="34">
    <w:name w:val="hover27"/>
    <w:basedOn w:val="8"/>
    <w:autoRedefine/>
    <w:qFormat/>
    <w:uiPriority w:val="0"/>
    <w:rPr>
      <w:color w:val="315EFB"/>
      <w:shd w:val="clear" w:fill="F0F3FD"/>
    </w:rPr>
  </w:style>
  <w:style w:type="character" w:customStyle="1" w:styleId="35">
    <w:name w:val="c-icon"/>
    <w:basedOn w:val="8"/>
    <w:autoRedefine/>
    <w:qFormat/>
    <w:uiPriority w:val="0"/>
  </w:style>
  <w:style w:type="character" w:customStyle="1" w:styleId="36">
    <w:name w:val="content-right_8zs401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1585</Words>
  <Characters>1654</Characters>
  <Lines>0</Lines>
  <Paragraphs>0</Paragraphs>
  <TotalTime>19</TotalTime>
  <ScaleCrop>false</ScaleCrop>
  <LinksUpToDate>false</LinksUpToDate>
  <CharactersWithSpaces>1658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2022-03-13T02:07:00Z</dcterms:created>
  <dc:creator>Administrator</dc:creator>
  <cp:lastModifiedBy>CXWY</cp:lastModifiedBy>
  <cp:lastPrinted>2025-08-25T08:48:00Z</cp:lastPrinted>
  <dcterms:modified xsi:type="dcterms:W3CDTF">2026-07-23T07:00:28Z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56D6FBF1B0E44717881C8D7BA4F6C73A_13</vt:lpwstr>
  </property>
  <property fmtid="{D5CDD505-2E9C-101B-9397-08002B2CF9AE}" pid="4" name="KSOTemplateDocerSaveRecord">
    <vt:lpwstr>eyJoZGlkIjoiN2E3MTZjOTA2N2RiOTc3YzQyMDc2YTI2M2UyNzFjMjgiLCJ1c2VySWQiOiIyMDM0Nzg0MDYifQ==</vt:lpwstr>
  </property>
</Properties>
</file>