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308F4">
      <w:pPr>
        <w:ind w:firstLine="539"/>
        <w:jc w:val="center"/>
        <w:rPr>
          <w:rFonts w:hint="eastAsia" w:ascii="仿宋" w:hAnsi="仿宋" w:eastAsia="仿宋" w:cs="仿宋"/>
          <w:color w:val="auto"/>
          <w:sz w:val="36"/>
          <w:szCs w:val="36"/>
          <w:highlight w:val="none"/>
          <w:lang w:val="en-US" w:eastAsia="zh-CN"/>
        </w:rPr>
      </w:pPr>
      <w:bookmarkStart w:id="0" w:name="_Toc9306"/>
      <w:bookmarkStart w:id="1" w:name="_Toc494114913"/>
      <w:bookmarkStart w:id="2" w:name="_Toc1343"/>
      <w:bookmarkStart w:id="3" w:name="_Toc23766"/>
      <w:r>
        <w:rPr>
          <w:rFonts w:hint="eastAsia" w:ascii="仿宋" w:hAnsi="仿宋" w:eastAsia="仿宋" w:cs="仿宋"/>
          <w:color w:val="auto"/>
          <w:sz w:val="36"/>
          <w:szCs w:val="36"/>
          <w:highlight w:val="none"/>
          <w:lang w:val="en-US" w:eastAsia="zh-CN"/>
        </w:rPr>
        <w:t xml:space="preserve"> </w:t>
      </w:r>
    </w:p>
    <w:p w14:paraId="6A0054E8">
      <w:pPr>
        <w:ind w:firstLine="539"/>
        <w:jc w:val="center"/>
        <w:rPr>
          <w:rFonts w:hint="eastAsia" w:ascii="仿宋" w:hAnsi="仿宋" w:eastAsia="仿宋" w:cs="仿宋"/>
          <w:color w:val="auto"/>
          <w:sz w:val="84"/>
          <w:szCs w:val="84"/>
          <w:highlight w:val="none"/>
        </w:rPr>
      </w:pPr>
    </w:p>
    <w:p w14:paraId="6F79C3B9">
      <w:pPr>
        <w:jc w:val="center"/>
        <w:rPr>
          <w:rFonts w:hint="eastAsia" w:ascii="仿宋" w:hAnsi="仿宋" w:eastAsia="仿宋" w:cs="仿宋"/>
          <w:color w:val="auto"/>
          <w:sz w:val="84"/>
          <w:szCs w:val="84"/>
          <w:highlight w:val="none"/>
        </w:rPr>
      </w:pPr>
    </w:p>
    <w:p w14:paraId="22D22C72">
      <w:pPr>
        <w:jc w:val="center"/>
        <w:rPr>
          <w:rFonts w:hint="eastAsia" w:ascii="仿宋" w:hAnsi="仿宋" w:eastAsia="仿宋" w:cs="仿宋"/>
          <w:color w:val="auto"/>
          <w:sz w:val="84"/>
          <w:szCs w:val="84"/>
          <w:highlight w:val="none"/>
        </w:rPr>
      </w:pPr>
      <w:r>
        <w:rPr>
          <w:rFonts w:hint="eastAsia" w:ascii="仿宋" w:hAnsi="仿宋" w:eastAsia="仿宋" w:cs="仿宋"/>
          <w:color w:val="auto"/>
          <w:sz w:val="84"/>
          <w:szCs w:val="84"/>
          <w:highlight w:val="none"/>
        </w:rPr>
        <w:t>公开招标文件</w:t>
      </w:r>
    </w:p>
    <w:p w14:paraId="2BB50D1F">
      <w:pPr>
        <w:ind w:firstLine="539"/>
        <w:jc w:val="center"/>
        <w:rPr>
          <w:rFonts w:hint="eastAsia" w:ascii="仿宋" w:hAnsi="仿宋" w:eastAsia="仿宋" w:cs="仿宋"/>
          <w:color w:val="auto"/>
          <w:sz w:val="44"/>
          <w:szCs w:val="44"/>
          <w:highlight w:val="none"/>
          <w:lang w:eastAsia="zh-CN"/>
        </w:rPr>
      </w:pPr>
    </w:p>
    <w:p w14:paraId="5CC920CE">
      <w:pPr>
        <w:pStyle w:val="15"/>
        <w:rPr>
          <w:rFonts w:hint="eastAsia" w:ascii="仿宋" w:hAnsi="仿宋" w:eastAsia="仿宋" w:cs="仿宋"/>
          <w:color w:val="auto"/>
          <w:highlight w:val="none"/>
          <w:lang w:eastAsia="zh-CN"/>
        </w:rPr>
      </w:pPr>
    </w:p>
    <w:p w14:paraId="0E14108F">
      <w:pPr>
        <w:ind w:firstLine="539"/>
        <w:jc w:val="center"/>
        <w:rPr>
          <w:rFonts w:hint="eastAsia" w:ascii="仿宋" w:hAnsi="仿宋" w:eastAsia="仿宋" w:cs="仿宋"/>
          <w:color w:val="auto"/>
          <w:sz w:val="44"/>
          <w:szCs w:val="44"/>
          <w:highlight w:val="none"/>
          <w:lang w:eastAsia="zh-CN"/>
        </w:rPr>
      </w:pPr>
    </w:p>
    <w:p w14:paraId="3F6C6A83">
      <w:pPr>
        <w:ind w:firstLine="539"/>
        <w:jc w:val="center"/>
        <w:rPr>
          <w:rFonts w:hint="eastAsia" w:ascii="仿宋" w:hAnsi="仿宋" w:eastAsia="仿宋" w:cs="仿宋"/>
          <w:color w:val="auto"/>
          <w:sz w:val="44"/>
          <w:szCs w:val="44"/>
          <w:highlight w:val="none"/>
          <w:lang w:eastAsia="zh-CN"/>
        </w:rPr>
      </w:pPr>
    </w:p>
    <w:p w14:paraId="2E347395">
      <w:pPr>
        <w:ind w:firstLine="539"/>
        <w:jc w:val="center"/>
        <w:rPr>
          <w:rFonts w:hint="eastAsia" w:ascii="仿宋" w:hAnsi="仿宋" w:eastAsia="仿宋" w:cs="仿宋"/>
          <w:color w:val="auto"/>
          <w:sz w:val="44"/>
          <w:szCs w:val="44"/>
          <w:highlight w:val="none"/>
          <w:lang w:eastAsia="zh-CN"/>
        </w:rPr>
      </w:pPr>
    </w:p>
    <w:p w14:paraId="5C173844">
      <w:pPr>
        <w:ind w:firstLine="539"/>
        <w:jc w:val="center"/>
        <w:rPr>
          <w:rFonts w:hint="eastAsia" w:ascii="仿宋" w:hAnsi="仿宋" w:eastAsia="仿宋" w:cs="仿宋"/>
          <w:color w:val="auto"/>
          <w:sz w:val="44"/>
          <w:szCs w:val="44"/>
          <w:highlight w:val="none"/>
          <w:lang w:eastAsia="zh-CN"/>
        </w:rPr>
      </w:pPr>
    </w:p>
    <w:p w14:paraId="42D9836D">
      <w:pPr>
        <w:ind w:firstLine="539"/>
        <w:jc w:val="center"/>
        <w:rPr>
          <w:rFonts w:hint="eastAsia" w:ascii="仿宋" w:hAnsi="仿宋" w:eastAsia="仿宋" w:cs="仿宋"/>
          <w:color w:val="auto"/>
          <w:sz w:val="44"/>
          <w:szCs w:val="44"/>
          <w:highlight w:val="none"/>
          <w:lang w:eastAsia="zh-CN"/>
        </w:rPr>
      </w:pPr>
    </w:p>
    <w:p w14:paraId="1137AF2F">
      <w:pPr>
        <w:keepNext w:val="0"/>
        <w:keepLines w:val="0"/>
        <w:pageBreakBefore w:val="0"/>
        <w:widowControl w:val="0"/>
        <w:kinsoku/>
        <w:wordWrap/>
        <w:overflowPunct/>
        <w:topLinePunct w:val="0"/>
        <w:autoSpaceDE/>
        <w:autoSpaceDN/>
        <w:bidi w:val="0"/>
        <w:adjustRightInd/>
        <w:snapToGrid/>
        <w:spacing w:line="480" w:lineRule="auto"/>
        <w:ind w:left="-240" w:leftChars="-100" w:firstLine="1408" w:firstLineChars="501"/>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rPr>
        <w:t>项目名称：</w:t>
      </w:r>
      <w:r>
        <w:rPr>
          <w:rFonts w:hint="eastAsia" w:ascii="仿宋" w:hAnsi="仿宋" w:eastAsia="仿宋" w:cs="仿宋"/>
          <w:b/>
          <w:bCs/>
          <w:color w:val="auto"/>
          <w:sz w:val="28"/>
          <w:szCs w:val="28"/>
          <w:highlight w:val="none"/>
          <w:lang w:eastAsia="zh-CN"/>
        </w:rPr>
        <w:t>2026年吉安市中等专业学校教材采购项目</w:t>
      </w:r>
    </w:p>
    <w:p w14:paraId="05F0EBC1">
      <w:pPr>
        <w:keepNext w:val="0"/>
        <w:keepLines w:val="0"/>
        <w:pageBreakBefore w:val="0"/>
        <w:widowControl w:val="0"/>
        <w:kinsoku/>
        <w:wordWrap/>
        <w:overflowPunct/>
        <w:topLinePunct w:val="0"/>
        <w:autoSpaceDE/>
        <w:autoSpaceDN/>
        <w:bidi w:val="0"/>
        <w:adjustRightInd/>
        <w:snapToGrid/>
        <w:spacing w:line="480" w:lineRule="auto"/>
        <w:ind w:firstLine="1124" w:firstLineChars="400"/>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项目编号</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eastAsia="zh-CN"/>
        </w:rPr>
        <w:t>赣企恒招〔2026〕-3号</w:t>
      </w:r>
    </w:p>
    <w:p w14:paraId="5E86EEBB">
      <w:pPr>
        <w:keepNext w:val="0"/>
        <w:keepLines w:val="0"/>
        <w:pageBreakBefore w:val="0"/>
        <w:widowControl w:val="0"/>
        <w:kinsoku/>
        <w:wordWrap/>
        <w:overflowPunct/>
        <w:topLinePunct w:val="0"/>
        <w:autoSpaceDE/>
        <w:autoSpaceDN/>
        <w:bidi w:val="0"/>
        <w:adjustRightInd/>
        <w:snapToGrid/>
        <w:spacing w:line="480" w:lineRule="auto"/>
        <w:ind w:firstLine="1124" w:firstLineChars="400"/>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采购单位：吉安市中等专业学校</w:t>
      </w:r>
    </w:p>
    <w:p w14:paraId="31E12D30">
      <w:pPr>
        <w:keepNext w:val="0"/>
        <w:keepLines w:val="0"/>
        <w:pageBreakBefore w:val="0"/>
        <w:widowControl w:val="0"/>
        <w:kinsoku/>
        <w:wordWrap/>
        <w:overflowPunct/>
        <w:topLinePunct w:val="0"/>
        <w:autoSpaceDE/>
        <w:autoSpaceDN/>
        <w:bidi w:val="0"/>
        <w:adjustRightInd/>
        <w:snapToGrid/>
        <w:ind w:firstLine="1124" w:firstLineChars="4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采购代理机构：江西企恒企业管理有限公司</w:t>
      </w:r>
    </w:p>
    <w:p w14:paraId="5CCEAB18">
      <w:pPr>
        <w:pStyle w:val="28"/>
        <w:rPr>
          <w:rFonts w:hint="eastAsia" w:ascii="仿宋" w:hAnsi="仿宋" w:eastAsia="仿宋" w:cs="仿宋"/>
          <w:color w:val="auto"/>
          <w:sz w:val="28"/>
          <w:szCs w:val="28"/>
          <w:highlight w:val="none"/>
          <w:lang w:val="en-US" w:eastAsia="zh-CN"/>
        </w:rPr>
        <w:sectPr>
          <w:footerReference r:id="rId5" w:type="default"/>
          <w:pgSz w:w="11906" w:h="16838"/>
          <w:pgMar w:top="1247" w:right="1417" w:bottom="1701" w:left="141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4A8ABC7">
      <w:pPr>
        <w:pStyle w:val="28"/>
        <w:rPr>
          <w:rFonts w:hint="eastAsia" w:ascii="仿宋" w:hAnsi="仿宋" w:eastAsia="仿宋" w:cs="仿宋"/>
          <w:color w:val="auto"/>
          <w:highlight w:val="none"/>
          <w:lang w:val="en-US" w:eastAsia="zh-CN"/>
        </w:rPr>
      </w:pPr>
    </w:p>
    <w:p w14:paraId="7FC1D74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仿宋"/>
          <w:color w:val="auto"/>
          <w:sz w:val="52"/>
          <w:szCs w:val="52"/>
          <w:highlight w:val="none"/>
          <w:lang w:val="en-US" w:eastAsia="zh-CN"/>
        </w:rPr>
        <w:sectPr>
          <w:footerReference r:id="rId6" w:type="default"/>
          <w:pgSz w:w="11906" w:h="16838"/>
          <w:pgMar w:top="1247" w:right="1417" w:bottom="1701" w:left="141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bookmarkStart w:id="440" w:name="_GoBack"/>
      <w:bookmarkEnd w:id="440"/>
    </w:p>
    <w:p w14:paraId="64B5105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仿宋"/>
          <w:color w:val="auto"/>
          <w:sz w:val="52"/>
          <w:szCs w:val="52"/>
          <w:highlight w:val="none"/>
          <w:lang w:val="en-US" w:eastAsia="zh-CN"/>
        </w:rPr>
      </w:pPr>
      <w:r>
        <w:rPr>
          <w:rFonts w:hint="eastAsia" w:ascii="仿宋" w:hAnsi="仿宋" w:eastAsia="仿宋" w:cs="仿宋"/>
          <w:color w:val="auto"/>
          <w:sz w:val="52"/>
          <w:szCs w:val="52"/>
          <w:highlight w:val="none"/>
          <w:lang w:val="en-US" w:eastAsia="zh-CN"/>
        </w:rPr>
        <w:t>目 录</w:t>
      </w:r>
    </w:p>
    <w:p w14:paraId="46815E96">
      <w:pPr>
        <w:pStyle w:val="22"/>
        <w:tabs>
          <w:tab w:val="right" w:leader="dot" w:pos="9072"/>
        </w:tabs>
        <w:rPr>
          <w:color w:val="auto"/>
          <w:highlight w:val="none"/>
        </w:rPr>
      </w:pP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TOC \o "1-2" \h \u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_Toc28598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lang w:val="en-US" w:eastAsia="zh-CN"/>
        </w:rPr>
        <w:t>第一章 投标邀请</w:t>
      </w:r>
      <w:r>
        <w:rPr>
          <w:color w:val="auto"/>
          <w:highlight w:val="none"/>
        </w:rPr>
        <w:tab/>
      </w:r>
      <w:r>
        <w:rPr>
          <w:color w:val="auto"/>
          <w:highlight w:val="none"/>
        </w:rPr>
        <w:fldChar w:fldCharType="begin"/>
      </w:r>
      <w:r>
        <w:rPr>
          <w:color w:val="auto"/>
          <w:highlight w:val="none"/>
        </w:rPr>
        <w:instrText xml:space="preserve"> PAGEREF _Toc28598 \h </w:instrText>
      </w:r>
      <w:r>
        <w:rPr>
          <w:color w:val="auto"/>
          <w:highlight w:val="none"/>
        </w:rPr>
        <w:fldChar w:fldCharType="separate"/>
      </w:r>
      <w:r>
        <w:rPr>
          <w:color w:val="auto"/>
          <w:highlight w:val="none"/>
        </w:rPr>
        <w:t>1</w:t>
      </w:r>
      <w:r>
        <w:rPr>
          <w:color w:val="auto"/>
          <w:highlight w:val="none"/>
        </w:rPr>
        <w:fldChar w:fldCharType="end"/>
      </w:r>
      <w:r>
        <w:rPr>
          <w:rFonts w:hint="eastAsia" w:ascii="仿宋" w:hAnsi="仿宋" w:eastAsia="仿宋" w:cs="仿宋"/>
          <w:color w:val="auto"/>
          <w:szCs w:val="24"/>
          <w:highlight w:val="none"/>
        </w:rPr>
        <w:fldChar w:fldCharType="end"/>
      </w:r>
    </w:p>
    <w:p w14:paraId="2BFF6343">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_Toc5363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一、项目基本情况</w:t>
      </w:r>
      <w:r>
        <w:rPr>
          <w:color w:val="auto"/>
          <w:highlight w:val="none"/>
        </w:rPr>
        <w:tab/>
      </w:r>
      <w:r>
        <w:rPr>
          <w:color w:val="auto"/>
          <w:highlight w:val="none"/>
        </w:rPr>
        <w:fldChar w:fldCharType="begin"/>
      </w:r>
      <w:r>
        <w:rPr>
          <w:color w:val="auto"/>
          <w:highlight w:val="none"/>
        </w:rPr>
        <w:instrText xml:space="preserve"> PAGEREF _Toc5363 \h </w:instrText>
      </w:r>
      <w:r>
        <w:rPr>
          <w:color w:val="auto"/>
          <w:highlight w:val="none"/>
        </w:rPr>
        <w:fldChar w:fldCharType="separate"/>
      </w:r>
      <w:r>
        <w:rPr>
          <w:color w:val="auto"/>
          <w:highlight w:val="none"/>
        </w:rPr>
        <w:t>1</w:t>
      </w:r>
      <w:r>
        <w:rPr>
          <w:color w:val="auto"/>
          <w:highlight w:val="none"/>
        </w:rPr>
        <w:fldChar w:fldCharType="end"/>
      </w:r>
      <w:r>
        <w:rPr>
          <w:rFonts w:hint="eastAsia" w:ascii="仿宋" w:hAnsi="仿宋" w:eastAsia="仿宋" w:cs="仿宋"/>
          <w:color w:val="auto"/>
          <w:szCs w:val="24"/>
          <w:highlight w:val="none"/>
        </w:rPr>
        <w:fldChar w:fldCharType="end"/>
      </w:r>
    </w:p>
    <w:p w14:paraId="4CE8BB37">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_Toc17661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二、申请人的资格要求：</w:t>
      </w:r>
      <w:r>
        <w:rPr>
          <w:color w:val="auto"/>
          <w:highlight w:val="none"/>
        </w:rPr>
        <w:tab/>
      </w:r>
      <w:r>
        <w:rPr>
          <w:color w:val="auto"/>
          <w:highlight w:val="none"/>
        </w:rPr>
        <w:fldChar w:fldCharType="begin"/>
      </w:r>
      <w:r>
        <w:rPr>
          <w:color w:val="auto"/>
          <w:highlight w:val="none"/>
        </w:rPr>
        <w:instrText xml:space="preserve"> PAGEREF _Toc17661 \h </w:instrText>
      </w:r>
      <w:r>
        <w:rPr>
          <w:color w:val="auto"/>
          <w:highlight w:val="none"/>
        </w:rPr>
        <w:fldChar w:fldCharType="separate"/>
      </w:r>
      <w:r>
        <w:rPr>
          <w:color w:val="auto"/>
          <w:highlight w:val="none"/>
        </w:rPr>
        <w:t>1</w:t>
      </w:r>
      <w:r>
        <w:rPr>
          <w:color w:val="auto"/>
          <w:highlight w:val="none"/>
        </w:rPr>
        <w:fldChar w:fldCharType="end"/>
      </w:r>
      <w:r>
        <w:rPr>
          <w:rFonts w:hint="eastAsia" w:ascii="仿宋" w:hAnsi="仿宋" w:eastAsia="仿宋" w:cs="仿宋"/>
          <w:color w:val="auto"/>
          <w:szCs w:val="24"/>
          <w:highlight w:val="none"/>
        </w:rPr>
        <w:fldChar w:fldCharType="end"/>
      </w:r>
    </w:p>
    <w:p w14:paraId="49AA5368">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_Toc15246 </w:instrText>
      </w:r>
      <w:r>
        <w:rPr>
          <w:rFonts w:hint="eastAsia" w:ascii="仿宋" w:hAnsi="仿宋" w:eastAsia="仿宋" w:cs="仿宋"/>
          <w:color w:val="auto"/>
          <w:szCs w:val="24"/>
          <w:highlight w:val="none"/>
        </w:rPr>
        <w:fldChar w:fldCharType="separate"/>
      </w:r>
      <w:r>
        <w:rPr>
          <w:rFonts w:hint="eastAsia" w:ascii="仿宋" w:hAnsi="仿宋" w:eastAsia="仿宋" w:cs="仿宋"/>
          <w:bCs w:val="0"/>
          <w:color w:val="auto"/>
          <w:szCs w:val="28"/>
          <w:highlight w:val="none"/>
        </w:rPr>
        <w:t>三、获取招标文件</w:t>
      </w:r>
      <w:r>
        <w:rPr>
          <w:color w:val="auto"/>
          <w:highlight w:val="none"/>
        </w:rPr>
        <w:tab/>
      </w:r>
      <w:r>
        <w:rPr>
          <w:color w:val="auto"/>
          <w:highlight w:val="none"/>
        </w:rPr>
        <w:fldChar w:fldCharType="begin"/>
      </w:r>
      <w:r>
        <w:rPr>
          <w:color w:val="auto"/>
          <w:highlight w:val="none"/>
        </w:rPr>
        <w:instrText xml:space="preserve"> PAGEREF _Toc15246 \h </w:instrText>
      </w:r>
      <w:r>
        <w:rPr>
          <w:color w:val="auto"/>
          <w:highlight w:val="none"/>
        </w:rPr>
        <w:fldChar w:fldCharType="separate"/>
      </w:r>
      <w:r>
        <w:rPr>
          <w:color w:val="auto"/>
          <w:highlight w:val="none"/>
        </w:rPr>
        <w:t>2</w:t>
      </w:r>
      <w:r>
        <w:rPr>
          <w:color w:val="auto"/>
          <w:highlight w:val="none"/>
        </w:rPr>
        <w:fldChar w:fldCharType="end"/>
      </w:r>
      <w:r>
        <w:rPr>
          <w:rFonts w:hint="eastAsia" w:ascii="仿宋" w:hAnsi="仿宋" w:eastAsia="仿宋" w:cs="仿宋"/>
          <w:color w:val="auto"/>
          <w:szCs w:val="24"/>
          <w:highlight w:val="none"/>
        </w:rPr>
        <w:fldChar w:fldCharType="end"/>
      </w:r>
    </w:p>
    <w:p w14:paraId="384E4C31">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_Toc20992 </w:instrText>
      </w:r>
      <w:r>
        <w:rPr>
          <w:rFonts w:hint="eastAsia" w:ascii="仿宋" w:hAnsi="仿宋" w:eastAsia="仿宋" w:cs="仿宋"/>
          <w:color w:val="auto"/>
          <w:szCs w:val="24"/>
          <w:highlight w:val="none"/>
        </w:rPr>
        <w:fldChar w:fldCharType="separate"/>
      </w:r>
      <w:r>
        <w:rPr>
          <w:rFonts w:hint="eastAsia" w:ascii="仿宋" w:hAnsi="仿宋" w:eastAsia="仿宋" w:cs="仿宋"/>
          <w:bCs w:val="0"/>
          <w:color w:val="auto"/>
          <w:szCs w:val="28"/>
          <w:highlight w:val="none"/>
        </w:rPr>
        <w:t>四、提交投标文件截止时间、开标时间和地点</w:t>
      </w:r>
      <w:r>
        <w:rPr>
          <w:color w:val="auto"/>
          <w:highlight w:val="none"/>
        </w:rPr>
        <w:tab/>
      </w:r>
      <w:r>
        <w:rPr>
          <w:color w:val="auto"/>
          <w:highlight w:val="none"/>
        </w:rPr>
        <w:fldChar w:fldCharType="begin"/>
      </w:r>
      <w:r>
        <w:rPr>
          <w:color w:val="auto"/>
          <w:highlight w:val="none"/>
        </w:rPr>
        <w:instrText xml:space="preserve"> PAGEREF _Toc20992 \h </w:instrText>
      </w:r>
      <w:r>
        <w:rPr>
          <w:color w:val="auto"/>
          <w:highlight w:val="none"/>
        </w:rPr>
        <w:fldChar w:fldCharType="separate"/>
      </w:r>
      <w:r>
        <w:rPr>
          <w:color w:val="auto"/>
          <w:highlight w:val="none"/>
        </w:rPr>
        <w:t>3</w:t>
      </w:r>
      <w:r>
        <w:rPr>
          <w:color w:val="auto"/>
          <w:highlight w:val="none"/>
        </w:rPr>
        <w:fldChar w:fldCharType="end"/>
      </w:r>
      <w:r>
        <w:rPr>
          <w:rFonts w:hint="eastAsia" w:ascii="仿宋" w:hAnsi="仿宋" w:eastAsia="仿宋" w:cs="仿宋"/>
          <w:color w:val="auto"/>
          <w:szCs w:val="24"/>
          <w:highlight w:val="none"/>
        </w:rPr>
        <w:fldChar w:fldCharType="end"/>
      </w:r>
    </w:p>
    <w:p w14:paraId="6F8DB960">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_Toc13736 </w:instrText>
      </w:r>
      <w:r>
        <w:rPr>
          <w:rFonts w:hint="eastAsia" w:ascii="仿宋" w:hAnsi="仿宋" w:eastAsia="仿宋" w:cs="仿宋"/>
          <w:color w:val="auto"/>
          <w:szCs w:val="24"/>
          <w:highlight w:val="none"/>
        </w:rPr>
        <w:fldChar w:fldCharType="separate"/>
      </w:r>
      <w:r>
        <w:rPr>
          <w:rFonts w:hint="eastAsia" w:ascii="仿宋" w:hAnsi="仿宋" w:eastAsia="仿宋" w:cs="仿宋"/>
          <w:bCs w:val="0"/>
          <w:color w:val="auto"/>
          <w:szCs w:val="28"/>
          <w:highlight w:val="none"/>
        </w:rPr>
        <w:t>五、公告期限</w:t>
      </w:r>
      <w:r>
        <w:rPr>
          <w:color w:val="auto"/>
          <w:highlight w:val="none"/>
        </w:rPr>
        <w:tab/>
      </w:r>
      <w:r>
        <w:rPr>
          <w:color w:val="auto"/>
          <w:highlight w:val="none"/>
        </w:rPr>
        <w:fldChar w:fldCharType="begin"/>
      </w:r>
      <w:r>
        <w:rPr>
          <w:color w:val="auto"/>
          <w:highlight w:val="none"/>
        </w:rPr>
        <w:instrText xml:space="preserve"> PAGEREF _Toc13736 \h </w:instrText>
      </w:r>
      <w:r>
        <w:rPr>
          <w:color w:val="auto"/>
          <w:highlight w:val="none"/>
        </w:rPr>
        <w:fldChar w:fldCharType="separate"/>
      </w:r>
      <w:r>
        <w:rPr>
          <w:color w:val="auto"/>
          <w:highlight w:val="none"/>
        </w:rPr>
        <w:t>3</w:t>
      </w:r>
      <w:r>
        <w:rPr>
          <w:color w:val="auto"/>
          <w:highlight w:val="none"/>
        </w:rPr>
        <w:fldChar w:fldCharType="end"/>
      </w:r>
      <w:r>
        <w:rPr>
          <w:rFonts w:hint="eastAsia" w:ascii="仿宋" w:hAnsi="仿宋" w:eastAsia="仿宋" w:cs="仿宋"/>
          <w:color w:val="auto"/>
          <w:szCs w:val="24"/>
          <w:highlight w:val="none"/>
        </w:rPr>
        <w:fldChar w:fldCharType="end"/>
      </w:r>
    </w:p>
    <w:p w14:paraId="66411EAE">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_Toc5483 </w:instrText>
      </w:r>
      <w:r>
        <w:rPr>
          <w:rFonts w:hint="eastAsia" w:ascii="仿宋" w:hAnsi="仿宋" w:eastAsia="仿宋" w:cs="仿宋"/>
          <w:color w:val="auto"/>
          <w:szCs w:val="24"/>
          <w:highlight w:val="none"/>
        </w:rPr>
        <w:fldChar w:fldCharType="separate"/>
      </w:r>
      <w:r>
        <w:rPr>
          <w:rFonts w:hint="eastAsia" w:ascii="仿宋" w:hAnsi="仿宋" w:eastAsia="仿宋" w:cs="仿宋"/>
          <w:bCs w:val="0"/>
          <w:color w:val="auto"/>
          <w:szCs w:val="28"/>
          <w:highlight w:val="none"/>
        </w:rPr>
        <w:t>六、其他补充事宜</w:t>
      </w:r>
      <w:r>
        <w:rPr>
          <w:color w:val="auto"/>
          <w:highlight w:val="none"/>
        </w:rPr>
        <w:tab/>
      </w:r>
      <w:r>
        <w:rPr>
          <w:color w:val="auto"/>
          <w:highlight w:val="none"/>
        </w:rPr>
        <w:fldChar w:fldCharType="begin"/>
      </w:r>
      <w:r>
        <w:rPr>
          <w:color w:val="auto"/>
          <w:highlight w:val="none"/>
        </w:rPr>
        <w:instrText xml:space="preserve"> PAGEREF _Toc5483 \h </w:instrText>
      </w:r>
      <w:r>
        <w:rPr>
          <w:color w:val="auto"/>
          <w:highlight w:val="none"/>
        </w:rPr>
        <w:fldChar w:fldCharType="separate"/>
      </w:r>
      <w:r>
        <w:rPr>
          <w:color w:val="auto"/>
          <w:highlight w:val="none"/>
        </w:rPr>
        <w:t>3</w:t>
      </w:r>
      <w:r>
        <w:rPr>
          <w:color w:val="auto"/>
          <w:highlight w:val="none"/>
        </w:rPr>
        <w:fldChar w:fldCharType="end"/>
      </w:r>
      <w:r>
        <w:rPr>
          <w:rFonts w:hint="eastAsia" w:ascii="仿宋" w:hAnsi="仿宋" w:eastAsia="仿宋" w:cs="仿宋"/>
          <w:color w:val="auto"/>
          <w:szCs w:val="24"/>
          <w:highlight w:val="none"/>
        </w:rPr>
        <w:fldChar w:fldCharType="end"/>
      </w:r>
    </w:p>
    <w:p w14:paraId="77A4595D">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_Toc5855 </w:instrText>
      </w:r>
      <w:r>
        <w:rPr>
          <w:rFonts w:hint="eastAsia" w:ascii="仿宋" w:hAnsi="仿宋" w:eastAsia="仿宋" w:cs="仿宋"/>
          <w:color w:val="auto"/>
          <w:szCs w:val="24"/>
          <w:highlight w:val="none"/>
        </w:rPr>
        <w:fldChar w:fldCharType="separate"/>
      </w:r>
      <w:r>
        <w:rPr>
          <w:rFonts w:hint="eastAsia" w:ascii="仿宋" w:hAnsi="仿宋" w:eastAsia="仿宋" w:cs="仿宋"/>
          <w:bCs w:val="0"/>
          <w:color w:val="auto"/>
          <w:szCs w:val="28"/>
          <w:highlight w:val="none"/>
        </w:rPr>
        <w:t>七、对本次招标提出询问，请按以下方式联系。</w:t>
      </w:r>
      <w:r>
        <w:rPr>
          <w:color w:val="auto"/>
          <w:highlight w:val="none"/>
        </w:rPr>
        <w:tab/>
      </w:r>
      <w:r>
        <w:rPr>
          <w:color w:val="auto"/>
          <w:highlight w:val="none"/>
        </w:rPr>
        <w:fldChar w:fldCharType="begin"/>
      </w:r>
      <w:r>
        <w:rPr>
          <w:color w:val="auto"/>
          <w:highlight w:val="none"/>
        </w:rPr>
        <w:instrText xml:space="preserve"> PAGEREF _Toc5855 \h </w:instrText>
      </w:r>
      <w:r>
        <w:rPr>
          <w:color w:val="auto"/>
          <w:highlight w:val="none"/>
        </w:rPr>
        <w:fldChar w:fldCharType="separate"/>
      </w:r>
      <w:r>
        <w:rPr>
          <w:color w:val="auto"/>
          <w:highlight w:val="none"/>
        </w:rPr>
        <w:t>3</w:t>
      </w:r>
      <w:r>
        <w:rPr>
          <w:color w:val="auto"/>
          <w:highlight w:val="none"/>
        </w:rPr>
        <w:fldChar w:fldCharType="end"/>
      </w:r>
      <w:r>
        <w:rPr>
          <w:rFonts w:hint="eastAsia" w:ascii="仿宋" w:hAnsi="仿宋" w:eastAsia="仿宋" w:cs="仿宋"/>
          <w:color w:val="auto"/>
          <w:szCs w:val="24"/>
          <w:highlight w:val="none"/>
        </w:rPr>
        <w:fldChar w:fldCharType="end"/>
      </w:r>
    </w:p>
    <w:p w14:paraId="1075B21B">
      <w:pPr>
        <w:pStyle w:val="22"/>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_Toc11642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_Toc11642 \h </w:instrText>
      </w:r>
      <w:r>
        <w:rPr>
          <w:color w:val="auto"/>
          <w:highlight w:val="none"/>
        </w:rPr>
        <w:fldChar w:fldCharType="separate"/>
      </w:r>
      <w:r>
        <w:rPr>
          <w:color w:val="auto"/>
          <w:highlight w:val="none"/>
        </w:rPr>
        <w:t>4</w:t>
      </w:r>
      <w:r>
        <w:rPr>
          <w:color w:val="auto"/>
          <w:highlight w:val="none"/>
        </w:rPr>
        <w:fldChar w:fldCharType="end"/>
      </w:r>
      <w:r>
        <w:rPr>
          <w:rFonts w:hint="eastAsia" w:ascii="仿宋" w:hAnsi="仿宋" w:eastAsia="仿宋" w:cs="仿宋"/>
          <w:color w:val="auto"/>
          <w:szCs w:val="24"/>
          <w:highlight w:val="none"/>
        </w:rPr>
        <w:fldChar w:fldCharType="end"/>
      </w:r>
    </w:p>
    <w:p w14:paraId="66E231CB">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_Toc24884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一、投标人须知前附表</w:t>
      </w:r>
      <w:r>
        <w:rPr>
          <w:color w:val="auto"/>
          <w:highlight w:val="none"/>
        </w:rPr>
        <w:tab/>
      </w:r>
      <w:r>
        <w:rPr>
          <w:color w:val="auto"/>
          <w:highlight w:val="none"/>
        </w:rPr>
        <w:fldChar w:fldCharType="begin"/>
      </w:r>
      <w:r>
        <w:rPr>
          <w:color w:val="auto"/>
          <w:highlight w:val="none"/>
        </w:rPr>
        <w:instrText xml:space="preserve"> PAGEREF _Toc24884 \h </w:instrText>
      </w:r>
      <w:r>
        <w:rPr>
          <w:color w:val="auto"/>
          <w:highlight w:val="none"/>
        </w:rPr>
        <w:fldChar w:fldCharType="separate"/>
      </w:r>
      <w:r>
        <w:rPr>
          <w:color w:val="auto"/>
          <w:highlight w:val="none"/>
        </w:rPr>
        <w:t>4</w:t>
      </w:r>
      <w:r>
        <w:rPr>
          <w:color w:val="auto"/>
          <w:highlight w:val="none"/>
        </w:rPr>
        <w:fldChar w:fldCharType="end"/>
      </w:r>
      <w:r>
        <w:rPr>
          <w:rFonts w:hint="eastAsia" w:ascii="仿宋" w:hAnsi="仿宋" w:eastAsia="仿宋" w:cs="仿宋"/>
          <w:color w:val="auto"/>
          <w:szCs w:val="24"/>
          <w:highlight w:val="none"/>
        </w:rPr>
        <w:fldChar w:fldCharType="end"/>
      </w:r>
    </w:p>
    <w:p w14:paraId="0668B050">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_Toc17944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lang w:val="en-US" w:eastAsia="zh-CN"/>
        </w:rPr>
        <w:t>二、</w:t>
      </w:r>
      <w:r>
        <w:rPr>
          <w:rFonts w:hint="eastAsia" w:ascii="仿宋" w:hAnsi="仿宋" w:eastAsia="仿宋" w:cs="仿宋"/>
          <w:color w:val="auto"/>
          <w:highlight w:val="none"/>
        </w:rPr>
        <w:t>招  标</w:t>
      </w:r>
      <w:r>
        <w:rPr>
          <w:color w:val="auto"/>
          <w:highlight w:val="none"/>
        </w:rPr>
        <w:tab/>
      </w:r>
      <w:r>
        <w:rPr>
          <w:color w:val="auto"/>
          <w:highlight w:val="none"/>
        </w:rPr>
        <w:fldChar w:fldCharType="begin"/>
      </w:r>
      <w:r>
        <w:rPr>
          <w:color w:val="auto"/>
          <w:highlight w:val="none"/>
        </w:rPr>
        <w:instrText xml:space="preserve"> PAGEREF _Toc17944 \h </w:instrText>
      </w:r>
      <w:r>
        <w:rPr>
          <w:color w:val="auto"/>
          <w:highlight w:val="none"/>
        </w:rPr>
        <w:fldChar w:fldCharType="separate"/>
      </w:r>
      <w:r>
        <w:rPr>
          <w:color w:val="auto"/>
          <w:highlight w:val="none"/>
        </w:rPr>
        <w:t>6</w:t>
      </w:r>
      <w:r>
        <w:rPr>
          <w:color w:val="auto"/>
          <w:highlight w:val="none"/>
        </w:rPr>
        <w:fldChar w:fldCharType="end"/>
      </w:r>
      <w:r>
        <w:rPr>
          <w:rFonts w:hint="eastAsia" w:ascii="仿宋" w:hAnsi="仿宋" w:eastAsia="仿宋" w:cs="仿宋"/>
          <w:color w:val="auto"/>
          <w:szCs w:val="24"/>
          <w:highlight w:val="none"/>
        </w:rPr>
        <w:fldChar w:fldCharType="end"/>
      </w:r>
    </w:p>
    <w:p w14:paraId="3FB3B5F6">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_Toc8997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1.适用范围</w:t>
      </w:r>
      <w:r>
        <w:rPr>
          <w:color w:val="auto"/>
          <w:highlight w:val="none"/>
        </w:rPr>
        <w:tab/>
      </w:r>
      <w:r>
        <w:rPr>
          <w:color w:val="auto"/>
          <w:highlight w:val="none"/>
        </w:rPr>
        <w:fldChar w:fldCharType="begin"/>
      </w:r>
      <w:r>
        <w:rPr>
          <w:color w:val="auto"/>
          <w:highlight w:val="none"/>
        </w:rPr>
        <w:instrText xml:space="preserve"> PAGEREF _Toc8997 \h </w:instrText>
      </w:r>
      <w:r>
        <w:rPr>
          <w:color w:val="auto"/>
          <w:highlight w:val="none"/>
        </w:rPr>
        <w:fldChar w:fldCharType="separate"/>
      </w:r>
      <w:r>
        <w:rPr>
          <w:color w:val="auto"/>
          <w:highlight w:val="none"/>
        </w:rPr>
        <w:t>6</w:t>
      </w:r>
      <w:r>
        <w:rPr>
          <w:color w:val="auto"/>
          <w:highlight w:val="none"/>
        </w:rPr>
        <w:fldChar w:fldCharType="end"/>
      </w:r>
      <w:r>
        <w:rPr>
          <w:rFonts w:hint="eastAsia" w:ascii="仿宋" w:hAnsi="仿宋" w:eastAsia="仿宋" w:cs="仿宋"/>
          <w:color w:val="auto"/>
          <w:szCs w:val="24"/>
          <w:highlight w:val="none"/>
        </w:rPr>
        <w:fldChar w:fldCharType="end"/>
      </w:r>
    </w:p>
    <w:p w14:paraId="48BE812C">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_Toc1282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2.定义</w:t>
      </w:r>
      <w:r>
        <w:rPr>
          <w:color w:val="auto"/>
          <w:highlight w:val="none"/>
        </w:rPr>
        <w:tab/>
      </w:r>
      <w:r>
        <w:rPr>
          <w:color w:val="auto"/>
          <w:highlight w:val="none"/>
        </w:rPr>
        <w:fldChar w:fldCharType="begin"/>
      </w:r>
      <w:r>
        <w:rPr>
          <w:color w:val="auto"/>
          <w:highlight w:val="none"/>
        </w:rPr>
        <w:instrText xml:space="preserve"> PAGEREF _Toc1282 \h </w:instrText>
      </w:r>
      <w:r>
        <w:rPr>
          <w:color w:val="auto"/>
          <w:highlight w:val="none"/>
        </w:rPr>
        <w:fldChar w:fldCharType="separate"/>
      </w:r>
      <w:r>
        <w:rPr>
          <w:color w:val="auto"/>
          <w:highlight w:val="none"/>
        </w:rPr>
        <w:t>6</w:t>
      </w:r>
      <w:r>
        <w:rPr>
          <w:color w:val="auto"/>
          <w:highlight w:val="none"/>
        </w:rPr>
        <w:fldChar w:fldCharType="end"/>
      </w:r>
      <w:r>
        <w:rPr>
          <w:rFonts w:hint="eastAsia" w:ascii="仿宋" w:hAnsi="仿宋" w:eastAsia="仿宋" w:cs="仿宋"/>
          <w:color w:val="auto"/>
          <w:szCs w:val="24"/>
          <w:highlight w:val="none"/>
        </w:rPr>
        <w:fldChar w:fldCharType="end"/>
      </w:r>
    </w:p>
    <w:p w14:paraId="6EEEE331">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_Toc24525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3.合格投标人</w:t>
      </w:r>
      <w:r>
        <w:rPr>
          <w:color w:val="auto"/>
          <w:highlight w:val="none"/>
        </w:rPr>
        <w:tab/>
      </w:r>
      <w:r>
        <w:rPr>
          <w:color w:val="auto"/>
          <w:highlight w:val="none"/>
        </w:rPr>
        <w:fldChar w:fldCharType="begin"/>
      </w:r>
      <w:r>
        <w:rPr>
          <w:color w:val="auto"/>
          <w:highlight w:val="none"/>
        </w:rPr>
        <w:instrText xml:space="preserve"> PAGEREF _Toc24525 \h </w:instrText>
      </w:r>
      <w:r>
        <w:rPr>
          <w:color w:val="auto"/>
          <w:highlight w:val="none"/>
        </w:rPr>
        <w:fldChar w:fldCharType="separate"/>
      </w:r>
      <w:r>
        <w:rPr>
          <w:color w:val="auto"/>
          <w:highlight w:val="none"/>
        </w:rPr>
        <w:t>6</w:t>
      </w:r>
      <w:r>
        <w:rPr>
          <w:color w:val="auto"/>
          <w:highlight w:val="none"/>
        </w:rPr>
        <w:fldChar w:fldCharType="end"/>
      </w:r>
      <w:r>
        <w:rPr>
          <w:rFonts w:hint="eastAsia" w:ascii="仿宋" w:hAnsi="仿宋" w:eastAsia="仿宋" w:cs="仿宋"/>
          <w:color w:val="auto"/>
          <w:szCs w:val="24"/>
          <w:highlight w:val="none"/>
        </w:rPr>
        <w:fldChar w:fldCharType="end"/>
      </w:r>
    </w:p>
    <w:p w14:paraId="676F1AA0">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_Toc19441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4.投标费用</w:t>
      </w:r>
      <w:r>
        <w:rPr>
          <w:color w:val="auto"/>
          <w:highlight w:val="none"/>
        </w:rPr>
        <w:tab/>
      </w:r>
      <w:r>
        <w:rPr>
          <w:color w:val="auto"/>
          <w:highlight w:val="none"/>
        </w:rPr>
        <w:fldChar w:fldCharType="begin"/>
      </w:r>
      <w:r>
        <w:rPr>
          <w:color w:val="auto"/>
          <w:highlight w:val="none"/>
        </w:rPr>
        <w:instrText xml:space="preserve"> PAGEREF _Toc19441 \h </w:instrText>
      </w:r>
      <w:r>
        <w:rPr>
          <w:color w:val="auto"/>
          <w:highlight w:val="none"/>
        </w:rPr>
        <w:fldChar w:fldCharType="separate"/>
      </w:r>
      <w:r>
        <w:rPr>
          <w:color w:val="auto"/>
          <w:highlight w:val="none"/>
        </w:rPr>
        <w:t>6</w:t>
      </w:r>
      <w:r>
        <w:rPr>
          <w:color w:val="auto"/>
          <w:highlight w:val="none"/>
        </w:rPr>
        <w:fldChar w:fldCharType="end"/>
      </w:r>
      <w:r>
        <w:rPr>
          <w:rFonts w:hint="eastAsia" w:ascii="仿宋" w:hAnsi="仿宋" w:eastAsia="仿宋" w:cs="仿宋"/>
          <w:color w:val="auto"/>
          <w:szCs w:val="24"/>
          <w:highlight w:val="none"/>
        </w:rPr>
        <w:fldChar w:fldCharType="end"/>
      </w:r>
    </w:p>
    <w:p w14:paraId="0BF640EA">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_Toc22759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5.投标人代表</w:t>
      </w:r>
      <w:r>
        <w:rPr>
          <w:color w:val="auto"/>
          <w:highlight w:val="none"/>
        </w:rPr>
        <w:tab/>
      </w:r>
      <w:r>
        <w:rPr>
          <w:color w:val="auto"/>
          <w:highlight w:val="none"/>
        </w:rPr>
        <w:fldChar w:fldCharType="begin"/>
      </w:r>
      <w:r>
        <w:rPr>
          <w:color w:val="auto"/>
          <w:highlight w:val="none"/>
        </w:rPr>
        <w:instrText xml:space="preserve"> PAGEREF _Toc22759 \h </w:instrText>
      </w:r>
      <w:r>
        <w:rPr>
          <w:color w:val="auto"/>
          <w:highlight w:val="none"/>
        </w:rPr>
        <w:fldChar w:fldCharType="separate"/>
      </w:r>
      <w:r>
        <w:rPr>
          <w:color w:val="auto"/>
          <w:highlight w:val="none"/>
        </w:rPr>
        <w:t>6</w:t>
      </w:r>
      <w:r>
        <w:rPr>
          <w:color w:val="auto"/>
          <w:highlight w:val="none"/>
        </w:rPr>
        <w:fldChar w:fldCharType="end"/>
      </w:r>
      <w:r>
        <w:rPr>
          <w:rFonts w:hint="eastAsia" w:ascii="仿宋" w:hAnsi="仿宋" w:eastAsia="仿宋" w:cs="仿宋"/>
          <w:color w:val="auto"/>
          <w:szCs w:val="24"/>
          <w:highlight w:val="none"/>
        </w:rPr>
        <w:fldChar w:fldCharType="end"/>
      </w:r>
    </w:p>
    <w:p w14:paraId="647E69AB">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_Toc10516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6.招标文件的构成</w:t>
      </w:r>
      <w:r>
        <w:rPr>
          <w:color w:val="auto"/>
          <w:highlight w:val="none"/>
        </w:rPr>
        <w:tab/>
      </w:r>
      <w:r>
        <w:rPr>
          <w:color w:val="auto"/>
          <w:highlight w:val="none"/>
        </w:rPr>
        <w:fldChar w:fldCharType="begin"/>
      </w:r>
      <w:r>
        <w:rPr>
          <w:color w:val="auto"/>
          <w:highlight w:val="none"/>
        </w:rPr>
        <w:instrText xml:space="preserve"> PAGEREF _Toc10516 \h </w:instrText>
      </w:r>
      <w:r>
        <w:rPr>
          <w:color w:val="auto"/>
          <w:highlight w:val="none"/>
        </w:rPr>
        <w:fldChar w:fldCharType="separate"/>
      </w:r>
      <w:r>
        <w:rPr>
          <w:color w:val="auto"/>
          <w:highlight w:val="none"/>
        </w:rPr>
        <w:t>6</w:t>
      </w:r>
      <w:r>
        <w:rPr>
          <w:color w:val="auto"/>
          <w:highlight w:val="none"/>
        </w:rPr>
        <w:fldChar w:fldCharType="end"/>
      </w:r>
      <w:r>
        <w:rPr>
          <w:rFonts w:hint="eastAsia" w:ascii="仿宋" w:hAnsi="仿宋" w:eastAsia="仿宋" w:cs="仿宋"/>
          <w:color w:val="auto"/>
          <w:szCs w:val="24"/>
          <w:highlight w:val="none"/>
        </w:rPr>
        <w:fldChar w:fldCharType="end"/>
      </w:r>
    </w:p>
    <w:p w14:paraId="684B8661">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_Toc20950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7</w:t>
      </w:r>
      <w:r>
        <w:rPr>
          <w:rFonts w:hint="eastAsia" w:ascii="仿宋" w:hAnsi="仿宋" w:eastAsia="仿宋" w:cs="仿宋"/>
          <w:color w:val="auto"/>
          <w:szCs w:val="28"/>
          <w:highlight w:val="none"/>
          <w:lang w:val="en-US" w:eastAsia="zh-CN"/>
        </w:rPr>
        <w:t>.</w:t>
      </w:r>
      <w:r>
        <w:rPr>
          <w:rFonts w:hint="eastAsia" w:ascii="仿宋" w:hAnsi="仿宋" w:eastAsia="仿宋" w:cs="仿宋"/>
          <w:color w:val="auto"/>
          <w:szCs w:val="28"/>
          <w:highlight w:val="none"/>
        </w:rPr>
        <w:t>投标人应当提交的资格、资信证明文件的要求</w:t>
      </w:r>
      <w:r>
        <w:rPr>
          <w:color w:val="auto"/>
          <w:highlight w:val="none"/>
        </w:rPr>
        <w:tab/>
      </w:r>
      <w:r>
        <w:rPr>
          <w:color w:val="auto"/>
          <w:highlight w:val="none"/>
        </w:rPr>
        <w:fldChar w:fldCharType="begin"/>
      </w:r>
      <w:r>
        <w:rPr>
          <w:color w:val="auto"/>
          <w:highlight w:val="none"/>
        </w:rPr>
        <w:instrText xml:space="preserve"> PAGEREF _Toc20950 \h </w:instrText>
      </w:r>
      <w:r>
        <w:rPr>
          <w:color w:val="auto"/>
          <w:highlight w:val="none"/>
        </w:rPr>
        <w:fldChar w:fldCharType="separate"/>
      </w:r>
      <w:r>
        <w:rPr>
          <w:color w:val="auto"/>
          <w:highlight w:val="none"/>
        </w:rPr>
        <w:t>7</w:t>
      </w:r>
      <w:r>
        <w:rPr>
          <w:color w:val="auto"/>
          <w:highlight w:val="none"/>
        </w:rPr>
        <w:fldChar w:fldCharType="end"/>
      </w:r>
      <w:r>
        <w:rPr>
          <w:rFonts w:hint="eastAsia" w:ascii="仿宋" w:hAnsi="仿宋" w:eastAsia="仿宋" w:cs="仿宋"/>
          <w:color w:val="auto"/>
          <w:szCs w:val="24"/>
          <w:highlight w:val="none"/>
        </w:rPr>
        <w:fldChar w:fldCharType="end"/>
      </w:r>
    </w:p>
    <w:p w14:paraId="20A561BB">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_Toc20579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8</w:t>
      </w:r>
      <w:r>
        <w:rPr>
          <w:rFonts w:hint="eastAsia" w:ascii="仿宋" w:hAnsi="仿宋" w:eastAsia="仿宋" w:cs="仿宋"/>
          <w:color w:val="auto"/>
          <w:szCs w:val="28"/>
          <w:highlight w:val="none"/>
          <w:lang w:val="en-US" w:eastAsia="zh-CN"/>
        </w:rPr>
        <w:t>.</w:t>
      </w:r>
      <w:r>
        <w:rPr>
          <w:rFonts w:hint="eastAsia" w:ascii="仿宋" w:hAnsi="仿宋" w:eastAsia="仿宋" w:cs="仿宋"/>
          <w:color w:val="auto"/>
          <w:szCs w:val="28"/>
          <w:highlight w:val="none"/>
        </w:rPr>
        <w:t>为落实政府采购政策，采购标的需满足的要求，以及投标人须提供的证明材料</w:t>
      </w:r>
      <w:r>
        <w:rPr>
          <w:rFonts w:hint="eastAsia" w:ascii="仿宋" w:hAnsi="仿宋" w:eastAsia="仿宋" w:cs="仿宋"/>
          <w:color w:val="auto"/>
          <w:szCs w:val="28"/>
          <w:highlight w:val="none"/>
          <w:lang w:eastAsia="zh-CN"/>
        </w:rPr>
        <w:t>（</w:t>
      </w:r>
      <w:r>
        <w:rPr>
          <w:rFonts w:hint="eastAsia" w:ascii="仿宋" w:hAnsi="仿宋" w:eastAsia="仿宋" w:cs="仿宋"/>
          <w:color w:val="auto"/>
          <w:szCs w:val="28"/>
          <w:highlight w:val="none"/>
          <w:lang w:val="en-US" w:eastAsia="zh-CN"/>
        </w:rPr>
        <w:t>参照执行</w:t>
      </w:r>
      <w:r>
        <w:rPr>
          <w:rFonts w:hint="eastAsia" w:ascii="仿宋" w:hAnsi="仿宋" w:eastAsia="仿宋" w:cs="仿宋"/>
          <w:color w:val="auto"/>
          <w:szCs w:val="28"/>
          <w:highlight w:val="none"/>
          <w:lang w:eastAsia="zh-CN"/>
        </w:rPr>
        <w:t>）</w:t>
      </w:r>
      <w:r>
        <w:rPr>
          <w:color w:val="auto"/>
          <w:highlight w:val="none"/>
        </w:rPr>
        <w:tab/>
      </w:r>
      <w:r>
        <w:rPr>
          <w:color w:val="auto"/>
          <w:highlight w:val="none"/>
        </w:rPr>
        <w:fldChar w:fldCharType="begin"/>
      </w:r>
      <w:r>
        <w:rPr>
          <w:color w:val="auto"/>
          <w:highlight w:val="none"/>
        </w:rPr>
        <w:instrText xml:space="preserve"> PAGEREF _Toc20579 \h </w:instrText>
      </w:r>
      <w:r>
        <w:rPr>
          <w:color w:val="auto"/>
          <w:highlight w:val="none"/>
        </w:rPr>
        <w:fldChar w:fldCharType="separate"/>
      </w:r>
      <w:r>
        <w:rPr>
          <w:color w:val="auto"/>
          <w:highlight w:val="none"/>
        </w:rPr>
        <w:t>7</w:t>
      </w:r>
      <w:r>
        <w:rPr>
          <w:color w:val="auto"/>
          <w:highlight w:val="none"/>
        </w:rPr>
        <w:fldChar w:fldCharType="end"/>
      </w:r>
      <w:r>
        <w:rPr>
          <w:rFonts w:hint="eastAsia" w:ascii="仿宋" w:hAnsi="仿宋" w:eastAsia="仿宋" w:cs="仿宋"/>
          <w:color w:val="auto"/>
          <w:szCs w:val="24"/>
          <w:highlight w:val="none"/>
        </w:rPr>
        <w:fldChar w:fldCharType="end"/>
      </w:r>
    </w:p>
    <w:p w14:paraId="1C28E957">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_Toc23601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9</w:t>
      </w:r>
      <w:r>
        <w:rPr>
          <w:rFonts w:hint="eastAsia" w:ascii="仿宋" w:hAnsi="仿宋" w:eastAsia="仿宋" w:cs="仿宋"/>
          <w:color w:val="auto"/>
          <w:szCs w:val="28"/>
          <w:highlight w:val="none"/>
          <w:lang w:val="en-US" w:eastAsia="zh-CN"/>
        </w:rPr>
        <w:t>.</w:t>
      </w:r>
      <w:r>
        <w:rPr>
          <w:rFonts w:hint="eastAsia" w:ascii="仿宋" w:hAnsi="仿宋" w:eastAsia="仿宋" w:cs="仿宋"/>
          <w:color w:val="auto"/>
          <w:szCs w:val="28"/>
          <w:highlight w:val="none"/>
        </w:rPr>
        <w:t>对小型和微型企业、监狱企业、残疾人福利性单位产品参加投标享受的政策</w:t>
      </w:r>
      <w:r>
        <w:rPr>
          <w:color w:val="auto"/>
          <w:highlight w:val="none"/>
        </w:rPr>
        <w:tab/>
      </w:r>
      <w:r>
        <w:rPr>
          <w:color w:val="auto"/>
          <w:highlight w:val="none"/>
        </w:rPr>
        <w:fldChar w:fldCharType="begin"/>
      </w:r>
      <w:r>
        <w:rPr>
          <w:color w:val="auto"/>
          <w:highlight w:val="none"/>
        </w:rPr>
        <w:instrText xml:space="preserve"> PAGEREF _Toc23601 \h </w:instrText>
      </w:r>
      <w:r>
        <w:rPr>
          <w:color w:val="auto"/>
          <w:highlight w:val="none"/>
        </w:rPr>
        <w:fldChar w:fldCharType="separate"/>
      </w:r>
      <w:r>
        <w:rPr>
          <w:color w:val="auto"/>
          <w:highlight w:val="none"/>
        </w:rPr>
        <w:t>9</w:t>
      </w:r>
      <w:r>
        <w:rPr>
          <w:color w:val="auto"/>
          <w:highlight w:val="none"/>
        </w:rPr>
        <w:fldChar w:fldCharType="end"/>
      </w:r>
      <w:r>
        <w:rPr>
          <w:rFonts w:hint="eastAsia" w:ascii="仿宋" w:hAnsi="仿宋" w:eastAsia="仿宋" w:cs="仿宋"/>
          <w:color w:val="auto"/>
          <w:szCs w:val="24"/>
          <w:highlight w:val="none"/>
        </w:rPr>
        <w:fldChar w:fldCharType="end"/>
      </w:r>
    </w:p>
    <w:p w14:paraId="194B4805">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_Toc3224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10</w:t>
      </w:r>
      <w:r>
        <w:rPr>
          <w:rFonts w:hint="eastAsia" w:ascii="仿宋" w:hAnsi="仿宋" w:eastAsia="仿宋" w:cs="仿宋"/>
          <w:color w:val="auto"/>
          <w:szCs w:val="28"/>
          <w:highlight w:val="none"/>
          <w:lang w:val="en-US" w:eastAsia="zh-CN"/>
        </w:rPr>
        <w:t>.</w:t>
      </w:r>
      <w:r>
        <w:rPr>
          <w:rFonts w:hint="eastAsia" w:ascii="仿宋" w:hAnsi="仿宋" w:eastAsia="仿宋" w:cs="仿宋"/>
          <w:color w:val="auto"/>
          <w:szCs w:val="28"/>
          <w:highlight w:val="none"/>
        </w:rPr>
        <w:t>招标文件的修改</w:t>
      </w:r>
      <w:r>
        <w:rPr>
          <w:color w:val="auto"/>
          <w:highlight w:val="none"/>
        </w:rPr>
        <w:tab/>
      </w:r>
      <w:r>
        <w:rPr>
          <w:color w:val="auto"/>
          <w:highlight w:val="none"/>
        </w:rPr>
        <w:fldChar w:fldCharType="begin"/>
      </w:r>
      <w:r>
        <w:rPr>
          <w:color w:val="auto"/>
          <w:highlight w:val="none"/>
        </w:rPr>
        <w:instrText xml:space="preserve"> PAGEREF _Toc3224 \h </w:instrText>
      </w:r>
      <w:r>
        <w:rPr>
          <w:color w:val="auto"/>
          <w:highlight w:val="none"/>
        </w:rPr>
        <w:fldChar w:fldCharType="separate"/>
      </w:r>
      <w:r>
        <w:rPr>
          <w:color w:val="auto"/>
          <w:highlight w:val="none"/>
        </w:rPr>
        <w:t>9</w:t>
      </w:r>
      <w:r>
        <w:rPr>
          <w:color w:val="auto"/>
          <w:highlight w:val="none"/>
        </w:rPr>
        <w:fldChar w:fldCharType="end"/>
      </w:r>
      <w:r>
        <w:rPr>
          <w:rFonts w:hint="eastAsia" w:ascii="仿宋" w:hAnsi="仿宋" w:eastAsia="仿宋" w:cs="仿宋"/>
          <w:color w:val="auto"/>
          <w:szCs w:val="24"/>
          <w:highlight w:val="none"/>
        </w:rPr>
        <w:fldChar w:fldCharType="end"/>
      </w:r>
    </w:p>
    <w:p w14:paraId="547E27FA">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_Toc350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三、投  标</w:t>
      </w:r>
      <w:r>
        <w:rPr>
          <w:color w:val="auto"/>
          <w:highlight w:val="none"/>
        </w:rPr>
        <w:tab/>
      </w:r>
      <w:r>
        <w:rPr>
          <w:color w:val="auto"/>
          <w:highlight w:val="none"/>
        </w:rPr>
        <w:fldChar w:fldCharType="begin"/>
      </w:r>
      <w:r>
        <w:rPr>
          <w:color w:val="auto"/>
          <w:highlight w:val="none"/>
        </w:rPr>
        <w:instrText xml:space="preserve"> PAGEREF _Toc350 \h </w:instrText>
      </w:r>
      <w:r>
        <w:rPr>
          <w:color w:val="auto"/>
          <w:highlight w:val="none"/>
        </w:rPr>
        <w:fldChar w:fldCharType="separate"/>
      </w:r>
      <w:r>
        <w:rPr>
          <w:color w:val="auto"/>
          <w:highlight w:val="none"/>
        </w:rPr>
        <w:t>10</w:t>
      </w:r>
      <w:r>
        <w:rPr>
          <w:color w:val="auto"/>
          <w:highlight w:val="none"/>
        </w:rPr>
        <w:fldChar w:fldCharType="end"/>
      </w:r>
      <w:r>
        <w:rPr>
          <w:rFonts w:hint="eastAsia" w:ascii="仿宋" w:hAnsi="仿宋" w:eastAsia="仿宋" w:cs="仿宋"/>
          <w:color w:val="auto"/>
          <w:szCs w:val="24"/>
          <w:highlight w:val="none"/>
        </w:rPr>
        <w:fldChar w:fldCharType="end"/>
      </w:r>
    </w:p>
    <w:p w14:paraId="543283A1">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_Toc19658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11</w:t>
      </w:r>
      <w:r>
        <w:rPr>
          <w:rFonts w:hint="eastAsia" w:ascii="仿宋" w:hAnsi="仿宋" w:eastAsia="仿宋" w:cs="仿宋"/>
          <w:color w:val="auto"/>
          <w:szCs w:val="28"/>
          <w:highlight w:val="none"/>
          <w:lang w:val="en-US" w:eastAsia="zh-CN"/>
        </w:rPr>
        <w:t>.</w:t>
      </w:r>
      <w:r>
        <w:rPr>
          <w:rFonts w:hint="eastAsia" w:ascii="仿宋" w:hAnsi="仿宋" w:eastAsia="仿宋" w:cs="仿宋"/>
          <w:color w:val="auto"/>
          <w:szCs w:val="28"/>
          <w:highlight w:val="none"/>
        </w:rPr>
        <w:t>投标文件的编制</w:t>
      </w:r>
      <w:r>
        <w:rPr>
          <w:color w:val="auto"/>
          <w:highlight w:val="none"/>
        </w:rPr>
        <w:tab/>
      </w:r>
      <w:r>
        <w:rPr>
          <w:color w:val="auto"/>
          <w:highlight w:val="none"/>
        </w:rPr>
        <w:fldChar w:fldCharType="begin"/>
      </w:r>
      <w:r>
        <w:rPr>
          <w:color w:val="auto"/>
          <w:highlight w:val="none"/>
        </w:rPr>
        <w:instrText xml:space="preserve"> PAGEREF _Toc19658 \h </w:instrText>
      </w:r>
      <w:r>
        <w:rPr>
          <w:color w:val="auto"/>
          <w:highlight w:val="none"/>
        </w:rPr>
        <w:fldChar w:fldCharType="separate"/>
      </w:r>
      <w:r>
        <w:rPr>
          <w:color w:val="auto"/>
          <w:highlight w:val="none"/>
        </w:rPr>
        <w:t>10</w:t>
      </w:r>
      <w:r>
        <w:rPr>
          <w:color w:val="auto"/>
          <w:highlight w:val="none"/>
        </w:rPr>
        <w:fldChar w:fldCharType="end"/>
      </w:r>
      <w:r>
        <w:rPr>
          <w:rFonts w:hint="eastAsia" w:ascii="仿宋" w:hAnsi="仿宋" w:eastAsia="仿宋" w:cs="仿宋"/>
          <w:color w:val="auto"/>
          <w:szCs w:val="24"/>
          <w:highlight w:val="none"/>
        </w:rPr>
        <w:fldChar w:fldCharType="end"/>
      </w:r>
    </w:p>
    <w:p w14:paraId="12449637">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_Toc31290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12</w:t>
      </w:r>
      <w:r>
        <w:rPr>
          <w:rFonts w:hint="eastAsia" w:ascii="仿宋" w:hAnsi="仿宋" w:eastAsia="仿宋" w:cs="仿宋"/>
          <w:color w:val="auto"/>
          <w:szCs w:val="28"/>
          <w:highlight w:val="none"/>
          <w:lang w:val="en-US" w:eastAsia="zh-CN"/>
        </w:rPr>
        <w:t>.</w:t>
      </w:r>
      <w:r>
        <w:rPr>
          <w:rFonts w:hint="eastAsia" w:ascii="仿宋" w:hAnsi="仿宋" w:eastAsia="仿宋" w:cs="仿宋"/>
          <w:color w:val="auto"/>
          <w:szCs w:val="28"/>
          <w:highlight w:val="none"/>
        </w:rPr>
        <w:t>投标文件计量单位</w:t>
      </w:r>
      <w:r>
        <w:rPr>
          <w:color w:val="auto"/>
          <w:highlight w:val="none"/>
        </w:rPr>
        <w:tab/>
      </w:r>
      <w:r>
        <w:rPr>
          <w:color w:val="auto"/>
          <w:highlight w:val="none"/>
        </w:rPr>
        <w:fldChar w:fldCharType="begin"/>
      </w:r>
      <w:r>
        <w:rPr>
          <w:color w:val="auto"/>
          <w:highlight w:val="none"/>
        </w:rPr>
        <w:instrText xml:space="preserve"> PAGEREF _Toc31290 \h </w:instrText>
      </w:r>
      <w:r>
        <w:rPr>
          <w:color w:val="auto"/>
          <w:highlight w:val="none"/>
        </w:rPr>
        <w:fldChar w:fldCharType="separate"/>
      </w:r>
      <w:r>
        <w:rPr>
          <w:color w:val="auto"/>
          <w:highlight w:val="none"/>
        </w:rPr>
        <w:t>10</w:t>
      </w:r>
      <w:r>
        <w:rPr>
          <w:color w:val="auto"/>
          <w:highlight w:val="none"/>
        </w:rPr>
        <w:fldChar w:fldCharType="end"/>
      </w:r>
      <w:r>
        <w:rPr>
          <w:rFonts w:hint="eastAsia" w:ascii="仿宋" w:hAnsi="仿宋" w:eastAsia="仿宋" w:cs="仿宋"/>
          <w:color w:val="auto"/>
          <w:szCs w:val="24"/>
          <w:highlight w:val="none"/>
        </w:rPr>
        <w:fldChar w:fldCharType="end"/>
      </w:r>
    </w:p>
    <w:p w14:paraId="0612736A">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_Toc23550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13</w:t>
      </w:r>
      <w:r>
        <w:rPr>
          <w:rFonts w:hint="eastAsia" w:ascii="仿宋" w:hAnsi="仿宋" w:eastAsia="仿宋" w:cs="仿宋"/>
          <w:color w:val="auto"/>
          <w:szCs w:val="28"/>
          <w:highlight w:val="none"/>
          <w:lang w:val="en-US" w:eastAsia="zh-CN"/>
        </w:rPr>
        <w:t>.</w:t>
      </w:r>
      <w:r>
        <w:rPr>
          <w:rFonts w:hint="eastAsia" w:ascii="仿宋" w:hAnsi="仿宋" w:eastAsia="仿宋" w:cs="仿宋"/>
          <w:color w:val="auto"/>
          <w:szCs w:val="28"/>
          <w:highlight w:val="none"/>
        </w:rPr>
        <w:t>提供相同品牌产品的不同投标人参加同一合同项下投标的，参加评标、获得中标人推荐资格的认定</w:t>
      </w:r>
      <w:r>
        <w:rPr>
          <w:color w:val="auto"/>
          <w:highlight w:val="none"/>
        </w:rPr>
        <w:tab/>
      </w:r>
      <w:r>
        <w:rPr>
          <w:color w:val="auto"/>
          <w:highlight w:val="none"/>
        </w:rPr>
        <w:fldChar w:fldCharType="begin"/>
      </w:r>
      <w:r>
        <w:rPr>
          <w:color w:val="auto"/>
          <w:highlight w:val="none"/>
        </w:rPr>
        <w:instrText xml:space="preserve"> PAGEREF _Toc23550 \h </w:instrText>
      </w:r>
      <w:r>
        <w:rPr>
          <w:color w:val="auto"/>
          <w:highlight w:val="none"/>
        </w:rPr>
        <w:fldChar w:fldCharType="separate"/>
      </w:r>
      <w:r>
        <w:rPr>
          <w:color w:val="auto"/>
          <w:highlight w:val="none"/>
        </w:rPr>
        <w:t>10</w:t>
      </w:r>
      <w:r>
        <w:rPr>
          <w:color w:val="auto"/>
          <w:highlight w:val="none"/>
        </w:rPr>
        <w:fldChar w:fldCharType="end"/>
      </w:r>
      <w:r>
        <w:rPr>
          <w:rFonts w:hint="eastAsia" w:ascii="仿宋" w:hAnsi="仿宋" w:eastAsia="仿宋" w:cs="仿宋"/>
          <w:color w:val="auto"/>
          <w:szCs w:val="24"/>
          <w:highlight w:val="none"/>
        </w:rPr>
        <w:fldChar w:fldCharType="end"/>
      </w:r>
    </w:p>
    <w:p w14:paraId="3FB609B8">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_Toc27882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14</w:t>
      </w:r>
      <w:r>
        <w:rPr>
          <w:rFonts w:hint="eastAsia" w:ascii="仿宋" w:hAnsi="仿宋" w:eastAsia="仿宋" w:cs="仿宋"/>
          <w:color w:val="auto"/>
          <w:szCs w:val="28"/>
          <w:highlight w:val="none"/>
          <w:lang w:val="en-US" w:eastAsia="zh-CN"/>
        </w:rPr>
        <w:t>.</w:t>
      </w:r>
      <w:r>
        <w:rPr>
          <w:rFonts w:hint="eastAsia" w:ascii="仿宋" w:hAnsi="仿宋" w:eastAsia="仿宋" w:cs="仿宋"/>
          <w:color w:val="auto"/>
          <w:szCs w:val="28"/>
          <w:highlight w:val="none"/>
        </w:rPr>
        <w:t>投标文件的构成</w:t>
      </w:r>
      <w:r>
        <w:rPr>
          <w:color w:val="auto"/>
          <w:highlight w:val="none"/>
        </w:rPr>
        <w:tab/>
      </w:r>
      <w:r>
        <w:rPr>
          <w:color w:val="auto"/>
          <w:highlight w:val="none"/>
        </w:rPr>
        <w:fldChar w:fldCharType="begin"/>
      </w:r>
      <w:r>
        <w:rPr>
          <w:color w:val="auto"/>
          <w:highlight w:val="none"/>
        </w:rPr>
        <w:instrText xml:space="preserve"> PAGEREF _Toc27882 \h </w:instrText>
      </w:r>
      <w:r>
        <w:rPr>
          <w:color w:val="auto"/>
          <w:highlight w:val="none"/>
        </w:rPr>
        <w:fldChar w:fldCharType="separate"/>
      </w:r>
      <w:r>
        <w:rPr>
          <w:color w:val="auto"/>
          <w:highlight w:val="none"/>
        </w:rPr>
        <w:t>10</w:t>
      </w:r>
      <w:r>
        <w:rPr>
          <w:color w:val="auto"/>
          <w:highlight w:val="none"/>
        </w:rPr>
        <w:fldChar w:fldCharType="end"/>
      </w:r>
      <w:r>
        <w:rPr>
          <w:rFonts w:hint="eastAsia" w:ascii="仿宋" w:hAnsi="仿宋" w:eastAsia="仿宋" w:cs="仿宋"/>
          <w:color w:val="auto"/>
          <w:szCs w:val="24"/>
          <w:highlight w:val="none"/>
        </w:rPr>
        <w:fldChar w:fldCharType="end"/>
      </w:r>
    </w:p>
    <w:p w14:paraId="74562D79">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_Toc31277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15</w:t>
      </w:r>
      <w:r>
        <w:rPr>
          <w:rFonts w:hint="eastAsia" w:ascii="仿宋" w:hAnsi="仿宋" w:eastAsia="仿宋" w:cs="仿宋"/>
          <w:color w:val="auto"/>
          <w:szCs w:val="28"/>
          <w:highlight w:val="none"/>
          <w:lang w:val="en-US" w:eastAsia="zh-CN"/>
        </w:rPr>
        <w:t>.</w:t>
      </w:r>
      <w:r>
        <w:rPr>
          <w:rFonts w:hint="eastAsia" w:ascii="仿宋" w:hAnsi="仿宋" w:eastAsia="仿宋" w:cs="仿宋"/>
          <w:color w:val="auto"/>
          <w:szCs w:val="28"/>
          <w:highlight w:val="none"/>
        </w:rPr>
        <w:t>投标报价</w:t>
      </w:r>
      <w:r>
        <w:rPr>
          <w:color w:val="auto"/>
          <w:highlight w:val="none"/>
        </w:rPr>
        <w:tab/>
      </w:r>
      <w:r>
        <w:rPr>
          <w:color w:val="auto"/>
          <w:highlight w:val="none"/>
        </w:rPr>
        <w:fldChar w:fldCharType="begin"/>
      </w:r>
      <w:r>
        <w:rPr>
          <w:color w:val="auto"/>
          <w:highlight w:val="none"/>
        </w:rPr>
        <w:instrText xml:space="preserve"> PAGEREF _Toc31277 \h </w:instrText>
      </w:r>
      <w:r>
        <w:rPr>
          <w:color w:val="auto"/>
          <w:highlight w:val="none"/>
        </w:rPr>
        <w:fldChar w:fldCharType="separate"/>
      </w:r>
      <w:r>
        <w:rPr>
          <w:color w:val="auto"/>
          <w:highlight w:val="none"/>
        </w:rPr>
        <w:t>11</w:t>
      </w:r>
      <w:r>
        <w:rPr>
          <w:color w:val="auto"/>
          <w:highlight w:val="none"/>
        </w:rPr>
        <w:fldChar w:fldCharType="end"/>
      </w:r>
      <w:r>
        <w:rPr>
          <w:rFonts w:hint="eastAsia" w:ascii="仿宋" w:hAnsi="仿宋" w:eastAsia="仿宋" w:cs="仿宋"/>
          <w:color w:val="auto"/>
          <w:szCs w:val="24"/>
          <w:highlight w:val="none"/>
        </w:rPr>
        <w:fldChar w:fldCharType="end"/>
      </w:r>
    </w:p>
    <w:p w14:paraId="46452EB5">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_Toc10820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16</w:t>
      </w:r>
      <w:r>
        <w:rPr>
          <w:rFonts w:hint="eastAsia" w:ascii="仿宋" w:hAnsi="仿宋" w:eastAsia="仿宋" w:cs="仿宋"/>
          <w:color w:val="auto"/>
          <w:szCs w:val="28"/>
          <w:highlight w:val="none"/>
          <w:lang w:val="en-US" w:eastAsia="zh-CN"/>
        </w:rPr>
        <w:t>.</w:t>
      </w:r>
      <w:r>
        <w:rPr>
          <w:rFonts w:hint="eastAsia" w:ascii="仿宋" w:hAnsi="仿宋" w:eastAsia="仿宋" w:cs="仿宋"/>
          <w:color w:val="auto"/>
          <w:szCs w:val="28"/>
          <w:highlight w:val="none"/>
        </w:rPr>
        <w:t>投标保证金</w:t>
      </w:r>
      <w:r>
        <w:rPr>
          <w:color w:val="auto"/>
          <w:highlight w:val="none"/>
        </w:rPr>
        <w:tab/>
      </w:r>
      <w:r>
        <w:rPr>
          <w:color w:val="auto"/>
          <w:highlight w:val="none"/>
        </w:rPr>
        <w:fldChar w:fldCharType="begin"/>
      </w:r>
      <w:r>
        <w:rPr>
          <w:color w:val="auto"/>
          <w:highlight w:val="none"/>
        </w:rPr>
        <w:instrText xml:space="preserve"> PAGEREF _Toc10820 \h </w:instrText>
      </w:r>
      <w:r>
        <w:rPr>
          <w:color w:val="auto"/>
          <w:highlight w:val="none"/>
        </w:rPr>
        <w:fldChar w:fldCharType="separate"/>
      </w:r>
      <w:r>
        <w:rPr>
          <w:color w:val="auto"/>
          <w:highlight w:val="none"/>
        </w:rPr>
        <w:t>11</w:t>
      </w:r>
      <w:r>
        <w:rPr>
          <w:color w:val="auto"/>
          <w:highlight w:val="none"/>
        </w:rPr>
        <w:fldChar w:fldCharType="end"/>
      </w:r>
      <w:r>
        <w:rPr>
          <w:rFonts w:hint="eastAsia" w:ascii="仿宋" w:hAnsi="仿宋" w:eastAsia="仿宋" w:cs="仿宋"/>
          <w:color w:val="auto"/>
          <w:szCs w:val="24"/>
          <w:highlight w:val="none"/>
        </w:rPr>
        <w:fldChar w:fldCharType="end"/>
      </w:r>
    </w:p>
    <w:p w14:paraId="63BAC0B2">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_Toc2701 </w:instrText>
      </w:r>
      <w:r>
        <w:rPr>
          <w:rFonts w:hint="eastAsia" w:ascii="仿宋" w:hAnsi="仿宋" w:eastAsia="仿宋" w:cs="仿宋"/>
          <w:color w:val="auto"/>
          <w:szCs w:val="24"/>
          <w:highlight w:val="none"/>
        </w:rPr>
        <w:fldChar w:fldCharType="separate"/>
      </w:r>
      <w:r>
        <w:rPr>
          <w:rFonts w:hint="eastAsia" w:ascii="仿宋" w:hAnsi="仿宋" w:eastAsia="仿宋" w:cs="仿宋"/>
          <w:bCs/>
          <w:color w:val="auto"/>
          <w:szCs w:val="28"/>
          <w:highlight w:val="none"/>
          <w:lang w:val="en-US" w:eastAsia="zh-CN"/>
        </w:rPr>
        <w:t>17.</w:t>
      </w:r>
      <w:r>
        <w:rPr>
          <w:rFonts w:hint="eastAsia" w:ascii="仿宋" w:hAnsi="仿宋" w:eastAsia="仿宋" w:cs="仿宋"/>
          <w:bCs/>
          <w:color w:val="auto"/>
          <w:szCs w:val="28"/>
          <w:highlight w:val="none"/>
        </w:rPr>
        <w:t>投标文件的规定</w:t>
      </w:r>
      <w:r>
        <w:rPr>
          <w:color w:val="auto"/>
          <w:highlight w:val="none"/>
        </w:rPr>
        <w:tab/>
      </w:r>
      <w:r>
        <w:rPr>
          <w:color w:val="auto"/>
          <w:highlight w:val="none"/>
        </w:rPr>
        <w:fldChar w:fldCharType="begin"/>
      </w:r>
      <w:r>
        <w:rPr>
          <w:color w:val="auto"/>
          <w:highlight w:val="none"/>
        </w:rPr>
        <w:instrText xml:space="preserve"> PAGEREF _Toc2701 \h </w:instrText>
      </w:r>
      <w:r>
        <w:rPr>
          <w:color w:val="auto"/>
          <w:highlight w:val="none"/>
        </w:rPr>
        <w:fldChar w:fldCharType="separate"/>
      </w:r>
      <w:r>
        <w:rPr>
          <w:color w:val="auto"/>
          <w:highlight w:val="none"/>
        </w:rPr>
        <w:t>12</w:t>
      </w:r>
      <w:r>
        <w:rPr>
          <w:color w:val="auto"/>
          <w:highlight w:val="none"/>
        </w:rPr>
        <w:fldChar w:fldCharType="end"/>
      </w:r>
      <w:r>
        <w:rPr>
          <w:rFonts w:hint="eastAsia" w:ascii="仿宋" w:hAnsi="仿宋" w:eastAsia="仿宋" w:cs="仿宋"/>
          <w:color w:val="auto"/>
          <w:szCs w:val="24"/>
          <w:highlight w:val="none"/>
        </w:rPr>
        <w:fldChar w:fldCharType="end"/>
      </w:r>
    </w:p>
    <w:p w14:paraId="0343C1F9">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_Toc28532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1</w:t>
      </w:r>
      <w:r>
        <w:rPr>
          <w:rFonts w:hint="eastAsia" w:ascii="仿宋" w:hAnsi="仿宋" w:eastAsia="仿宋" w:cs="仿宋"/>
          <w:color w:val="auto"/>
          <w:szCs w:val="28"/>
          <w:highlight w:val="none"/>
          <w:lang w:val="en-US" w:eastAsia="zh-CN"/>
        </w:rPr>
        <w:t>8.</w:t>
      </w:r>
      <w:r>
        <w:rPr>
          <w:rFonts w:hint="eastAsia" w:ascii="仿宋" w:hAnsi="仿宋" w:eastAsia="仿宋" w:cs="仿宋"/>
          <w:color w:val="auto"/>
          <w:szCs w:val="28"/>
          <w:highlight w:val="none"/>
        </w:rPr>
        <w:t>投标有效期</w:t>
      </w:r>
      <w:r>
        <w:rPr>
          <w:color w:val="auto"/>
          <w:highlight w:val="none"/>
        </w:rPr>
        <w:tab/>
      </w:r>
      <w:r>
        <w:rPr>
          <w:color w:val="auto"/>
          <w:highlight w:val="none"/>
        </w:rPr>
        <w:fldChar w:fldCharType="begin"/>
      </w:r>
      <w:r>
        <w:rPr>
          <w:color w:val="auto"/>
          <w:highlight w:val="none"/>
        </w:rPr>
        <w:instrText xml:space="preserve"> PAGEREF _Toc28532 \h </w:instrText>
      </w:r>
      <w:r>
        <w:rPr>
          <w:color w:val="auto"/>
          <w:highlight w:val="none"/>
        </w:rPr>
        <w:fldChar w:fldCharType="separate"/>
      </w:r>
      <w:r>
        <w:rPr>
          <w:color w:val="auto"/>
          <w:highlight w:val="none"/>
        </w:rPr>
        <w:t>12</w:t>
      </w:r>
      <w:r>
        <w:rPr>
          <w:color w:val="auto"/>
          <w:highlight w:val="none"/>
        </w:rPr>
        <w:fldChar w:fldCharType="end"/>
      </w:r>
      <w:r>
        <w:rPr>
          <w:rFonts w:hint="eastAsia" w:ascii="仿宋" w:hAnsi="仿宋" w:eastAsia="仿宋" w:cs="仿宋"/>
          <w:color w:val="auto"/>
          <w:szCs w:val="24"/>
          <w:highlight w:val="none"/>
        </w:rPr>
        <w:fldChar w:fldCharType="end"/>
      </w:r>
    </w:p>
    <w:p w14:paraId="09BCF497">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_Toc26920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1</w:t>
      </w:r>
      <w:r>
        <w:rPr>
          <w:rFonts w:hint="eastAsia" w:ascii="仿宋" w:hAnsi="仿宋" w:eastAsia="仿宋" w:cs="仿宋"/>
          <w:color w:val="auto"/>
          <w:szCs w:val="28"/>
          <w:highlight w:val="none"/>
          <w:lang w:val="en-US" w:eastAsia="zh-CN"/>
        </w:rPr>
        <w:t>9.</w:t>
      </w:r>
      <w:r>
        <w:rPr>
          <w:rFonts w:hint="eastAsia" w:ascii="仿宋" w:hAnsi="仿宋" w:eastAsia="仿宋" w:cs="仿宋"/>
          <w:color w:val="auto"/>
          <w:szCs w:val="28"/>
          <w:highlight w:val="none"/>
        </w:rPr>
        <w:t>投标文件的递交</w:t>
      </w:r>
      <w:r>
        <w:rPr>
          <w:color w:val="auto"/>
          <w:highlight w:val="none"/>
        </w:rPr>
        <w:tab/>
      </w:r>
      <w:r>
        <w:rPr>
          <w:color w:val="auto"/>
          <w:highlight w:val="none"/>
        </w:rPr>
        <w:fldChar w:fldCharType="begin"/>
      </w:r>
      <w:r>
        <w:rPr>
          <w:color w:val="auto"/>
          <w:highlight w:val="none"/>
        </w:rPr>
        <w:instrText xml:space="preserve"> PAGEREF _Toc26920 \h </w:instrText>
      </w:r>
      <w:r>
        <w:rPr>
          <w:color w:val="auto"/>
          <w:highlight w:val="none"/>
        </w:rPr>
        <w:fldChar w:fldCharType="separate"/>
      </w:r>
      <w:r>
        <w:rPr>
          <w:color w:val="auto"/>
          <w:highlight w:val="none"/>
        </w:rPr>
        <w:t>13</w:t>
      </w:r>
      <w:r>
        <w:rPr>
          <w:color w:val="auto"/>
          <w:highlight w:val="none"/>
        </w:rPr>
        <w:fldChar w:fldCharType="end"/>
      </w:r>
      <w:r>
        <w:rPr>
          <w:rFonts w:hint="eastAsia" w:ascii="仿宋" w:hAnsi="仿宋" w:eastAsia="仿宋" w:cs="仿宋"/>
          <w:color w:val="auto"/>
          <w:szCs w:val="24"/>
          <w:highlight w:val="none"/>
        </w:rPr>
        <w:fldChar w:fldCharType="end"/>
      </w:r>
    </w:p>
    <w:p w14:paraId="7C1090D6">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_Toc5572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20. 分包的规定</w:t>
      </w:r>
      <w:r>
        <w:rPr>
          <w:color w:val="auto"/>
          <w:highlight w:val="none"/>
        </w:rPr>
        <w:tab/>
      </w:r>
      <w:r>
        <w:rPr>
          <w:color w:val="auto"/>
          <w:highlight w:val="none"/>
        </w:rPr>
        <w:fldChar w:fldCharType="begin"/>
      </w:r>
      <w:r>
        <w:rPr>
          <w:color w:val="auto"/>
          <w:highlight w:val="none"/>
        </w:rPr>
        <w:instrText xml:space="preserve"> PAGEREF _Toc5572 \h </w:instrText>
      </w:r>
      <w:r>
        <w:rPr>
          <w:color w:val="auto"/>
          <w:highlight w:val="none"/>
        </w:rPr>
        <w:fldChar w:fldCharType="separate"/>
      </w:r>
      <w:r>
        <w:rPr>
          <w:color w:val="auto"/>
          <w:highlight w:val="none"/>
        </w:rPr>
        <w:t>13</w:t>
      </w:r>
      <w:r>
        <w:rPr>
          <w:color w:val="auto"/>
          <w:highlight w:val="none"/>
        </w:rPr>
        <w:fldChar w:fldCharType="end"/>
      </w:r>
      <w:r>
        <w:rPr>
          <w:rFonts w:hint="eastAsia" w:ascii="仿宋" w:hAnsi="仿宋" w:eastAsia="仿宋" w:cs="仿宋"/>
          <w:color w:val="auto"/>
          <w:szCs w:val="24"/>
          <w:highlight w:val="none"/>
        </w:rPr>
        <w:fldChar w:fldCharType="end"/>
      </w:r>
    </w:p>
    <w:p w14:paraId="66E8FAF4">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_Toc18936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val="en-US" w:eastAsia="zh-CN"/>
        </w:rPr>
        <w:t>1.</w:t>
      </w:r>
      <w:r>
        <w:rPr>
          <w:rFonts w:hint="eastAsia" w:ascii="仿宋" w:hAnsi="仿宋" w:eastAsia="仿宋" w:cs="仿宋"/>
          <w:color w:val="auto"/>
          <w:szCs w:val="28"/>
          <w:highlight w:val="none"/>
        </w:rPr>
        <w:t>恶意串通等行为的处理及串通投标情形的认定</w:t>
      </w:r>
      <w:r>
        <w:rPr>
          <w:color w:val="auto"/>
          <w:highlight w:val="none"/>
        </w:rPr>
        <w:tab/>
      </w:r>
      <w:r>
        <w:rPr>
          <w:color w:val="auto"/>
          <w:highlight w:val="none"/>
        </w:rPr>
        <w:fldChar w:fldCharType="begin"/>
      </w:r>
      <w:r>
        <w:rPr>
          <w:color w:val="auto"/>
          <w:highlight w:val="none"/>
        </w:rPr>
        <w:instrText xml:space="preserve"> PAGEREF _Toc18936 \h </w:instrText>
      </w:r>
      <w:r>
        <w:rPr>
          <w:color w:val="auto"/>
          <w:highlight w:val="none"/>
        </w:rPr>
        <w:fldChar w:fldCharType="separate"/>
      </w:r>
      <w:r>
        <w:rPr>
          <w:color w:val="auto"/>
          <w:highlight w:val="none"/>
        </w:rPr>
        <w:t>13</w:t>
      </w:r>
      <w:r>
        <w:rPr>
          <w:color w:val="auto"/>
          <w:highlight w:val="none"/>
        </w:rPr>
        <w:fldChar w:fldCharType="end"/>
      </w:r>
      <w:r>
        <w:rPr>
          <w:rFonts w:hint="eastAsia" w:ascii="仿宋" w:hAnsi="仿宋" w:eastAsia="仿宋" w:cs="仿宋"/>
          <w:color w:val="auto"/>
          <w:szCs w:val="24"/>
          <w:highlight w:val="none"/>
        </w:rPr>
        <w:fldChar w:fldCharType="end"/>
      </w:r>
    </w:p>
    <w:p w14:paraId="7F339EE0">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_Toc10675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四、开标</w:t>
      </w:r>
      <w:r>
        <w:rPr>
          <w:color w:val="auto"/>
          <w:highlight w:val="none"/>
        </w:rPr>
        <w:tab/>
      </w:r>
      <w:r>
        <w:rPr>
          <w:color w:val="auto"/>
          <w:highlight w:val="none"/>
        </w:rPr>
        <w:fldChar w:fldCharType="begin"/>
      </w:r>
      <w:r>
        <w:rPr>
          <w:color w:val="auto"/>
          <w:highlight w:val="none"/>
        </w:rPr>
        <w:instrText xml:space="preserve"> PAGEREF _Toc10675 \h </w:instrText>
      </w:r>
      <w:r>
        <w:rPr>
          <w:color w:val="auto"/>
          <w:highlight w:val="none"/>
        </w:rPr>
        <w:fldChar w:fldCharType="separate"/>
      </w:r>
      <w:r>
        <w:rPr>
          <w:color w:val="auto"/>
          <w:highlight w:val="none"/>
        </w:rPr>
        <w:t>14</w:t>
      </w:r>
      <w:r>
        <w:rPr>
          <w:color w:val="auto"/>
          <w:highlight w:val="none"/>
        </w:rPr>
        <w:fldChar w:fldCharType="end"/>
      </w:r>
      <w:r>
        <w:rPr>
          <w:rFonts w:hint="eastAsia" w:ascii="仿宋" w:hAnsi="仿宋" w:eastAsia="仿宋" w:cs="仿宋"/>
          <w:color w:val="auto"/>
          <w:szCs w:val="24"/>
          <w:highlight w:val="none"/>
        </w:rPr>
        <w:fldChar w:fldCharType="end"/>
      </w:r>
    </w:p>
    <w:p w14:paraId="6AF2B46A">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_Toc22057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val="en-US" w:eastAsia="zh-CN"/>
        </w:rPr>
        <w:t>2.</w:t>
      </w:r>
      <w:r>
        <w:rPr>
          <w:rFonts w:hint="eastAsia" w:ascii="仿宋" w:hAnsi="仿宋" w:eastAsia="仿宋" w:cs="仿宋"/>
          <w:color w:val="auto"/>
          <w:szCs w:val="28"/>
          <w:highlight w:val="none"/>
        </w:rPr>
        <w:t>开标</w:t>
      </w:r>
      <w:r>
        <w:rPr>
          <w:color w:val="auto"/>
          <w:highlight w:val="none"/>
        </w:rPr>
        <w:tab/>
      </w:r>
      <w:r>
        <w:rPr>
          <w:color w:val="auto"/>
          <w:highlight w:val="none"/>
        </w:rPr>
        <w:fldChar w:fldCharType="begin"/>
      </w:r>
      <w:r>
        <w:rPr>
          <w:color w:val="auto"/>
          <w:highlight w:val="none"/>
        </w:rPr>
        <w:instrText xml:space="preserve"> PAGEREF _Toc22057 \h </w:instrText>
      </w:r>
      <w:r>
        <w:rPr>
          <w:color w:val="auto"/>
          <w:highlight w:val="none"/>
        </w:rPr>
        <w:fldChar w:fldCharType="separate"/>
      </w:r>
      <w:r>
        <w:rPr>
          <w:color w:val="auto"/>
          <w:highlight w:val="none"/>
        </w:rPr>
        <w:t>14</w:t>
      </w:r>
      <w:r>
        <w:rPr>
          <w:color w:val="auto"/>
          <w:highlight w:val="none"/>
        </w:rPr>
        <w:fldChar w:fldCharType="end"/>
      </w:r>
      <w:r>
        <w:rPr>
          <w:rFonts w:hint="eastAsia" w:ascii="仿宋" w:hAnsi="仿宋" w:eastAsia="仿宋" w:cs="仿宋"/>
          <w:color w:val="auto"/>
          <w:szCs w:val="24"/>
          <w:highlight w:val="none"/>
        </w:rPr>
        <w:fldChar w:fldCharType="end"/>
      </w:r>
    </w:p>
    <w:p w14:paraId="54F7610D">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_Toc27587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lang w:val="en-US" w:eastAsia="zh-CN"/>
        </w:rPr>
        <w:t>五、</w:t>
      </w:r>
      <w:r>
        <w:rPr>
          <w:rFonts w:hint="eastAsia" w:ascii="仿宋" w:hAnsi="仿宋" w:eastAsia="仿宋" w:cs="仿宋"/>
          <w:color w:val="auto"/>
          <w:highlight w:val="none"/>
        </w:rPr>
        <w:t>评标</w:t>
      </w:r>
      <w:r>
        <w:rPr>
          <w:color w:val="auto"/>
          <w:highlight w:val="none"/>
        </w:rPr>
        <w:tab/>
      </w:r>
      <w:r>
        <w:rPr>
          <w:color w:val="auto"/>
          <w:highlight w:val="none"/>
        </w:rPr>
        <w:fldChar w:fldCharType="begin"/>
      </w:r>
      <w:r>
        <w:rPr>
          <w:color w:val="auto"/>
          <w:highlight w:val="none"/>
        </w:rPr>
        <w:instrText xml:space="preserve"> PAGEREF _Toc27587 \h </w:instrText>
      </w:r>
      <w:r>
        <w:rPr>
          <w:color w:val="auto"/>
          <w:highlight w:val="none"/>
        </w:rPr>
        <w:fldChar w:fldCharType="separate"/>
      </w:r>
      <w:r>
        <w:rPr>
          <w:color w:val="auto"/>
          <w:highlight w:val="none"/>
        </w:rPr>
        <w:t>14</w:t>
      </w:r>
      <w:r>
        <w:rPr>
          <w:color w:val="auto"/>
          <w:highlight w:val="none"/>
        </w:rPr>
        <w:fldChar w:fldCharType="end"/>
      </w:r>
      <w:r>
        <w:rPr>
          <w:rFonts w:hint="eastAsia" w:ascii="仿宋" w:hAnsi="仿宋" w:eastAsia="仿宋" w:cs="仿宋"/>
          <w:color w:val="auto"/>
          <w:szCs w:val="24"/>
          <w:highlight w:val="none"/>
        </w:rPr>
        <w:fldChar w:fldCharType="end"/>
      </w:r>
    </w:p>
    <w:p w14:paraId="4AED5EE9">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_Toc8243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val="en-US" w:eastAsia="zh-CN"/>
        </w:rPr>
        <w:t>3.</w:t>
      </w:r>
      <w:r>
        <w:rPr>
          <w:rFonts w:hint="eastAsia" w:ascii="仿宋" w:hAnsi="仿宋" w:eastAsia="仿宋" w:cs="仿宋"/>
          <w:color w:val="auto"/>
          <w:szCs w:val="28"/>
          <w:highlight w:val="none"/>
        </w:rPr>
        <w:t>评标</w:t>
      </w:r>
      <w:r>
        <w:rPr>
          <w:color w:val="auto"/>
          <w:highlight w:val="none"/>
        </w:rPr>
        <w:tab/>
      </w:r>
      <w:r>
        <w:rPr>
          <w:color w:val="auto"/>
          <w:highlight w:val="none"/>
        </w:rPr>
        <w:fldChar w:fldCharType="begin"/>
      </w:r>
      <w:r>
        <w:rPr>
          <w:color w:val="auto"/>
          <w:highlight w:val="none"/>
        </w:rPr>
        <w:instrText xml:space="preserve"> PAGEREF _Toc8243 \h </w:instrText>
      </w:r>
      <w:r>
        <w:rPr>
          <w:color w:val="auto"/>
          <w:highlight w:val="none"/>
        </w:rPr>
        <w:fldChar w:fldCharType="separate"/>
      </w:r>
      <w:r>
        <w:rPr>
          <w:color w:val="auto"/>
          <w:highlight w:val="none"/>
        </w:rPr>
        <w:t>14</w:t>
      </w:r>
      <w:r>
        <w:rPr>
          <w:color w:val="auto"/>
          <w:highlight w:val="none"/>
        </w:rPr>
        <w:fldChar w:fldCharType="end"/>
      </w:r>
      <w:r>
        <w:rPr>
          <w:rFonts w:hint="eastAsia" w:ascii="仿宋" w:hAnsi="仿宋" w:eastAsia="仿宋" w:cs="仿宋"/>
          <w:color w:val="auto"/>
          <w:szCs w:val="24"/>
          <w:highlight w:val="none"/>
        </w:rPr>
        <w:fldChar w:fldCharType="end"/>
      </w:r>
    </w:p>
    <w:p w14:paraId="076B83AC">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_Toc4253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val="en-US" w:eastAsia="zh-CN"/>
        </w:rPr>
        <w:t>4.</w:t>
      </w:r>
      <w:r>
        <w:rPr>
          <w:rFonts w:hint="eastAsia" w:ascii="仿宋" w:hAnsi="仿宋" w:eastAsia="仿宋" w:cs="仿宋"/>
          <w:color w:val="auto"/>
          <w:szCs w:val="28"/>
          <w:highlight w:val="none"/>
        </w:rPr>
        <w:t>评标方法和评标标准</w:t>
      </w:r>
      <w:r>
        <w:rPr>
          <w:color w:val="auto"/>
          <w:highlight w:val="none"/>
        </w:rPr>
        <w:tab/>
      </w:r>
      <w:r>
        <w:rPr>
          <w:color w:val="auto"/>
          <w:highlight w:val="none"/>
        </w:rPr>
        <w:fldChar w:fldCharType="begin"/>
      </w:r>
      <w:r>
        <w:rPr>
          <w:color w:val="auto"/>
          <w:highlight w:val="none"/>
        </w:rPr>
        <w:instrText xml:space="preserve"> PAGEREF _Toc4253 \h </w:instrText>
      </w:r>
      <w:r>
        <w:rPr>
          <w:color w:val="auto"/>
          <w:highlight w:val="none"/>
        </w:rPr>
        <w:fldChar w:fldCharType="separate"/>
      </w:r>
      <w:r>
        <w:rPr>
          <w:color w:val="auto"/>
          <w:highlight w:val="none"/>
        </w:rPr>
        <w:t>17</w:t>
      </w:r>
      <w:r>
        <w:rPr>
          <w:color w:val="auto"/>
          <w:highlight w:val="none"/>
        </w:rPr>
        <w:fldChar w:fldCharType="end"/>
      </w:r>
      <w:r>
        <w:rPr>
          <w:rFonts w:hint="eastAsia" w:ascii="仿宋" w:hAnsi="仿宋" w:eastAsia="仿宋" w:cs="仿宋"/>
          <w:color w:val="auto"/>
          <w:szCs w:val="24"/>
          <w:highlight w:val="none"/>
        </w:rPr>
        <w:fldChar w:fldCharType="end"/>
      </w:r>
    </w:p>
    <w:p w14:paraId="1FCC3CE6">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_Toc3552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六、意外情况的情形和处理</w:t>
      </w:r>
      <w:r>
        <w:rPr>
          <w:color w:val="auto"/>
          <w:highlight w:val="none"/>
        </w:rPr>
        <w:tab/>
      </w:r>
      <w:r>
        <w:rPr>
          <w:color w:val="auto"/>
          <w:highlight w:val="none"/>
        </w:rPr>
        <w:fldChar w:fldCharType="begin"/>
      </w:r>
      <w:r>
        <w:rPr>
          <w:color w:val="auto"/>
          <w:highlight w:val="none"/>
        </w:rPr>
        <w:instrText xml:space="preserve"> PAGEREF _Toc3552 \h </w:instrText>
      </w:r>
      <w:r>
        <w:rPr>
          <w:color w:val="auto"/>
          <w:highlight w:val="none"/>
        </w:rPr>
        <w:fldChar w:fldCharType="separate"/>
      </w:r>
      <w:r>
        <w:rPr>
          <w:color w:val="auto"/>
          <w:highlight w:val="none"/>
        </w:rPr>
        <w:t>17</w:t>
      </w:r>
      <w:r>
        <w:rPr>
          <w:color w:val="auto"/>
          <w:highlight w:val="none"/>
        </w:rPr>
        <w:fldChar w:fldCharType="end"/>
      </w:r>
      <w:r>
        <w:rPr>
          <w:rFonts w:hint="eastAsia" w:ascii="仿宋" w:hAnsi="仿宋" w:eastAsia="仿宋" w:cs="仿宋"/>
          <w:color w:val="auto"/>
          <w:szCs w:val="24"/>
          <w:highlight w:val="none"/>
        </w:rPr>
        <w:fldChar w:fldCharType="end"/>
      </w:r>
    </w:p>
    <w:p w14:paraId="547A675C">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_Toc900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val="en-US" w:eastAsia="zh-CN"/>
        </w:rPr>
        <w:t>5.</w:t>
      </w:r>
      <w:r>
        <w:rPr>
          <w:rFonts w:hint="eastAsia" w:ascii="仿宋" w:hAnsi="仿宋" w:eastAsia="仿宋" w:cs="仿宋"/>
          <w:color w:val="auto"/>
          <w:szCs w:val="28"/>
          <w:highlight w:val="none"/>
        </w:rPr>
        <w:t>意外情况的情形</w:t>
      </w:r>
      <w:r>
        <w:rPr>
          <w:color w:val="auto"/>
          <w:highlight w:val="none"/>
        </w:rPr>
        <w:tab/>
      </w:r>
      <w:r>
        <w:rPr>
          <w:color w:val="auto"/>
          <w:highlight w:val="none"/>
        </w:rPr>
        <w:fldChar w:fldCharType="begin"/>
      </w:r>
      <w:r>
        <w:rPr>
          <w:color w:val="auto"/>
          <w:highlight w:val="none"/>
        </w:rPr>
        <w:instrText xml:space="preserve"> PAGEREF _Toc900 \h </w:instrText>
      </w:r>
      <w:r>
        <w:rPr>
          <w:color w:val="auto"/>
          <w:highlight w:val="none"/>
        </w:rPr>
        <w:fldChar w:fldCharType="separate"/>
      </w:r>
      <w:r>
        <w:rPr>
          <w:color w:val="auto"/>
          <w:highlight w:val="none"/>
        </w:rPr>
        <w:t>17</w:t>
      </w:r>
      <w:r>
        <w:rPr>
          <w:color w:val="auto"/>
          <w:highlight w:val="none"/>
        </w:rPr>
        <w:fldChar w:fldCharType="end"/>
      </w:r>
      <w:r>
        <w:rPr>
          <w:rFonts w:hint="eastAsia" w:ascii="仿宋" w:hAnsi="仿宋" w:eastAsia="仿宋" w:cs="仿宋"/>
          <w:color w:val="auto"/>
          <w:szCs w:val="24"/>
          <w:highlight w:val="none"/>
        </w:rPr>
        <w:fldChar w:fldCharType="end"/>
      </w:r>
    </w:p>
    <w:p w14:paraId="088C87DB">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_Toc3972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val="en-US" w:eastAsia="zh-CN"/>
        </w:rPr>
        <w:t>6.</w:t>
      </w:r>
      <w:r>
        <w:rPr>
          <w:rFonts w:hint="eastAsia" w:ascii="仿宋" w:hAnsi="仿宋" w:eastAsia="仿宋" w:cs="仿宋"/>
          <w:color w:val="auto"/>
          <w:szCs w:val="28"/>
          <w:highlight w:val="none"/>
        </w:rPr>
        <w:t>意外情况的处理</w:t>
      </w:r>
      <w:r>
        <w:rPr>
          <w:color w:val="auto"/>
          <w:highlight w:val="none"/>
        </w:rPr>
        <w:tab/>
      </w:r>
      <w:r>
        <w:rPr>
          <w:color w:val="auto"/>
          <w:highlight w:val="none"/>
        </w:rPr>
        <w:fldChar w:fldCharType="begin"/>
      </w:r>
      <w:r>
        <w:rPr>
          <w:color w:val="auto"/>
          <w:highlight w:val="none"/>
        </w:rPr>
        <w:instrText xml:space="preserve"> PAGEREF _Toc3972 \h </w:instrText>
      </w:r>
      <w:r>
        <w:rPr>
          <w:color w:val="auto"/>
          <w:highlight w:val="none"/>
        </w:rPr>
        <w:fldChar w:fldCharType="separate"/>
      </w:r>
      <w:r>
        <w:rPr>
          <w:color w:val="auto"/>
          <w:highlight w:val="none"/>
        </w:rPr>
        <w:t>17</w:t>
      </w:r>
      <w:r>
        <w:rPr>
          <w:color w:val="auto"/>
          <w:highlight w:val="none"/>
        </w:rPr>
        <w:fldChar w:fldCharType="end"/>
      </w:r>
      <w:r>
        <w:rPr>
          <w:rFonts w:hint="eastAsia" w:ascii="仿宋" w:hAnsi="仿宋" w:eastAsia="仿宋" w:cs="仿宋"/>
          <w:color w:val="auto"/>
          <w:szCs w:val="24"/>
          <w:highlight w:val="none"/>
        </w:rPr>
        <w:fldChar w:fldCharType="end"/>
      </w:r>
    </w:p>
    <w:p w14:paraId="736B54A3">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_Toc17707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_Toc17707 \h </w:instrText>
      </w:r>
      <w:r>
        <w:rPr>
          <w:color w:val="auto"/>
          <w:highlight w:val="none"/>
        </w:rPr>
        <w:fldChar w:fldCharType="separate"/>
      </w:r>
      <w:r>
        <w:rPr>
          <w:color w:val="auto"/>
          <w:highlight w:val="none"/>
        </w:rPr>
        <w:t>18</w:t>
      </w:r>
      <w:r>
        <w:rPr>
          <w:color w:val="auto"/>
          <w:highlight w:val="none"/>
        </w:rPr>
        <w:fldChar w:fldCharType="end"/>
      </w:r>
      <w:r>
        <w:rPr>
          <w:rFonts w:hint="eastAsia" w:ascii="仿宋" w:hAnsi="仿宋" w:eastAsia="仿宋" w:cs="仿宋"/>
          <w:color w:val="auto"/>
          <w:szCs w:val="24"/>
          <w:highlight w:val="none"/>
        </w:rPr>
        <w:fldChar w:fldCharType="end"/>
      </w:r>
    </w:p>
    <w:p w14:paraId="5AED019D">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_Toc30192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val="en-US" w:eastAsia="zh-CN"/>
        </w:rPr>
        <w:t>7.</w:t>
      </w:r>
      <w:r>
        <w:rPr>
          <w:rFonts w:hint="eastAsia" w:ascii="仿宋" w:hAnsi="仿宋" w:eastAsia="仿宋" w:cs="仿宋"/>
          <w:color w:val="auto"/>
          <w:szCs w:val="28"/>
          <w:highlight w:val="none"/>
        </w:rPr>
        <w:t>中标人的确定</w:t>
      </w:r>
      <w:r>
        <w:rPr>
          <w:color w:val="auto"/>
          <w:highlight w:val="none"/>
        </w:rPr>
        <w:tab/>
      </w:r>
      <w:r>
        <w:rPr>
          <w:color w:val="auto"/>
          <w:highlight w:val="none"/>
        </w:rPr>
        <w:fldChar w:fldCharType="begin"/>
      </w:r>
      <w:r>
        <w:rPr>
          <w:color w:val="auto"/>
          <w:highlight w:val="none"/>
        </w:rPr>
        <w:instrText xml:space="preserve"> PAGEREF _Toc30192 \h </w:instrText>
      </w:r>
      <w:r>
        <w:rPr>
          <w:color w:val="auto"/>
          <w:highlight w:val="none"/>
        </w:rPr>
        <w:fldChar w:fldCharType="separate"/>
      </w:r>
      <w:r>
        <w:rPr>
          <w:color w:val="auto"/>
          <w:highlight w:val="none"/>
        </w:rPr>
        <w:t>18</w:t>
      </w:r>
      <w:r>
        <w:rPr>
          <w:color w:val="auto"/>
          <w:highlight w:val="none"/>
        </w:rPr>
        <w:fldChar w:fldCharType="end"/>
      </w:r>
      <w:r>
        <w:rPr>
          <w:rFonts w:hint="eastAsia" w:ascii="仿宋" w:hAnsi="仿宋" w:eastAsia="仿宋" w:cs="仿宋"/>
          <w:color w:val="auto"/>
          <w:szCs w:val="24"/>
          <w:highlight w:val="none"/>
        </w:rPr>
        <w:fldChar w:fldCharType="end"/>
      </w:r>
    </w:p>
    <w:p w14:paraId="1BE0B957">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_Toc4711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val="en-US" w:eastAsia="zh-CN"/>
        </w:rPr>
        <w:t>8.</w:t>
      </w:r>
      <w:r>
        <w:rPr>
          <w:rFonts w:hint="eastAsia" w:ascii="仿宋" w:hAnsi="仿宋" w:eastAsia="仿宋" w:cs="仿宋"/>
          <w:color w:val="auto"/>
          <w:szCs w:val="28"/>
          <w:highlight w:val="none"/>
        </w:rPr>
        <w:t>中标结果公告</w:t>
      </w:r>
      <w:r>
        <w:rPr>
          <w:color w:val="auto"/>
          <w:highlight w:val="none"/>
        </w:rPr>
        <w:tab/>
      </w:r>
      <w:r>
        <w:rPr>
          <w:color w:val="auto"/>
          <w:highlight w:val="none"/>
        </w:rPr>
        <w:fldChar w:fldCharType="begin"/>
      </w:r>
      <w:r>
        <w:rPr>
          <w:color w:val="auto"/>
          <w:highlight w:val="none"/>
        </w:rPr>
        <w:instrText xml:space="preserve"> PAGEREF _Toc4711 \h </w:instrText>
      </w:r>
      <w:r>
        <w:rPr>
          <w:color w:val="auto"/>
          <w:highlight w:val="none"/>
        </w:rPr>
        <w:fldChar w:fldCharType="separate"/>
      </w:r>
      <w:r>
        <w:rPr>
          <w:color w:val="auto"/>
          <w:highlight w:val="none"/>
        </w:rPr>
        <w:t>18</w:t>
      </w:r>
      <w:r>
        <w:rPr>
          <w:color w:val="auto"/>
          <w:highlight w:val="none"/>
        </w:rPr>
        <w:fldChar w:fldCharType="end"/>
      </w:r>
      <w:r>
        <w:rPr>
          <w:rFonts w:hint="eastAsia" w:ascii="仿宋" w:hAnsi="仿宋" w:eastAsia="仿宋" w:cs="仿宋"/>
          <w:color w:val="auto"/>
          <w:szCs w:val="24"/>
          <w:highlight w:val="none"/>
        </w:rPr>
        <w:fldChar w:fldCharType="end"/>
      </w:r>
    </w:p>
    <w:p w14:paraId="7796F039">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_Toc1245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2</w:t>
      </w:r>
      <w:r>
        <w:rPr>
          <w:rFonts w:hint="eastAsia" w:ascii="仿宋" w:hAnsi="仿宋" w:eastAsia="仿宋" w:cs="仿宋"/>
          <w:color w:val="auto"/>
          <w:szCs w:val="28"/>
          <w:highlight w:val="none"/>
          <w:lang w:val="en-US" w:eastAsia="zh-CN"/>
        </w:rPr>
        <w:t>9</w:t>
      </w:r>
      <w:r>
        <w:rPr>
          <w:rFonts w:hint="eastAsia" w:ascii="仿宋" w:hAnsi="仿宋" w:eastAsia="仿宋" w:cs="仿宋"/>
          <w:color w:val="auto"/>
          <w:szCs w:val="28"/>
          <w:highlight w:val="none"/>
        </w:rPr>
        <w:t>.履约保证金</w:t>
      </w:r>
      <w:r>
        <w:rPr>
          <w:color w:val="auto"/>
          <w:highlight w:val="none"/>
        </w:rPr>
        <w:tab/>
      </w:r>
      <w:r>
        <w:rPr>
          <w:color w:val="auto"/>
          <w:highlight w:val="none"/>
        </w:rPr>
        <w:fldChar w:fldCharType="begin"/>
      </w:r>
      <w:r>
        <w:rPr>
          <w:color w:val="auto"/>
          <w:highlight w:val="none"/>
        </w:rPr>
        <w:instrText xml:space="preserve"> PAGEREF _Toc1245 \h </w:instrText>
      </w:r>
      <w:r>
        <w:rPr>
          <w:color w:val="auto"/>
          <w:highlight w:val="none"/>
        </w:rPr>
        <w:fldChar w:fldCharType="separate"/>
      </w:r>
      <w:r>
        <w:rPr>
          <w:color w:val="auto"/>
          <w:highlight w:val="none"/>
        </w:rPr>
        <w:t>18</w:t>
      </w:r>
      <w:r>
        <w:rPr>
          <w:color w:val="auto"/>
          <w:highlight w:val="none"/>
        </w:rPr>
        <w:fldChar w:fldCharType="end"/>
      </w:r>
      <w:r>
        <w:rPr>
          <w:rFonts w:hint="eastAsia" w:ascii="仿宋" w:hAnsi="仿宋" w:eastAsia="仿宋" w:cs="仿宋"/>
          <w:color w:val="auto"/>
          <w:szCs w:val="24"/>
          <w:highlight w:val="none"/>
        </w:rPr>
        <w:fldChar w:fldCharType="end"/>
      </w:r>
    </w:p>
    <w:p w14:paraId="499B48A8">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_Toc6492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lang w:val="en-US" w:eastAsia="zh-CN"/>
        </w:rPr>
        <w:t>30.</w:t>
      </w:r>
      <w:r>
        <w:rPr>
          <w:rFonts w:hint="eastAsia" w:ascii="仿宋" w:hAnsi="仿宋" w:eastAsia="仿宋" w:cs="仿宋"/>
          <w:color w:val="auto"/>
          <w:szCs w:val="28"/>
          <w:highlight w:val="none"/>
        </w:rPr>
        <w:t>签订合同</w:t>
      </w:r>
      <w:r>
        <w:rPr>
          <w:color w:val="auto"/>
          <w:highlight w:val="none"/>
        </w:rPr>
        <w:tab/>
      </w:r>
      <w:r>
        <w:rPr>
          <w:color w:val="auto"/>
          <w:highlight w:val="none"/>
        </w:rPr>
        <w:fldChar w:fldCharType="begin"/>
      </w:r>
      <w:r>
        <w:rPr>
          <w:color w:val="auto"/>
          <w:highlight w:val="none"/>
        </w:rPr>
        <w:instrText xml:space="preserve"> PAGEREF _Toc6492 \h </w:instrText>
      </w:r>
      <w:r>
        <w:rPr>
          <w:color w:val="auto"/>
          <w:highlight w:val="none"/>
        </w:rPr>
        <w:fldChar w:fldCharType="separate"/>
      </w:r>
      <w:r>
        <w:rPr>
          <w:color w:val="auto"/>
          <w:highlight w:val="none"/>
        </w:rPr>
        <w:t>18</w:t>
      </w:r>
      <w:r>
        <w:rPr>
          <w:color w:val="auto"/>
          <w:highlight w:val="none"/>
        </w:rPr>
        <w:fldChar w:fldCharType="end"/>
      </w:r>
      <w:r>
        <w:rPr>
          <w:rFonts w:hint="eastAsia" w:ascii="仿宋" w:hAnsi="仿宋" w:eastAsia="仿宋" w:cs="仿宋"/>
          <w:color w:val="auto"/>
          <w:szCs w:val="24"/>
          <w:highlight w:val="none"/>
        </w:rPr>
        <w:fldChar w:fldCharType="end"/>
      </w:r>
    </w:p>
    <w:p w14:paraId="3183CB98">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_Toc3563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八、询问和质疑</w:t>
      </w:r>
      <w:r>
        <w:rPr>
          <w:color w:val="auto"/>
          <w:highlight w:val="none"/>
        </w:rPr>
        <w:tab/>
      </w:r>
      <w:r>
        <w:rPr>
          <w:color w:val="auto"/>
          <w:highlight w:val="none"/>
        </w:rPr>
        <w:fldChar w:fldCharType="begin"/>
      </w:r>
      <w:r>
        <w:rPr>
          <w:color w:val="auto"/>
          <w:highlight w:val="none"/>
        </w:rPr>
        <w:instrText xml:space="preserve"> PAGEREF _Toc3563 \h </w:instrText>
      </w:r>
      <w:r>
        <w:rPr>
          <w:color w:val="auto"/>
          <w:highlight w:val="none"/>
        </w:rPr>
        <w:fldChar w:fldCharType="separate"/>
      </w:r>
      <w:r>
        <w:rPr>
          <w:color w:val="auto"/>
          <w:highlight w:val="none"/>
        </w:rPr>
        <w:t>19</w:t>
      </w:r>
      <w:r>
        <w:rPr>
          <w:color w:val="auto"/>
          <w:highlight w:val="none"/>
        </w:rPr>
        <w:fldChar w:fldCharType="end"/>
      </w:r>
      <w:r>
        <w:rPr>
          <w:rFonts w:hint="eastAsia" w:ascii="仿宋" w:hAnsi="仿宋" w:eastAsia="仿宋" w:cs="仿宋"/>
          <w:color w:val="auto"/>
          <w:szCs w:val="24"/>
          <w:highlight w:val="none"/>
        </w:rPr>
        <w:fldChar w:fldCharType="end"/>
      </w:r>
    </w:p>
    <w:p w14:paraId="370F957F">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_Toc30989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lang w:val="en-US" w:eastAsia="zh-CN"/>
        </w:rPr>
        <w:t>31.</w:t>
      </w:r>
      <w:r>
        <w:rPr>
          <w:rFonts w:hint="eastAsia" w:ascii="仿宋" w:hAnsi="仿宋" w:eastAsia="仿宋" w:cs="仿宋"/>
          <w:color w:val="auto"/>
          <w:szCs w:val="28"/>
          <w:highlight w:val="none"/>
        </w:rPr>
        <w:t>询问</w:t>
      </w:r>
      <w:r>
        <w:rPr>
          <w:color w:val="auto"/>
          <w:highlight w:val="none"/>
        </w:rPr>
        <w:tab/>
      </w:r>
      <w:r>
        <w:rPr>
          <w:color w:val="auto"/>
          <w:highlight w:val="none"/>
        </w:rPr>
        <w:fldChar w:fldCharType="begin"/>
      </w:r>
      <w:r>
        <w:rPr>
          <w:color w:val="auto"/>
          <w:highlight w:val="none"/>
        </w:rPr>
        <w:instrText xml:space="preserve"> PAGEREF _Toc30989 \h </w:instrText>
      </w:r>
      <w:r>
        <w:rPr>
          <w:color w:val="auto"/>
          <w:highlight w:val="none"/>
        </w:rPr>
        <w:fldChar w:fldCharType="separate"/>
      </w:r>
      <w:r>
        <w:rPr>
          <w:color w:val="auto"/>
          <w:highlight w:val="none"/>
        </w:rPr>
        <w:t>19</w:t>
      </w:r>
      <w:r>
        <w:rPr>
          <w:color w:val="auto"/>
          <w:highlight w:val="none"/>
        </w:rPr>
        <w:fldChar w:fldCharType="end"/>
      </w:r>
      <w:r>
        <w:rPr>
          <w:rFonts w:hint="eastAsia" w:ascii="仿宋" w:hAnsi="仿宋" w:eastAsia="仿宋" w:cs="仿宋"/>
          <w:color w:val="auto"/>
          <w:szCs w:val="24"/>
          <w:highlight w:val="none"/>
        </w:rPr>
        <w:fldChar w:fldCharType="end"/>
      </w:r>
    </w:p>
    <w:p w14:paraId="4E1A909F">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_Toc105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3</w:t>
      </w:r>
      <w:r>
        <w:rPr>
          <w:rFonts w:hint="eastAsia" w:ascii="仿宋" w:hAnsi="仿宋" w:eastAsia="仿宋" w:cs="仿宋"/>
          <w:color w:val="auto"/>
          <w:szCs w:val="28"/>
          <w:highlight w:val="none"/>
          <w:lang w:val="en-US" w:eastAsia="zh-CN"/>
        </w:rPr>
        <w:t>2.</w:t>
      </w:r>
      <w:r>
        <w:rPr>
          <w:rFonts w:hint="eastAsia" w:ascii="仿宋" w:hAnsi="仿宋" w:eastAsia="仿宋" w:cs="仿宋"/>
          <w:color w:val="auto"/>
          <w:szCs w:val="28"/>
          <w:highlight w:val="none"/>
        </w:rPr>
        <w:t>质疑</w:t>
      </w:r>
      <w:r>
        <w:rPr>
          <w:color w:val="auto"/>
          <w:highlight w:val="none"/>
        </w:rPr>
        <w:tab/>
      </w:r>
      <w:r>
        <w:rPr>
          <w:color w:val="auto"/>
          <w:highlight w:val="none"/>
        </w:rPr>
        <w:fldChar w:fldCharType="begin"/>
      </w:r>
      <w:r>
        <w:rPr>
          <w:color w:val="auto"/>
          <w:highlight w:val="none"/>
        </w:rPr>
        <w:instrText xml:space="preserve"> PAGEREF _Toc105 \h </w:instrText>
      </w:r>
      <w:r>
        <w:rPr>
          <w:color w:val="auto"/>
          <w:highlight w:val="none"/>
        </w:rPr>
        <w:fldChar w:fldCharType="separate"/>
      </w:r>
      <w:r>
        <w:rPr>
          <w:color w:val="auto"/>
          <w:highlight w:val="none"/>
        </w:rPr>
        <w:t>19</w:t>
      </w:r>
      <w:r>
        <w:rPr>
          <w:color w:val="auto"/>
          <w:highlight w:val="none"/>
        </w:rPr>
        <w:fldChar w:fldCharType="end"/>
      </w:r>
      <w:r>
        <w:rPr>
          <w:rFonts w:hint="eastAsia" w:ascii="仿宋" w:hAnsi="仿宋" w:eastAsia="仿宋" w:cs="仿宋"/>
          <w:color w:val="auto"/>
          <w:szCs w:val="24"/>
          <w:highlight w:val="none"/>
        </w:rPr>
        <w:fldChar w:fldCharType="end"/>
      </w:r>
    </w:p>
    <w:p w14:paraId="0BAA0CF2">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_Toc26236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九、采购代理服务费</w:t>
      </w:r>
      <w:r>
        <w:rPr>
          <w:color w:val="auto"/>
          <w:highlight w:val="none"/>
        </w:rPr>
        <w:tab/>
      </w:r>
      <w:r>
        <w:rPr>
          <w:color w:val="auto"/>
          <w:highlight w:val="none"/>
        </w:rPr>
        <w:fldChar w:fldCharType="begin"/>
      </w:r>
      <w:r>
        <w:rPr>
          <w:color w:val="auto"/>
          <w:highlight w:val="none"/>
        </w:rPr>
        <w:instrText xml:space="preserve"> PAGEREF _Toc26236 \h </w:instrText>
      </w:r>
      <w:r>
        <w:rPr>
          <w:color w:val="auto"/>
          <w:highlight w:val="none"/>
        </w:rPr>
        <w:fldChar w:fldCharType="separate"/>
      </w:r>
      <w:r>
        <w:rPr>
          <w:color w:val="auto"/>
          <w:highlight w:val="none"/>
        </w:rPr>
        <w:t>20</w:t>
      </w:r>
      <w:r>
        <w:rPr>
          <w:color w:val="auto"/>
          <w:highlight w:val="none"/>
        </w:rPr>
        <w:fldChar w:fldCharType="end"/>
      </w:r>
      <w:r>
        <w:rPr>
          <w:rFonts w:hint="eastAsia" w:ascii="仿宋" w:hAnsi="仿宋" w:eastAsia="仿宋" w:cs="仿宋"/>
          <w:color w:val="auto"/>
          <w:szCs w:val="24"/>
          <w:highlight w:val="none"/>
        </w:rPr>
        <w:fldChar w:fldCharType="end"/>
      </w:r>
    </w:p>
    <w:p w14:paraId="01A61DAC">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_Toc31869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3</w:t>
      </w:r>
      <w:r>
        <w:rPr>
          <w:rFonts w:hint="eastAsia" w:ascii="仿宋" w:hAnsi="仿宋" w:eastAsia="仿宋" w:cs="仿宋"/>
          <w:color w:val="auto"/>
          <w:szCs w:val="28"/>
          <w:highlight w:val="none"/>
          <w:lang w:val="en-US" w:eastAsia="zh-CN"/>
        </w:rPr>
        <w:t>3</w:t>
      </w:r>
      <w:r>
        <w:rPr>
          <w:rFonts w:hint="eastAsia" w:ascii="仿宋" w:hAnsi="仿宋" w:eastAsia="仿宋" w:cs="仿宋"/>
          <w:color w:val="auto"/>
          <w:szCs w:val="28"/>
          <w:highlight w:val="none"/>
        </w:rPr>
        <w:t>.采购代理服务费</w:t>
      </w:r>
      <w:r>
        <w:rPr>
          <w:color w:val="auto"/>
          <w:highlight w:val="none"/>
        </w:rPr>
        <w:tab/>
      </w:r>
      <w:r>
        <w:rPr>
          <w:color w:val="auto"/>
          <w:highlight w:val="none"/>
        </w:rPr>
        <w:fldChar w:fldCharType="begin"/>
      </w:r>
      <w:r>
        <w:rPr>
          <w:color w:val="auto"/>
          <w:highlight w:val="none"/>
        </w:rPr>
        <w:instrText xml:space="preserve"> PAGEREF _Toc31869 \h </w:instrText>
      </w:r>
      <w:r>
        <w:rPr>
          <w:color w:val="auto"/>
          <w:highlight w:val="none"/>
        </w:rPr>
        <w:fldChar w:fldCharType="separate"/>
      </w:r>
      <w:r>
        <w:rPr>
          <w:color w:val="auto"/>
          <w:highlight w:val="none"/>
        </w:rPr>
        <w:t>20</w:t>
      </w:r>
      <w:r>
        <w:rPr>
          <w:color w:val="auto"/>
          <w:highlight w:val="none"/>
        </w:rPr>
        <w:fldChar w:fldCharType="end"/>
      </w:r>
      <w:r>
        <w:rPr>
          <w:rFonts w:hint="eastAsia" w:ascii="仿宋" w:hAnsi="仿宋" w:eastAsia="仿宋" w:cs="仿宋"/>
          <w:color w:val="auto"/>
          <w:szCs w:val="24"/>
          <w:highlight w:val="none"/>
        </w:rPr>
        <w:fldChar w:fldCharType="end"/>
      </w:r>
    </w:p>
    <w:p w14:paraId="38D10B93">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_Toc27581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十、附则</w:t>
      </w:r>
      <w:r>
        <w:rPr>
          <w:color w:val="auto"/>
          <w:highlight w:val="none"/>
        </w:rPr>
        <w:tab/>
      </w:r>
      <w:r>
        <w:rPr>
          <w:color w:val="auto"/>
          <w:highlight w:val="none"/>
        </w:rPr>
        <w:fldChar w:fldCharType="begin"/>
      </w:r>
      <w:r>
        <w:rPr>
          <w:color w:val="auto"/>
          <w:highlight w:val="none"/>
        </w:rPr>
        <w:instrText xml:space="preserve"> PAGEREF _Toc27581 \h </w:instrText>
      </w:r>
      <w:r>
        <w:rPr>
          <w:color w:val="auto"/>
          <w:highlight w:val="none"/>
        </w:rPr>
        <w:fldChar w:fldCharType="separate"/>
      </w:r>
      <w:r>
        <w:rPr>
          <w:color w:val="auto"/>
          <w:highlight w:val="none"/>
        </w:rPr>
        <w:t>20</w:t>
      </w:r>
      <w:r>
        <w:rPr>
          <w:color w:val="auto"/>
          <w:highlight w:val="none"/>
        </w:rPr>
        <w:fldChar w:fldCharType="end"/>
      </w:r>
      <w:r>
        <w:rPr>
          <w:rFonts w:hint="eastAsia" w:ascii="仿宋" w:hAnsi="仿宋" w:eastAsia="仿宋" w:cs="仿宋"/>
          <w:color w:val="auto"/>
          <w:szCs w:val="24"/>
          <w:highlight w:val="none"/>
        </w:rPr>
        <w:fldChar w:fldCharType="end"/>
      </w:r>
    </w:p>
    <w:p w14:paraId="369A4A10">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_Toc11365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3</w:t>
      </w:r>
      <w:r>
        <w:rPr>
          <w:rFonts w:hint="eastAsia" w:ascii="仿宋" w:hAnsi="仿宋" w:eastAsia="仿宋" w:cs="仿宋"/>
          <w:color w:val="auto"/>
          <w:szCs w:val="28"/>
          <w:highlight w:val="none"/>
          <w:lang w:val="en-US" w:eastAsia="zh-CN"/>
        </w:rPr>
        <w:t>4</w:t>
      </w:r>
      <w:r>
        <w:rPr>
          <w:rFonts w:hint="eastAsia" w:ascii="仿宋" w:hAnsi="仿宋" w:eastAsia="仿宋" w:cs="仿宋"/>
          <w:color w:val="auto"/>
          <w:szCs w:val="28"/>
          <w:highlight w:val="none"/>
        </w:rPr>
        <w:t>. 解释权</w:t>
      </w:r>
      <w:r>
        <w:rPr>
          <w:color w:val="auto"/>
          <w:highlight w:val="none"/>
        </w:rPr>
        <w:tab/>
      </w:r>
      <w:r>
        <w:rPr>
          <w:color w:val="auto"/>
          <w:highlight w:val="none"/>
        </w:rPr>
        <w:fldChar w:fldCharType="begin"/>
      </w:r>
      <w:r>
        <w:rPr>
          <w:color w:val="auto"/>
          <w:highlight w:val="none"/>
        </w:rPr>
        <w:instrText xml:space="preserve"> PAGEREF _Toc11365 \h </w:instrText>
      </w:r>
      <w:r>
        <w:rPr>
          <w:color w:val="auto"/>
          <w:highlight w:val="none"/>
        </w:rPr>
        <w:fldChar w:fldCharType="separate"/>
      </w:r>
      <w:r>
        <w:rPr>
          <w:color w:val="auto"/>
          <w:highlight w:val="none"/>
        </w:rPr>
        <w:t>20</w:t>
      </w:r>
      <w:r>
        <w:rPr>
          <w:color w:val="auto"/>
          <w:highlight w:val="none"/>
        </w:rPr>
        <w:fldChar w:fldCharType="end"/>
      </w:r>
      <w:r>
        <w:rPr>
          <w:rFonts w:hint="eastAsia" w:ascii="仿宋" w:hAnsi="仿宋" w:eastAsia="仿宋" w:cs="仿宋"/>
          <w:color w:val="auto"/>
          <w:szCs w:val="24"/>
          <w:highlight w:val="none"/>
        </w:rPr>
        <w:fldChar w:fldCharType="end"/>
      </w:r>
    </w:p>
    <w:p w14:paraId="48439D84">
      <w:pPr>
        <w:pStyle w:val="22"/>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_Toc6310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lang w:val="en-US" w:eastAsia="zh-CN"/>
        </w:rPr>
        <w:t xml:space="preserve">第三章 </w:t>
      </w:r>
      <w:r>
        <w:rPr>
          <w:rFonts w:hint="eastAsia" w:ascii="仿宋" w:hAnsi="仿宋" w:eastAsia="仿宋" w:cs="仿宋"/>
          <w:color w:val="auto"/>
          <w:highlight w:val="none"/>
        </w:rPr>
        <w:t>拟签订的合同文本</w:t>
      </w:r>
      <w:r>
        <w:rPr>
          <w:color w:val="auto"/>
          <w:highlight w:val="none"/>
        </w:rPr>
        <w:tab/>
      </w:r>
      <w:r>
        <w:rPr>
          <w:color w:val="auto"/>
          <w:highlight w:val="none"/>
        </w:rPr>
        <w:fldChar w:fldCharType="begin"/>
      </w:r>
      <w:r>
        <w:rPr>
          <w:color w:val="auto"/>
          <w:highlight w:val="none"/>
        </w:rPr>
        <w:instrText xml:space="preserve"> PAGEREF _Toc6310 \h </w:instrText>
      </w:r>
      <w:r>
        <w:rPr>
          <w:color w:val="auto"/>
          <w:highlight w:val="none"/>
        </w:rPr>
        <w:fldChar w:fldCharType="separate"/>
      </w:r>
      <w:r>
        <w:rPr>
          <w:color w:val="auto"/>
          <w:highlight w:val="none"/>
        </w:rPr>
        <w:t>21</w:t>
      </w:r>
      <w:r>
        <w:rPr>
          <w:color w:val="auto"/>
          <w:highlight w:val="none"/>
        </w:rPr>
        <w:fldChar w:fldCharType="end"/>
      </w:r>
      <w:r>
        <w:rPr>
          <w:rFonts w:hint="eastAsia" w:ascii="仿宋" w:hAnsi="仿宋" w:eastAsia="仿宋" w:cs="仿宋"/>
          <w:color w:val="auto"/>
          <w:szCs w:val="24"/>
          <w:highlight w:val="none"/>
        </w:rPr>
        <w:fldChar w:fldCharType="end"/>
      </w:r>
    </w:p>
    <w:p w14:paraId="1014C8FC">
      <w:pPr>
        <w:pStyle w:val="22"/>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_Toc31975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lang w:val="en-US" w:eastAsia="zh-CN"/>
        </w:rPr>
        <w:t xml:space="preserve">第四章  </w:t>
      </w:r>
      <w:r>
        <w:rPr>
          <w:rFonts w:hint="eastAsia" w:ascii="仿宋" w:hAnsi="仿宋" w:eastAsia="仿宋" w:cs="仿宋"/>
          <w:color w:val="auto"/>
          <w:highlight w:val="none"/>
          <w:lang w:eastAsia="zh-CN"/>
        </w:rPr>
        <w:t>投标文件参考格式</w:t>
      </w:r>
      <w:r>
        <w:rPr>
          <w:color w:val="auto"/>
          <w:highlight w:val="none"/>
        </w:rPr>
        <w:tab/>
      </w:r>
      <w:r>
        <w:rPr>
          <w:color w:val="auto"/>
          <w:highlight w:val="none"/>
        </w:rPr>
        <w:fldChar w:fldCharType="begin"/>
      </w:r>
      <w:r>
        <w:rPr>
          <w:color w:val="auto"/>
          <w:highlight w:val="none"/>
        </w:rPr>
        <w:instrText xml:space="preserve"> PAGEREF _Toc31975 \h </w:instrText>
      </w:r>
      <w:r>
        <w:rPr>
          <w:color w:val="auto"/>
          <w:highlight w:val="none"/>
        </w:rPr>
        <w:fldChar w:fldCharType="separate"/>
      </w:r>
      <w:r>
        <w:rPr>
          <w:color w:val="auto"/>
          <w:highlight w:val="none"/>
        </w:rPr>
        <w:t>25</w:t>
      </w:r>
      <w:r>
        <w:rPr>
          <w:color w:val="auto"/>
          <w:highlight w:val="none"/>
        </w:rPr>
        <w:fldChar w:fldCharType="end"/>
      </w:r>
      <w:r>
        <w:rPr>
          <w:rFonts w:hint="eastAsia" w:ascii="仿宋" w:hAnsi="仿宋" w:eastAsia="仿宋" w:cs="仿宋"/>
          <w:color w:val="auto"/>
          <w:szCs w:val="24"/>
          <w:highlight w:val="none"/>
        </w:rPr>
        <w:fldChar w:fldCharType="end"/>
      </w:r>
    </w:p>
    <w:p w14:paraId="295000E3">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_Toc31238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格式1</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投标书</w:t>
      </w:r>
      <w:r>
        <w:rPr>
          <w:color w:val="auto"/>
          <w:highlight w:val="none"/>
        </w:rPr>
        <w:tab/>
      </w:r>
      <w:r>
        <w:rPr>
          <w:color w:val="auto"/>
          <w:highlight w:val="none"/>
        </w:rPr>
        <w:fldChar w:fldCharType="begin"/>
      </w:r>
      <w:r>
        <w:rPr>
          <w:color w:val="auto"/>
          <w:highlight w:val="none"/>
        </w:rPr>
        <w:instrText xml:space="preserve"> PAGEREF _Toc31238 \h </w:instrText>
      </w:r>
      <w:r>
        <w:rPr>
          <w:color w:val="auto"/>
          <w:highlight w:val="none"/>
        </w:rPr>
        <w:fldChar w:fldCharType="separate"/>
      </w:r>
      <w:r>
        <w:rPr>
          <w:color w:val="auto"/>
          <w:highlight w:val="none"/>
        </w:rPr>
        <w:t>26</w:t>
      </w:r>
      <w:r>
        <w:rPr>
          <w:color w:val="auto"/>
          <w:highlight w:val="none"/>
        </w:rPr>
        <w:fldChar w:fldCharType="end"/>
      </w:r>
      <w:r>
        <w:rPr>
          <w:rFonts w:hint="eastAsia" w:ascii="仿宋" w:hAnsi="仿宋" w:eastAsia="仿宋" w:cs="仿宋"/>
          <w:color w:val="auto"/>
          <w:szCs w:val="24"/>
          <w:highlight w:val="none"/>
        </w:rPr>
        <w:fldChar w:fldCharType="end"/>
      </w:r>
    </w:p>
    <w:p w14:paraId="23E5FA52">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_Toc22065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格式2.开标一览表</w:t>
      </w:r>
      <w:r>
        <w:rPr>
          <w:color w:val="auto"/>
          <w:highlight w:val="none"/>
        </w:rPr>
        <w:tab/>
      </w:r>
      <w:r>
        <w:rPr>
          <w:color w:val="auto"/>
          <w:highlight w:val="none"/>
        </w:rPr>
        <w:fldChar w:fldCharType="begin"/>
      </w:r>
      <w:r>
        <w:rPr>
          <w:color w:val="auto"/>
          <w:highlight w:val="none"/>
        </w:rPr>
        <w:instrText xml:space="preserve"> PAGEREF _Toc22065 \h </w:instrText>
      </w:r>
      <w:r>
        <w:rPr>
          <w:color w:val="auto"/>
          <w:highlight w:val="none"/>
        </w:rPr>
        <w:fldChar w:fldCharType="separate"/>
      </w:r>
      <w:r>
        <w:rPr>
          <w:color w:val="auto"/>
          <w:highlight w:val="none"/>
        </w:rPr>
        <w:t>27</w:t>
      </w:r>
      <w:r>
        <w:rPr>
          <w:color w:val="auto"/>
          <w:highlight w:val="none"/>
        </w:rPr>
        <w:fldChar w:fldCharType="end"/>
      </w:r>
      <w:r>
        <w:rPr>
          <w:rFonts w:hint="eastAsia" w:ascii="仿宋" w:hAnsi="仿宋" w:eastAsia="仿宋" w:cs="仿宋"/>
          <w:color w:val="auto"/>
          <w:szCs w:val="24"/>
          <w:highlight w:val="none"/>
        </w:rPr>
        <w:fldChar w:fldCharType="end"/>
      </w:r>
    </w:p>
    <w:p w14:paraId="4A199501">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_Toc5000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.开标一览明细表</w:t>
      </w:r>
      <w:r>
        <w:rPr>
          <w:color w:val="auto"/>
          <w:highlight w:val="none"/>
        </w:rPr>
        <w:tab/>
      </w:r>
      <w:r>
        <w:rPr>
          <w:color w:val="auto"/>
          <w:highlight w:val="none"/>
        </w:rPr>
        <w:fldChar w:fldCharType="begin"/>
      </w:r>
      <w:r>
        <w:rPr>
          <w:color w:val="auto"/>
          <w:highlight w:val="none"/>
        </w:rPr>
        <w:instrText xml:space="preserve"> PAGEREF _Toc5000 \h </w:instrText>
      </w:r>
      <w:r>
        <w:rPr>
          <w:color w:val="auto"/>
          <w:highlight w:val="none"/>
        </w:rPr>
        <w:fldChar w:fldCharType="separate"/>
      </w:r>
      <w:r>
        <w:rPr>
          <w:color w:val="auto"/>
          <w:highlight w:val="none"/>
        </w:rPr>
        <w:t>28</w:t>
      </w:r>
      <w:r>
        <w:rPr>
          <w:color w:val="auto"/>
          <w:highlight w:val="none"/>
        </w:rPr>
        <w:fldChar w:fldCharType="end"/>
      </w:r>
      <w:r>
        <w:rPr>
          <w:rFonts w:hint="eastAsia" w:ascii="仿宋" w:hAnsi="仿宋" w:eastAsia="仿宋" w:cs="仿宋"/>
          <w:color w:val="auto"/>
          <w:szCs w:val="24"/>
          <w:highlight w:val="none"/>
        </w:rPr>
        <w:fldChar w:fldCharType="end"/>
      </w:r>
    </w:p>
    <w:p w14:paraId="012C42F6">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_Toc16559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.技术需求响应</w:t>
      </w:r>
      <w:r>
        <w:rPr>
          <w:rFonts w:hint="eastAsia" w:ascii="仿宋" w:hAnsi="仿宋" w:eastAsia="仿宋" w:cs="仿宋"/>
          <w:color w:val="auto"/>
          <w:highlight w:val="none"/>
          <w:lang w:val="en-US" w:eastAsia="zh-CN"/>
        </w:rPr>
        <w:t>承诺函</w:t>
      </w:r>
      <w:r>
        <w:rPr>
          <w:color w:val="auto"/>
          <w:highlight w:val="none"/>
        </w:rPr>
        <w:tab/>
      </w:r>
      <w:r>
        <w:rPr>
          <w:color w:val="auto"/>
          <w:highlight w:val="none"/>
        </w:rPr>
        <w:fldChar w:fldCharType="begin"/>
      </w:r>
      <w:r>
        <w:rPr>
          <w:color w:val="auto"/>
          <w:highlight w:val="none"/>
        </w:rPr>
        <w:instrText xml:space="preserve"> PAGEREF _Toc16559 \h </w:instrText>
      </w:r>
      <w:r>
        <w:rPr>
          <w:color w:val="auto"/>
          <w:highlight w:val="none"/>
        </w:rPr>
        <w:fldChar w:fldCharType="separate"/>
      </w:r>
      <w:r>
        <w:rPr>
          <w:color w:val="auto"/>
          <w:highlight w:val="none"/>
        </w:rPr>
        <w:t>29</w:t>
      </w:r>
      <w:r>
        <w:rPr>
          <w:color w:val="auto"/>
          <w:highlight w:val="none"/>
        </w:rPr>
        <w:fldChar w:fldCharType="end"/>
      </w:r>
      <w:r>
        <w:rPr>
          <w:rFonts w:hint="eastAsia" w:ascii="仿宋" w:hAnsi="仿宋" w:eastAsia="仿宋" w:cs="仿宋"/>
          <w:color w:val="auto"/>
          <w:szCs w:val="24"/>
          <w:highlight w:val="none"/>
        </w:rPr>
        <w:fldChar w:fldCharType="end"/>
      </w:r>
    </w:p>
    <w:p w14:paraId="18D40475">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_Toc14758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.商务条件响应</w:t>
      </w:r>
      <w:r>
        <w:rPr>
          <w:rFonts w:hint="eastAsia" w:ascii="仿宋" w:hAnsi="仿宋" w:eastAsia="仿宋" w:cs="仿宋"/>
          <w:color w:val="auto"/>
          <w:highlight w:val="none"/>
          <w:lang w:val="en-US" w:eastAsia="zh-CN"/>
        </w:rPr>
        <w:t>承诺函</w:t>
      </w:r>
      <w:r>
        <w:rPr>
          <w:color w:val="auto"/>
          <w:highlight w:val="none"/>
        </w:rPr>
        <w:tab/>
      </w:r>
      <w:r>
        <w:rPr>
          <w:color w:val="auto"/>
          <w:highlight w:val="none"/>
        </w:rPr>
        <w:fldChar w:fldCharType="begin"/>
      </w:r>
      <w:r>
        <w:rPr>
          <w:color w:val="auto"/>
          <w:highlight w:val="none"/>
        </w:rPr>
        <w:instrText xml:space="preserve"> PAGEREF _Toc14758 \h </w:instrText>
      </w:r>
      <w:r>
        <w:rPr>
          <w:color w:val="auto"/>
          <w:highlight w:val="none"/>
        </w:rPr>
        <w:fldChar w:fldCharType="separate"/>
      </w:r>
      <w:r>
        <w:rPr>
          <w:color w:val="auto"/>
          <w:highlight w:val="none"/>
        </w:rPr>
        <w:t>34</w:t>
      </w:r>
      <w:r>
        <w:rPr>
          <w:color w:val="auto"/>
          <w:highlight w:val="none"/>
        </w:rPr>
        <w:fldChar w:fldCharType="end"/>
      </w:r>
      <w:r>
        <w:rPr>
          <w:rFonts w:hint="eastAsia" w:ascii="仿宋" w:hAnsi="仿宋" w:eastAsia="仿宋" w:cs="仿宋"/>
          <w:color w:val="auto"/>
          <w:szCs w:val="24"/>
          <w:highlight w:val="none"/>
        </w:rPr>
        <w:fldChar w:fldCharType="end"/>
      </w:r>
    </w:p>
    <w:p w14:paraId="3604AAA8">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_Toc32167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投标人应当提交的资格、资信证明文件</w:t>
      </w:r>
      <w:r>
        <w:rPr>
          <w:color w:val="auto"/>
          <w:highlight w:val="none"/>
        </w:rPr>
        <w:tab/>
      </w:r>
      <w:r>
        <w:rPr>
          <w:color w:val="auto"/>
          <w:highlight w:val="none"/>
        </w:rPr>
        <w:fldChar w:fldCharType="begin"/>
      </w:r>
      <w:r>
        <w:rPr>
          <w:color w:val="auto"/>
          <w:highlight w:val="none"/>
        </w:rPr>
        <w:instrText xml:space="preserve"> PAGEREF _Toc32167 \h </w:instrText>
      </w:r>
      <w:r>
        <w:rPr>
          <w:color w:val="auto"/>
          <w:highlight w:val="none"/>
        </w:rPr>
        <w:fldChar w:fldCharType="separate"/>
      </w:r>
      <w:r>
        <w:rPr>
          <w:color w:val="auto"/>
          <w:highlight w:val="none"/>
        </w:rPr>
        <w:t>37</w:t>
      </w:r>
      <w:r>
        <w:rPr>
          <w:color w:val="auto"/>
          <w:highlight w:val="none"/>
        </w:rPr>
        <w:fldChar w:fldCharType="end"/>
      </w:r>
      <w:r>
        <w:rPr>
          <w:rFonts w:hint="eastAsia" w:ascii="仿宋" w:hAnsi="仿宋" w:eastAsia="仿宋" w:cs="仿宋"/>
          <w:color w:val="auto"/>
          <w:szCs w:val="24"/>
          <w:highlight w:val="none"/>
        </w:rPr>
        <w:fldChar w:fldCharType="end"/>
      </w:r>
    </w:p>
    <w:p w14:paraId="46232511">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_Toc21606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lang w:val="en-US" w:eastAsia="zh-CN"/>
        </w:rPr>
        <w:t>6-1江西省政府采购供应商资格信用承诺函</w:t>
      </w:r>
      <w:r>
        <w:rPr>
          <w:color w:val="auto"/>
          <w:highlight w:val="none"/>
        </w:rPr>
        <w:tab/>
      </w:r>
      <w:r>
        <w:rPr>
          <w:color w:val="auto"/>
          <w:highlight w:val="none"/>
        </w:rPr>
        <w:fldChar w:fldCharType="begin"/>
      </w:r>
      <w:r>
        <w:rPr>
          <w:color w:val="auto"/>
          <w:highlight w:val="none"/>
        </w:rPr>
        <w:instrText xml:space="preserve"> PAGEREF _Toc21606 \h </w:instrText>
      </w:r>
      <w:r>
        <w:rPr>
          <w:color w:val="auto"/>
          <w:highlight w:val="none"/>
        </w:rPr>
        <w:fldChar w:fldCharType="separate"/>
      </w:r>
      <w:r>
        <w:rPr>
          <w:color w:val="auto"/>
          <w:highlight w:val="none"/>
        </w:rPr>
        <w:t>38</w:t>
      </w:r>
      <w:r>
        <w:rPr>
          <w:color w:val="auto"/>
          <w:highlight w:val="none"/>
        </w:rPr>
        <w:fldChar w:fldCharType="end"/>
      </w:r>
      <w:r>
        <w:rPr>
          <w:rFonts w:hint="eastAsia" w:ascii="仿宋" w:hAnsi="仿宋" w:eastAsia="仿宋" w:cs="仿宋"/>
          <w:color w:val="auto"/>
          <w:szCs w:val="24"/>
          <w:highlight w:val="none"/>
        </w:rPr>
        <w:fldChar w:fldCharType="end"/>
      </w:r>
    </w:p>
    <w:p w14:paraId="303E307E">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_Toc6550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法定代表人</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或经营者）</w:t>
      </w:r>
      <w:r>
        <w:rPr>
          <w:rFonts w:hint="eastAsia" w:ascii="仿宋" w:hAnsi="仿宋" w:eastAsia="仿宋" w:cs="仿宋"/>
          <w:color w:val="auto"/>
          <w:highlight w:val="none"/>
        </w:rPr>
        <w:t>授权书</w:t>
      </w:r>
      <w:r>
        <w:rPr>
          <w:color w:val="auto"/>
          <w:highlight w:val="none"/>
        </w:rPr>
        <w:tab/>
      </w:r>
      <w:r>
        <w:rPr>
          <w:color w:val="auto"/>
          <w:highlight w:val="none"/>
        </w:rPr>
        <w:fldChar w:fldCharType="begin"/>
      </w:r>
      <w:r>
        <w:rPr>
          <w:color w:val="auto"/>
          <w:highlight w:val="none"/>
        </w:rPr>
        <w:instrText xml:space="preserve"> PAGEREF _Toc6550 \h </w:instrText>
      </w:r>
      <w:r>
        <w:rPr>
          <w:color w:val="auto"/>
          <w:highlight w:val="none"/>
        </w:rPr>
        <w:fldChar w:fldCharType="separate"/>
      </w:r>
      <w:r>
        <w:rPr>
          <w:color w:val="auto"/>
          <w:highlight w:val="none"/>
        </w:rPr>
        <w:t>42</w:t>
      </w:r>
      <w:r>
        <w:rPr>
          <w:color w:val="auto"/>
          <w:highlight w:val="none"/>
        </w:rPr>
        <w:fldChar w:fldCharType="end"/>
      </w:r>
      <w:r>
        <w:rPr>
          <w:rFonts w:hint="eastAsia" w:ascii="仿宋" w:hAnsi="仿宋" w:eastAsia="仿宋" w:cs="仿宋"/>
          <w:color w:val="auto"/>
          <w:szCs w:val="24"/>
          <w:highlight w:val="none"/>
        </w:rPr>
        <w:fldChar w:fldCharType="end"/>
      </w:r>
    </w:p>
    <w:p w14:paraId="2EE09279">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_Toc6315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投标人的资格声明</w:t>
      </w:r>
      <w:r>
        <w:rPr>
          <w:color w:val="auto"/>
          <w:highlight w:val="none"/>
        </w:rPr>
        <w:tab/>
      </w:r>
      <w:r>
        <w:rPr>
          <w:color w:val="auto"/>
          <w:highlight w:val="none"/>
        </w:rPr>
        <w:fldChar w:fldCharType="begin"/>
      </w:r>
      <w:r>
        <w:rPr>
          <w:color w:val="auto"/>
          <w:highlight w:val="none"/>
        </w:rPr>
        <w:instrText xml:space="preserve"> PAGEREF _Toc6315 \h </w:instrText>
      </w:r>
      <w:r>
        <w:rPr>
          <w:color w:val="auto"/>
          <w:highlight w:val="none"/>
        </w:rPr>
        <w:fldChar w:fldCharType="separate"/>
      </w:r>
      <w:r>
        <w:rPr>
          <w:color w:val="auto"/>
          <w:highlight w:val="none"/>
        </w:rPr>
        <w:t>43</w:t>
      </w:r>
      <w:r>
        <w:rPr>
          <w:color w:val="auto"/>
          <w:highlight w:val="none"/>
        </w:rPr>
        <w:fldChar w:fldCharType="end"/>
      </w:r>
      <w:r>
        <w:rPr>
          <w:rFonts w:hint="eastAsia" w:ascii="仿宋" w:hAnsi="仿宋" w:eastAsia="仿宋" w:cs="仿宋"/>
          <w:color w:val="auto"/>
          <w:szCs w:val="24"/>
          <w:highlight w:val="none"/>
        </w:rPr>
        <w:fldChar w:fldCharType="end"/>
      </w:r>
    </w:p>
    <w:p w14:paraId="4A0628AA">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_Toc28331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lang w:val="en-US" w:eastAsia="zh-CN"/>
        </w:rPr>
        <w:t>格式6- 4特定</w:t>
      </w:r>
      <w:r>
        <w:rPr>
          <w:rFonts w:hint="eastAsia" w:ascii="仿宋" w:hAnsi="仿宋" w:eastAsia="仿宋" w:cs="仿宋"/>
          <w:color w:val="auto"/>
          <w:highlight w:val="none"/>
        </w:rPr>
        <w:t>资格证明文件</w:t>
      </w:r>
      <w:r>
        <w:rPr>
          <w:color w:val="auto"/>
          <w:highlight w:val="none"/>
        </w:rPr>
        <w:tab/>
      </w:r>
      <w:r>
        <w:rPr>
          <w:color w:val="auto"/>
          <w:highlight w:val="none"/>
        </w:rPr>
        <w:fldChar w:fldCharType="begin"/>
      </w:r>
      <w:r>
        <w:rPr>
          <w:color w:val="auto"/>
          <w:highlight w:val="none"/>
        </w:rPr>
        <w:instrText xml:space="preserve"> PAGEREF _Toc28331 \h </w:instrText>
      </w:r>
      <w:r>
        <w:rPr>
          <w:color w:val="auto"/>
          <w:highlight w:val="none"/>
        </w:rPr>
        <w:fldChar w:fldCharType="separate"/>
      </w:r>
      <w:r>
        <w:rPr>
          <w:color w:val="auto"/>
          <w:highlight w:val="none"/>
        </w:rPr>
        <w:t>44</w:t>
      </w:r>
      <w:r>
        <w:rPr>
          <w:color w:val="auto"/>
          <w:highlight w:val="none"/>
        </w:rPr>
        <w:fldChar w:fldCharType="end"/>
      </w:r>
      <w:r>
        <w:rPr>
          <w:rFonts w:hint="eastAsia" w:ascii="仿宋" w:hAnsi="仿宋" w:eastAsia="仿宋" w:cs="仿宋"/>
          <w:color w:val="auto"/>
          <w:szCs w:val="24"/>
          <w:highlight w:val="none"/>
        </w:rPr>
        <w:fldChar w:fldCharType="end"/>
      </w:r>
    </w:p>
    <w:p w14:paraId="0310ECB0">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_Toc30049 </w:instrText>
      </w:r>
      <w:r>
        <w:rPr>
          <w:rFonts w:hint="eastAsia" w:ascii="仿宋" w:hAnsi="仿宋" w:eastAsia="仿宋" w:cs="仿宋"/>
          <w:color w:val="auto"/>
          <w:szCs w:val="24"/>
          <w:highlight w:val="none"/>
        </w:rPr>
        <w:fldChar w:fldCharType="separate"/>
      </w:r>
      <w:r>
        <w:rPr>
          <w:rFonts w:hint="eastAsia" w:ascii="仿宋" w:hAnsi="仿宋" w:eastAsia="仿宋" w:cs="仿宋"/>
          <w:bCs w:val="0"/>
          <w:color w:val="auto"/>
          <w:szCs w:val="21"/>
          <w:highlight w:val="none"/>
          <w:lang w:val="en-US" w:eastAsia="zh-CN"/>
        </w:rPr>
        <w:t>7.</w:t>
      </w:r>
      <w:r>
        <w:rPr>
          <w:rFonts w:hint="eastAsia" w:ascii="仿宋" w:hAnsi="仿宋" w:eastAsia="仿宋" w:cs="仿宋"/>
          <w:bCs w:val="0"/>
          <w:color w:val="auto"/>
          <w:szCs w:val="21"/>
          <w:highlight w:val="none"/>
        </w:rPr>
        <w:t>为落实政府采购政策投标人须提供的证明材料</w:t>
      </w:r>
      <w:r>
        <w:rPr>
          <w:color w:val="auto"/>
          <w:highlight w:val="none"/>
        </w:rPr>
        <w:tab/>
      </w:r>
      <w:r>
        <w:rPr>
          <w:color w:val="auto"/>
          <w:highlight w:val="none"/>
        </w:rPr>
        <w:fldChar w:fldCharType="begin"/>
      </w:r>
      <w:r>
        <w:rPr>
          <w:color w:val="auto"/>
          <w:highlight w:val="none"/>
        </w:rPr>
        <w:instrText xml:space="preserve"> PAGEREF _Toc30049 \h </w:instrText>
      </w:r>
      <w:r>
        <w:rPr>
          <w:color w:val="auto"/>
          <w:highlight w:val="none"/>
        </w:rPr>
        <w:fldChar w:fldCharType="separate"/>
      </w:r>
      <w:r>
        <w:rPr>
          <w:color w:val="auto"/>
          <w:highlight w:val="none"/>
        </w:rPr>
        <w:t>45</w:t>
      </w:r>
      <w:r>
        <w:rPr>
          <w:color w:val="auto"/>
          <w:highlight w:val="none"/>
        </w:rPr>
        <w:fldChar w:fldCharType="end"/>
      </w:r>
      <w:r>
        <w:rPr>
          <w:rFonts w:hint="eastAsia" w:ascii="仿宋" w:hAnsi="仿宋" w:eastAsia="仿宋" w:cs="仿宋"/>
          <w:color w:val="auto"/>
          <w:szCs w:val="24"/>
          <w:highlight w:val="none"/>
        </w:rPr>
        <w:fldChar w:fldCharType="end"/>
      </w:r>
    </w:p>
    <w:p w14:paraId="58BB1E6D">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_Toc32715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格式</w:t>
      </w:r>
      <w:r>
        <w:rPr>
          <w:rFonts w:hint="eastAsia" w:ascii="仿宋" w:hAnsi="仿宋" w:eastAsia="仿宋" w:cs="仿宋"/>
          <w:color w:val="auto"/>
          <w:szCs w:val="28"/>
          <w:highlight w:val="none"/>
          <w:lang w:val="en-US" w:eastAsia="zh-CN"/>
        </w:rPr>
        <w:t>7</w:t>
      </w:r>
      <w:r>
        <w:rPr>
          <w:rFonts w:hint="eastAsia" w:ascii="仿宋" w:hAnsi="仿宋" w:eastAsia="仿宋" w:cs="仿宋"/>
          <w:color w:val="auto"/>
          <w:szCs w:val="28"/>
          <w:highlight w:val="none"/>
        </w:rPr>
        <w:t>-1中小企业声明</w:t>
      </w:r>
      <w:r>
        <w:rPr>
          <w:color w:val="auto"/>
          <w:highlight w:val="none"/>
        </w:rPr>
        <w:tab/>
      </w:r>
      <w:r>
        <w:rPr>
          <w:color w:val="auto"/>
          <w:highlight w:val="none"/>
        </w:rPr>
        <w:fldChar w:fldCharType="begin"/>
      </w:r>
      <w:r>
        <w:rPr>
          <w:color w:val="auto"/>
          <w:highlight w:val="none"/>
        </w:rPr>
        <w:instrText xml:space="preserve"> PAGEREF _Toc32715 \h </w:instrText>
      </w:r>
      <w:r>
        <w:rPr>
          <w:color w:val="auto"/>
          <w:highlight w:val="none"/>
        </w:rPr>
        <w:fldChar w:fldCharType="separate"/>
      </w:r>
      <w:r>
        <w:rPr>
          <w:color w:val="auto"/>
          <w:highlight w:val="none"/>
        </w:rPr>
        <w:t>45</w:t>
      </w:r>
      <w:r>
        <w:rPr>
          <w:color w:val="auto"/>
          <w:highlight w:val="none"/>
        </w:rPr>
        <w:fldChar w:fldCharType="end"/>
      </w:r>
      <w:r>
        <w:rPr>
          <w:rFonts w:hint="eastAsia" w:ascii="仿宋" w:hAnsi="仿宋" w:eastAsia="仿宋" w:cs="仿宋"/>
          <w:color w:val="auto"/>
          <w:szCs w:val="24"/>
          <w:highlight w:val="none"/>
        </w:rPr>
        <w:fldChar w:fldCharType="end"/>
      </w:r>
    </w:p>
    <w:p w14:paraId="7C127AB8">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_Toc6872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8"/>
          <w:highlight w:val="none"/>
        </w:rPr>
        <w:t>格式</w:t>
      </w:r>
      <w:r>
        <w:rPr>
          <w:rFonts w:hint="eastAsia" w:ascii="仿宋" w:hAnsi="仿宋" w:eastAsia="仿宋" w:cs="仿宋"/>
          <w:color w:val="auto"/>
          <w:szCs w:val="28"/>
          <w:highlight w:val="none"/>
          <w:lang w:val="en-US" w:eastAsia="zh-CN"/>
        </w:rPr>
        <w:t>7</w:t>
      </w:r>
      <w:r>
        <w:rPr>
          <w:rFonts w:hint="eastAsia" w:ascii="仿宋" w:hAnsi="仿宋" w:eastAsia="仿宋" w:cs="仿宋"/>
          <w:color w:val="auto"/>
          <w:szCs w:val="28"/>
          <w:highlight w:val="none"/>
        </w:rPr>
        <w:t>-2省级以上监狱管理局、戒毒管理局（含新疆生产建设兵团）出具的属于监狱企业证明文件</w:t>
      </w:r>
      <w:r>
        <w:rPr>
          <w:color w:val="auto"/>
          <w:highlight w:val="none"/>
        </w:rPr>
        <w:tab/>
      </w:r>
      <w:r>
        <w:rPr>
          <w:color w:val="auto"/>
          <w:highlight w:val="none"/>
        </w:rPr>
        <w:fldChar w:fldCharType="begin"/>
      </w:r>
      <w:r>
        <w:rPr>
          <w:color w:val="auto"/>
          <w:highlight w:val="none"/>
        </w:rPr>
        <w:instrText xml:space="preserve"> PAGEREF _Toc6872 \h </w:instrText>
      </w:r>
      <w:r>
        <w:rPr>
          <w:color w:val="auto"/>
          <w:highlight w:val="none"/>
        </w:rPr>
        <w:fldChar w:fldCharType="separate"/>
      </w:r>
      <w:r>
        <w:rPr>
          <w:color w:val="auto"/>
          <w:highlight w:val="none"/>
        </w:rPr>
        <w:t>50</w:t>
      </w:r>
      <w:r>
        <w:rPr>
          <w:color w:val="auto"/>
          <w:highlight w:val="none"/>
        </w:rPr>
        <w:fldChar w:fldCharType="end"/>
      </w:r>
      <w:r>
        <w:rPr>
          <w:rFonts w:hint="eastAsia" w:ascii="仿宋" w:hAnsi="仿宋" w:eastAsia="仿宋" w:cs="仿宋"/>
          <w:color w:val="auto"/>
          <w:szCs w:val="24"/>
          <w:highlight w:val="none"/>
        </w:rPr>
        <w:fldChar w:fldCharType="end"/>
      </w:r>
    </w:p>
    <w:p w14:paraId="11A7FD26">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_Toc6403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36"/>
          <w:highlight w:val="none"/>
        </w:rPr>
        <w:t>格式</w:t>
      </w:r>
      <w:r>
        <w:rPr>
          <w:rFonts w:hint="eastAsia" w:ascii="仿宋" w:hAnsi="仿宋" w:eastAsia="仿宋" w:cs="仿宋"/>
          <w:color w:val="auto"/>
          <w:szCs w:val="36"/>
          <w:highlight w:val="none"/>
          <w:lang w:val="en-US" w:eastAsia="zh-CN"/>
        </w:rPr>
        <w:t>7</w:t>
      </w:r>
      <w:r>
        <w:rPr>
          <w:rFonts w:hint="eastAsia" w:ascii="仿宋" w:hAnsi="仿宋" w:eastAsia="仿宋" w:cs="仿宋"/>
          <w:color w:val="auto"/>
          <w:szCs w:val="36"/>
          <w:highlight w:val="none"/>
        </w:rPr>
        <w:t>-3残疾人福利性单位声明函</w:t>
      </w:r>
      <w:r>
        <w:rPr>
          <w:color w:val="auto"/>
          <w:highlight w:val="none"/>
        </w:rPr>
        <w:tab/>
      </w:r>
      <w:r>
        <w:rPr>
          <w:color w:val="auto"/>
          <w:highlight w:val="none"/>
        </w:rPr>
        <w:fldChar w:fldCharType="begin"/>
      </w:r>
      <w:r>
        <w:rPr>
          <w:color w:val="auto"/>
          <w:highlight w:val="none"/>
        </w:rPr>
        <w:instrText xml:space="preserve"> PAGEREF _Toc6403 \h </w:instrText>
      </w:r>
      <w:r>
        <w:rPr>
          <w:color w:val="auto"/>
          <w:highlight w:val="none"/>
        </w:rPr>
        <w:fldChar w:fldCharType="separate"/>
      </w:r>
      <w:r>
        <w:rPr>
          <w:color w:val="auto"/>
          <w:highlight w:val="none"/>
        </w:rPr>
        <w:t>51</w:t>
      </w:r>
      <w:r>
        <w:rPr>
          <w:color w:val="auto"/>
          <w:highlight w:val="none"/>
        </w:rPr>
        <w:fldChar w:fldCharType="end"/>
      </w:r>
      <w:r>
        <w:rPr>
          <w:rFonts w:hint="eastAsia" w:ascii="仿宋" w:hAnsi="仿宋" w:eastAsia="仿宋" w:cs="仿宋"/>
          <w:color w:val="auto"/>
          <w:szCs w:val="24"/>
          <w:highlight w:val="none"/>
        </w:rPr>
        <w:fldChar w:fldCharType="end"/>
      </w:r>
    </w:p>
    <w:p w14:paraId="227746EA">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_Toc30202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-4采购的产品如属于政府强制采购节能产品的，投标文件中必须提供认证证书扫描件或</w:t>
      </w:r>
      <w:r>
        <w:rPr>
          <w:rFonts w:hint="eastAsia" w:ascii="仿宋" w:hAnsi="仿宋" w:eastAsia="仿宋" w:cs="仿宋"/>
          <w:color w:val="auto"/>
          <w:highlight w:val="none"/>
          <w:lang w:val="en-US" w:eastAsia="zh-CN"/>
        </w:rPr>
        <w:t>中国政府采购网</w:t>
      </w:r>
      <w:r>
        <w:rPr>
          <w:rFonts w:hint="eastAsia" w:ascii="仿宋" w:hAnsi="仿宋" w:eastAsia="仿宋" w:cs="仿宋"/>
          <w:color w:val="auto"/>
          <w:highlight w:val="none"/>
        </w:rPr>
        <w:t>截图</w:t>
      </w:r>
      <w:r>
        <w:rPr>
          <w:color w:val="auto"/>
          <w:highlight w:val="none"/>
        </w:rPr>
        <w:tab/>
      </w:r>
      <w:r>
        <w:rPr>
          <w:color w:val="auto"/>
          <w:highlight w:val="none"/>
        </w:rPr>
        <w:fldChar w:fldCharType="begin"/>
      </w:r>
      <w:r>
        <w:rPr>
          <w:color w:val="auto"/>
          <w:highlight w:val="none"/>
        </w:rPr>
        <w:instrText xml:space="preserve"> PAGEREF _Toc30202 \h </w:instrText>
      </w:r>
      <w:r>
        <w:rPr>
          <w:color w:val="auto"/>
          <w:highlight w:val="none"/>
        </w:rPr>
        <w:fldChar w:fldCharType="separate"/>
      </w:r>
      <w:r>
        <w:rPr>
          <w:color w:val="auto"/>
          <w:highlight w:val="none"/>
        </w:rPr>
        <w:t>52</w:t>
      </w:r>
      <w:r>
        <w:rPr>
          <w:color w:val="auto"/>
          <w:highlight w:val="none"/>
        </w:rPr>
        <w:fldChar w:fldCharType="end"/>
      </w:r>
      <w:r>
        <w:rPr>
          <w:rFonts w:hint="eastAsia" w:ascii="仿宋" w:hAnsi="仿宋" w:eastAsia="仿宋" w:cs="仿宋"/>
          <w:color w:val="auto"/>
          <w:szCs w:val="24"/>
          <w:highlight w:val="none"/>
        </w:rPr>
        <w:fldChar w:fldCharType="end"/>
      </w:r>
    </w:p>
    <w:p w14:paraId="3FBEA650">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_Toc18526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36"/>
          <w:highlight w:val="none"/>
          <w:lang w:val="en-US" w:eastAsia="zh-CN"/>
        </w:rPr>
        <w:t>8</w:t>
      </w:r>
      <w:r>
        <w:rPr>
          <w:rFonts w:hint="eastAsia" w:ascii="仿宋" w:hAnsi="仿宋" w:eastAsia="仿宋" w:cs="仿宋"/>
          <w:color w:val="auto"/>
          <w:szCs w:val="36"/>
          <w:highlight w:val="none"/>
        </w:rPr>
        <w:t>.技术文件</w:t>
      </w:r>
      <w:r>
        <w:rPr>
          <w:color w:val="auto"/>
          <w:highlight w:val="none"/>
        </w:rPr>
        <w:tab/>
      </w:r>
      <w:r>
        <w:rPr>
          <w:color w:val="auto"/>
          <w:highlight w:val="none"/>
        </w:rPr>
        <w:fldChar w:fldCharType="begin"/>
      </w:r>
      <w:r>
        <w:rPr>
          <w:color w:val="auto"/>
          <w:highlight w:val="none"/>
        </w:rPr>
        <w:instrText xml:space="preserve"> PAGEREF _Toc18526 \h </w:instrText>
      </w:r>
      <w:r>
        <w:rPr>
          <w:color w:val="auto"/>
          <w:highlight w:val="none"/>
        </w:rPr>
        <w:fldChar w:fldCharType="separate"/>
      </w:r>
      <w:r>
        <w:rPr>
          <w:color w:val="auto"/>
          <w:highlight w:val="none"/>
        </w:rPr>
        <w:t>57</w:t>
      </w:r>
      <w:r>
        <w:rPr>
          <w:color w:val="auto"/>
          <w:highlight w:val="none"/>
        </w:rPr>
        <w:fldChar w:fldCharType="end"/>
      </w:r>
      <w:r>
        <w:rPr>
          <w:rFonts w:hint="eastAsia" w:ascii="仿宋" w:hAnsi="仿宋" w:eastAsia="仿宋" w:cs="仿宋"/>
          <w:color w:val="auto"/>
          <w:szCs w:val="24"/>
          <w:highlight w:val="none"/>
        </w:rPr>
        <w:fldChar w:fldCharType="end"/>
      </w:r>
    </w:p>
    <w:p w14:paraId="4672C6EB">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_Toc1610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36"/>
          <w:highlight w:val="none"/>
          <w:lang w:val="en-US" w:eastAsia="zh-CN"/>
        </w:rPr>
        <w:t>9.</w:t>
      </w:r>
      <w:r>
        <w:rPr>
          <w:rFonts w:hint="eastAsia" w:ascii="仿宋" w:hAnsi="仿宋" w:eastAsia="仿宋" w:cs="仿宋"/>
          <w:color w:val="auto"/>
          <w:szCs w:val="36"/>
          <w:highlight w:val="none"/>
        </w:rPr>
        <w:t>其他资料</w:t>
      </w:r>
      <w:r>
        <w:rPr>
          <w:color w:val="auto"/>
          <w:highlight w:val="none"/>
        </w:rPr>
        <w:tab/>
      </w:r>
      <w:r>
        <w:rPr>
          <w:color w:val="auto"/>
          <w:highlight w:val="none"/>
        </w:rPr>
        <w:fldChar w:fldCharType="begin"/>
      </w:r>
      <w:r>
        <w:rPr>
          <w:color w:val="auto"/>
          <w:highlight w:val="none"/>
        </w:rPr>
        <w:instrText xml:space="preserve"> PAGEREF _Toc1610 \h </w:instrText>
      </w:r>
      <w:r>
        <w:rPr>
          <w:color w:val="auto"/>
          <w:highlight w:val="none"/>
        </w:rPr>
        <w:fldChar w:fldCharType="separate"/>
      </w:r>
      <w:r>
        <w:rPr>
          <w:color w:val="auto"/>
          <w:highlight w:val="none"/>
        </w:rPr>
        <w:t>58</w:t>
      </w:r>
      <w:r>
        <w:rPr>
          <w:color w:val="auto"/>
          <w:highlight w:val="none"/>
        </w:rPr>
        <w:fldChar w:fldCharType="end"/>
      </w:r>
      <w:r>
        <w:rPr>
          <w:rFonts w:hint="eastAsia" w:ascii="仿宋" w:hAnsi="仿宋" w:eastAsia="仿宋" w:cs="仿宋"/>
          <w:color w:val="auto"/>
          <w:szCs w:val="24"/>
          <w:highlight w:val="none"/>
        </w:rPr>
        <w:fldChar w:fldCharType="end"/>
      </w:r>
    </w:p>
    <w:p w14:paraId="442F7D9D">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_Toc6762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24"/>
          <w:highlight w:val="none"/>
        </w:rPr>
        <w:t>格式</w:t>
      </w:r>
      <w:r>
        <w:rPr>
          <w:rFonts w:hint="eastAsia" w:ascii="仿宋" w:hAnsi="仿宋" w:eastAsia="仿宋" w:cs="仿宋"/>
          <w:color w:val="auto"/>
          <w:szCs w:val="24"/>
          <w:highlight w:val="none"/>
          <w:lang w:val="en-US" w:eastAsia="zh-CN"/>
        </w:rPr>
        <w:t>9</w:t>
      </w:r>
      <w:r>
        <w:rPr>
          <w:rFonts w:hint="eastAsia" w:ascii="仿宋" w:hAnsi="仿宋" w:eastAsia="仿宋" w:cs="仿宋"/>
          <w:color w:val="auto"/>
          <w:szCs w:val="24"/>
          <w:highlight w:val="none"/>
        </w:rPr>
        <w:t>-1投标企业情况一览表</w:t>
      </w:r>
      <w:r>
        <w:rPr>
          <w:color w:val="auto"/>
          <w:highlight w:val="none"/>
        </w:rPr>
        <w:tab/>
      </w:r>
      <w:r>
        <w:rPr>
          <w:color w:val="auto"/>
          <w:highlight w:val="none"/>
        </w:rPr>
        <w:fldChar w:fldCharType="begin"/>
      </w:r>
      <w:r>
        <w:rPr>
          <w:color w:val="auto"/>
          <w:highlight w:val="none"/>
        </w:rPr>
        <w:instrText xml:space="preserve"> PAGEREF _Toc6762 \h </w:instrText>
      </w:r>
      <w:r>
        <w:rPr>
          <w:color w:val="auto"/>
          <w:highlight w:val="none"/>
        </w:rPr>
        <w:fldChar w:fldCharType="separate"/>
      </w:r>
      <w:r>
        <w:rPr>
          <w:color w:val="auto"/>
          <w:highlight w:val="none"/>
        </w:rPr>
        <w:t>58</w:t>
      </w:r>
      <w:r>
        <w:rPr>
          <w:color w:val="auto"/>
          <w:highlight w:val="none"/>
        </w:rPr>
        <w:fldChar w:fldCharType="end"/>
      </w:r>
      <w:r>
        <w:rPr>
          <w:rFonts w:hint="eastAsia" w:ascii="仿宋" w:hAnsi="仿宋" w:eastAsia="仿宋" w:cs="仿宋"/>
          <w:color w:val="auto"/>
          <w:szCs w:val="24"/>
          <w:highlight w:val="none"/>
        </w:rPr>
        <w:fldChar w:fldCharType="end"/>
      </w:r>
    </w:p>
    <w:p w14:paraId="44F49B60">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_Toc27858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-2近年完成的类似项目情况表</w:t>
      </w:r>
      <w:r>
        <w:rPr>
          <w:color w:val="auto"/>
          <w:highlight w:val="none"/>
        </w:rPr>
        <w:tab/>
      </w:r>
      <w:r>
        <w:rPr>
          <w:color w:val="auto"/>
          <w:highlight w:val="none"/>
        </w:rPr>
        <w:fldChar w:fldCharType="begin"/>
      </w:r>
      <w:r>
        <w:rPr>
          <w:color w:val="auto"/>
          <w:highlight w:val="none"/>
        </w:rPr>
        <w:instrText xml:space="preserve"> PAGEREF _Toc27858 \h </w:instrText>
      </w:r>
      <w:r>
        <w:rPr>
          <w:color w:val="auto"/>
          <w:highlight w:val="none"/>
        </w:rPr>
        <w:fldChar w:fldCharType="separate"/>
      </w:r>
      <w:r>
        <w:rPr>
          <w:color w:val="auto"/>
          <w:highlight w:val="none"/>
        </w:rPr>
        <w:t>59</w:t>
      </w:r>
      <w:r>
        <w:rPr>
          <w:color w:val="auto"/>
          <w:highlight w:val="none"/>
        </w:rPr>
        <w:fldChar w:fldCharType="end"/>
      </w:r>
      <w:r>
        <w:rPr>
          <w:rFonts w:hint="eastAsia" w:ascii="仿宋" w:hAnsi="仿宋" w:eastAsia="仿宋" w:cs="仿宋"/>
          <w:color w:val="auto"/>
          <w:szCs w:val="24"/>
          <w:highlight w:val="none"/>
        </w:rPr>
        <w:fldChar w:fldCharType="end"/>
      </w:r>
    </w:p>
    <w:p w14:paraId="729636A9">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_Toc8183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lang w:eastAsia="zh-CN"/>
        </w:rPr>
        <w:t>格式</w:t>
      </w:r>
      <w:r>
        <w:rPr>
          <w:rFonts w:hint="eastAsia" w:ascii="仿宋" w:hAnsi="仿宋" w:eastAsia="仿宋" w:cs="仿宋"/>
          <w:color w:val="auto"/>
          <w:highlight w:val="none"/>
          <w:lang w:val="en-US" w:eastAsia="zh-CN"/>
        </w:rPr>
        <w:t>9-3关于及时交纳代理服务费及提供采购合同的承诺函</w:t>
      </w:r>
      <w:r>
        <w:rPr>
          <w:color w:val="auto"/>
          <w:highlight w:val="none"/>
        </w:rPr>
        <w:tab/>
      </w:r>
      <w:r>
        <w:rPr>
          <w:color w:val="auto"/>
          <w:highlight w:val="none"/>
        </w:rPr>
        <w:fldChar w:fldCharType="begin"/>
      </w:r>
      <w:r>
        <w:rPr>
          <w:color w:val="auto"/>
          <w:highlight w:val="none"/>
        </w:rPr>
        <w:instrText xml:space="preserve"> PAGEREF _Toc8183 \h </w:instrText>
      </w:r>
      <w:r>
        <w:rPr>
          <w:color w:val="auto"/>
          <w:highlight w:val="none"/>
        </w:rPr>
        <w:fldChar w:fldCharType="separate"/>
      </w:r>
      <w:r>
        <w:rPr>
          <w:color w:val="auto"/>
          <w:highlight w:val="none"/>
        </w:rPr>
        <w:t>60</w:t>
      </w:r>
      <w:r>
        <w:rPr>
          <w:color w:val="auto"/>
          <w:highlight w:val="none"/>
        </w:rPr>
        <w:fldChar w:fldCharType="end"/>
      </w:r>
      <w:r>
        <w:rPr>
          <w:rFonts w:hint="eastAsia" w:ascii="仿宋" w:hAnsi="仿宋" w:eastAsia="仿宋" w:cs="仿宋"/>
          <w:color w:val="auto"/>
          <w:szCs w:val="24"/>
          <w:highlight w:val="none"/>
        </w:rPr>
        <w:fldChar w:fldCharType="end"/>
      </w:r>
    </w:p>
    <w:p w14:paraId="1EC52179">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_Toc17244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与技术、商务等评审计分有关的资料</w:t>
      </w:r>
      <w:r>
        <w:rPr>
          <w:color w:val="auto"/>
          <w:highlight w:val="none"/>
        </w:rPr>
        <w:tab/>
      </w:r>
      <w:r>
        <w:rPr>
          <w:color w:val="auto"/>
          <w:highlight w:val="none"/>
        </w:rPr>
        <w:fldChar w:fldCharType="begin"/>
      </w:r>
      <w:r>
        <w:rPr>
          <w:color w:val="auto"/>
          <w:highlight w:val="none"/>
        </w:rPr>
        <w:instrText xml:space="preserve"> PAGEREF _Toc17244 \h </w:instrText>
      </w:r>
      <w:r>
        <w:rPr>
          <w:color w:val="auto"/>
          <w:highlight w:val="none"/>
        </w:rPr>
        <w:fldChar w:fldCharType="separate"/>
      </w:r>
      <w:r>
        <w:rPr>
          <w:color w:val="auto"/>
          <w:highlight w:val="none"/>
        </w:rPr>
        <w:t>61</w:t>
      </w:r>
      <w:r>
        <w:rPr>
          <w:color w:val="auto"/>
          <w:highlight w:val="none"/>
        </w:rPr>
        <w:fldChar w:fldCharType="end"/>
      </w:r>
      <w:r>
        <w:rPr>
          <w:rFonts w:hint="eastAsia" w:ascii="仿宋" w:hAnsi="仿宋" w:eastAsia="仿宋" w:cs="仿宋"/>
          <w:color w:val="auto"/>
          <w:szCs w:val="24"/>
          <w:highlight w:val="none"/>
        </w:rPr>
        <w:fldChar w:fldCharType="end"/>
      </w:r>
    </w:p>
    <w:p w14:paraId="40DB73B3">
      <w:pPr>
        <w:pStyle w:val="22"/>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_Toc11999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rPr>
        <w:t>第五章　采购需求表及采购需求</w:t>
      </w:r>
      <w:r>
        <w:rPr>
          <w:color w:val="auto"/>
          <w:highlight w:val="none"/>
        </w:rPr>
        <w:tab/>
      </w:r>
      <w:r>
        <w:rPr>
          <w:color w:val="auto"/>
          <w:highlight w:val="none"/>
        </w:rPr>
        <w:fldChar w:fldCharType="begin"/>
      </w:r>
      <w:r>
        <w:rPr>
          <w:color w:val="auto"/>
          <w:highlight w:val="none"/>
        </w:rPr>
        <w:instrText xml:space="preserve"> PAGEREF _Toc11999 \h </w:instrText>
      </w:r>
      <w:r>
        <w:rPr>
          <w:color w:val="auto"/>
          <w:highlight w:val="none"/>
        </w:rPr>
        <w:fldChar w:fldCharType="separate"/>
      </w:r>
      <w:r>
        <w:rPr>
          <w:color w:val="auto"/>
          <w:highlight w:val="none"/>
        </w:rPr>
        <w:t>62</w:t>
      </w:r>
      <w:r>
        <w:rPr>
          <w:color w:val="auto"/>
          <w:highlight w:val="none"/>
        </w:rPr>
        <w:fldChar w:fldCharType="end"/>
      </w:r>
      <w:r>
        <w:rPr>
          <w:rFonts w:hint="eastAsia" w:ascii="仿宋" w:hAnsi="仿宋" w:eastAsia="仿宋" w:cs="仿宋"/>
          <w:color w:val="auto"/>
          <w:szCs w:val="24"/>
          <w:highlight w:val="none"/>
        </w:rPr>
        <w:fldChar w:fldCharType="end"/>
      </w:r>
    </w:p>
    <w:p w14:paraId="2AA3F281">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_Toc1715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36"/>
          <w:highlight w:val="none"/>
        </w:rPr>
        <w:t>一、采购需求表</w:t>
      </w:r>
      <w:r>
        <w:rPr>
          <w:color w:val="auto"/>
          <w:highlight w:val="none"/>
        </w:rPr>
        <w:tab/>
      </w:r>
      <w:r>
        <w:rPr>
          <w:color w:val="auto"/>
          <w:highlight w:val="none"/>
        </w:rPr>
        <w:fldChar w:fldCharType="begin"/>
      </w:r>
      <w:r>
        <w:rPr>
          <w:color w:val="auto"/>
          <w:highlight w:val="none"/>
        </w:rPr>
        <w:instrText xml:space="preserve"> PAGEREF _Toc1715 \h </w:instrText>
      </w:r>
      <w:r>
        <w:rPr>
          <w:color w:val="auto"/>
          <w:highlight w:val="none"/>
        </w:rPr>
        <w:fldChar w:fldCharType="separate"/>
      </w:r>
      <w:r>
        <w:rPr>
          <w:color w:val="auto"/>
          <w:highlight w:val="none"/>
        </w:rPr>
        <w:t>62</w:t>
      </w:r>
      <w:r>
        <w:rPr>
          <w:color w:val="auto"/>
          <w:highlight w:val="none"/>
        </w:rPr>
        <w:fldChar w:fldCharType="end"/>
      </w:r>
      <w:r>
        <w:rPr>
          <w:rFonts w:hint="eastAsia" w:ascii="仿宋" w:hAnsi="仿宋" w:eastAsia="仿宋" w:cs="仿宋"/>
          <w:color w:val="auto"/>
          <w:szCs w:val="24"/>
          <w:highlight w:val="none"/>
        </w:rPr>
        <w:fldChar w:fldCharType="end"/>
      </w:r>
    </w:p>
    <w:p w14:paraId="1CF0E7C0">
      <w:pPr>
        <w:pStyle w:val="23"/>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_Toc7624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szCs w:val="36"/>
          <w:highlight w:val="none"/>
        </w:rPr>
        <w:t>二、采购需求</w:t>
      </w:r>
      <w:r>
        <w:rPr>
          <w:color w:val="auto"/>
          <w:highlight w:val="none"/>
        </w:rPr>
        <w:tab/>
      </w:r>
      <w:r>
        <w:rPr>
          <w:color w:val="auto"/>
          <w:highlight w:val="none"/>
        </w:rPr>
        <w:fldChar w:fldCharType="begin"/>
      </w:r>
      <w:r>
        <w:rPr>
          <w:color w:val="auto"/>
          <w:highlight w:val="none"/>
        </w:rPr>
        <w:instrText xml:space="preserve"> PAGEREF _Toc7624 \h </w:instrText>
      </w:r>
      <w:r>
        <w:rPr>
          <w:color w:val="auto"/>
          <w:highlight w:val="none"/>
        </w:rPr>
        <w:fldChar w:fldCharType="separate"/>
      </w:r>
      <w:r>
        <w:rPr>
          <w:color w:val="auto"/>
          <w:highlight w:val="none"/>
        </w:rPr>
        <w:t>63</w:t>
      </w:r>
      <w:r>
        <w:rPr>
          <w:color w:val="auto"/>
          <w:highlight w:val="none"/>
        </w:rPr>
        <w:fldChar w:fldCharType="end"/>
      </w:r>
      <w:r>
        <w:rPr>
          <w:rFonts w:hint="eastAsia" w:ascii="仿宋" w:hAnsi="仿宋" w:eastAsia="仿宋" w:cs="仿宋"/>
          <w:color w:val="auto"/>
          <w:szCs w:val="24"/>
          <w:highlight w:val="none"/>
        </w:rPr>
        <w:fldChar w:fldCharType="end"/>
      </w:r>
    </w:p>
    <w:p w14:paraId="2D96F777">
      <w:pPr>
        <w:pStyle w:val="22"/>
        <w:tabs>
          <w:tab w:val="right" w:leader="dot" w:pos="9072"/>
        </w:tabs>
        <w:rPr>
          <w:color w:val="auto"/>
          <w:highlight w:val="none"/>
        </w:rPr>
      </w:pPr>
      <w:r>
        <w:rPr>
          <w:rFonts w:hint="eastAsia" w:ascii="仿宋" w:hAnsi="仿宋" w:eastAsia="仿宋" w:cs="仿宋"/>
          <w:color w:val="auto"/>
          <w:szCs w:val="24"/>
          <w:highlight w:val="none"/>
        </w:rPr>
        <w:fldChar w:fldCharType="begin"/>
      </w:r>
      <w:r>
        <w:rPr>
          <w:rFonts w:hint="eastAsia" w:ascii="仿宋" w:hAnsi="仿宋" w:eastAsia="仿宋" w:cs="仿宋"/>
          <w:color w:val="auto"/>
          <w:szCs w:val="24"/>
          <w:highlight w:val="none"/>
        </w:rPr>
        <w:instrText xml:space="preserve"> HYPERLINK \l _Toc29639 </w:instrText>
      </w:r>
      <w:r>
        <w:rPr>
          <w:rFonts w:hint="eastAsia" w:ascii="仿宋" w:hAnsi="仿宋" w:eastAsia="仿宋" w:cs="仿宋"/>
          <w:color w:val="auto"/>
          <w:szCs w:val="24"/>
          <w:highlight w:val="none"/>
        </w:rPr>
        <w:fldChar w:fldCharType="separate"/>
      </w:r>
      <w:r>
        <w:rPr>
          <w:rFonts w:hint="eastAsia" w:ascii="仿宋" w:hAnsi="仿宋" w:eastAsia="仿宋" w:cs="仿宋"/>
          <w:color w:val="auto"/>
          <w:highlight w:val="none"/>
          <w:lang w:eastAsia="zh-CN"/>
        </w:rPr>
        <w:t>第六章  评标标准</w:t>
      </w:r>
      <w:r>
        <w:rPr>
          <w:color w:val="auto"/>
          <w:highlight w:val="none"/>
        </w:rPr>
        <w:tab/>
      </w:r>
      <w:r>
        <w:rPr>
          <w:color w:val="auto"/>
          <w:highlight w:val="none"/>
        </w:rPr>
        <w:fldChar w:fldCharType="begin"/>
      </w:r>
      <w:r>
        <w:rPr>
          <w:color w:val="auto"/>
          <w:highlight w:val="none"/>
        </w:rPr>
        <w:instrText xml:space="preserve"> PAGEREF _Toc29639 \h </w:instrText>
      </w:r>
      <w:r>
        <w:rPr>
          <w:color w:val="auto"/>
          <w:highlight w:val="none"/>
        </w:rPr>
        <w:fldChar w:fldCharType="separate"/>
      </w:r>
      <w:r>
        <w:rPr>
          <w:color w:val="auto"/>
          <w:highlight w:val="none"/>
        </w:rPr>
        <w:t>70</w:t>
      </w:r>
      <w:r>
        <w:rPr>
          <w:color w:val="auto"/>
          <w:highlight w:val="none"/>
        </w:rPr>
        <w:fldChar w:fldCharType="end"/>
      </w:r>
      <w:r>
        <w:rPr>
          <w:rFonts w:hint="eastAsia" w:ascii="仿宋" w:hAnsi="仿宋" w:eastAsia="仿宋" w:cs="仿宋"/>
          <w:color w:val="auto"/>
          <w:szCs w:val="24"/>
          <w:highlight w:val="none"/>
        </w:rPr>
        <w:fldChar w:fldCharType="end"/>
      </w:r>
    </w:p>
    <w:p w14:paraId="28D0E61F">
      <w:pPr>
        <w:pStyle w:val="3"/>
        <w:pageBreakBefore w:val="0"/>
        <w:widowControl w:val="0"/>
        <w:kinsoku/>
        <w:wordWrap/>
        <w:overflowPunct/>
        <w:topLinePunct w:val="0"/>
        <w:autoSpaceDE/>
        <w:autoSpaceDN/>
        <w:bidi w:val="0"/>
        <w:adjustRightInd/>
        <w:snapToGrid/>
        <w:spacing w:line="0" w:lineRule="atLeast"/>
        <w:jc w:val="center"/>
        <w:textAlignment w:val="auto"/>
        <w:rPr>
          <w:rFonts w:hint="eastAsia" w:ascii="仿宋" w:hAnsi="仿宋" w:eastAsia="仿宋" w:cs="仿宋"/>
          <w:color w:val="auto"/>
          <w:sz w:val="24"/>
          <w:szCs w:val="24"/>
          <w:highlight w:val="none"/>
        </w:rPr>
        <w:sectPr>
          <w:footerReference r:id="rId7" w:type="default"/>
          <w:pgSz w:w="11906" w:h="16838"/>
          <w:pgMar w:top="1247" w:right="1417" w:bottom="1701" w:left="141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r>
        <w:rPr>
          <w:rFonts w:hint="eastAsia" w:ascii="仿宋" w:hAnsi="仿宋" w:eastAsia="仿宋" w:cs="仿宋"/>
          <w:color w:val="auto"/>
          <w:szCs w:val="24"/>
          <w:highlight w:val="none"/>
        </w:rPr>
        <w:fldChar w:fldCharType="end"/>
      </w:r>
      <w:bookmarkStart w:id="4" w:name="_Toc494114849"/>
      <w:bookmarkStart w:id="5" w:name="_Toc20733"/>
      <w:bookmarkStart w:id="6" w:name="_Toc12868"/>
      <w:bookmarkStart w:id="7" w:name="_Toc377117004"/>
      <w:bookmarkStart w:id="8" w:name="_Toc10754"/>
      <w:bookmarkStart w:id="9" w:name="_Toc14310"/>
    </w:p>
    <w:p w14:paraId="71D3BD6F">
      <w:pPr>
        <w:pStyle w:val="3"/>
        <w:numPr>
          <w:ilvl w:val="0"/>
          <w:numId w:val="0"/>
        </w:numPr>
        <w:bidi w:val="0"/>
        <w:jc w:val="center"/>
        <w:rPr>
          <w:rFonts w:hint="eastAsia" w:ascii="仿宋" w:hAnsi="仿宋" w:eastAsia="仿宋" w:cs="仿宋"/>
          <w:color w:val="auto"/>
          <w:highlight w:val="none"/>
          <w:lang w:val="en-US" w:eastAsia="zh-CN"/>
        </w:rPr>
      </w:pPr>
      <w:bookmarkStart w:id="10" w:name="_Toc28598"/>
      <w:r>
        <w:rPr>
          <w:rFonts w:hint="eastAsia" w:ascii="仿宋" w:hAnsi="仿宋" w:eastAsia="仿宋" w:cs="仿宋"/>
          <w:color w:val="auto"/>
          <w:highlight w:val="none"/>
          <w:lang w:val="en-US" w:eastAsia="zh-CN"/>
        </w:rPr>
        <w:t>第一章 投标邀请</w:t>
      </w:r>
      <w:bookmarkEnd w:id="4"/>
      <w:bookmarkEnd w:id="5"/>
      <w:bookmarkEnd w:id="6"/>
      <w:bookmarkEnd w:id="7"/>
      <w:bookmarkEnd w:id="8"/>
      <w:bookmarkEnd w:id="10"/>
    </w:p>
    <w:p w14:paraId="2D0092C1">
      <w:pPr>
        <w:pageBreakBefore w:val="0"/>
        <w:numPr>
          <w:ilvl w:val="0"/>
          <w:numId w:val="0"/>
        </w:numPr>
        <w:tabs>
          <w:tab w:val="left" w:pos="5047"/>
        </w:tabs>
        <w:kinsoku/>
        <w:wordWrap/>
        <w:overflowPunct/>
        <w:topLinePunct w:val="0"/>
        <w:bidi w:val="0"/>
        <w:snapToGrid/>
        <w:spacing w:line="36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b/>
          <w:bCs/>
          <w:color w:val="auto"/>
          <w:sz w:val="24"/>
          <w:szCs w:val="22"/>
          <w:highlight w:val="none"/>
          <w:lang w:val="en-US" w:eastAsia="zh-CN"/>
        </w:rPr>
        <w:t>江西企恒企业管理有限公司关于2026年吉安市中等专业学校教材采购项目（项目编号：赣企恒招〔2026〕-3号）公开招标公告</w:t>
      </w:r>
    </w:p>
    <w:p w14:paraId="5D038E51">
      <w:pPr>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项目概况</w:t>
      </w:r>
      <w:r>
        <w:rPr>
          <w:rFonts w:hint="eastAsia" w:ascii="仿宋" w:hAnsi="仿宋" w:eastAsia="仿宋" w:cs="仿宋"/>
          <w:b w:val="0"/>
          <w:bCs w:val="0"/>
          <w:color w:val="auto"/>
          <w:sz w:val="24"/>
          <w:szCs w:val="24"/>
          <w:highlight w:val="none"/>
          <w:u w:val="none"/>
          <w:lang w:val="en-US" w:eastAsia="zh-CN"/>
        </w:rPr>
        <w:t>（本项目参照政府采购公开招标方式执行）</w:t>
      </w:r>
    </w:p>
    <w:p w14:paraId="53D58FC3">
      <w:pPr>
        <w:pageBreakBefore w:val="0"/>
        <w:pBdr>
          <w:top w:val="single" w:color="auto" w:sz="4" w:space="1"/>
          <w:left w:val="single" w:color="auto" w:sz="4" w:space="4"/>
          <w:bottom w:val="single" w:color="auto" w:sz="4" w:space="1"/>
          <w:right w:val="single" w:color="auto" w:sz="4" w:space="4"/>
        </w:pBdr>
        <w:kinsoku/>
        <w:wordWrap/>
        <w:overflowPunct/>
        <w:topLinePunct w:val="0"/>
        <w:bidi w:val="0"/>
        <w:snapToGrid/>
        <w:spacing w:line="360" w:lineRule="auto"/>
        <w:ind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u w:val="none"/>
          <w:lang w:eastAsia="zh-CN"/>
        </w:rPr>
        <w:t>2026年吉安市中等专业学校教材采购项目</w:t>
      </w:r>
      <w:r>
        <w:rPr>
          <w:rFonts w:hint="eastAsia" w:ascii="仿宋" w:hAnsi="仿宋" w:eastAsia="仿宋" w:cs="仿宋"/>
          <w:color w:val="auto"/>
          <w:sz w:val="24"/>
          <w:szCs w:val="24"/>
          <w:highlight w:val="none"/>
        </w:rPr>
        <w:t>的潜在投标人应在</w:t>
      </w:r>
      <w:r>
        <w:rPr>
          <w:rFonts w:hint="eastAsia" w:ascii="仿宋" w:hAnsi="仿宋" w:eastAsia="仿宋" w:cs="仿宋"/>
          <w:b/>
          <w:bCs/>
          <w:color w:val="auto"/>
          <w:sz w:val="24"/>
          <w:szCs w:val="24"/>
          <w:highlight w:val="none"/>
          <w:u w:val="none"/>
          <w:lang w:val="en-US" w:eastAsia="zh-CN"/>
        </w:rPr>
        <w:t>江西企恒企业管理有限公司</w:t>
      </w:r>
      <w:r>
        <w:rPr>
          <w:rFonts w:hint="eastAsia" w:ascii="仿宋" w:hAnsi="仿宋" w:eastAsia="仿宋" w:cs="仿宋"/>
          <w:color w:val="auto"/>
          <w:sz w:val="24"/>
          <w:szCs w:val="24"/>
          <w:highlight w:val="none"/>
        </w:rPr>
        <w:t>获取招标文件，并于</w:t>
      </w:r>
      <w:r>
        <w:rPr>
          <w:rFonts w:hint="eastAsia" w:ascii="仿宋" w:hAnsi="仿宋" w:eastAsia="仿宋" w:cs="仿宋"/>
          <w:color w:val="auto"/>
          <w:sz w:val="24"/>
          <w:szCs w:val="24"/>
          <w:highlight w:val="none"/>
          <w:lang w:val="en-US" w:eastAsia="zh-CN"/>
        </w:rPr>
        <w:t>2026</w:t>
      </w:r>
      <w:r>
        <w:rPr>
          <w:rFonts w:hint="eastAsia" w:ascii="仿宋" w:hAnsi="仿宋" w:eastAsia="仿宋" w:cs="仿宋"/>
          <w:bCs/>
          <w:color w:val="auto"/>
          <w:sz w:val="24"/>
          <w:szCs w:val="24"/>
          <w:highlight w:val="none"/>
          <w:u w:val="none"/>
        </w:rPr>
        <w:t>年</w:t>
      </w:r>
      <w:r>
        <w:rPr>
          <w:rFonts w:hint="eastAsia" w:ascii="仿宋" w:hAnsi="仿宋" w:eastAsia="仿宋" w:cs="仿宋"/>
          <w:bCs/>
          <w:color w:val="auto"/>
          <w:sz w:val="24"/>
          <w:szCs w:val="24"/>
          <w:highlight w:val="none"/>
          <w:u w:val="none"/>
          <w:lang w:val="en-US" w:eastAsia="zh-CN"/>
        </w:rPr>
        <w:t>7</w:t>
      </w:r>
      <w:r>
        <w:rPr>
          <w:rFonts w:hint="eastAsia" w:ascii="仿宋" w:hAnsi="仿宋" w:eastAsia="仿宋" w:cs="仿宋"/>
          <w:bCs/>
          <w:color w:val="auto"/>
          <w:sz w:val="24"/>
          <w:szCs w:val="24"/>
          <w:highlight w:val="none"/>
          <w:u w:val="none"/>
        </w:rPr>
        <w:t>月</w:t>
      </w:r>
      <w:r>
        <w:rPr>
          <w:rFonts w:hint="eastAsia" w:ascii="仿宋" w:hAnsi="仿宋" w:eastAsia="仿宋" w:cs="仿宋"/>
          <w:bCs/>
          <w:color w:val="auto"/>
          <w:sz w:val="24"/>
          <w:szCs w:val="24"/>
          <w:highlight w:val="none"/>
          <w:u w:val="none"/>
          <w:lang w:val="en-US" w:eastAsia="zh-CN"/>
        </w:rPr>
        <w:t>1</w:t>
      </w:r>
      <w:r>
        <w:rPr>
          <w:rFonts w:hint="eastAsia" w:ascii="仿宋" w:hAnsi="仿宋" w:eastAsia="仿宋" w:cs="仿宋"/>
          <w:bCs/>
          <w:color w:val="auto"/>
          <w:sz w:val="24"/>
          <w:szCs w:val="24"/>
          <w:highlight w:val="none"/>
          <w:u w:val="none"/>
        </w:rPr>
        <w:t>日</w:t>
      </w:r>
      <w:r>
        <w:rPr>
          <w:rFonts w:hint="eastAsia" w:ascii="仿宋" w:hAnsi="仿宋" w:eastAsia="仿宋" w:cs="仿宋"/>
          <w:bCs/>
          <w:color w:val="auto"/>
          <w:sz w:val="24"/>
          <w:szCs w:val="24"/>
          <w:highlight w:val="none"/>
          <w:u w:val="none"/>
          <w:lang w:val="en-US" w:eastAsia="zh-CN"/>
        </w:rPr>
        <w:t>9</w:t>
      </w:r>
      <w:r>
        <w:rPr>
          <w:rFonts w:hint="eastAsia" w:ascii="仿宋" w:hAnsi="仿宋" w:eastAsia="仿宋" w:cs="仿宋"/>
          <w:bCs/>
          <w:color w:val="auto"/>
          <w:sz w:val="24"/>
          <w:szCs w:val="24"/>
          <w:highlight w:val="none"/>
          <w:u w:val="none"/>
        </w:rPr>
        <w:t>点</w:t>
      </w:r>
      <w:r>
        <w:rPr>
          <w:rFonts w:hint="eastAsia" w:ascii="仿宋" w:hAnsi="仿宋" w:eastAsia="仿宋" w:cs="仿宋"/>
          <w:bCs/>
          <w:color w:val="auto"/>
          <w:sz w:val="24"/>
          <w:szCs w:val="24"/>
          <w:highlight w:val="none"/>
          <w:u w:val="none"/>
          <w:lang w:val="en-US" w:eastAsia="zh-CN"/>
        </w:rPr>
        <w:t>30</w:t>
      </w:r>
      <w:r>
        <w:rPr>
          <w:rFonts w:hint="eastAsia" w:ascii="仿宋" w:hAnsi="仿宋" w:eastAsia="仿宋" w:cs="仿宋"/>
          <w:bCs/>
          <w:color w:val="auto"/>
          <w:sz w:val="24"/>
          <w:szCs w:val="24"/>
          <w:highlight w:val="none"/>
          <w:u w:val="none"/>
        </w:rPr>
        <w:t>分（</w:t>
      </w:r>
      <w:r>
        <w:rPr>
          <w:rFonts w:hint="eastAsia" w:ascii="仿宋" w:hAnsi="仿宋" w:eastAsia="仿宋" w:cs="仿宋"/>
          <w:bCs/>
          <w:color w:val="auto"/>
          <w:sz w:val="24"/>
          <w:szCs w:val="24"/>
          <w:highlight w:val="none"/>
        </w:rPr>
        <w:t>北京时间）前递交投标文件</w:t>
      </w:r>
      <w:r>
        <w:rPr>
          <w:rFonts w:hint="eastAsia" w:ascii="仿宋" w:hAnsi="仿宋" w:eastAsia="仿宋" w:cs="仿宋"/>
          <w:color w:val="auto"/>
          <w:sz w:val="24"/>
          <w:szCs w:val="24"/>
          <w:highlight w:val="none"/>
        </w:rPr>
        <w:t>。</w:t>
      </w:r>
    </w:p>
    <w:p w14:paraId="107DB44A">
      <w:pPr>
        <w:pStyle w:val="4"/>
        <w:pageBreakBefore w:val="0"/>
        <w:kinsoku/>
        <w:wordWrap/>
        <w:overflowPunct/>
        <w:topLinePunct w:val="0"/>
        <w:bidi w:val="0"/>
        <w:snapToGrid/>
        <w:spacing w:line="360" w:lineRule="auto"/>
        <w:textAlignment w:val="auto"/>
        <w:rPr>
          <w:rFonts w:hint="eastAsia" w:ascii="仿宋" w:hAnsi="仿宋" w:eastAsia="仿宋" w:cs="仿宋"/>
          <w:color w:val="auto"/>
          <w:highlight w:val="none"/>
        </w:rPr>
      </w:pPr>
      <w:bookmarkStart w:id="11" w:name="_Toc28359002"/>
      <w:bookmarkStart w:id="12" w:name="_Toc9066"/>
      <w:bookmarkStart w:id="13" w:name="_Toc35393790"/>
      <w:bookmarkStart w:id="14" w:name="_Toc8836"/>
      <w:bookmarkStart w:id="15" w:name="_Toc28359079"/>
      <w:bookmarkStart w:id="16" w:name="_Toc15762"/>
      <w:bookmarkStart w:id="17" w:name="_Toc35393621"/>
      <w:bookmarkStart w:id="18" w:name="_Toc5363"/>
      <w:r>
        <w:rPr>
          <w:rFonts w:hint="eastAsia" w:ascii="仿宋" w:hAnsi="仿宋" w:eastAsia="仿宋" w:cs="仿宋"/>
          <w:color w:val="auto"/>
          <w:highlight w:val="none"/>
        </w:rPr>
        <w:t>一、项目基本情况</w:t>
      </w:r>
      <w:bookmarkEnd w:id="11"/>
      <w:bookmarkEnd w:id="12"/>
      <w:bookmarkEnd w:id="13"/>
      <w:bookmarkEnd w:id="14"/>
      <w:bookmarkEnd w:id="15"/>
      <w:bookmarkEnd w:id="16"/>
      <w:bookmarkEnd w:id="17"/>
      <w:bookmarkEnd w:id="18"/>
    </w:p>
    <w:p w14:paraId="6AE5E2C7">
      <w:pPr>
        <w:pageBreakBefore w:val="0"/>
        <w:widowControl w:val="0"/>
        <w:kinsoku/>
        <w:wordWrap/>
        <w:overflowPunct/>
        <w:topLinePunct w:val="0"/>
        <w:bidi w:val="0"/>
        <w:snapToGrid/>
        <w:spacing w:line="360" w:lineRule="auto"/>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项目编号：</w:t>
      </w:r>
      <w:r>
        <w:rPr>
          <w:rFonts w:hint="eastAsia" w:ascii="仿宋" w:hAnsi="仿宋" w:eastAsia="仿宋" w:cs="仿宋"/>
          <w:color w:val="auto"/>
          <w:sz w:val="24"/>
          <w:szCs w:val="24"/>
          <w:highlight w:val="none"/>
          <w:lang w:eastAsia="zh-CN"/>
        </w:rPr>
        <w:t>赣企恒招〔2026〕-3号</w:t>
      </w:r>
    </w:p>
    <w:p w14:paraId="3E940482">
      <w:pPr>
        <w:pageBreakBefore w:val="0"/>
        <w:widowControl w:val="0"/>
        <w:kinsoku/>
        <w:wordWrap/>
        <w:overflowPunct/>
        <w:topLinePunct w:val="0"/>
        <w:bidi w:val="0"/>
        <w:snapToGrid/>
        <w:spacing w:line="360" w:lineRule="auto"/>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2026年吉安市中等专业学校教材采购项目</w:t>
      </w:r>
    </w:p>
    <w:p w14:paraId="4FBEF657">
      <w:pPr>
        <w:pageBreakBefore w:val="0"/>
        <w:widowControl w:val="0"/>
        <w:kinsoku/>
        <w:wordWrap/>
        <w:overflowPunct/>
        <w:topLinePunct w:val="0"/>
        <w:bidi w:val="0"/>
        <w:snapToGrid/>
        <w:spacing w:line="360" w:lineRule="auto"/>
        <w:ind w:firstLine="482" w:firstLineChars="200"/>
        <w:textAlignment w:val="auto"/>
        <w:outlineLvl w:val="9"/>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采购预算金额</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200万元/年(本项目按折扣报价)</w:t>
      </w:r>
    </w:p>
    <w:p w14:paraId="0D9501F2">
      <w:pPr>
        <w:pageBreakBefore w:val="0"/>
        <w:widowControl w:val="0"/>
        <w:kinsoku/>
        <w:wordWrap/>
        <w:overflowPunct/>
        <w:topLinePunct w:val="0"/>
        <w:bidi w:val="0"/>
        <w:snapToGrid/>
        <w:spacing w:line="360" w:lineRule="auto"/>
        <w:ind w:firstLine="482" w:firstLineChars="200"/>
        <w:textAlignment w:val="auto"/>
        <w:outlineLvl w:val="9"/>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最高限价：折扣≤80%</w:t>
      </w:r>
    </w:p>
    <w:p w14:paraId="4DD74A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采购需求：</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5"/>
        <w:gridCol w:w="801"/>
        <w:gridCol w:w="803"/>
        <w:gridCol w:w="1918"/>
        <w:gridCol w:w="2307"/>
      </w:tblGrid>
      <w:tr w14:paraId="5A1C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1860" w:type="pct"/>
            <w:noWrap w:val="0"/>
            <w:vAlign w:val="center"/>
          </w:tcPr>
          <w:p w14:paraId="54CD4C4D">
            <w:pPr>
              <w:keepNext w:val="0"/>
              <w:keepLines w:val="0"/>
              <w:pageBreakBefore w:val="0"/>
              <w:widowControl w:val="0"/>
              <w:suppressLineNumbers w:val="0"/>
              <w:wordWrap/>
              <w:overflowPunct/>
              <w:topLinePunct w:val="0"/>
              <w:bidi w:val="0"/>
              <w:spacing w:before="0" w:beforeAutospacing="0" w:after="0" w:afterAutospacing="0" w:line="332" w:lineRule="auto"/>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采购项目名称</w:t>
            </w:r>
          </w:p>
        </w:tc>
        <w:tc>
          <w:tcPr>
            <w:tcW w:w="431" w:type="pct"/>
            <w:noWrap w:val="0"/>
            <w:vAlign w:val="center"/>
          </w:tcPr>
          <w:p w14:paraId="03E4A31A">
            <w:pPr>
              <w:keepNext w:val="0"/>
              <w:keepLines w:val="0"/>
              <w:pageBreakBefore w:val="0"/>
              <w:widowControl w:val="0"/>
              <w:suppressLineNumbers w:val="0"/>
              <w:wordWrap/>
              <w:overflowPunct/>
              <w:topLinePunct w:val="0"/>
              <w:bidi w:val="0"/>
              <w:spacing w:before="0" w:beforeAutospacing="0" w:after="0" w:afterAutospacing="0" w:line="332"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数量</w:t>
            </w:r>
          </w:p>
        </w:tc>
        <w:tc>
          <w:tcPr>
            <w:tcW w:w="432" w:type="pct"/>
            <w:noWrap w:val="0"/>
            <w:vAlign w:val="center"/>
          </w:tcPr>
          <w:p w14:paraId="2179CF31">
            <w:pPr>
              <w:keepNext w:val="0"/>
              <w:keepLines w:val="0"/>
              <w:pageBreakBefore w:val="0"/>
              <w:widowControl w:val="0"/>
              <w:suppressLineNumbers w:val="0"/>
              <w:wordWrap/>
              <w:overflowPunct/>
              <w:topLinePunct w:val="0"/>
              <w:bidi w:val="0"/>
              <w:spacing w:before="0" w:beforeAutospacing="0" w:after="0" w:afterAutospacing="0" w:line="332"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单位</w:t>
            </w:r>
          </w:p>
        </w:tc>
        <w:tc>
          <w:tcPr>
            <w:tcW w:w="1032" w:type="pct"/>
            <w:noWrap w:val="0"/>
            <w:vAlign w:val="center"/>
          </w:tcPr>
          <w:p w14:paraId="469FB743">
            <w:pPr>
              <w:keepNext w:val="0"/>
              <w:keepLines w:val="0"/>
              <w:pageBreakBefore w:val="0"/>
              <w:widowControl w:val="0"/>
              <w:suppressLineNumbers w:val="0"/>
              <w:wordWrap/>
              <w:overflowPunct/>
              <w:topLinePunct w:val="0"/>
              <w:bidi w:val="0"/>
              <w:spacing w:before="0" w:beforeAutospacing="0" w:after="0" w:afterAutospacing="0" w:line="332" w:lineRule="auto"/>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采购预算</w:t>
            </w:r>
          </w:p>
          <w:p w14:paraId="224637B3">
            <w:pPr>
              <w:keepNext w:val="0"/>
              <w:keepLines w:val="0"/>
              <w:pageBreakBefore w:val="0"/>
              <w:widowControl w:val="0"/>
              <w:suppressLineNumbers w:val="0"/>
              <w:wordWrap/>
              <w:overflowPunct/>
              <w:topLinePunct w:val="0"/>
              <w:bidi w:val="0"/>
              <w:spacing w:before="0" w:beforeAutospacing="0" w:after="0" w:afterAutospacing="0" w:line="332"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（人民币）</w:t>
            </w:r>
          </w:p>
        </w:tc>
        <w:tc>
          <w:tcPr>
            <w:tcW w:w="1242" w:type="pct"/>
            <w:noWrap w:val="0"/>
            <w:vAlign w:val="center"/>
          </w:tcPr>
          <w:p w14:paraId="2377DD83">
            <w:pPr>
              <w:keepNext w:val="0"/>
              <w:keepLines w:val="0"/>
              <w:pageBreakBefore w:val="0"/>
              <w:widowControl w:val="0"/>
              <w:suppressLineNumbers w:val="0"/>
              <w:wordWrap/>
              <w:overflowPunct/>
              <w:topLinePunct w:val="0"/>
              <w:bidi w:val="0"/>
              <w:spacing w:before="0" w:beforeAutospacing="0" w:after="0" w:afterAutospacing="0" w:line="332" w:lineRule="auto"/>
              <w:ind w:left="0" w:right="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技术需求或服务要求</w:t>
            </w:r>
          </w:p>
        </w:tc>
      </w:tr>
      <w:tr w14:paraId="4B08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860" w:type="pct"/>
            <w:noWrap w:val="0"/>
            <w:vAlign w:val="center"/>
          </w:tcPr>
          <w:p w14:paraId="669C458F">
            <w:pPr>
              <w:pStyle w:val="15"/>
              <w:pageBreakBefore w:val="0"/>
              <w:widowControl w:val="0"/>
              <w:wordWrap/>
              <w:overflowPunct/>
              <w:topLinePunct w:val="0"/>
              <w:bidi w:val="0"/>
              <w:spacing w:line="332"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2026年吉安市中等专业学校教材采购项目</w:t>
            </w:r>
          </w:p>
        </w:tc>
        <w:tc>
          <w:tcPr>
            <w:tcW w:w="431" w:type="pct"/>
            <w:noWrap w:val="0"/>
            <w:vAlign w:val="center"/>
          </w:tcPr>
          <w:p w14:paraId="76317E63">
            <w:pPr>
              <w:keepNext w:val="0"/>
              <w:keepLines w:val="0"/>
              <w:pageBreakBefore w:val="0"/>
              <w:widowControl w:val="0"/>
              <w:suppressLineNumbers w:val="0"/>
              <w:wordWrap/>
              <w:overflowPunct/>
              <w:topLinePunct w:val="0"/>
              <w:bidi w:val="0"/>
              <w:spacing w:before="0" w:beforeAutospacing="0" w:after="0" w:afterAutospacing="0" w:line="332" w:lineRule="auto"/>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432" w:type="pct"/>
            <w:noWrap w:val="0"/>
            <w:vAlign w:val="center"/>
          </w:tcPr>
          <w:p w14:paraId="0081D252">
            <w:pPr>
              <w:keepNext w:val="0"/>
              <w:keepLines w:val="0"/>
              <w:pageBreakBefore w:val="0"/>
              <w:widowControl w:val="0"/>
              <w:suppressLineNumbers w:val="0"/>
              <w:wordWrap/>
              <w:overflowPunct/>
              <w:topLinePunct w:val="0"/>
              <w:bidi w:val="0"/>
              <w:spacing w:before="0" w:beforeAutospacing="0" w:after="0" w:afterAutospacing="0" w:line="332" w:lineRule="auto"/>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批</w:t>
            </w:r>
          </w:p>
        </w:tc>
        <w:tc>
          <w:tcPr>
            <w:tcW w:w="1032" w:type="pct"/>
            <w:noWrap w:val="0"/>
            <w:vAlign w:val="center"/>
          </w:tcPr>
          <w:p w14:paraId="15DA0B45">
            <w:pPr>
              <w:pStyle w:val="15"/>
              <w:pageBreakBefore w:val="0"/>
              <w:widowControl w:val="0"/>
              <w:wordWrap/>
              <w:overflowPunct/>
              <w:topLinePunct w:val="0"/>
              <w:bidi w:val="0"/>
              <w:spacing w:line="332"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200万元/年</w:t>
            </w:r>
          </w:p>
        </w:tc>
        <w:tc>
          <w:tcPr>
            <w:tcW w:w="1242" w:type="pct"/>
            <w:noWrap w:val="0"/>
            <w:vAlign w:val="center"/>
          </w:tcPr>
          <w:p w14:paraId="220614F5">
            <w:pPr>
              <w:keepNext w:val="0"/>
              <w:keepLines w:val="0"/>
              <w:pageBreakBefore w:val="0"/>
              <w:widowControl w:val="0"/>
              <w:suppressLineNumbers w:val="0"/>
              <w:wordWrap/>
              <w:overflowPunct/>
              <w:topLinePunct w:val="0"/>
              <w:bidi w:val="0"/>
              <w:spacing w:before="0" w:beforeAutospacing="0" w:after="0" w:afterAutospacing="0" w:line="332" w:lineRule="auto"/>
              <w:ind w:left="0" w:right="0"/>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详见招标文件</w:t>
            </w:r>
          </w:p>
        </w:tc>
      </w:tr>
    </w:tbl>
    <w:p w14:paraId="6E1C8669">
      <w:pPr>
        <w:pStyle w:val="12"/>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rPr>
        <w:t>合同</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期限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交货</w:t>
      </w:r>
      <w:r>
        <w:rPr>
          <w:rFonts w:hint="eastAsia" w:ascii="仿宋" w:hAnsi="仿宋" w:eastAsia="仿宋" w:cs="仿宋"/>
          <w:color w:val="auto"/>
          <w:sz w:val="24"/>
          <w:szCs w:val="24"/>
          <w:highlight w:val="none"/>
          <w:lang w:eastAsia="zh-CN"/>
        </w:rPr>
        <w:t>期）：</w:t>
      </w:r>
      <w:r>
        <w:rPr>
          <w:rFonts w:hint="eastAsia" w:ascii="仿宋" w:hAnsi="仿宋" w:eastAsia="仿宋" w:cs="仿宋"/>
          <w:b/>
          <w:bCs/>
          <w:color w:val="auto"/>
          <w:sz w:val="24"/>
          <w:szCs w:val="24"/>
          <w:highlight w:val="none"/>
          <w:lang w:val="en-US" w:eastAsia="zh-CN"/>
        </w:rPr>
        <w:t>签订合同之日起3年，合同一年一签，一年届满，经采购人考核合格后可续签下一年度合同。</w:t>
      </w:r>
    </w:p>
    <w:p w14:paraId="302E86F3">
      <w:pPr>
        <w:pStyle w:val="12"/>
        <w:keepNext w:val="0"/>
        <w:keepLines w:val="0"/>
        <w:pageBreakBefore w:val="0"/>
        <w:widowControl w:val="0"/>
        <w:kinsoku/>
        <w:wordWrap/>
        <w:overflowPunct/>
        <w:topLinePunct w:val="0"/>
        <w:bidi w:val="0"/>
        <w:snapToGrid/>
        <w:spacing w:line="360" w:lineRule="auto"/>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按采购人要求时间供货（春季学期须于开学前7个自然日到货，秋季学期须于开学前15个自然日到货）。</w:t>
      </w:r>
    </w:p>
    <w:p w14:paraId="3EF9D5D9">
      <w:pPr>
        <w:pageBreakBefore w:val="0"/>
        <w:widowControl w:val="0"/>
        <w:kinsoku/>
        <w:wordWrap/>
        <w:overflowPunct/>
        <w:topLinePunct w:val="0"/>
        <w:bidi w:val="0"/>
        <w:snapToGrid/>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本项目是否接受联合体：</w:t>
      </w:r>
      <w:r>
        <w:rPr>
          <w:rFonts w:hint="eastAsia" w:ascii="仿宋" w:hAnsi="仿宋" w:eastAsia="仿宋" w:cs="仿宋"/>
          <w:b/>
          <w:bCs/>
          <w:color w:val="auto"/>
          <w:sz w:val="24"/>
          <w:szCs w:val="24"/>
          <w:highlight w:val="none"/>
        </w:rPr>
        <w:t>不接受</w:t>
      </w:r>
      <w:r>
        <w:rPr>
          <w:rFonts w:hint="eastAsia" w:ascii="仿宋" w:hAnsi="仿宋" w:eastAsia="仿宋" w:cs="仿宋"/>
          <w:b w:val="0"/>
          <w:bCs w:val="0"/>
          <w:color w:val="auto"/>
          <w:sz w:val="24"/>
          <w:szCs w:val="24"/>
          <w:highlight w:val="none"/>
        </w:rPr>
        <w:t>。</w:t>
      </w:r>
    </w:p>
    <w:p w14:paraId="1F88C949">
      <w:pPr>
        <w:pStyle w:val="4"/>
        <w:pageBreakBefore w:val="0"/>
        <w:kinsoku/>
        <w:wordWrap/>
        <w:overflowPunct/>
        <w:topLinePunct w:val="0"/>
        <w:bidi w:val="0"/>
        <w:snapToGrid/>
        <w:spacing w:line="360" w:lineRule="auto"/>
        <w:textAlignment w:val="auto"/>
        <w:rPr>
          <w:rFonts w:hint="eastAsia" w:ascii="仿宋" w:hAnsi="仿宋" w:eastAsia="仿宋" w:cs="仿宋"/>
          <w:color w:val="auto"/>
          <w:highlight w:val="none"/>
        </w:rPr>
      </w:pPr>
      <w:bookmarkStart w:id="19" w:name="_Toc28359003"/>
      <w:bookmarkStart w:id="20" w:name="_Toc24965"/>
      <w:bookmarkStart w:id="21" w:name="_Toc35393791"/>
      <w:bookmarkStart w:id="22" w:name="_Toc35393622"/>
      <w:bookmarkStart w:id="23" w:name="_Toc22731"/>
      <w:bookmarkStart w:id="24" w:name="_Toc537"/>
      <w:bookmarkStart w:id="25" w:name="_Toc28359080"/>
      <w:bookmarkStart w:id="26" w:name="_Toc17661"/>
      <w:r>
        <w:rPr>
          <w:rFonts w:hint="eastAsia" w:ascii="仿宋" w:hAnsi="仿宋" w:eastAsia="仿宋" w:cs="仿宋"/>
          <w:color w:val="auto"/>
          <w:highlight w:val="none"/>
        </w:rPr>
        <w:t>二、申请人的资格要求：</w:t>
      </w:r>
      <w:bookmarkEnd w:id="19"/>
      <w:bookmarkEnd w:id="20"/>
      <w:bookmarkEnd w:id="21"/>
      <w:bookmarkEnd w:id="22"/>
      <w:bookmarkEnd w:id="23"/>
      <w:bookmarkEnd w:id="24"/>
      <w:bookmarkEnd w:id="25"/>
      <w:bookmarkEnd w:id="26"/>
    </w:p>
    <w:p w14:paraId="31EC2959">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val="0"/>
          <w:color w:val="auto"/>
          <w:szCs w:val="24"/>
          <w:highlight w:val="none"/>
          <w:u w:val="none"/>
        </w:rPr>
      </w:pPr>
      <w:bookmarkStart w:id="27" w:name="_Toc28359004"/>
      <w:bookmarkStart w:id="28" w:name="_Toc28359081"/>
      <w:bookmarkStart w:id="29" w:name="_Toc14570"/>
      <w:bookmarkStart w:id="30" w:name="_Toc35393796"/>
      <w:bookmarkStart w:id="31" w:name="_Toc14681"/>
      <w:bookmarkStart w:id="32" w:name="_Toc28359085"/>
      <w:bookmarkStart w:id="33" w:name="_Toc35393627"/>
      <w:bookmarkStart w:id="34" w:name="_Toc28359008"/>
      <w:r>
        <w:rPr>
          <w:rFonts w:hint="eastAsia" w:ascii="仿宋" w:hAnsi="仿宋" w:eastAsia="仿宋" w:cs="仿宋"/>
          <w:b w:val="0"/>
          <w:bCs w:val="0"/>
          <w:color w:val="auto"/>
          <w:szCs w:val="24"/>
          <w:highlight w:val="none"/>
          <w:u w:val="none"/>
        </w:rPr>
        <w:t>1.满足《中华人民共和国政府采购法》第二十二条规定：</w:t>
      </w:r>
    </w:p>
    <w:p w14:paraId="779D043E">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val="0"/>
          <w:color w:val="auto"/>
          <w:szCs w:val="24"/>
          <w:highlight w:val="none"/>
          <w:u w:val="none"/>
        </w:rPr>
      </w:pPr>
      <w:r>
        <w:rPr>
          <w:rFonts w:hint="eastAsia" w:ascii="仿宋" w:hAnsi="仿宋" w:eastAsia="仿宋" w:cs="仿宋"/>
          <w:b w:val="0"/>
          <w:bCs w:val="0"/>
          <w:color w:val="auto"/>
          <w:szCs w:val="24"/>
          <w:highlight w:val="none"/>
          <w:u w:val="none"/>
        </w:rPr>
        <w:t>（1）具有独立承担民事责任的能力；</w:t>
      </w:r>
    </w:p>
    <w:p w14:paraId="7A110D46">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val="0"/>
          <w:color w:val="auto"/>
          <w:szCs w:val="24"/>
          <w:highlight w:val="none"/>
          <w:u w:val="none"/>
        </w:rPr>
      </w:pPr>
      <w:r>
        <w:rPr>
          <w:rFonts w:hint="eastAsia" w:ascii="仿宋" w:hAnsi="仿宋" w:eastAsia="仿宋" w:cs="仿宋"/>
          <w:b w:val="0"/>
          <w:bCs w:val="0"/>
          <w:color w:val="auto"/>
          <w:szCs w:val="24"/>
          <w:highlight w:val="none"/>
          <w:u w:val="none"/>
        </w:rPr>
        <w:t>（2）具有良好的商业信誉和健全的财务会计制度；</w:t>
      </w:r>
    </w:p>
    <w:p w14:paraId="2B53B34A">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val="0"/>
          <w:color w:val="auto"/>
          <w:szCs w:val="24"/>
          <w:highlight w:val="none"/>
          <w:u w:val="none"/>
        </w:rPr>
      </w:pPr>
      <w:r>
        <w:rPr>
          <w:rFonts w:hint="eastAsia" w:ascii="仿宋" w:hAnsi="仿宋" w:eastAsia="仿宋" w:cs="仿宋"/>
          <w:b w:val="0"/>
          <w:bCs w:val="0"/>
          <w:color w:val="auto"/>
          <w:szCs w:val="24"/>
          <w:highlight w:val="none"/>
          <w:u w:val="none"/>
        </w:rPr>
        <w:t>（3）具有履行合同所必需的设备和专业技术能力；</w:t>
      </w:r>
    </w:p>
    <w:p w14:paraId="60128767">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val="0"/>
          <w:color w:val="auto"/>
          <w:szCs w:val="24"/>
          <w:highlight w:val="none"/>
          <w:u w:val="none"/>
        </w:rPr>
      </w:pPr>
      <w:r>
        <w:rPr>
          <w:rFonts w:hint="eastAsia" w:ascii="仿宋" w:hAnsi="仿宋" w:eastAsia="仿宋" w:cs="仿宋"/>
          <w:b w:val="0"/>
          <w:bCs w:val="0"/>
          <w:color w:val="auto"/>
          <w:szCs w:val="24"/>
          <w:highlight w:val="none"/>
          <w:u w:val="none"/>
        </w:rPr>
        <w:t>（4）有依法缴纳税收和社会保障资金的良好记录；</w:t>
      </w:r>
    </w:p>
    <w:p w14:paraId="73642BF4">
      <w:pPr>
        <w:pageBreakBefore w:val="0"/>
        <w:kinsoku/>
        <w:wordWrap/>
        <w:overflowPunct/>
        <w:topLinePunct w:val="0"/>
        <w:bidi w:val="0"/>
        <w:snapToGrid/>
        <w:spacing w:line="360" w:lineRule="auto"/>
        <w:ind w:left="480" w:leftChars="200" w:firstLine="0" w:firstLineChars="0"/>
        <w:textAlignment w:val="auto"/>
        <w:rPr>
          <w:rFonts w:hint="eastAsia" w:ascii="仿宋" w:hAnsi="仿宋" w:eastAsia="仿宋" w:cs="仿宋"/>
          <w:b w:val="0"/>
          <w:bCs w:val="0"/>
          <w:color w:val="auto"/>
          <w:szCs w:val="24"/>
          <w:highlight w:val="none"/>
          <w:u w:val="none"/>
        </w:rPr>
      </w:pPr>
      <w:r>
        <w:rPr>
          <w:rFonts w:hint="eastAsia" w:ascii="仿宋" w:hAnsi="仿宋" w:eastAsia="仿宋" w:cs="仿宋"/>
          <w:b w:val="0"/>
          <w:bCs w:val="0"/>
          <w:color w:val="auto"/>
          <w:szCs w:val="24"/>
          <w:highlight w:val="none"/>
          <w:u w:val="none"/>
        </w:rPr>
        <w:t>（5）参加政府采购活动前三年内，在经营活动中没有重大违法记录。</w:t>
      </w:r>
      <w:r>
        <w:rPr>
          <w:rFonts w:hint="eastAsia" w:ascii="仿宋" w:hAnsi="仿宋" w:eastAsia="仿宋" w:cs="仿宋"/>
          <w:b w:val="0"/>
          <w:bCs w:val="0"/>
          <w:color w:val="auto"/>
          <w:szCs w:val="24"/>
          <w:highlight w:val="none"/>
          <w:u w:val="none"/>
        </w:rPr>
        <w:br w:type="textWrapping"/>
      </w:r>
      <w:r>
        <w:rPr>
          <w:rFonts w:hint="eastAsia" w:ascii="仿宋" w:hAnsi="仿宋" w:eastAsia="仿宋" w:cs="仿宋"/>
          <w:b w:val="0"/>
          <w:bCs w:val="0"/>
          <w:color w:val="auto"/>
          <w:szCs w:val="24"/>
          <w:highlight w:val="none"/>
          <w:u w:val="none"/>
        </w:rPr>
        <w:t>（</w:t>
      </w:r>
      <w:r>
        <w:rPr>
          <w:rFonts w:hint="eastAsia" w:ascii="仿宋" w:hAnsi="仿宋" w:eastAsia="仿宋" w:cs="仿宋"/>
          <w:b w:val="0"/>
          <w:bCs w:val="0"/>
          <w:color w:val="auto"/>
          <w:szCs w:val="24"/>
          <w:highlight w:val="none"/>
          <w:u w:val="none"/>
          <w:lang w:val="en-US" w:eastAsia="zh-CN"/>
        </w:rPr>
        <w:t>6</w:t>
      </w:r>
      <w:r>
        <w:rPr>
          <w:rFonts w:hint="eastAsia" w:ascii="仿宋" w:hAnsi="仿宋" w:eastAsia="仿宋" w:cs="仿宋"/>
          <w:b w:val="0"/>
          <w:bCs w:val="0"/>
          <w:color w:val="auto"/>
          <w:szCs w:val="24"/>
          <w:highlight w:val="none"/>
          <w:u w:val="none"/>
        </w:rPr>
        <w:t>）其他其他法律要求</w:t>
      </w:r>
    </w:p>
    <w:p w14:paraId="0D169D14">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val="0"/>
          <w:color w:val="auto"/>
          <w:szCs w:val="24"/>
          <w:highlight w:val="none"/>
          <w:u w:val="none"/>
        </w:rPr>
      </w:pPr>
      <w:r>
        <w:rPr>
          <w:rFonts w:hint="eastAsia" w:ascii="仿宋" w:hAnsi="仿宋" w:eastAsia="仿宋" w:cs="仿宋"/>
          <w:b w:val="0"/>
          <w:bCs w:val="0"/>
          <w:color w:val="auto"/>
          <w:szCs w:val="24"/>
          <w:highlight w:val="none"/>
          <w:u w:val="none"/>
        </w:rPr>
        <w:t>①单位负责人为同一人或者存在直接控股、管理关系的不同供应商，不得参加同一合同项下的采购活动；</w:t>
      </w:r>
    </w:p>
    <w:p w14:paraId="4D28EE77">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val="0"/>
          <w:color w:val="auto"/>
          <w:szCs w:val="24"/>
          <w:highlight w:val="none"/>
          <w:u w:val="none"/>
        </w:rPr>
      </w:pPr>
      <w:r>
        <w:rPr>
          <w:rFonts w:hint="eastAsia" w:ascii="仿宋" w:hAnsi="仿宋" w:eastAsia="仿宋" w:cs="仿宋"/>
          <w:b w:val="0"/>
          <w:bCs w:val="0"/>
          <w:color w:val="auto"/>
          <w:szCs w:val="24"/>
          <w:highlight w:val="none"/>
          <w:u w:val="none"/>
        </w:rPr>
        <w:t>②为采购项目提供整体设计、规范编制或者项目管理、监理、检测等服务的供应商不得参加该采购项目的采购活动；</w:t>
      </w:r>
    </w:p>
    <w:p w14:paraId="5DC2D4BC">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val="0"/>
          <w:color w:val="auto"/>
          <w:szCs w:val="24"/>
          <w:highlight w:val="none"/>
          <w:u w:val="none"/>
          <w:lang w:val="en-US" w:eastAsia="zh-CN"/>
        </w:rPr>
      </w:pPr>
      <w:r>
        <w:rPr>
          <w:rFonts w:hint="eastAsia" w:ascii="仿宋" w:hAnsi="仿宋" w:eastAsia="仿宋" w:cs="仿宋"/>
          <w:b w:val="0"/>
          <w:bCs w:val="0"/>
          <w:color w:val="auto"/>
          <w:szCs w:val="24"/>
          <w:highlight w:val="none"/>
          <w:u w:val="none"/>
        </w:rPr>
        <w:t>③供应商被“信用中国”网站列入失信被执行人和重大税收违法案件当事人名单的、被“中国政府采购网”网站列入政府采购严重违法失信行为记录名单（处罚期限尚未届满的），不得参与本项目的政府采购活动；</w:t>
      </w:r>
    </w:p>
    <w:p w14:paraId="655A136E">
      <w:pPr>
        <w:pageBreakBefore w:val="0"/>
        <w:kinsoku/>
        <w:wordWrap/>
        <w:overflowPunct/>
        <w:topLinePunct w:val="0"/>
        <w:bidi w:val="0"/>
        <w:snapToGrid/>
        <w:spacing w:line="360" w:lineRule="auto"/>
        <w:ind w:firstLine="482" w:firstLineChars="200"/>
        <w:textAlignment w:val="auto"/>
        <w:rPr>
          <w:rFonts w:hint="eastAsia" w:ascii="仿宋" w:hAnsi="仿宋" w:eastAsia="仿宋" w:cs="仿宋"/>
          <w:b w:val="0"/>
          <w:bCs w:val="0"/>
          <w:color w:val="auto"/>
          <w:szCs w:val="24"/>
          <w:highlight w:val="none"/>
          <w:u w:val="none"/>
        </w:rPr>
      </w:pPr>
      <w:r>
        <w:rPr>
          <w:rFonts w:hint="eastAsia" w:ascii="仿宋" w:hAnsi="仿宋" w:eastAsia="仿宋" w:cs="仿宋"/>
          <w:b/>
          <w:bCs/>
          <w:color w:val="auto"/>
          <w:szCs w:val="24"/>
          <w:highlight w:val="none"/>
          <w:u w:val="none"/>
        </w:rPr>
        <w:t>（以上</w:t>
      </w:r>
      <w:r>
        <w:rPr>
          <w:rFonts w:hint="eastAsia" w:ascii="仿宋" w:hAnsi="仿宋" w:eastAsia="仿宋" w:cs="仿宋"/>
          <w:b/>
          <w:bCs/>
          <w:color w:val="auto"/>
          <w:szCs w:val="24"/>
          <w:highlight w:val="none"/>
          <w:u w:val="none"/>
          <w:lang w:val="en-US" w:eastAsia="zh-CN"/>
        </w:rPr>
        <w:t>可</w:t>
      </w:r>
      <w:r>
        <w:rPr>
          <w:rFonts w:hint="eastAsia" w:ascii="仿宋" w:hAnsi="仿宋" w:eastAsia="仿宋" w:cs="仿宋"/>
          <w:b/>
          <w:bCs/>
          <w:color w:val="auto"/>
          <w:szCs w:val="24"/>
          <w:highlight w:val="none"/>
          <w:u w:val="none"/>
        </w:rPr>
        <w:t>提供江西省政府采购供应商资格信用承诺函加盖</w:t>
      </w:r>
      <w:r>
        <w:rPr>
          <w:rFonts w:hint="eastAsia" w:ascii="仿宋" w:hAnsi="仿宋" w:eastAsia="仿宋" w:cs="仿宋"/>
          <w:b/>
          <w:bCs/>
          <w:color w:val="auto"/>
          <w:szCs w:val="24"/>
          <w:highlight w:val="none"/>
          <w:u w:val="none"/>
          <w:lang w:val="en-US" w:eastAsia="zh-CN"/>
        </w:rPr>
        <w:t>投标</w:t>
      </w:r>
      <w:r>
        <w:rPr>
          <w:rFonts w:hint="eastAsia" w:ascii="仿宋" w:hAnsi="仿宋" w:eastAsia="仿宋" w:cs="仿宋"/>
          <w:b/>
          <w:bCs/>
          <w:color w:val="auto"/>
          <w:szCs w:val="24"/>
          <w:highlight w:val="none"/>
          <w:u w:val="none"/>
        </w:rPr>
        <w:t xml:space="preserve">人公章） </w:t>
      </w:r>
      <w:r>
        <w:rPr>
          <w:rFonts w:hint="eastAsia" w:ascii="仿宋" w:hAnsi="仿宋" w:eastAsia="仿宋" w:cs="仿宋"/>
          <w:b w:val="0"/>
          <w:bCs w:val="0"/>
          <w:color w:val="auto"/>
          <w:szCs w:val="24"/>
          <w:highlight w:val="none"/>
          <w:u w:val="none"/>
        </w:rPr>
        <w:t xml:space="preserve">    </w:t>
      </w:r>
    </w:p>
    <w:p w14:paraId="5101BA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Cs w:val="24"/>
          <w:highlight w:val="none"/>
          <w:u w:val="none"/>
        </w:rPr>
      </w:pPr>
      <w:r>
        <w:rPr>
          <w:rFonts w:hint="eastAsia" w:ascii="仿宋" w:hAnsi="仿宋" w:eastAsia="仿宋" w:cs="仿宋"/>
          <w:b w:val="0"/>
          <w:bCs w:val="0"/>
          <w:color w:val="auto"/>
          <w:szCs w:val="24"/>
          <w:highlight w:val="none"/>
          <w:u w:val="none"/>
        </w:rPr>
        <w:t>2.落实政府采购政策需满足的资格要求：</w:t>
      </w:r>
    </w:p>
    <w:p w14:paraId="5AB91F0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Cs w:val="24"/>
          <w:highlight w:val="none"/>
          <w:u w:val="none"/>
          <w:lang w:val="en-US" w:eastAsia="zh-CN"/>
        </w:rPr>
        <w:t>（1）</w:t>
      </w:r>
      <w:r>
        <w:rPr>
          <w:rFonts w:hint="eastAsia" w:ascii="仿宋" w:hAnsi="仿宋" w:eastAsia="仿宋" w:cs="仿宋"/>
          <w:b w:val="0"/>
          <w:bCs w:val="0"/>
          <w:color w:val="auto"/>
          <w:sz w:val="24"/>
          <w:szCs w:val="24"/>
          <w:highlight w:val="none"/>
          <w:lang w:val="en-US" w:eastAsia="zh-CN"/>
        </w:rPr>
        <w:t>本项目</w:t>
      </w:r>
      <w:r>
        <w:rPr>
          <w:rFonts w:hint="eastAsia" w:ascii="仿宋" w:hAnsi="仿宋" w:eastAsia="仿宋" w:cs="仿宋"/>
          <w:b w:val="0"/>
          <w:bCs w:val="0"/>
          <w:color w:val="auto"/>
          <w:sz w:val="24"/>
          <w:szCs w:val="24"/>
          <w:highlight w:val="none"/>
        </w:rPr>
        <w:t>①属性为</w:t>
      </w:r>
      <w:r>
        <w:rPr>
          <w:rFonts w:hint="eastAsia" w:ascii="仿宋" w:hAnsi="仿宋" w:eastAsia="仿宋" w:cs="仿宋"/>
          <w:b/>
          <w:bCs/>
          <w:color w:val="auto"/>
          <w:sz w:val="24"/>
          <w:szCs w:val="24"/>
          <w:highlight w:val="none"/>
          <w:lang w:val="en-US" w:eastAsia="zh-CN"/>
        </w:rPr>
        <w:t>货物</w:t>
      </w:r>
      <w:r>
        <w:rPr>
          <w:rFonts w:hint="eastAsia" w:ascii="仿宋" w:hAnsi="仿宋" w:eastAsia="仿宋" w:cs="仿宋"/>
          <w:b w:val="0"/>
          <w:bCs w:val="0"/>
          <w:color w:val="auto"/>
          <w:sz w:val="24"/>
          <w:szCs w:val="24"/>
          <w:highlight w:val="none"/>
        </w:rPr>
        <w:t>，采购标的所属行业为</w:t>
      </w:r>
      <w:r>
        <w:rPr>
          <w:rFonts w:hint="eastAsia" w:ascii="仿宋" w:hAnsi="仿宋" w:eastAsia="仿宋" w:cs="仿宋"/>
          <w:b/>
          <w:bCs/>
          <w:color w:val="auto"/>
          <w:sz w:val="24"/>
          <w:szCs w:val="24"/>
          <w:highlight w:val="none"/>
          <w:u w:val="none"/>
          <w:lang w:val="en-US" w:eastAsia="zh-CN"/>
        </w:rPr>
        <w:t>工业</w:t>
      </w:r>
      <w:r>
        <w:rPr>
          <w:rFonts w:hint="eastAsia" w:ascii="仿宋" w:hAnsi="仿宋" w:eastAsia="仿宋" w:cs="仿宋"/>
          <w:b w:val="0"/>
          <w:bCs w:val="0"/>
          <w:color w:val="auto"/>
          <w:sz w:val="24"/>
          <w:szCs w:val="24"/>
          <w:highlight w:val="none"/>
        </w:rPr>
        <w:t>。②</w:t>
      </w:r>
      <w:r>
        <w:rPr>
          <w:rFonts w:hint="eastAsia" w:ascii="仿宋" w:hAnsi="仿宋" w:eastAsia="仿宋" w:cs="仿宋"/>
          <w:b/>
          <w:bCs/>
          <w:color w:val="auto"/>
          <w:sz w:val="24"/>
          <w:szCs w:val="24"/>
          <w:highlight w:val="none"/>
          <w:lang w:val="en-US" w:eastAsia="zh-CN"/>
        </w:rPr>
        <w:t>本项目不专门面向中小企业。</w:t>
      </w:r>
    </w:p>
    <w:p w14:paraId="2B92761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2）本项目采购落实小微企业、监狱企业、残疾人福利性单位、节能、环保产品等政府采购政策，提交产品属于政府强制采购节能产品、环境标志产品的，必须为本公告发布之日前最新一期《节能产品政府采购品目清单》、《环境标志产品政府采购品目清单》的产品。</w:t>
      </w:r>
      <w:r>
        <w:rPr>
          <w:rFonts w:hint="eastAsia" w:ascii="仿宋" w:hAnsi="仿宋" w:eastAsia="仿宋" w:cs="仿宋"/>
          <w:b/>
          <w:bCs/>
          <w:color w:val="auto"/>
          <w:highlight w:val="none"/>
          <w:lang w:val="en-US" w:eastAsia="zh-CN"/>
        </w:rPr>
        <w:t xml:space="preserve"> </w:t>
      </w:r>
    </w:p>
    <w:p w14:paraId="78BC69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b w:val="0"/>
          <w:bCs w:val="0"/>
          <w:color w:val="auto"/>
          <w:szCs w:val="24"/>
          <w:highlight w:val="none"/>
          <w:u w:val="none"/>
        </w:rPr>
        <w:t>3.本项目的特定资格要求：</w:t>
      </w:r>
      <w:r>
        <w:rPr>
          <w:rFonts w:hint="eastAsia" w:ascii="仿宋" w:hAnsi="仿宋" w:eastAsia="仿宋" w:cs="仿宋"/>
          <w:b/>
          <w:bCs/>
          <w:color w:val="auto"/>
          <w:sz w:val="24"/>
          <w:szCs w:val="24"/>
          <w:highlight w:val="none"/>
          <w:lang w:val="en-US" w:eastAsia="zh-CN"/>
        </w:rPr>
        <w:t>投标人须具备有效的《出版物经营许可证》，投标文件中提供证书原件复印件加盖投标人公章（原件中标后备查）。</w:t>
      </w:r>
    </w:p>
    <w:p w14:paraId="444594C7">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b/>
          <w:bCs w:val="0"/>
          <w:color w:val="auto"/>
          <w:sz w:val="28"/>
          <w:szCs w:val="28"/>
          <w:highlight w:val="none"/>
        </w:rPr>
      </w:pPr>
      <w:bookmarkStart w:id="35" w:name="_Toc15246"/>
      <w:bookmarkStart w:id="36" w:name="_Toc35393623"/>
      <w:bookmarkStart w:id="37" w:name="_Toc20079"/>
      <w:bookmarkStart w:id="38" w:name="_Toc8986"/>
      <w:bookmarkStart w:id="39" w:name="_Toc35393792"/>
      <w:r>
        <w:rPr>
          <w:rFonts w:hint="eastAsia" w:ascii="仿宋" w:hAnsi="仿宋" w:eastAsia="仿宋" w:cs="仿宋"/>
          <w:b/>
          <w:bCs w:val="0"/>
          <w:color w:val="auto"/>
          <w:sz w:val="28"/>
          <w:szCs w:val="28"/>
          <w:highlight w:val="none"/>
        </w:rPr>
        <w:t>三、获取招标文件</w:t>
      </w:r>
      <w:bookmarkEnd w:id="27"/>
      <w:bookmarkEnd w:id="28"/>
      <w:bookmarkEnd w:id="35"/>
      <w:bookmarkEnd w:id="36"/>
      <w:bookmarkEnd w:id="37"/>
      <w:bookmarkEnd w:id="38"/>
      <w:bookmarkEnd w:id="39"/>
    </w:p>
    <w:p w14:paraId="645F1FB7">
      <w:pPr>
        <w:pageBreakBefore w:val="0"/>
        <w:widowControl w:val="0"/>
        <w:kinsoku/>
        <w:wordWrap/>
        <w:overflowPunct/>
        <w:topLinePunct w:val="0"/>
        <w:bidi w:val="0"/>
        <w:snapToGrid/>
        <w:spacing w:line="360" w:lineRule="auto"/>
        <w:ind w:firstLine="480" w:firstLineChars="200"/>
        <w:textAlignment w:val="auto"/>
        <w:outlineLvl w:val="9"/>
        <w:rPr>
          <w:rFonts w:hint="eastAsia" w:ascii="仿宋" w:hAnsi="仿宋" w:eastAsia="仿宋" w:cs="仿宋"/>
          <w:color w:val="auto"/>
          <w:sz w:val="24"/>
          <w:szCs w:val="24"/>
          <w:highlight w:val="none"/>
        </w:rPr>
      </w:pPr>
      <w:bookmarkStart w:id="40" w:name="_Toc28359005"/>
      <w:bookmarkStart w:id="41" w:name="_Toc28359082"/>
      <w:bookmarkStart w:id="42" w:name="_Toc35393793"/>
      <w:bookmarkStart w:id="43" w:name="_Toc2778"/>
      <w:bookmarkStart w:id="44" w:name="_Toc35393624"/>
      <w:bookmarkStart w:id="45" w:name="_Toc8960"/>
      <w:r>
        <w:rPr>
          <w:rFonts w:hint="eastAsia" w:ascii="仿宋" w:hAnsi="仿宋" w:eastAsia="仿宋" w:cs="仿宋"/>
          <w:color w:val="auto"/>
          <w:sz w:val="24"/>
          <w:szCs w:val="24"/>
          <w:highlight w:val="none"/>
        </w:rPr>
        <w:t>时间：</w:t>
      </w:r>
      <w:r>
        <w:rPr>
          <w:rFonts w:hint="eastAsia" w:ascii="仿宋" w:hAnsi="仿宋" w:eastAsia="仿宋" w:cs="仿宋"/>
          <w:color w:val="auto"/>
          <w:sz w:val="24"/>
          <w:szCs w:val="24"/>
          <w:highlight w:val="none"/>
          <w:lang w:val="en-US" w:eastAsia="zh-CN"/>
        </w:rPr>
        <w:t xml:space="preserve"> 2026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日至</w:t>
      </w:r>
      <w:r>
        <w:rPr>
          <w:rFonts w:hint="eastAsia" w:ascii="仿宋" w:hAnsi="仿宋" w:eastAsia="仿宋" w:cs="仿宋"/>
          <w:color w:val="auto"/>
          <w:sz w:val="24"/>
          <w:szCs w:val="24"/>
          <w:highlight w:val="none"/>
          <w:lang w:val="en-US" w:eastAsia="zh-CN"/>
        </w:rPr>
        <w:t>2026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日，每天上午</w:t>
      </w:r>
      <w:r>
        <w:rPr>
          <w:rFonts w:hint="eastAsia" w:ascii="仿宋" w:hAnsi="仿宋" w:eastAsia="仿宋" w:cs="仿宋"/>
          <w:color w:val="auto"/>
          <w:sz w:val="24"/>
          <w:szCs w:val="24"/>
          <w:highlight w:val="none"/>
          <w:lang w:val="en-US" w:eastAsia="zh-CN"/>
        </w:rPr>
        <w:t>8：30</w:t>
      </w:r>
      <w:r>
        <w:rPr>
          <w:rFonts w:hint="eastAsia" w:ascii="仿宋" w:hAnsi="仿宋" w:eastAsia="仿宋" w:cs="仿宋"/>
          <w:color w:val="auto"/>
          <w:sz w:val="24"/>
          <w:szCs w:val="24"/>
          <w:highlight w:val="none"/>
        </w:rPr>
        <w:t>至</w:t>
      </w:r>
      <w:r>
        <w:rPr>
          <w:rFonts w:hint="eastAsia" w:ascii="仿宋" w:hAnsi="仿宋" w:eastAsia="仿宋" w:cs="仿宋"/>
          <w:color w:val="auto"/>
          <w:sz w:val="24"/>
          <w:szCs w:val="24"/>
          <w:highlight w:val="none"/>
          <w:lang w:val="en-US" w:eastAsia="zh-CN"/>
        </w:rPr>
        <w:t xml:space="preserve">12：00 </w:t>
      </w:r>
      <w:r>
        <w:rPr>
          <w:rFonts w:hint="eastAsia" w:ascii="仿宋" w:hAnsi="仿宋" w:eastAsia="仿宋" w:cs="仿宋"/>
          <w:color w:val="auto"/>
          <w:sz w:val="24"/>
          <w:szCs w:val="24"/>
          <w:highlight w:val="none"/>
        </w:rPr>
        <w:t>，下午</w:t>
      </w:r>
      <w:r>
        <w:rPr>
          <w:rFonts w:hint="eastAsia" w:ascii="仿宋" w:hAnsi="仿宋" w:eastAsia="仿宋" w:cs="仿宋"/>
          <w:color w:val="auto"/>
          <w:sz w:val="24"/>
          <w:szCs w:val="24"/>
          <w:highlight w:val="none"/>
          <w:lang w:val="en-US" w:eastAsia="zh-CN"/>
        </w:rPr>
        <w:t xml:space="preserve"> 14:00</w:t>
      </w:r>
      <w:r>
        <w:rPr>
          <w:rFonts w:hint="eastAsia" w:ascii="仿宋" w:hAnsi="仿宋" w:eastAsia="仿宋" w:cs="仿宋"/>
          <w:color w:val="auto"/>
          <w:sz w:val="24"/>
          <w:szCs w:val="24"/>
          <w:highlight w:val="none"/>
        </w:rPr>
        <w:t>至</w:t>
      </w:r>
      <w:r>
        <w:rPr>
          <w:rFonts w:hint="eastAsia" w:ascii="仿宋" w:hAnsi="仿宋" w:eastAsia="仿宋" w:cs="仿宋"/>
          <w:color w:val="auto"/>
          <w:sz w:val="24"/>
          <w:szCs w:val="24"/>
          <w:highlight w:val="none"/>
          <w:lang w:val="en-US" w:eastAsia="zh-CN"/>
        </w:rPr>
        <w:t>17：30</w:t>
      </w:r>
      <w:r>
        <w:rPr>
          <w:rFonts w:hint="eastAsia" w:ascii="仿宋" w:hAnsi="仿宋" w:eastAsia="仿宋" w:cs="仿宋"/>
          <w:color w:val="auto"/>
          <w:sz w:val="24"/>
          <w:szCs w:val="24"/>
          <w:highlight w:val="none"/>
        </w:rPr>
        <w:t>（北京时间</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工作日</w:t>
      </w:r>
      <w:r>
        <w:rPr>
          <w:rFonts w:hint="eastAsia" w:ascii="仿宋" w:hAnsi="仿宋" w:eastAsia="仿宋" w:cs="仿宋"/>
          <w:color w:val="auto"/>
          <w:sz w:val="24"/>
          <w:szCs w:val="24"/>
          <w:highlight w:val="none"/>
        </w:rPr>
        <w:t>）</w:t>
      </w:r>
    </w:p>
    <w:p w14:paraId="08B0DE38">
      <w:pPr>
        <w:pageBreakBefore w:val="0"/>
        <w:widowControl w:val="0"/>
        <w:kinsoku/>
        <w:wordWrap/>
        <w:overflowPunct/>
        <w:topLinePunct w:val="0"/>
        <w:bidi w:val="0"/>
        <w:snapToGrid/>
        <w:spacing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地点：</w:t>
      </w:r>
      <w:r>
        <w:rPr>
          <w:rFonts w:hint="eastAsia" w:ascii="仿宋" w:hAnsi="仿宋" w:eastAsia="仿宋" w:cs="仿宋"/>
          <w:color w:val="auto"/>
          <w:sz w:val="24"/>
          <w:szCs w:val="24"/>
          <w:highlight w:val="none"/>
          <w:lang w:eastAsia="zh-CN"/>
        </w:rPr>
        <w:t>吉安市吉州区长冈南路29号二楼</w:t>
      </w:r>
      <w:r>
        <w:rPr>
          <w:rFonts w:hint="eastAsia" w:ascii="仿宋" w:hAnsi="仿宋" w:eastAsia="仿宋" w:cs="仿宋"/>
          <w:color w:val="auto"/>
          <w:sz w:val="24"/>
          <w:szCs w:val="24"/>
          <w:highlight w:val="none"/>
        </w:rPr>
        <w:t>。</w:t>
      </w:r>
    </w:p>
    <w:p w14:paraId="3E490596">
      <w:pPr>
        <w:pageBreakBefore w:val="0"/>
        <w:widowControl w:val="0"/>
        <w:kinsoku/>
        <w:wordWrap/>
        <w:overflowPunct/>
        <w:topLinePunct w:val="0"/>
        <w:bidi w:val="0"/>
        <w:snapToGrid/>
        <w:spacing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方式：</w:t>
      </w:r>
    </w:p>
    <w:p w14:paraId="399C750B">
      <w:pPr>
        <w:pageBreakBefore w:val="0"/>
        <w:widowControl w:val="0"/>
        <w:kinsoku/>
        <w:wordWrap/>
        <w:overflowPunct/>
        <w:topLinePunct w:val="0"/>
        <w:bidi w:val="0"/>
        <w:snapToGrid/>
        <w:spacing w:line="360" w:lineRule="auto"/>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1.线下报名：</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报名申请表（见招标公告附件）加盖投标人公章、</w:t>
      </w:r>
      <w:r>
        <w:rPr>
          <w:rFonts w:hint="eastAsia" w:ascii="仿宋" w:hAnsi="仿宋" w:eastAsia="仿宋" w:cs="仿宋"/>
          <w:color w:val="auto"/>
          <w:sz w:val="24"/>
          <w:szCs w:val="24"/>
          <w:highlight w:val="none"/>
        </w:rPr>
        <w:t>法定代表人授权书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格式自拟</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原件、营业执照</w:t>
      </w:r>
      <w:r>
        <w:rPr>
          <w:rFonts w:hint="eastAsia" w:ascii="仿宋" w:hAnsi="仿宋" w:eastAsia="仿宋" w:cs="仿宋"/>
          <w:color w:val="auto"/>
          <w:sz w:val="24"/>
          <w:szCs w:val="24"/>
          <w:highlight w:val="none"/>
          <w:lang w:val="en-US" w:eastAsia="zh-CN"/>
        </w:rPr>
        <w:t>及被授权人</w:t>
      </w:r>
      <w:r>
        <w:rPr>
          <w:rFonts w:hint="eastAsia" w:ascii="仿宋" w:hAnsi="仿宋" w:eastAsia="仿宋" w:cs="仿宋"/>
          <w:color w:val="auto"/>
          <w:sz w:val="24"/>
          <w:szCs w:val="24"/>
          <w:highlight w:val="none"/>
        </w:rPr>
        <w:t>身份证复印件加盖</w:t>
      </w:r>
      <w:r>
        <w:rPr>
          <w:rFonts w:hint="eastAsia" w:ascii="仿宋" w:hAnsi="仿宋" w:eastAsia="仿宋" w:cs="仿宋"/>
          <w:color w:val="auto"/>
          <w:sz w:val="24"/>
          <w:szCs w:val="24"/>
          <w:highlight w:val="none"/>
          <w:lang w:val="en-US" w:eastAsia="zh-CN"/>
        </w:rPr>
        <w:t>投标人</w:t>
      </w:r>
      <w:r>
        <w:rPr>
          <w:rFonts w:hint="eastAsia" w:ascii="仿宋" w:hAnsi="仿宋" w:eastAsia="仿宋" w:cs="仿宋"/>
          <w:color w:val="auto"/>
          <w:sz w:val="24"/>
          <w:szCs w:val="24"/>
          <w:highlight w:val="none"/>
        </w:rPr>
        <w:t>公章至代理机构处报名后领取</w:t>
      </w:r>
      <w:r>
        <w:rPr>
          <w:rFonts w:hint="eastAsia" w:ascii="仿宋" w:hAnsi="仿宋" w:eastAsia="仿宋" w:cs="仿宋"/>
          <w:color w:val="auto"/>
          <w:sz w:val="24"/>
          <w:szCs w:val="24"/>
          <w:highlight w:val="none"/>
          <w:lang w:eastAsia="zh-CN"/>
        </w:rPr>
        <w:t>招标</w:t>
      </w:r>
      <w:r>
        <w:rPr>
          <w:rFonts w:hint="eastAsia" w:ascii="仿宋" w:hAnsi="仿宋" w:eastAsia="仿宋" w:cs="仿宋"/>
          <w:color w:val="auto"/>
          <w:sz w:val="24"/>
          <w:szCs w:val="24"/>
          <w:highlight w:val="none"/>
        </w:rPr>
        <w:t>文件</w:t>
      </w:r>
      <w:r>
        <w:rPr>
          <w:rFonts w:hint="eastAsia" w:ascii="仿宋" w:hAnsi="仿宋" w:eastAsia="仿宋" w:cs="仿宋"/>
          <w:color w:val="auto"/>
          <w:sz w:val="24"/>
          <w:szCs w:val="24"/>
          <w:highlight w:val="none"/>
          <w:lang w:eastAsia="zh-CN"/>
        </w:rPr>
        <w:t>。</w:t>
      </w:r>
    </w:p>
    <w:p w14:paraId="0A59657C">
      <w:pPr>
        <w:pageBreakBefore w:val="0"/>
        <w:widowControl w:val="0"/>
        <w:kinsoku/>
        <w:wordWrap/>
        <w:overflowPunct/>
        <w:topLinePunct w:val="0"/>
        <w:bidi w:val="0"/>
        <w:snapToGrid/>
        <w:spacing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2.网上报名：可将上述材料以扫描件的形式发送至邮箱：jxqh123456@163.com，待代理机构审核报名资料无误后获取招标文件</w:t>
      </w:r>
      <w:r>
        <w:rPr>
          <w:rFonts w:hint="eastAsia" w:ascii="仿宋" w:hAnsi="仿宋" w:eastAsia="仿宋" w:cs="仿宋"/>
          <w:color w:val="auto"/>
          <w:sz w:val="24"/>
          <w:szCs w:val="24"/>
          <w:highlight w:val="none"/>
        </w:rPr>
        <w:t>。</w:t>
      </w:r>
    </w:p>
    <w:p w14:paraId="348F1BAF">
      <w:pPr>
        <w:pageBreakBefore w:val="0"/>
        <w:widowControl w:val="0"/>
        <w:kinsoku/>
        <w:wordWrap/>
        <w:overflowPunct/>
        <w:topLinePunct w:val="0"/>
        <w:bidi w:val="0"/>
        <w:snapToGrid/>
        <w:spacing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售价：0元/份</w:t>
      </w:r>
    </w:p>
    <w:p w14:paraId="71813C3C">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b/>
          <w:bCs w:val="0"/>
          <w:color w:val="auto"/>
          <w:sz w:val="28"/>
          <w:szCs w:val="28"/>
          <w:highlight w:val="none"/>
        </w:rPr>
      </w:pPr>
      <w:bookmarkStart w:id="46" w:name="_Toc20992"/>
      <w:r>
        <w:rPr>
          <w:rFonts w:hint="eastAsia" w:ascii="仿宋" w:hAnsi="仿宋" w:eastAsia="仿宋" w:cs="仿宋"/>
          <w:b/>
          <w:bCs w:val="0"/>
          <w:color w:val="auto"/>
          <w:sz w:val="28"/>
          <w:szCs w:val="28"/>
          <w:highlight w:val="none"/>
        </w:rPr>
        <w:t>四、提交投标文件</w:t>
      </w:r>
      <w:bookmarkEnd w:id="40"/>
      <w:bookmarkEnd w:id="41"/>
      <w:r>
        <w:rPr>
          <w:rFonts w:hint="eastAsia" w:ascii="仿宋" w:hAnsi="仿宋" w:eastAsia="仿宋" w:cs="仿宋"/>
          <w:b/>
          <w:bCs w:val="0"/>
          <w:color w:val="auto"/>
          <w:sz w:val="28"/>
          <w:szCs w:val="28"/>
          <w:highlight w:val="none"/>
        </w:rPr>
        <w:t>截止时间、开标时间和地点</w:t>
      </w:r>
      <w:bookmarkEnd w:id="42"/>
      <w:bookmarkEnd w:id="43"/>
      <w:bookmarkEnd w:id="44"/>
      <w:bookmarkEnd w:id="45"/>
      <w:bookmarkEnd w:id="46"/>
    </w:p>
    <w:p w14:paraId="329AF5DC">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bCs w:val="0"/>
          <w:color w:val="auto"/>
          <w:sz w:val="24"/>
          <w:szCs w:val="24"/>
          <w:highlight w:val="none"/>
          <w:u w:val="single"/>
          <w:lang w:eastAsia="zh-CN"/>
        </w:rPr>
      </w:pPr>
      <w:r>
        <w:rPr>
          <w:rFonts w:hint="eastAsia" w:ascii="仿宋" w:hAnsi="仿宋" w:eastAsia="仿宋" w:cs="仿宋"/>
          <w:bCs/>
          <w:color w:val="auto"/>
          <w:sz w:val="24"/>
          <w:szCs w:val="24"/>
          <w:highlight w:val="none"/>
          <w:u w:val="none"/>
        </w:rPr>
        <w:t>本项目投标截止时间和开标时间为</w:t>
      </w:r>
      <w:r>
        <w:rPr>
          <w:rFonts w:hint="eastAsia" w:ascii="仿宋" w:hAnsi="仿宋" w:eastAsia="仿宋" w:cs="仿宋"/>
          <w:bCs/>
          <w:color w:val="auto"/>
          <w:sz w:val="24"/>
          <w:szCs w:val="24"/>
          <w:highlight w:val="none"/>
          <w:u w:val="none"/>
          <w:lang w:val="en-US" w:eastAsia="zh-CN"/>
        </w:rPr>
        <w:t xml:space="preserve"> 2026</w:t>
      </w:r>
      <w:r>
        <w:rPr>
          <w:rFonts w:hint="eastAsia" w:ascii="仿宋" w:hAnsi="仿宋" w:eastAsia="仿宋" w:cs="仿宋"/>
          <w:bCs/>
          <w:color w:val="auto"/>
          <w:sz w:val="24"/>
          <w:szCs w:val="24"/>
          <w:highlight w:val="none"/>
          <w:u w:val="none"/>
        </w:rPr>
        <w:t>年</w:t>
      </w:r>
      <w:r>
        <w:rPr>
          <w:rFonts w:hint="eastAsia" w:ascii="仿宋" w:hAnsi="仿宋" w:eastAsia="仿宋" w:cs="仿宋"/>
          <w:bCs/>
          <w:color w:val="auto"/>
          <w:sz w:val="24"/>
          <w:szCs w:val="24"/>
          <w:highlight w:val="none"/>
          <w:u w:val="none"/>
          <w:lang w:val="en-US" w:eastAsia="zh-CN"/>
        </w:rPr>
        <w:t>7</w:t>
      </w:r>
      <w:r>
        <w:rPr>
          <w:rFonts w:hint="eastAsia" w:ascii="仿宋" w:hAnsi="仿宋" w:eastAsia="仿宋" w:cs="仿宋"/>
          <w:bCs/>
          <w:color w:val="auto"/>
          <w:sz w:val="24"/>
          <w:szCs w:val="24"/>
          <w:highlight w:val="none"/>
          <w:u w:val="none"/>
        </w:rPr>
        <w:t>月</w:t>
      </w:r>
      <w:r>
        <w:rPr>
          <w:rFonts w:hint="eastAsia" w:ascii="仿宋" w:hAnsi="仿宋" w:eastAsia="仿宋" w:cs="仿宋"/>
          <w:bCs/>
          <w:color w:val="auto"/>
          <w:sz w:val="24"/>
          <w:szCs w:val="24"/>
          <w:highlight w:val="none"/>
          <w:u w:val="none"/>
          <w:lang w:val="en-US" w:eastAsia="zh-CN"/>
        </w:rPr>
        <w:t>1</w:t>
      </w:r>
      <w:r>
        <w:rPr>
          <w:rFonts w:hint="eastAsia" w:ascii="仿宋" w:hAnsi="仿宋" w:eastAsia="仿宋" w:cs="仿宋"/>
          <w:bCs/>
          <w:color w:val="auto"/>
          <w:sz w:val="24"/>
          <w:szCs w:val="24"/>
          <w:highlight w:val="none"/>
          <w:u w:val="none"/>
        </w:rPr>
        <w:t>日</w:t>
      </w:r>
      <w:r>
        <w:rPr>
          <w:rFonts w:hint="eastAsia" w:ascii="仿宋" w:hAnsi="仿宋" w:eastAsia="仿宋" w:cs="仿宋"/>
          <w:bCs/>
          <w:color w:val="auto"/>
          <w:sz w:val="24"/>
          <w:szCs w:val="24"/>
          <w:highlight w:val="none"/>
          <w:u w:val="none"/>
          <w:lang w:val="en-US" w:eastAsia="zh-CN"/>
        </w:rPr>
        <w:t>9</w:t>
      </w:r>
      <w:r>
        <w:rPr>
          <w:rFonts w:hint="eastAsia" w:ascii="仿宋" w:hAnsi="仿宋" w:eastAsia="仿宋" w:cs="仿宋"/>
          <w:bCs/>
          <w:color w:val="auto"/>
          <w:sz w:val="24"/>
          <w:szCs w:val="24"/>
          <w:highlight w:val="none"/>
          <w:u w:val="none"/>
        </w:rPr>
        <w:t>点</w:t>
      </w:r>
      <w:r>
        <w:rPr>
          <w:rFonts w:hint="eastAsia" w:ascii="仿宋" w:hAnsi="仿宋" w:eastAsia="仿宋" w:cs="仿宋"/>
          <w:bCs/>
          <w:color w:val="auto"/>
          <w:sz w:val="24"/>
          <w:szCs w:val="24"/>
          <w:highlight w:val="none"/>
          <w:u w:val="none"/>
          <w:lang w:val="en-US" w:eastAsia="zh-CN"/>
        </w:rPr>
        <w:t>30</w:t>
      </w:r>
      <w:r>
        <w:rPr>
          <w:rFonts w:hint="eastAsia" w:ascii="仿宋" w:hAnsi="仿宋" w:eastAsia="仿宋" w:cs="仿宋"/>
          <w:bCs/>
          <w:color w:val="auto"/>
          <w:sz w:val="24"/>
          <w:szCs w:val="24"/>
          <w:highlight w:val="none"/>
          <w:u w:val="none"/>
        </w:rPr>
        <w:t>分</w:t>
      </w:r>
      <w:r>
        <w:rPr>
          <w:rFonts w:hint="eastAsia" w:ascii="仿宋" w:hAnsi="仿宋" w:eastAsia="仿宋" w:cs="仿宋"/>
          <w:bCs/>
          <w:color w:val="auto"/>
          <w:sz w:val="24"/>
          <w:szCs w:val="24"/>
          <w:highlight w:val="none"/>
        </w:rPr>
        <w:t>（北京时间）</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投标人必须在投标截止时间前将纸质投标文件送达开标现场，</w:t>
      </w:r>
      <w:r>
        <w:rPr>
          <w:rFonts w:hint="eastAsia" w:ascii="仿宋" w:hAnsi="仿宋" w:eastAsia="仿宋" w:cs="仿宋"/>
          <w:b/>
          <w:bCs w:val="0"/>
          <w:color w:val="auto"/>
          <w:sz w:val="24"/>
          <w:szCs w:val="24"/>
          <w:highlight w:val="none"/>
        </w:rPr>
        <w:t>逾期作无效投标处理</w:t>
      </w:r>
      <w:r>
        <w:rPr>
          <w:rFonts w:hint="eastAsia" w:ascii="仿宋" w:hAnsi="仿宋" w:eastAsia="仿宋" w:cs="仿宋"/>
          <w:b/>
          <w:bCs w:val="0"/>
          <w:color w:val="auto"/>
          <w:sz w:val="24"/>
          <w:szCs w:val="24"/>
          <w:highlight w:val="none"/>
          <w:lang w:eastAsia="zh-CN"/>
        </w:rPr>
        <w:t>。</w:t>
      </w:r>
    </w:p>
    <w:p w14:paraId="08E66618">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地点：</w:t>
      </w:r>
      <w:r>
        <w:rPr>
          <w:rFonts w:hint="eastAsia" w:ascii="仿宋" w:hAnsi="仿宋" w:eastAsia="仿宋" w:cs="仿宋"/>
          <w:bCs/>
          <w:color w:val="auto"/>
          <w:sz w:val="24"/>
          <w:szCs w:val="24"/>
          <w:highlight w:val="none"/>
          <w:lang w:val="en-US" w:eastAsia="zh-CN"/>
        </w:rPr>
        <w:t>江西企恒企业管理有限公司（吉安市吉州区长冈南路29号二楼）</w:t>
      </w:r>
    </w:p>
    <w:p w14:paraId="460D2FFC">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b/>
          <w:bCs w:val="0"/>
          <w:color w:val="auto"/>
          <w:sz w:val="28"/>
          <w:szCs w:val="28"/>
          <w:highlight w:val="none"/>
        </w:rPr>
      </w:pPr>
      <w:bookmarkStart w:id="47" w:name="_Toc13736"/>
      <w:bookmarkStart w:id="48" w:name="_Toc35393625"/>
      <w:bookmarkStart w:id="49" w:name="_Toc28359007"/>
      <w:bookmarkStart w:id="50" w:name="_Toc28359084"/>
      <w:bookmarkStart w:id="51" w:name="_Toc8578"/>
      <w:bookmarkStart w:id="52" w:name="_Toc11921"/>
      <w:bookmarkStart w:id="53" w:name="_Toc35393794"/>
      <w:r>
        <w:rPr>
          <w:rFonts w:hint="eastAsia" w:ascii="仿宋" w:hAnsi="仿宋" w:eastAsia="仿宋" w:cs="仿宋"/>
          <w:b/>
          <w:bCs w:val="0"/>
          <w:color w:val="auto"/>
          <w:sz w:val="28"/>
          <w:szCs w:val="28"/>
          <w:highlight w:val="none"/>
        </w:rPr>
        <w:t>五、公告期限</w:t>
      </w:r>
      <w:bookmarkEnd w:id="47"/>
      <w:bookmarkEnd w:id="48"/>
      <w:bookmarkEnd w:id="49"/>
      <w:bookmarkEnd w:id="50"/>
      <w:bookmarkEnd w:id="51"/>
      <w:bookmarkEnd w:id="52"/>
      <w:bookmarkEnd w:id="53"/>
    </w:p>
    <w:p w14:paraId="2A87376E">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自本公告发布之日起5个工作日。</w:t>
      </w:r>
    </w:p>
    <w:p w14:paraId="1C3B08F6">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b/>
          <w:bCs w:val="0"/>
          <w:color w:val="auto"/>
          <w:sz w:val="28"/>
          <w:szCs w:val="28"/>
          <w:highlight w:val="none"/>
        </w:rPr>
      </w:pPr>
      <w:bookmarkStart w:id="54" w:name="_Toc35393795"/>
      <w:bookmarkStart w:id="55" w:name="_Toc35393626"/>
      <w:bookmarkStart w:id="56" w:name="_Toc5483"/>
      <w:bookmarkStart w:id="57" w:name="_Toc19971"/>
      <w:bookmarkStart w:id="58" w:name="_Toc7815"/>
      <w:r>
        <w:rPr>
          <w:rFonts w:hint="eastAsia" w:ascii="仿宋" w:hAnsi="仿宋" w:eastAsia="仿宋" w:cs="仿宋"/>
          <w:b/>
          <w:bCs w:val="0"/>
          <w:color w:val="auto"/>
          <w:sz w:val="28"/>
          <w:szCs w:val="28"/>
          <w:highlight w:val="none"/>
        </w:rPr>
        <w:t>六、其他补充事宜</w:t>
      </w:r>
      <w:bookmarkEnd w:id="54"/>
      <w:bookmarkEnd w:id="55"/>
      <w:bookmarkEnd w:id="56"/>
      <w:bookmarkEnd w:id="57"/>
      <w:bookmarkEnd w:id="58"/>
    </w:p>
    <w:p w14:paraId="54D180FE">
      <w:pPr>
        <w:pStyle w:val="28"/>
        <w:pageBreakBefore w:val="0"/>
        <w:kinsoku/>
        <w:wordWrap/>
        <w:overflowPunct/>
        <w:topLinePunct w:val="0"/>
        <w:bidi w:val="0"/>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1.采购代理服务费：本项目向中标供应商收取采购代理服务费（不含税），收费标准详见招标文件。</w:t>
      </w:r>
    </w:p>
    <w:p w14:paraId="70514CF3">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sz w:val="24"/>
          <w:szCs w:val="24"/>
          <w:highlight w:val="none"/>
          <w:lang w:val="en-US" w:eastAsia="zh-CN"/>
        </w:rPr>
        <w:t>2.本项目评标方式为综合评分法。</w:t>
      </w:r>
    </w:p>
    <w:p w14:paraId="3BB7109B">
      <w:pPr>
        <w:pStyle w:val="28"/>
        <w:pageBreakBefore w:val="0"/>
        <w:kinsoku/>
        <w:wordWrap/>
        <w:overflowPunct/>
        <w:topLinePunct w:val="0"/>
        <w:bidi w:val="0"/>
        <w:snapToGrid/>
        <w:spacing w:line="360" w:lineRule="auto"/>
        <w:textAlignment w:val="auto"/>
        <w:rPr>
          <w:rFonts w:hint="eastAsia" w:ascii="仿宋" w:hAnsi="仿宋" w:eastAsia="仿宋" w:cs="仿宋"/>
          <w:b/>
          <w:bCs/>
          <w:color w:val="auto"/>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b/>
          <w:bCs/>
          <w:color w:val="auto"/>
          <w:sz w:val="24"/>
          <w:szCs w:val="24"/>
          <w:highlight w:val="none"/>
          <w:lang w:val="en-US" w:eastAsia="zh-CN"/>
        </w:rPr>
        <w:t>特别说明：投标人须将除招标文件和报价表外的零散资料装入单独的文件袋中（可不密封），并在文件袋上注明投标人名称，代理机构概不接收未袋装的零散资料。</w:t>
      </w:r>
    </w:p>
    <w:p w14:paraId="2EF386D4">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b/>
          <w:bCs w:val="0"/>
          <w:color w:val="auto"/>
          <w:sz w:val="28"/>
          <w:szCs w:val="28"/>
          <w:highlight w:val="none"/>
        </w:rPr>
      </w:pPr>
      <w:bookmarkStart w:id="59" w:name="_Toc14977"/>
      <w:bookmarkStart w:id="60" w:name="_Toc5855"/>
      <w:r>
        <w:rPr>
          <w:rFonts w:hint="eastAsia" w:ascii="仿宋" w:hAnsi="仿宋" w:eastAsia="仿宋" w:cs="仿宋"/>
          <w:b/>
          <w:bCs w:val="0"/>
          <w:color w:val="auto"/>
          <w:sz w:val="28"/>
          <w:szCs w:val="28"/>
          <w:highlight w:val="none"/>
        </w:rPr>
        <w:t>七、对本次招标提出询问，请按以下方式联系。</w:t>
      </w:r>
      <w:bookmarkEnd w:id="29"/>
      <w:bookmarkEnd w:id="30"/>
      <w:bookmarkEnd w:id="31"/>
      <w:bookmarkEnd w:id="32"/>
      <w:bookmarkEnd w:id="33"/>
      <w:bookmarkEnd w:id="34"/>
      <w:bookmarkEnd w:id="59"/>
      <w:bookmarkEnd w:id="60"/>
    </w:p>
    <w:p w14:paraId="09547F0D">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1.采购人信息</w:t>
      </w:r>
    </w:p>
    <w:p w14:paraId="49D0EF5D">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名</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称：</w:t>
      </w:r>
      <w:r>
        <w:rPr>
          <w:rFonts w:hint="eastAsia" w:ascii="仿宋" w:hAnsi="仿宋" w:eastAsia="仿宋" w:cs="仿宋"/>
          <w:color w:val="auto"/>
          <w:sz w:val="24"/>
          <w:szCs w:val="24"/>
          <w:highlight w:val="none"/>
          <w:lang w:eastAsia="zh-CN"/>
        </w:rPr>
        <w:t>吉安市中等专业学校</w:t>
      </w:r>
    </w:p>
    <w:p w14:paraId="044EB9D0">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地</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址：</w:t>
      </w:r>
      <w:r>
        <w:rPr>
          <w:rFonts w:hint="eastAsia" w:ascii="仿宋" w:hAnsi="仿宋" w:eastAsia="仿宋" w:cs="仿宋"/>
          <w:color w:val="auto"/>
          <w:sz w:val="24"/>
          <w:szCs w:val="24"/>
          <w:highlight w:val="none"/>
          <w:lang w:val="en-US" w:eastAsia="zh-CN"/>
        </w:rPr>
        <w:t>吉安市吉州区樟山镇翠屏路36号</w:t>
      </w:r>
    </w:p>
    <w:p w14:paraId="7A41CB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none"/>
          <w:lang w:val="en-US" w:eastAsia="zh-CN"/>
        </w:rPr>
        <w:t>联 系 人：熊老师</w:t>
      </w:r>
    </w:p>
    <w:p w14:paraId="1C9C92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联</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式：</w:t>
      </w:r>
      <w:bookmarkStart w:id="61" w:name="_Toc28359009"/>
      <w:bookmarkStart w:id="62" w:name="_Toc28359086"/>
      <w:r>
        <w:rPr>
          <w:rFonts w:hint="eastAsia" w:ascii="仿宋" w:hAnsi="仿宋" w:eastAsia="仿宋" w:cs="仿宋"/>
          <w:color w:val="auto"/>
          <w:sz w:val="24"/>
          <w:szCs w:val="24"/>
          <w:highlight w:val="none"/>
        </w:rPr>
        <w:t>15879409764</w:t>
      </w:r>
      <w:r>
        <w:rPr>
          <w:rFonts w:hint="eastAsia" w:ascii="仿宋" w:hAnsi="仿宋" w:eastAsia="仿宋" w:cs="仿宋"/>
          <w:color w:val="auto"/>
          <w:sz w:val="24"/>
          <w:szCs w:val="24"/>
          <w:highlight w:val="none"/>
          <w:lang w:val="en-US"/>
        </w:rPr>
        <w:t xml:space="preserve"> </w:t>
      </w:r>
    </w:p>
    <w:p w14:paraId="4E4A459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2.采购代理机构信息</w:t>
      </w:r>
      <w:bookmarkEnd w:id="61"/>
      <w:bookmarkEnd w:id="62"/>
    </w:p>
    <w:p w14:paraId="1AC4CC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称：</w:t>
      </w:r>
      <w:r>
        <w:rPr>
          <w:rFonts w:hint="eastAsia" w:ascii="仿宋" w:hAnsi="仿宋" w:eastAsia="仿宋" w:cs="仿宋"/>
          <w:color w:val="auto"/>
          <w:sz w:val="24"/>
          <w:szCs w:val="24"/>
          <w:highlight w:val="none"/>
          <w:lang w:eastAsia="zh-CN"/>
        </w:rPr>
        <w:t>江西企恒企业管理有限公司</w:t>
      </w:r>
      <w:r>
        <w:rPr>
          <w:rFonts w:hint="eastAsia" w:ascii="仿宋" w:hAnsi="仿宋" w:eastAsia="仿宋" w:cs="仿宋"/>
          <w:color w:val="auto"/>
          <w:sz w:val="24"/>
          <w:szCs w:val="24"/>
          <w:highlight w:val="none"/>
        </w:rPr>
        <w:t>　　　　　　　　　　　　</w:t>
      </w:r>
    </w:p>
    <w:p w14:paraId="5852DA4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址：</w:t>
      </w:r>
      <w:r>
        <w:rPr>
          <w:rFonts w:hint="eastAsia" w:ascii="仿宋" w:hAnsi="仿宋" w:eastAsia="仿宋" w:cs="仿宋"/>
          <w:color w:val="auto"/>
          <w:sz w:val="24"/>
          <w:szCs w:val="24"/>
          <w:highlight w:val="none"/>
          <w:lang w:val="en-US" w:eastAsia="zh-CN"/>
        </w:rPr>
        <w:t>吉安市吉州区长冈南路29号二楼</w:t>
      </w:r>
      <w:r>
        <w:rPr>
          <w:rFonts w:hint="eastAsia" w:ascii="仿宋" w:hAnsi="仿宋" w:eastAsia="仿宋" w:cs="仿宋"/>
          <w:color w:val="auto"/>
          <w:sz w:val="24"/>
          <w:szCs w:val="24"/>
          <w:highlight w:val="none"/>
        </w:rPr>
        <w:t>　</w:t>
      </w:r>
    </w:p>
    <w:p w14:paraId="775A46E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联</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系</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人：</w:t>
      </w:r>
      <w:r>
        <w:rPr>
          <w:rFonts w:hint="eastAsia" w:ascii="仿宋" w:hAnsi="仿宋" w:eastAsia="仿宋" w:cs="仿宋"/>
          <w:color w:val="auto"/>
          <w:sz w:val="24"/>
          <w:szCs w:val="24"/>
          <w:highlight w:val="none"/>
          <w:lang w:val="en-US" w:eastAsia="zh-CN"/>
        </w:rPr>
        <w:t>朱</w:t>
      </w:r>
      <w:r>
        <w:rPr>
          <w:rFonts w:hint="eastAsia" w:ascii="仿宋" w:hAnsi="仿宋" w:eastAsia="仿宋" w:cs="仿宋"/>
          <w:color w:val="auto"/>
          <w:sz w:val="24"/>
          <w:szCs w:val="24"/>
          <w:highlight w:val="none"/>
          <w:lang w:eastAsia="zh-CN"/>
        </w:rPr>
        <w:t>先生</w:t>
      </w:r>
    </w:p>
    <w:p w14:paraId="5454486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联</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式：</w:t>
      </w:r>
      <w:bookmarkStart w:id="63" w:name="_Toc28359010"/>
      <w:bookmarkStart w:id="64" w:name="_Toc28359087"/>
      <w:r>
        <w:rPr>
          <w:rFonts w:hint="eastAsia" w:ascii="仿宋" w:hAnsi="仿宋" w:eastAsia="仿宋" w:cs="仿宋"/>
          <w:color w:val="auto"/>
          <w:sz w:val="24"/>
          <w:szCs w:val="24"/>
          <w:highlight w:val="none"/>
          <w:lang w:val="en-US" w:eastAsia="zh-CN"/>
        </w:rPr>
        <w:t>0796-8181718</w:t>
      </w:r>
    </w:p>
    <w:p w14:paraId="2A2A018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电</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子</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邮</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箱：</w:t>
      </w:r>
      <w:r>
        <w:rPr>
          <w:rFonts w:hint="eastAsia" w:ascii="仿宋" w:hAnsi="仿宋" w:eastAsia="仿宋" w:cs="仿宋"/>
          <w:color w:val="auto"/>
          <w:sz w:val="24"/>
          <w:szCs w:val="24"/>
          <w:highlight w:val="none"/>
          <w:lang w:val="en-US" w:eastAsia="zh-CN"/>
        </w:rPr>
        <w:t>jxqh123456@163.com</w:t>
      </w:r>
    </w:p>
    <w:p w14:paraId="5E65253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3.项目联系方式</w:t>
      </w:r>
      <w:bookmarkEnd w:id="63"/>
      <w:bookmarkEnd w:id="64"/>
    </w:p>
    <w:p w14:paraId="549807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目</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联</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人：</w:t>
      </w:r>
      <w:r>
        <w:rPr>
          <w:rFonts w:hint="eastAsia" w:ascii="仿宋" w:hAnsi="仿宋" w:eastAsia="仿宋" w:cs="仿宋"/>
          <w:color w:val="auto"/>
          <w:sz w:val="24"/>
          <w:szCs w:val="24"/>
          <w:highlight w:val="none"/>
          <w:lang w:eastAsia="zh-CN"/>
        </w:rPr>
        <w:t>朱先生</w:t>
      </w:r>
    </w:p>
    <w:p w14:paraId="732DC55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0796-8181718</w:t>
      </w:r>
    </w:p>
    <w:p w14:paraId="0D68A830">
      <w:pPr>
        <w:pageBreakBefore w:val="0"/>
        <w:kinsoku/>
        <w:wordWrap/>
        <w:overflowPunct/>
        <w:topLinePunct w:val="0"/>
        <w:bidi w:val="0"/>
        <w:snapToGrid/>
        <w:spacing w:line="336"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30232B45">
      <w:pPr>
        <w:pStyle w:val="3"/>
        <w:bidi w:val="0"/>
        <w:jc w:val="center"/>
        <w:rPr>
          <w:rFonts w:hint="eastAsia" w:ascii="仿宋" w:hAnsi="仿宋" w:eastAsia="仿宋" w:cs="仿宋"/>
          <w:color w:val="auto"/>
          <w:highlight w:val="none"/>
          <w:lang w:eastAsia="zh-CN"/>
        </w:rPr>
      </w:pPr>
      <w:bookmarkStart w:id="65" w:name="_Toc17948"/>
      <w:bookmarkStart w:id="66" w:name="_Toc26525"/>
      <w:bookmarkStart w:id="67" w:name="_Toc11642"/>
      <w:bookmarkStart w:id="68" w:name="_Toc26061"/>
      <w:bookmarkStart w:id="69" w:name="_Toc494114850"/>
      <w:r>
        <w:rPr>
          <w:rFonts w:hint="eastAsia" w:ascii="仿宋" w:hAnsi="仿宋" w:eastAsia="仿宋" w:cs="仿宋"/>
          <w:color w:val="auto"/>
          <w:highlight w:val="none"/>
        </w:rPr>
        <w:t>第二章　投标人须知</w:t>
      </w:r>
      <w:bookmarkEnd w:id="65"/>
      <w:bookmarkEnd w:id="66"/>
      <w:bookmarkEnd w:id="67"/>
      <w:bookmarkEnd w:id="68"/>
      <w:bookmarkEnd w:id="69"/>
    </w:p>
    <w:p w14:paraId="4A6653DD">
      <w:pPr>
        <w:pStyle w:val="4"/>
        <w:bidi w:val="0"/>
        <w:jc w:val="center"/>
        <w:rPr>
          <w:rFonts w:hint="eastAsia" w:ascii="仿宋" w:hAnsi="仿宋" w:eastAsia="仿宋" w:cs="仿宋"/>
          <w:color w:val="auto"/>
          <w:highlight w:val="none"/>
        </w:rPr>
      </w:pPr>
      <w:bookmarkStart w:id="70" w:name="_Toc24884"/>
      <w:bookmarkStart w:id="71" w:name="_Toc9558"/>
      <w:bookmarkStart w:id="72" w:name="_Toc494114851"/>
      <w:bookmarkStart w:id="73" w:name="_Toc18555"/>
      <w:bookmarkStart w:id="74" w:name="_Toc13697"/>
      <w:r>
        <w:rPr>
          <w:rFonts w:hint="eastAsia" w:ascii="仿宋" w:hAnsi="仿宋" w:eastAsia="仿宋" w:cs="仿宋"/>
          <w:color w:val="auto"/>
          <w:highlight w:val="none"/>
        </w:rPr>
        <w:t>一、投标人须知前附表</w:t>
      </w:r>
      <w:bookmarkEnd w:id="70"/>
      <w:bookmarkEnd w:id="71"/>
      <w:bookmarkEnd w:id="72"/>
      <w:bookmarkEnd w:id="73"/>
      <w:bookmarkEnd w:id="74"/>
    </w:p>
    <w:tbl>
      <w:tblPr>
        <w:tblStyle w:val="29"/>
        <w:tblW w:w="9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472"/>
        <w:gridCol w:w="7254"/>
      </w:tblGrid>
      <w:tr w14:paraId="4C40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846" w:type="dxa"/>
            <w:noWrap w:val="0"/>
            <w:vAlign w:val="center"/>
          </w:tcPr>
          <w:p w14:paraId="2BC16966">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1472" w:type="dxa"/>
            <w:noWrap w:val="0"/>
            <w:vAlign w:val="center"/>
          </w:tcPr>
          <w:p w14:paraId="3F7D85F3">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条款号</w:t>
            </w:r>
          </w:p>
        </w:tc>
        <w:tc>
          <w:tcPr>
            <w:tcW w:w="7254" w:type="dxa"/>
            <w:noWrap w:val="0"/>
            <w:vAlign w:val="center"/>
          </w:tcPr>
          <w:p w14:paraId="0DDA1BCD">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内    容</w:t>
            </w:r>
          </w:p>
        </w:tc>
      </w:tr>
      <w:tr w14:paraId="7791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noWrap w:val="0"/>
            <w:vAlign w:val="center"/>
          </w:tcPr>
          <w:p w14:paraId="4527C3CB">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472" w:type="dxa"/>
            <w:noWrap w:val="0"/>
            <w:vAlign w:val="center"/>
          </w:tcPr>
          <w:p w14:paraId="0B0C16DB">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p>
        </w:tc>
        <w:tc>
          <w:tcPr>
            <w:tcW w:w="7254" w:type="dxa"/>
            <w:noWrap w:val="0"/>
            <w:vAlign w:val="center"/>
          </w:tcPr>
          <w:p w14:paraId="40B7B09B">
            <w:pPr>
              <w:keepNext w:val="0"/>
              <w:keepLines w:val="0"/>
              <w:pageBreakBefore w:val="0"/>
              <w:widowControl w:val="0"/>
              <w:kinsoku/>
              <w:wordWrap/>
              <w:overflowPunct/>
              <w:topLinePunct w:val="0"/>
              <w:bidi w:val="0"/>
              <w:snapToGrid/>
              <w:spacing w:line="360" w:lineRule="auto"/>
              <w:ind w:left="180" w:hanging="1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项目名称及</w:t>
            </w:r>
            <w:r>
              <w:rPr>
                <w:rFonts w:hint="eastAsia" w:ascii="仿宋" w:hAnsi="仿宋" w:eastAsia="仿宋" w:cs="仿宋"/>
                <w:color w:val="auto"/>
                <w:sz w:val="24"/>
                <w:szCs w:val="24"/>
                <w:highlight w:val="none"/>
                <w:lang w:eastAsia="zh-CN"/>
              </w:rPr>
              <w:t>项目</w:t>
            </w:r>
            <w:r>
              <w:rPr>
                <w:rFonts w:hint="eastAsia" w:ascii="仿宋" w:hAnsi="仿宋" w:eastAsia="仿宋" w:cs="仿宋"/>
                <w:color w:val="auto"/>
                <w:sz w:val="24"/>
                <w:szCs w:val="24"/>
                <w:highlight w:val="none"/>
              </w:rPr>
              <w:t>编号：详见“第一章 投标邀请”</w:t>
            </w:r>
          </w:p>
        </w:tc>
      </w:tr>
      <w:tr w14:paraId="0043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noWrap w:val="0"/>
            <w:vAlign w:val="center"/>
          </w:tcPr>
          <w:p w14:paraId="69527388">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472" w:type="dxa"/>
            <w:noWrap w:val="0"/>
            <w:vAlign w:val="center"/>
          </w:tcPr>
          <w:p w14:paraId="21EDF357">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w:t>
            </w:r>
          </w:p>
        </w:tc>
        <w:tc>
          <w:tcPr>
            <w:tcW w:w="7254" w:type="dxa"/>
            <w:noWrap w:val="0"/>
            <w:vAlign w:val="center"/>
          </w:tcPr>
          <w:p w14:paraId="224ED64C">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采购人名称：详见“第一章 投标邀请”</w:t>
            </w:r>
          </w:p>
        </w:tc>
      </w:tr>
      <w:tr w14:paraId="79D1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noWrap w:val="0"/>
            <w:vAlign w:val="center"/>
          </w:tcPr>
          <w:p w14:paraId="3CE84301">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472" w:type="dxa"/>
            <w:noWrap w:val="0"/>
            <w:vAlign w:val="center"/>
          </w:tcPr>
          <w:p w14:paraId="454D3F02">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w:t>
            </w:r>
          </w:p>
        </w:tc>
        <w:tc>
          <w:tcPr>
            <w:tcW w:w="7254" w:type="dxa"/>
            <w:noWrap w:val="0"/>
            <w:vAlign w:val="center"/>
          </w:tcPr>
          <w:p w14:paraId="2AAE01F0">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采购代理机构：详见“第一章 投标邀请”</w:t>
            </w:r>
          </w:p>
        </w:tc>
      </w:tr>
      <w:tr w14:paraId="3FD1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noWrap w:val="0"/>
            <w:vAlign w:val="center"/>
          </w:tcPr>
          <w:p w14:paraId="35DEB693">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472" w:type="dxa"/>
            <w:noWrap w:val="0"/>
            <w:vAlign w:val="center"/>
          </w:tcPr>
          <w:p w14:paraId="7DEB9D5B">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3.2.1</w:t>
            </w:r>
          </w:p>
        </w:tc>
        <w:tc>
          <w:tcPr>
            <w:tcW w:w="7254" w:type="dxa"/>
            <w:noWrap w:val="0"/>
            <w:vAlign w:val="center"/>
          </w:tcPr>
          <w:p w14:paraId="316B1AE7">
            <w:pPr>
              <w:keepNext w:val="0"/>
              <w:keepLines w:val="0"/>
              <w:pageBreakBefore w:val="0"/>
              <w:widowControl w:val="0"/>
              <w:kinsoku/>
              <w:wordWrap/>
              <w:overflowPunct/>
              <w:topLinePunct w:val="0"/>
              <w:bidi w:val="0"/>
              <w:snapToGrid/>
              <w:spacing w:before="156" w:beforeLines="50"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本项目是否接受联合体投标：</w:t>
            </w:r>
            <w:r>
              <w:rPr>
                <w:rFonts w:hint="eastAsia" w:ascii="仿宋" w:hAnsi="仿宋" w:eastAsia="仿宋" w:cs="仿宋"/>
                <w:color w:val="auto"/>
                <w:sz w:val="24"/>
                <w:szCs w:val="24"/>
                <w:highlight w:val="none"/>
              </w:rPr>
              <w:t>详见“第一章 投标邀请”</w:t>
            </w:r>
          </w:p>
        </w:tc>
      </w:tr>
      <w:tr w14:paraId="05D7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846" w:type="dxa"/>
            <w:noWrap w:val="0"/>
            <w:vAlign w:val="center"/>
          </w:tcPr>
          <w:p w14:paraId="12380DE7">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1472" w:type="dxa"/>
            <w:noWrap w:val="0"/>
            <w:vAlign w:val="center"/>
          </w:tcPr>
          <w:p w14:paraId="257DBC4C">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p>
        </w:tc>
        <w:tc>
          <w:tcPr>
            <w:tcW w:w="7254" w:type="dxa"/>
            <w:noWrap w:val="0"/>
            <w:vAlign w:val="center"/>
          </w:tcPr>
          <w:p w14:paraId="3AD08064">
            <w:pPr>
              <w:keepNext w:val="0"/>
              <w:keepLines w:val="0"/>
              <w:pageBreakBefore w:val="0"/>
              <w:widowControl w:val="0"/>
              <w:kinsoku/>
              <w:wordWrap/>
              <w:overflowPunct/>
              <w:topLinePunct w:val="0"/>
              <w:bidi w:val="0"/>
              <w:snapToGrid/>
              <w:spacing w:before="156" w:beforeLines="50"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1.满足《中华人民共和国政府采购法》第二十二条规定：详见“第四章 投标文件参考格式 </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.投标人应当提交的资格、资信证明文件”</w:t>
            </w:r>
          </w:p>
          <w:p w14:paraId="29E94101">
            <w:pPr>
              <w:keepNext w:val="0"/>
              <w:keepLines w:val="0"/>
              <w:pageBreakBefore w:val="0"/>
              <w:widowControl w:val="0"/>
              <w:kinsoku/>
              <w:wordWrap/>
              <w:overflowPunct/>
              <w:topLinePunct w:val="0"/>
              <w:bidi w:val="0"/>
              <w:snapToGrid/>
              <w:spacing w:before="156" w:beforeLines="50"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2.落实政府采购政策需满足的资格要求：详见“第一章 投标邀请”</w:t>
            </w:r>
          </w:p>
          <w:p w14:paraId="3C1FDEF2">
            <w:pPr>
              <w:keepNext w:val="0"/>
              <w:keepLines w:val="0"/>
              <w:pageBreakBefore w:val="0"/>
              <w:widowControl w:val="0"/>
              <w:kinsoku/>
              <w:wordWrap/>
              <w:overflowPunct/>
              <w:topLinePunct w:val="0"/>
              <w:bidi w:val="0"/>
              <w:snapToGrid/>
              <w:spacing w:before="156" w:beforeLines="50"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3.本项目的特定资格要求：详见“第四章 投标文件参考格式</w:t>
            </w:r>
            <w:r>
              <w:rPr>
                <w:rFonts w:hint="eastAsia" w:ascii="仿宋" w:hAnsi="仿宋" w:eastAsia="仿宋" w:cs="仿宋"/>
                <w:color w:val="auto"/>
                <w:sz w:val="24"/>
                <w:highlight w:val="none"/>
                <w:lang w:val="en-US" w:eastAsia="zh-CN"/>
              </w:rPr>
              <w:t xml:space="preserve"> 特定</w:t>
            </w:r>
            <w:r>
              <w:rPr>
                <w:rFonts w:hint="eastAsia" w:ascii="仿宋" w:hAnsi="仿宋" w:eastAsia="仿宋" w:cs="仿宋"/>
                <w:color w:val="auto"/>
                <w:sz w:val="24"/>
                <w:highlight w:val="none"/>
              </w:rPr>
              <w:t>资格证明文件”</w:t>
            </w:r>
          </w:p>
        </w:tc>
      </w:tr>
      <w:tr w14:paraId="0BFA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46" w:type="dxa"/>
            <w:noWrap w:val="0"/>
            <w:vAlign w:val="center"/>
          </w:tcPr>
          <w:p w14:paraId="6C2B0691">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1472" w:type="dxa"/>
            <w:noWrap w:val="0"/>
            <w:vAlign w:val="center"/>
          </w:tcPr>
          <w:p w14:paraId="752FBA88">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p>
        </w:tc>
        <w:tc>
          <w:tcPr>
            <w:tcW w:w="7254" w:type="dxa"/>
            <w:noWrap w:val="0"/>
            <w:vAlign w:val="center"/>
          </w:tcPr>
          <w:p w14:paraId="25549A6E">
            <w:pPr>
              <w:keepNext w:val="0"/>
              <w:keepLines w:val="0"/>
              <w:pageBreakBefore w:val="0"/>
              <w:widowControl w:val="0"/>
              <w:kinsoku/>
              <w:wordWrap/>
              <w:overflowPunct/>
              <w:topLinePunct w:val="0"/>
              <w:bidi w:val="0"/>
              <w:snapToGrid/>
              <w:spacing w:before="156" w:beforeLines="50" w:line="360" w:lineRule="auto"/>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highlight w:val="none"/>
              </w:rPr>
              <w:t>为落实政府采购政策，采购标的需满足的要求，以及投标人须提供的证明材料</w:t>
            </w:r>
          </w:p>
        </w:tc>
      </w:tr>
      <w:tr w14:paraId="5BE8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46" w:type="dxa"/>
            <w:noWrap w:val="0"/>
            <w:vAlign w:val="center"/>
          </w:tcPr>
          <w:p w14:paraId="3739E723">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p>
        </w:tc>
        <w:tc>
          <w:tcPr>
            <w:tcW w:w="1472" w:type="dxa"/>
            <w:noWrap w:val="0"/>
            <w:vAlign w:val="center"/>
          </w:tcPr>
          <w:p w14:paraId="11B86624">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w:t>
            </w:r>
          </w:p>
        </w:tc>
        <w:tc>
          <w:tcPr>
            <w:tcW w:w="7254" w:type="dxa"/>
            <w:noWrap w:val="0"/>
            <w:vAlign w:val="center"/>
          </w:tcPr>
          <w:p w14:paraId="27E0F349">
            <w:pPr>
              <w:keepNext w:val="0"/>
              <w:keepLines w:val="0"/>
              <w:pageBreakBefore w:val="0"/>
              <w:widowControl w:val="0"/>
              <w:kinsoku/>
              <w:wordWrap/>
              <w:overflowPunct/>
              <w:topLinePunct w:val="0"/>
              <w:bidi w:val="0"/>
              <w:snapToGrid/>
              <w:spacing w:before="156" w:beforeLines="50" w:line="360" w:lineRule="auto"/>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采用综合评分法的项目，提供相同品牌产品且通过资格审查、符合性审查的不同投标人参加同一合同项下投标的，</w:t>
            </w:r>
            <w:r>
              <w:rPr>
                <w:rFonts w:hint="eastAsia" w:ascii="仿宋" w:hAnsi="仿宋" w:eastAsia="仿宋" w:cs="仿宋"/>
                <w:color w:val="auto"/>
                <w:highlight w:val="none"/>
                <w:lang w:eastAsia="zh-CN"/>
              </w:rPr>
              <w:t>按一家投标人计算，评审得分相同的，</w:t>
            </w:r>
            <w:r>
              <w:rPr>
                <w:rFonts w:hint="eastAsia" w:ascii="仿宋" w:hAnsi="仿宋" w:eastAsia="仿宋" w:cs="仿宋"/>
                <w:color w:val="auto"/>
                <w:highlight w:val="none"/>
              </w:rPr>
              <w:t>按如下办法确定一个投标人获得中标人推荐资格：由评标委员会采用随机抽取的方式确定。</w:t>
            </w:r>
            <w:r>
              <w:rPr>
                <w:rFonts w:hint="eastAsia" w:ascii="仿宋" w:hAnsi="仿宋" w:eastAsia="仿宋" w:cs="仿宋"/>
                <w:color w:val="auto"/>
                <w:highlight w:val="none"/>
                <w:lang w:val="en-US" w:eastAsia="zh-CN"/>
              </w:rPr>
              <w:t xml:space="preserve"> </w:t>
            </w:r>
          </w:p>
          <w:p w14:paraId="0454E91E">
            <w:pPr>
              <w:pStyle w:val="25"/>
              <w:rPr>
                <w:rFonts w:hint="default"/>
                <w:color w:val="auto"/>
                <w:highlight w:val="none"/>
                <w:lang w:val="en-US" w:eastAsia="zh-CN"/>
              </w:rPr>
            </w:pPr>
            <w:r>
              <w:rPr>
                <w:rFonts w:hint="eastAsia" w:ascii="仿宋" w:hAnsi="仿宋" w:eastAsia="仿宋" w:cs="仿宋"/>
                <w:b/>
                <w:bCs/>
                <w:i w:val="0"/>
                <w:iCs w:val="0"/>
                <w:color w:val="auto"/>
                <w:szCs w:val="24"/>
                <w:highlight w:val="none"/>
              </w:rPr>
              <w:t>非单一产品采购项目</w:t>
            </w:r>
            <w:r>
              <w:rPr>
                <w:rFonts w:hint="eastAsia" w:ascii="仿宋" w:hAnsi="仿宋" w:eastAsia="仿宋" w:cs="仿宋"/>
                <w:b/>
                <w:bCs/>
                <w:i w:val="0"/>
                <w:iCs w:val="0"/>
                <w:color w:val="auto"/>
                <w:szCs w:val="24"/>
                <w:highlight w:val="none"/>
                <w:lang w:val="en-US" w:eastAsia="zh-CN"/>
              </w:rPr>
              <w:t>，核心产品为：/</w:t>
            </w:r>
          </w:p>
        </w:tc>
      </w:tr>
      <w:tr w14:paraId="7531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846" w:type="dxa"/>
            <w:noWrap w:val="0"/>
            <w:vAlign w:val="center"/>
          </w:tcPr>
          <w:p w14:paraId="408A7075">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p>
        </w:tc>
        <w:tc>
          <w:tcPr>
            <w:tcW w:w="1472" w:type="dxa"/>
            <w:noWrap w:val="0"/>
            <w:vAlign w:val="center"/>
          </w:tcPr>
          <w:p w14:paraId="71EAE247">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w:t>
            </w:r>
          </w:p>
        </w:tc>
        <w:tc>
          <w:tcPr>
            <w:tcW w:w="7254" w:type="dxa"/>
            <w:noWrap w:val="0"/>
            <w:vAlign w:val="center"/>
          </w:tcPr>
          <w:p w14:paraId="26167F1B">
            <w:pPr>
              <w:pStyle w:val="28"/>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仿宋" w:hAnsi="仿宋" w:eastAsia="仿宋" w:cs="仿宋"/>
                <w:color w:val="auto"/>
                <w:sz w:val="24"/>
                <w:highlight w:val="none"/>
                <w:lang w:val="en-US" w:eastAsia="zh-CN"/>
              </w:rPr>
            </w:pPr>
            <w:r>
              <w:rPr>
                <w:rFonts w:hint="eastAsia" w:ascii="仿宋" w:hAnsi="仿宋" w:eastAsia="仿宋" w:cs="仿宋"/>
                <w:b/>
                <w:bCs/>
                <w:color w:val="auto"/>
                <w:sz w:val="24"/>
                <w:highlight w:val="none"/>
                <w:lang w:val="en-US" w:eastAsia="zh-CN"/>
              </w:rPr>
              <w:t>投标保证金：本项目不收取投标保证金。招标文件中其他有关投标保证金的描述均不适用。</w:t>
            </w:r>
          </w:p>
        </w:tc>
      </w:tr>
      <w:tr w14:paraId="1ECB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46" w:type="dxa"/>
            <w:noWrap w:val="0"/>
            <w:vAlign w:val="center"/>
          </w:tcPr>
          <w:p w14:paraId="52019096">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w:t>
            </w:r>
          </w:p>
        </w:tc>
        <w:tc>
          <w:tcPr>
            <w:tcW w:w="1472" w:type="dxa"/>
            <w:noWrap w:val="0"/>
            <w:vAlign w:val="center"/>
          </w:tcPr>
          <w:p w14:paraId="6A788963">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.1</w:t>
            </w:r>
          </w:p>
        </w:tc>
        <w:tc>
          <w:tcPr>
            <w:tcW w:w="7254" w:type="dxa"/>
            <w:noWrap w:val="0"/>
            <w:vAlign w:val="center"/>
          </w:tcPr>
          <w:p w14:paraId="404A131A">
            <w:pPr>
              <w:keepNext w:val="0"/>
              <w:keepLines w:val="0"/>
              <w:pageBreakBefore w:val="0"/>
              <w:widowControl w:val="0"/>
              <w:kinsoku/>
              <w:wordWrap/>
              <w:overflowPunct/>
              <w:topLinePunct w:val="0"/>
              <w:bidi w:val="0"/>
              <w:snapToGrid/>
              <w:spacing w:line="360" w:lineRule="auto"/>
              <w:ind w:left="567" w:hanging="567"/>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投标有效期：从提交投标文件的截止之日起90天</w:t>
            </w:r>
          </w:p>
        </w:tc>
      </w:tr>
      <w:tr w14:paraId="74D6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noWrap w:val="0"/>
            <w:vAlign w:val="center"/>
          </w:tcPr>
          <w:p w14:paraId="3DE210A9">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w:t>
            </w:r>
          </w:p>
        </w:tc>
        <w:tc>
          <w:tcPr>
            <w:tcW w:w="1472" w:type="dxa"/>
            <w:noWrap w:val="0"/>
            <w:vAlign w:val="center"/>
          </w:tcPr>
          <w:p w14:paraId="1C22D8F7">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.1</w:t>
            </w:r>
          </w:p>
        </w:tc>
        <w:tc>
          <w:tcPr>
            <w:tcW w:w="7254" w:type="dxa"/>
            <w:noWrap w:val="0"/>
            <w:vAlign w:val="center"/>
          </w:tcPr>
          <w:p w14:paraId="0E02ACAD">
            <w:pPr>
              <w:keepNext w:val="0"/>
              <w:keepLines w:val="0"/>
              <w:pageBreakBefore w:val="0"/>
              <w:widowControl w:val="0"/>
              <w:kinsoku/>
              <w:wordWrap/>
              <w:overflowPunct/>
              <w:topLinePunct w:val="0"/>
              <w:bidi w:val="0"/>
              <w:snapToGrid/>
              <w:spacing w:line="36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投标截止时间：详见第一章“投标邀请”</w:t>
            </w:r>
          </w:p>
        </w:tc>
      </w:tr>
      <w:tr w14:paraId="6FE6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46" w:type="dxa"/>
            <w:noWrap w:val="0"/>
            <w:vAlign w:val="center"/>
          </w:tcPr>
          <w:p w14:paraId="3B6692DE">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p>
        </w:tc>
        <w:tc>
          <w:tcPr>
            <w:tcW w:w="1472" w:type="dxa"/>
            <w:noWrap w:val="0"/>
            <w:vAlign w:val="center"/>
          </w:tcPr>
          <w:p w14:paraId="2F624432">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.1</w:t>
            </w:r>
          </w:p>
        </w:tc>
        <w:tc>
          <w:tcPr>
            <w:tcW w:w="7254" w:type="dxa"/>
            <w:noWrap w:val="0"/>
            <w:vAlign w:val="center"/>
          </w:tcPr>
          <w:p w14:paraId="5A6C407D">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本项目是否允许分包：不允许</w:t>
            </w:r>
            <w:r>
              <w:rPr>
                <w:rFonts w:hint="eastAsia" w:ascii="仿宋" w:hAnsi="仿宋" w:eastAsia="仿宋" w:cs="仿宋"/>
                <w:b/>
                <w:color w:val="auto"/>
                <w:sz w:val="24"/>
                <w:szCs w:val="24"/>
                <w:highlight w:val="none"/>
              </w:rPr>
              <w:t xml:space="preserve">    </w:t>
            </w:r>
          </w:p>
        </w:tc>
      </w:tr>
      <w:tr w14:paraId="5128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46" w:type="dxa"/>
            <w:noWrap w:val="0"/>
            <w:vAlign w:val="center"/>
          </w:tcPr>
          <w:p w14:paraId="45445F78">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w:t>
            </w:r>
          </w:p>
        </w:tc>
        <w:tc>
          <w:tcPr>
            <w:tcW w:w="1472" w:type="dxa"/>
            <w:noWrap w:val="0"/>
            <w:vAlign w:val="center"/>
          </w:tcPr>
          <w:p w14:paraId="1665C61C">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.1</w:t>
            </w:r>
          </w:p>
        </w:tc>
        <w:tc>
          <w:tcPr>
            <w:tcW w:w="7254" w:type="dxa"/>
            <w:noWrap w:val="0"/>
            <w:vAlign w:val="center"/>
          </w:tcPr>
          <w:p w14:paraId="47800052">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开标时间：</w:t>
            </w:r>
            <w:r>
              <w:rPr>
                <w:rFonts w:hint="eastAsia" w:ascii="仿宋" w:hAnsi="仿宋" w:eastAsia="仿宋" w:cs="仿宋"/>
                <w:color w:val="auto"/>
                <w:sz w:val="24"/>
                <w:highlight w:val="none"/>
              </w:rPr>
              <w:t>详见第一章“投标邀请”</w:t>
            </w:r>
          </w:p>
          <w:p w14:paraId="3EA1B4B6">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开标地点：</w:t>
            </w:r>
            <w:r>
              <w:rPr>
                <w:rFonts w:hint="eastAsia" w:ascii="仿宋" w:hAnsi="仿宋" w:eastAsia="仿宋" w:cs="仿宋"/>
                <w:color w:val="auto"/>
                <w:sz w:val="24"/>
                <w:highlight w:val="none"/>
              </w:rPr>
              <w:t>详见第一章“投标邀请”</w:t>
            </w:r>
          </w:p>
        </w:tc>
      </w:tr>
      <w:tr w14:paraId="58B5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46" w:type="dxa"/>
            <w:noWrap w:val="0"/>
            <w:vAlign w:val="center"/>
          </w:tcPr>
          <w:p w14:paraId="7895C9F7">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w:t>
            </w:r>
          </w:p>
        </w:tc>
        <w:tc>
          <w:tcPr>
            <w:tcW w:w="1472" w:type="dxa"/>
            <w:noWrap w:val="0"/>
            <w:vAlign w:val="center"/>
          </w:tcPr>
          <w:p w14:paraId="0F773E0A">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.1</w:t>
            </w:r>
          </w:p>
        </w:tc>
        <w:tc>
          <w:tcPr>
            <w:tcW w:w="7254" w:type="dxa"/>
            <w:noWrap w:val="0"/>
            <w:vAlign w:val="center"/>
          </w:tcPr>
          <w:p w14:paraId="2AC80C7B">
            <w:pPr>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评标方法：综合评分法</w:t>
            </w:r>
          </w:p>
        </w:tc>
      </w:tr>
      <w:tr w14:paraId="4AB7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46" w:type="dxa"/>
            <w:noWrap w:val="0"/>
            <w:vAlign w:val="center"/>
          </w:tcPr>
          <w:p w14:paraId="072B21F4">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14</w:t>
            </w:r>
          </w:p>
        </w:tc>
        <w:tc>
          <w:tcPr>
            <w:tcW w:w="1472" w:type="dxa"/>
            <w:noWrap w:val="0"/>
            <w:vAlign w:val="center"/>
          </w:tcPr>
          <w:p w14:paraId="6AB3AA70">
            <w:pPr>
              <w:keepNext w:val="0"/>
              <w:keepLines w:val="0"/>
              <w:pageBreakBefore w:val="0"/>
              <w:widowControl w:val="0"/>
              <w:kinsoku/>
              <w:wordWrap/>
              <w:overflowPunct/>
              <w:topLinePunct w:val="0"/>
              <w:bidi w:val="0"/>
              <w:snapToGrid/>
              <w:spacing w:line="360" w:lineRule="auto"/>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.2</w:t>
            </w:r>
          </w:p>
        </w:tc>
        <w:tc>
          <w:tcPr>
            <w:tcW w:w="7254" w:type="dxa"/>
            <w:noWrap w:val="0"/>
            <w:vAlign w:val="center"/>
          </w:tcPr>
          <w:p w14:paraId="6FC551B3">
            <w:pPr>
              <w:pStyle w:val="19"/>
              <w:keepNext w:val="0"/>
              <w:keepLines w:val="0"/>
              <w:pageBreakBefore w:val="0"/>
              <w:widowControl w:val="0"/>
              <w:kinsoku/>
              <w:wordWrap/>
              <w:overflowPunct/>
              <w:topLinePunct w:val="0"/>
              <w:bidi w:val="0"/>
              <w:snapToGri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评标标准（详见“第六章 评标标准”）</w:t>
            </w:r>
          </w:p>
        </w:tc>
      </w:tr>
      <w:tr w14:paraId="54E6D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46" w:type="dxa"/>
            <w:noWrap w:val="0"/>
            <w:vAlign w:val="center"/>
          </w:tcPr>
          <w:p w14:paraId="6F2958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15</w:t>
            </w:r>
          </w:p>
        </w:tc>
        <w:tc>
          <w:tcPr>
            <w:tcW w:w="1472" w:type="dxa"/>
            <w:noWrap w:val="0"/>
            <w:vAlign w:val="center"/>
          </w:tcPr>
          <w:p w14:paraId="7CCD85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29</w:t>
            </w:r>
          </w:p>
        </w:tc>
        <w:tc>
          <w:tcPr>
            <w:tcW w:w="7254" w:type="dxa"/>
            <w:noWrap w:val="0"/>
            <w:vAlign w:val="center"/>
          </w:tcPr>
          <w:p w14:paraId="542A02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color w:val="auto"/>
                <w:sz w:val="24"/>
                <w:szCs w:val="24"/>
                <w:highlight w:val="none"/>
              </w:rPr>
              <w:t>履约保证金：</w:t>
            </w:r>
            <w:r>
              <w:rPr>
                <w:rFonts w:hint="eastAsia" w:ascii="仿宋" w:hAnsi="仿宋" w:eastAsia="仿宋" w:cs="仿宋"/>
                <w:b/>
                <w:bCs/>
                <w:color w:val="auto"/>
                <w:sz w:val="24"/>
                <w:szCs w:val="24"/>
                <w:highlight w:val="none"/>
                <w:lang w:val="en-US" w:eastAsia="zh-CN"/>
              </w:rPr>
              <w:t>本项目不收取履约保证金，文件中有关履约保证金的描述均不适用。</w:t>
            </w:r>
          </w:p>
        </w:tc>
      </w:tr>
      <w:tr w14:paraId="7CBB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46" w:type="dxa"/>
            <w:noWrap w:val="0"/>
            <w:vAlign w:val="center"/>
          </w:tcPr>
          <w:p w14:paraId="623B33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16</w:t>
            </w:r>
          </w:p>
        </w:tc>
        <w:tc>
          <w:tcPr>
            <w:tcW w:w="1472" w:type="dxa"/>
            <w:noWrap w:val="0"/>
            <w:vAlign w:val="center"/>
          </w:tcPr>
          <w:p w14:paraId="543065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33</w:t>
            </w:r>
          </w:p>
        </w:tc>
        <w:tc>
          <w:tcPr>
            <w:tcW w:w="7254" w:type="dxa"/>
            <w:noWrap w:val="0"/>
            <w:vAlign w:val="center"/>
          </w:tcPr>
          <w:p w14:paraId="2E6C31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u w:val="none"/>
              </w:rPr>
              <w:t>采购代理服务费（不含税）：</w:t>
            </w:r>
            <w:r>
              <w:rPr>
                <w:rFonts w:hint="eastAsia" w:ascii="仿宋" w:hAnsi="仿宋" w:eastAsia="仿宋" w:cs="仿宋"/>
                <w:b/>
                <w:bCs/>
                <w:color w:val="auto"/>
                <w:sz w:val="24"/>
                <w:szCs w:val="24"/>
                <w:highlight w:val="none"/>
                <w:u w:val="none"/>
                <w:lang w:val="en-US" w:eastAsia="zh-CN"/>
              </w:rPr>
              <w:t>按第一章 磋商邀请，代理服务费用参照“赣招协字〔2021〕07号”文收取</w:t>
            </w:r>
          </w:p>
        </w:tc>
      </w:tr>
      <w:tr w14:paraId="4008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9572" w:type="dxa"/>
            <w:gridSpan w:val="3"/>
            <w:noWrap w:val="0"/>
            <w:vAlign w:val="center"/>
          </w:tcPr>
          <w:p w14:paraId="12F22F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Cs w:val="24"/>
                <w:highlight w:val="none"/>
                <w:lang w:val="en-US" w:eastAsia="zh-CN"/>
              </w:rPr>
            </w:pPr>
            <w:r>
              <w:rPr>
                <w:rFonts w:hint="eastAsia" w:ascii="仿宋" w:hAnsi="仿宋" w:eastAsia="仿宋" w:cs="仿宋"/>
                <w:b/>
                <w:bCs/>
                <w:color w:val="auto"/>
                <w:sz w:val="24"/>
                <w:szCs w:val="24"/>
                <w:highlight w:val="none"/>
                <w:lang w:eastAsia="zh-CN"/>
              </w:rPr>
              <w:t>说明：本前附表内容与本表后的招标文件内容不一致时，以本表内容为准。</w:t>
            </w:r>
          </w:p>
        </w:tc>
      </w:tr>
    </w:tbl>
    <w:p w14:paraId="5AE9C4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br w:type="page"/>
      </w:r>
    </w:p>
    <w:p w14:paraId="030DAA6A">
      <w:pPr>
        <w:pStyle w:val="4"/>
        <w:numPr>
          <w:ilvl w:val="0"/>
          <w:numId w:val="0"/>
        </w:numPr>
        <w:bidi w:val="0"/>
        <w:jc w:val="center"/>
        <w:rPr>
          <w:rFonts w:hint="eastAsia" w:ascii="仿宋" w:hAnsi="仿宋" w:eastAsia="仿宋" w:cs="仿宋"/>
          <w:color w:val="auto"/>
          <w:highlight w:val="none"/>
        </w:rPr>
      </w:pPr>
      <w:bookmarkStart w:id="75" w:name="_Toc28465"/>
      <w:bookmarkStart w:id="76" w:name="_Toc17944"/>
      <w:bookmarkStart w:id="77" w:name="_Toc5771"/>
      <w:bookmarkStart w:id="78" w:name="_Toc9876"/>
      <w:bookmarkStart w:id="79" w:name="_Toc494114852"/>
      <w:r>
        <w:rPr>
          <w:rFonts w:hint="eastAsia" w:ascii="仿宋" w:hAnsi="仿宋" w:eastAsia="仿宋" w:cs="仿宋"/>
          <w:color w:val="auto"/>
          <w:highlight w:val="none"/>
          <w:lang w:val="en-US" w:eastAsia="zh-CN"/>
        </w:rPr>
        <w:t>二、</w:t>
      </w:r>
      <w:r>
        <w:rPr>
          <w:rFonts w:hint="eastAsia" w:ascii="仿宋" w:hAnsi="仿宋" w:eastAsia="仿宋" w:cs="仿宋"/>
          <w:color w:val="auto"/>
          <w:highlight w:val="none"/>
        </w:rPr>
        <w:t>招  标</w:t>
      </w:r>
      <w:bookmarkEnd w:id="75"/>
      <w:bookmarkEnd w:id="76"/>
      <w:bookmarkEnd w:id="77"/>
      <w:bookmarkEnd w:id="78"/>
      <w:bookmarkEnd w:id="79"/>
    </w:p>
    <w:p w14:paraId="56CBE071">
      <w:pPr>
        <w:pStyle w:val="4"/>
        <w:spacing w:after="0"/>
        <w:rPr>
          <w:rFonts w:hint="eastAsia" w:ascii="仿宋" w:hAnsi="仿宋" w:eastAsia="仿宋" w:cs="仿宋"/>
          <w:color w:val="auto"/>
          <w:sz w:val="28"/>
          <w:szCs w:val="28"/>
          <w:highlight w:val="none"/>
        </w:rPr>
      </w:pPr>
      <w:bookmarkStart w:id="80" w:name="_Toc7164"/>
      <w:bookmarkStart w:id="81" w:name="_Toc18749"/>
      <w:bookmarkStart w:id="82" w:name="_Toc30217"/>
      <w:bookmarkStart w:id="83" w:name="_Toc8997"/>
      <w:bookmarkStart w:id="84" w:name="_Toc494114853"/>
      <w:bookmarkStart w:id="85" w:name="_Toc286758305"/>
      <w:r>
        <w:rPr>
          <w:rFonts w:hint="eastAsia" w:ascii="仿宋" w:hAnsi="仿宋" w:eastAsia="仿宋" w:cs="仿宋"/>
          <w:color w:val="auto"/>
          <w:sz w:val="28"/>
          <w:szCs w:val="28"/>
          <w:highlight w:val="none"/>
        </w:rPr>
        <w:t>1.适用范围</w:t>
      </w:r>
      <w:bookmarkEnd w:id="80"/>
      <w:bookmarkEnd w:id="81"/>
      <w:bookmarkEnd w:id="82"/>
      <w:bookmarkEnd w:id="83"/>
      <w:bookmarkEnd w:id="84"/>
      <w:bookmarkEnd w:id="85"/>
    </w:p>
    <w:p w14:paraId="157720E1">
      <w:pPr>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 本招标文件仅适用于本“投标邀请”中所述</w:t>
      </w:r>
      <w:r>
        <w:rPr>
          <w:rFonts w:hint="eastAsia" w:ascii="仿宋" w:hAnsi="仿宋" w:eastAsia="仿宋" w:cs="仿宋"/>
          <w:color w:val="auto"/>
          <w:sz w:val="24"/>
          <w:szCs w:val="24"/>
          <w:highlight w:val="none"/>
          <w:lang w:val="en-US" w:eastAsia="zh-CN"/>
        </w:rPr>
        <w:t>有关货物和附属售后服务的采购</w:t>
      </w:r>
      <w:r>
        <w:rPr>
          <w:rFonts w:hint="eastAsia" w:ascii="仿宋" w:hAnsi="仿宋" w:eastAsia="仿宋" w:cs="仿宋"/>
          <w:color w:val="auto"/>
          <w:sz w:val="24"/>
          <w:szCs w:val="24"/>
          <w:highlight w:val="none"/>
        </w:rPr>
        <w:t>。</w:t>
      </w:r>
    </w:p>
    <w:p w14:paraId="124CBCEA">
      <w:pPr>
        <w:pStyle w:val="4"/>
        <w:spacing w:after="0"/>
        <w:rPr>
          <w:rFonts w:hint="eastAsia" w:ascii="仿宋" w:hAnsi="仿宋" w:eastAsia="仿宋" w:cs="仿宋"/>
          <w:color w:val="auto"/>
          <w:sz w:val="28"/>
          <w:szCs w:val="28"/>
          <w:highlight w:val="none"/>
        </w:rPr>
      </w:pPr>
      <w:bookmarkStart w:id="86" w:name="_Toc286758306"/>
      <w:bookmarkStart w:id="87" w:name="_Toc19939"/>
      <w:bookmarkStart w:id="88" w:name="_Toc1282"/>
      <w:bookmarkStart w:id="89" w:name="_Toc19271"/>
      <w:bookmarkStart w:id="90" w:name="_Toc15949"/>
      <w:bookmarkStart w:id="91" w:name="_Toc494114854"/>
      <w:r>
        <w:rPr>
          <w:rFonts w:hint="eastAsia" w:ascii="仿宋" w:hAnsi="仿宋" w:eastAsia="仿宋" w:cs="仿宋"/>
          <w:color w:val="auto"/>
          <w:sz w:val="28"/>
          <w:szCs w:val="28"/>
          <w:highlight w:val="none"/>
        </w:rPr>
        <w:t>2.定义</w:t>
      </w:r>
      <w:bookmarkEnd w:id="86"/>
      <w:bookmarkEnd w:id="87"/>
      <w:bookmarkEnd w:id="88"/>
      <w:bookmarkEnd w:id="89"/>
      <w:bookmarkEnd w:id="90"/>
      <w:bookmarkEnd w:id="91"/>
    </w:p>
    <w:p w14:paraId="18CF3F59">
      <w:pPr>
        <w:spacing w:line="460" w:lineRule="exact"/>
        <w:ind w:left="508" w:leftChars="200" w:hanging="28" w:hangingChars="1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2.1采购人： 详见“投标人须知前附表”</w:t>
      </w:r>
    </w:p>
    <w:p w14:paraId="2A339BBE">
      <w:pPr>
        <w:spacing w:line="460" w:lineRule="exact"/>
        <w:ind w:left="508" w:leftChars="200" w:hanging="28" w:hangingChars="12"/>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2.2采购代理机构：</w:t>
      </w:r>
      <w:r>
        <w:rPr>
          <w:rFonts w:hint="eastAsia" w:ascii="仿宋" w:hAnsi="仿宋" w:eastAsia="仿宋" w:cs="仿宋"/>
          <w:color w:val="auto"/>
          <w:sz w:val="24"/>
          <w:szCs w:val="24"/>
          <w:highlight w:val="none"/>
          <w:lang w:eastAsia="zh-CN"/>
        </w:rPr>
        <w:t>江西企恒企业管理有限公司</w:t>
      </w:r>
    </w:p>
    <w:p w14:paraId="08E3EBFC">
      <w:pPr>
        <w:spacing w:line="460" w:lineRule="exact"/>
        <w:ind w:left="508" w:leftChars="200" w:hanging="28" w:hangingChars="12"/>
        <w:rPr>
          <w:rFonts w:hint="eastAsia" w:ascii="仿宋" w:hAnsi="仿宋" w:eastAsia="仿宋" w:cs="仿宋"/>
          <w:color w:val="auto"/>
          <w:kern w:val="0"/>
          <w:sz w:val="32"/>
          <w:szCs w:val="32"/>
          <w:highlight w:val="none"/>
        </w:rPr>
      </w:pPr>
      <w:r>
        <w:rPr>
          <w:rFonts w:hint="eastAsia" w:ascii="仿宋" w:hAnsi="仿宋" w:eastAsia="仿宋" w:cs="仿宋"/>
          <w:color w:val="auto"/>
          <w:sz w:val="24"/>
          <w:szCs w:val="24"/>
          <w:highlight w:val="none"/>
        </w:rPr>
        <w:t>2.3投标人：是指</w:t>
      </w:r>
      <w:r>
        <w:rPr>
          <w:rFonts w:hint="eastAsia" w:ascii="仿宋" w:hAnsi="仿宋" w:eastAsia="仿宋" w:cs="仿宋"/>
          <w:color w:val="auto"/>
          <w:sz w:val="24"/>
          <w:szCs w:val="24"/>
          <w:highlight w:val="none"/>
          <w:lang w:val="en-US" w:eastAsia="zh-CN"/>
        </w:rPr>
        <w:t>响应</w:t>
      </w:r>
      <w:r>
        <w:rPr>
          <w:rFonts w:hint="eastAsia" w:ascii="仿宋" w:hAnsi="仿宋" w:eastAsia="仿宋" w:cs="仿宋"/>
          <w:color w:val="auto"/>
          <w:sz w:val="24"/>
          <w:szCs w:val="24"/>
          <w:highlight w:val="none"/>
        </w:rPr>
        <w:t>招标、参加投标竞争的法人、其他组织或者自然人。</w:t>
      </w:r>
    </w:p>
    <w:p w14:paraId="578D2CA1">
      <w:pPr>
        <w:pStyle w:val="4"/>
        <w:spacing w:after="0"/>
        <w:rPr>
          <w:rFonts w:hint="eastAsia" w:ascii="仿宋" w:hAnsi="仿宋" w:eastAsia="仿宋" w:cs="仿宋"/>
          <w:color w:val="auto"/>
          <w:sz w:val="28"/>
          <w:szCs w:val="28"/>
          <w:highlight w:val="none"/>
        </w:rPr>
      </w:pPr>
      <w:bookmarkStart w:id="92" w:name="_Toc28931"/>
      <w:bookmarkStart w:id="93" w:name="_Toc4878"/>
      <w:bookmarkStart w:id="94" w:name="_Toc24525"/>
      <w:bookmarkStart w:id="95" w:name="_Toc494114855"/>
      <w:bookmarkStart w:id="96" w:name="_Toc20272"/>
      <w:bookmarkStart w:id="97" w:name="_Toc286758307"/>
      <w:bookmarkStart w:id="98" w:name="_Toc286758308"/>
      <w:r>
        <w:rPr>
          <w:rFonts w:hint="eastAsia" w:ascii="仿宋" w:hAnsi="仿宋" w:eastAsia="仿宋" w:cs="仿宋"/>
          <w:color w:val="auto"/>
          <w:sz w:val="28"/>
          <w:szCs w:val="28"/>
          <w:highlight w:val="none"/>
        </w:rPr>
        <w:t>3.合格投标人</w:t>
      </w:r>
      <w:bookmarkEnd w:id="92"/>
      <w:bookmarkEnd w:id="93"/>
      <w:bookmarkEnd w:id="94"/>
      <w:bookmarkEnd w:id="95"/>
      <w:bookmarkEnd w:id="96"/>
      <w:bookmarkEnd w:id="97"/>
    </w:p>
    <w:p w14:paraId="6295200D">
      <w:pPr>
        <w:spacing w:line="460" w:lineRule="exact"/>
        <w:ind w:firstLine="480" w:firstLineChars="200"/>
        <w:rPr>
          <w:rFonts w:hint="eastAsia" w:ascii="仿宋" w:hAnsi="仿宋" w:eastAsia="仿宋" w:cs="仿宋"/>
          <w:color w:val="auto"/>
          <w:sz w:val="24"/>
          <w:szCs w:val="24"/>
          <w:highlight w:val="none"/>
        </w:rPr>
      </w:pPr>
      <w:bookmarkStart w:id="99" w:name="_Toc11578"/>
      <w:bookmarkStart w:id="100" w:name="_Toc26640"/>
      <w:bookmarkStart w:id="101" w:name="_Toc494114856"/>
      <w:bookmarkStart w:id="102" w:name="_Toc5814"/>
      <w:r>
        <w:rPr>
          <w:rFonts w:hint="eastAsia" w:ascii="仿宋" w:hAnsi="仿宋" w:eastAsia="仿宋" w:cs="仿宋"/>
          <w:color w:val="auto"/>
          <w:sz w:val="24"/>
          <w:szCs w:val="24"/>
          <w:highlight w:val="none"/>
        </w:rPr>
        <w:t>3.1投标人的资格条件： 详见“投标邀请”</w:t>
      </w:r>
    </w:p>
    <w:p w14:paraId="733F0108">
      <w:pPr>
        <w:spacing w:line="440" w:lineRule="exact"/>
        <w:ind w:left="480" w:leftChars="200"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3.2联合体投标</w:t>
      </w:r>
    </w:p>
    <w:p w14:paraId="61D33A0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3.2.1</w:t>
      </w:r>
      <w:r>
        <w:rPr>
          <w:rFonts w:hint="eastAsia" w:ascii="仿宋" w:hAnsi="仿宋" w:eastAsia="仿宋" w:cs="仿宋"/>
          <w:color w:val="auto"/>
          <w:sz w:val="24"/>
          <w:highlight w:val="none"/>
        </w:rPr>
        <w:t>是否接受联合体投标：详见</w:t>
      </w:r>
      <w:r>
        <w:rPr>
          <w:rFonts w:hint="eastAsia" w:ascii="仿宋" w:hAnsi="仿宋" w:eastAsia="仿宋" w:cs="仿宋"/>
          <w:color w:val="auto"/>
          <w:sz w:val="24"/>
          <w:szCs w:val="24"/>
          <w:highlight w:val="none"/>
        </w:rPr>
        <w:t>“投标人须知前附表”</w:t>
      </w:r>
    </w:p>
    <w:p w14:paraId="60A9D9C7">
      <w:pPr>
        <w:pStyle w:val="4"/>
        <w:spacing w:after="0"/>
        <w:rPr>
          <w:rFonts w:hint="eastAsia" w:ascii="仿宋" w:hAnsi="仿宋" w:eastAsia="仿宋" w:cs="仿宋"/>
          <w:color w:val="auto"/>
          <w:sz w:val="28"/>
          <w:szCs w:val="28"/>
          <w:highlight w:val="none"/>
        </w:rPr>
      </w:pPr>
      <w:bookmarkStart w:id="103" w:name="_Toc19441"/>
      <w:r>
        <w:rPr>
          <w:rFonts w:hint="eastAsia" w:ascii="仿宋" w:hAnsi="仿宋" w:eastAsia="仿宋" w:cs="仿宋"/>
          <w:color w:val="auto"/>
          <w:sz w:val="28"/>
          <w:szCs w:val="28"/>
          <w:highlight w:val="none"/>
        </w:rPr>
        <w:t>4.投标费用</w:t>
      </w:r>
      <w:bookmarkEnd w:id="98"/>
      <w:bookmarkEnd w:id="99"/>
      <w:bookmarkEnd w:id="100"/>
      <w:bookmarkEnd w:id="101"/>
      <w:bookmarkEnd w:id="102"/>
      <w:bookmarkEnd w:id="103"/>
    </w:p>
    <w:p w14:paraId="468E5C62">
      <w:pPr>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4.1投标人应自行承担所有与准备和参加投标有关的全部费用。不论投标的结果如何，采购代理机构均无义务和责任承担这些费用。</w:t>
      </w:r>
    </w:p>
    <w:p w14:paraId="4D6E6F04">
      <w:pPr>
        <w:pStyle w:val="4"/>
        <w:spacing w:after="0"/>
        <w:rPr>
          <w:rFonts w:hint="eastAsia" w:ascii="仿宋" w:hAnsi="仿宋" w:eastAsia="仿宋" w:cs="仿宋"/>
          <w:color w:val="auto"/>
          <w:sz w:val="28"/>
          <w:szCs w:val="28"/>
          <w:highlight w:val="none"/>
        </w:rPr>
      </w:pPr>
      <w:bookmarkStart w:id="104" w:name="_Toc9974"/>
      <w:bookmarkStart w:id="105" w:name="_Toc79"/>
      <w:bookmarkStart w:id="106" w:name="_Toc22759"/>
      <w:bookmarkStart w:id="107" w:name="_Toc494114857"/>
      <w:bookmarkStart w:id="108" w:name="_Toc286758309"/>
      <w:bookmarkStart w:id="109" w:name="_Toc32317"/>
      <w:r>
        <w:rPr>
          <w:rFonts w:hint="eastAsia" w:ascii="仿宋" w:hAnsi="仿宋" w:eastAsia="仿宋" w:cs="仿宋"/>
          <w:color w:val="auto"/>
          <w:sz w:val="28"/>
          <w:szCs w:val="28"/>
          <w:highlight w:val="none"/>
        </w:rPr>
        <w:t>5.投标人代表</w:t>
      </w:r>
      <w:bookmarkEnd w:id="104"/>
      <w:bookmarkEnd w:id="105"/>
      <w:bookmarkEnd w:id="106"/>
      <w:bookmarkEnd w:id="107"/>
      <w:bookmarkEnd w:id="108"/>
      <w:bookmarkEnd w:id="109"/>
    </w:p>
    <w:p w14:paraId="3F4203C3">
      <w:pPr>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5.1指全权代表投标人参加投标活动并签署投标文件的人。如果投标人代表不是法定代表人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或经营者）</w:t>
      </w:r>
      <w:r>
        <w:rPr>
          <w:rFonts w:hint="eastAsia" w:ascii="仿宋" w:hAnsi="仿宋" w:eastAsia="仿宋" w:cs="仿宋"/>
          <w:color w:val="auto"/>
          <w:sz w:val="24"/>
          <w:szCs w:val="24"/>
          <w:highlight w:val="none"/>
        </w:rPr>
        <w:t>，须持有《法定代表人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或经营者）</w:t>
      </w:r>
      <w:r>
        <w:rPr>
          <w:rFonts w:hint="eastAsia" w:ascii="仿宋" w:hAnsi="仿宋" w:eastAsia="仿宋" w:cs="仿宋"/>
          <w:color w:val="auto"/>
          <w:sz w:val="24"/>
          <w:szCs w:val="24"/>
          <w:highlight w:val="none"/>
        </w:rPr>
        <w:t>授权书》。</w:t>
      </w:r>
    </w:p>
    <w:p w14:paraId="051E2E64">
      <w:pPr>
        <w:pStyle w:val="4"/>
        <w:spacing w:after="0"/>
        <w:rPr>
          <w:rFonts w:hint="eastAsia" w:ascii="仿宋" w:hAnsi="仿宋" w:eastAsia="仿宋" w:cs="仿宋"/>
          <w:color w:val="auto"/>
          <w:sz w:val="28"/>
          <w:szCs w:val="28"/>
          <w:highlight w:val="none"/>
        </w:rPr>
      </w:pPr>
      <w:bookmarkStart w:id="110" w:name="_Toc32401"/>
      <w:bookmarkStart w:id="111" w:name="_Toc494114858"/>
      <w:bookmarkStart w:id="112" w:name="_Toc24572"/>
      <w:bookmarkStart w:id="113" w:name="_Toc286758311"/>
      <w:bookmarkStart w:id="114" w:name="_Toc22273"/>
      <w:bookmarkStart w:id="115" w:name="_Toc10516"/>
      <w:r>
        <w:rPr>
          <w:rFonts w:hint="eastAsia" w:ascii="仿宋" w:hAnsi="仿宋" w:eastAsia="仿宋" w:cs="仿宋"/>
          <w:color w:val="auto"/>
          <w:sz w:val="28"/>
          <w:szCs w:val="28"/>
          <w:highlight w:val="none"/>
        </w:rPr>
        <w:t>6.招标文件的构成</w:t>
      </w:r>
      <w:bookmarkEnd w:id="110"/>
      <w:bookmarkEnd w:id="111"/>
      <w:bookmarkEnd w:id="112"/>
      <w:bookmarkEnd w:id="113"/>
      <w:bookmarkEnd w:id="114"/>
      <w:bookmarkEnd w:id="115"/>
    </w:p>
    <w:p w14:paraId="22DCC5BA">
      <w:pPr>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 要求提供的货物</w:t>
      </w:r>
      <w:r>
        <w:rPr>
          <w:rFonts w:hint="eastAsia" w:ascii="仿宋" w:hAnsi="仿宋" w:eastAsia="仿宋" w:cs="仿宋"/>
          <w:color w:val="auto"/>
          <w:sz w:val="24"/>
          <w:szCs w:val="24"/>
          <w:highlight w:val="none"/>
          <w:lang w:val="en-US" w:eastAsia="zh-CN"/>
        </w:rPr>
        <w:t>和有关</w:t>
      </w:r>
      <w:r>
        <w:rPr>
          <w:rFonts w:hint="eastAsia" w:ascii="仿宋" w:hAnsi="仿宋" w:eastAsia="仿宋" w:cs="仿宋"/>
          <w:color w:val="auto"/>
          <w:sz w:val="24"/>
          <w:szCs w:val="24"/>
          <w:highlight w:val="none"/>
        </w:rPr>
        <w:t>服务招标过程和合同条款在招标文件中均有说明。招标文件共六章，各章的内容如下：</w:t>
      </w:r>
    </w:p>
    <w:p w14:paraId="189181D1">
      <w:pPr>
        <w:spacing w:line="460" w:lineRule="exact"/>
        <w:ind w:left="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第一章 投标邀请</w:t>
      </w:r>
    </w:p>
    <w:p w14:paraId="6C635EB2">
      <w:pPr>
        <w:tabs>
          <w:tab w:val="left" w:pos="480"/>
          <w:tab w:val="left" w:pos="1380"/>
        </w:tabs>
        <w:spacing w:line="460" w:lineRule="exact"/>
        <w:ind w:left="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第二章 投标人须知</w:t>
      </w:r>
    </w:p>
    <w:p w14:paraId="528F8351">
      <w:pPr>
        <w:tabs>
          <w:tab w:val="left" w:pos="480"/>
          <w:tab w:val="left" w:pos="1380"/>
        </w:tabs>
        <w:spacing w:line="460" w:lineRule="exact"/>
        <w:ind w:left="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第三章 拟签订的合同文本</w:t>
      </w:r>
    </w:p>
    <w:p w14:paraId="45D00855">
      <w:pPr>
        <w:tabs>
          <w:tab w:val="left" w:pos="480"/>
          <w:tab w:val="left" w:pos="1380"/>
        </w:tabs>
        <w:spacing w:line="460" w:lineRule="exact"/>
        <w:ind w:left="48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 xml:space="preserve">第四章 </w:t>
      </w:r>
      <w:r>
        <w:rPr>
          <w:rFonts w:hint="eastAsia" w:ascii="仿宋" w:hAnsi="仿宋" w:eastAsia="仿宋" w:cs="仿宋"/>
          <w:color w:val="auto"/>
          <w:sz w:val="24"/>
          <w:szCs w:val="24"/>
          <w:highlight w:val="none"/>
          <w:lang w:eastAsia="zh-CN"/>
        </w:rPr>
        <w:t>投标文件参考格式</w:t>
      </w:r>
    </w:p>
    <w:p w14:paraId="5305B5A3">
      <w:pPr>
        <w:spacing w:line="460" w:lineRule="exact"/>
        <w:ind w:left="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第五章 </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需求表及采购需求</w:t>
      </w:r>
    </w:p>
    <w:p w14:paraId="01C9A17C">
      <w:pPr>
        <w:spacing w:line="460" w:lineRule="exact"/>
        <w:ind w:left="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第六章 评标标准</w:t>
      </w:r>
    </w:p>
    <w:p w14:paraId="4CE81D1E">
      <w:pPr>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6.2 除非有特殊要求，，招标文件不单独提供招标货物和</w:t>
      </w:r>
      <w:r>
        <w:rPr>
          <w:rFonts w:hint="eastAsia" w:ascii="仿宋" w:hAnsi="仿宋" w:eastAsia="仿宋" w:cs="仿宋"/>
          <w:color w:val="auto"/>
          <w:sz w:val="24"/>
          <w:szCs w:val="24"/>
          <w:highlight w:val="none"/>
          <w:lang w:val="en-US" w:eastAsia="zh-CN"/>
        </w:rPr>
        <w:t>有关</w:t>
      </w:r>
      <w:r>
        <w:rPr>
          <w:rFonts w:hint="eastAsia" w:ascii="仿宋" w:hAnsi="仿宋" w:eastAsia="仿宋" w:cs="仿宋"/>
          <w:color w:val="auto"/>
          <w:sz w:val="24"/>
          <w:szCs w:val="24"/>
          <w:highlight w:val="none"/>
        </w:rPr>
        <w:t>服务使用地的自然环境、气候条件、公用设施等情况，投标人被视为熟悉上述与履行合同有关的一切情况。</w:t>
      </w:r>
    </w:p>
    <w:p w14:paraId="27745ACA">
      <w:pPr>
        <w:pStyle w:val="4"/>
        <w:spacing w:after="0"/>
        <w:rPr>
          <w:rFonts w:hint="eastAsia" w:ascii="仿宋" w:hAnsi="仿宋" w:eastAsia="仿宋" w:cs="仿宋"/>
          <w:color w:val="auto"/>
          <w:highlight w:val="none"/>
        </w:rPr>
      </w:pPr>
      <w:bookmarkStart w:id="116" w:name="_Toc20950"/>
      <w:bookmarkStart w:id="117" w:name="_Toc494114859"/>
      <w:bookmarkStart w:id="118" w:name="_Toc1348"/>
      <w:bookmarkStart w:id="119" w:name="_Toc12609"/>
      <w:bookmarkStart w:id="120" w:name="_Toc450"/>
      <w:r>
        <w:rPr>
          <w:rFonts w:hint="eastAsia" w:ascii="仿宋" w:hAnsi="仿宋" w:eastAsia="仿宋" w:cs="仿宋"/>
          <w:color w:val="auto"/>
          <w:sz w:val="28"/>
          <w:szCs w:val="28"/>
          <w:highlight w:val="none"/>
        </w:rPr>
        <w:t>7</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投标人应当提交的资格、资信证明文件的要求</w:t>
      </w:r>
      <w:bookmarkEnd w:id="116"/>
      <w:bookmarkEnd w:id="117"/>
      <w:bookmarkEnd w:id="118"/>
      <w:bookmarkEnd w:id="119"/>
      <w:bookmarkEnd w:id="120"/>
    </w:p>
    <w:p w14:paraId="157D068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bookmarkStart w:id="121" w:name="_Toc494114860"/>
      <w:bookmarkStart w:id="122" w:name="_Toc18814"/>
      <w:bookmarkStart w:id="123" w:name="_Toc22788"/>
      <w:bookmarkStart w:id="124" w:name="_Toc15187"/>
      <w:r>
        <w:rPr>
          <w:rFonts w:hint="eastAsia" w:ascii="仿宋" w:hAnsi="仿宋" w:eastAsia="仿宋" w:cs="仿宋"/>
          <w:color w:val="auto"/>
          <w:sz w:val="24"/>
          <w:szCs w:val="24"/>
          <w:highlight w:val="none"/>
        </w:rPr>
        <w:t>7.1具有独立承担民事责任的能力的资格证明文件</w:t>
      </w:r>
    </w:p>
    <w:p w14:paraId="5F58F3A4">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7.2具有良好的商业信誉和健全的财务会计制度的证明文件 </w:t>
      </w:r>
    </w:p>
    <w:p w14:paraId="3C347388">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7.3 具有履行合同所必须的设备和专业技术能力的证明文件</w:t>
      </w:r>
    </w:p>
    <w:p w14:paraId="14898D06">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7.4 有依法缴纳税收和社会保障资金的良好记录的证明文件 </w:t>
      </w:r>
    </w:p>
    <w:p w14:paraId="2620C38C">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7.5参加采购前三年内,在经营活动中没有重大违法记录的证明文件</w:t>
      </w:r>
    </w:p>
    <w:p w14:paraId="3B3DE620">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7.6其他其他法律要求</w:t>
      </w:r>
    </w:p>
    <w:p w14:paraId="302C8F3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7.7其他资格证明文件</w:t>
      </w:r>
    </w:p>
    <w:p w14:paraId="386A72C1">
      <w:pPr>
        <w:pStyle w:val="4"/>
        <w:spacing w:after="0" w:line="440" w:lineRule="exact"/>
        <w:rPr>
          <w:rFonts w:hint="eastAsia" w:ascii="仿宋" w:hAnsi="仿宋" w:eastAsia="仿宋" w:cs="仿宋"/>
          <w:color w:val="auto"/>
          <w:highlight w:val="none"/>
          <w:lang w:eastAsia="zh-CN"/>
        </w:rPr>
      </w:pPr>
      <w:bookmarkStart w:id="125" w:name="_Toc20579"/>
      <w:r>
        <w:rPr>
          <w:rFonts w:hint="eastAsia" w:ascii="仿宋" w:hAnsi="仿宋" w:eastAsia="仿宋" w:cs="仿宋"/>
          <w:color w:val="auto"/>
          <w:sz w:val="28"/>
          <w:szCs w:val="28"/>
          <w:highlight w:val="none"/>
        </w:rPr>
        <w:t>8</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为落实政府采购政策，采购标的需满足的要求，以及投标人须提供的证明材料</w:t>
      </w:r>
      <w:bookmarkEnd w:id="121"/>
      <w:bookmarkEnd w:id="122"/>
      <w:bookmarkEnd w:id="123"/>
      <w:bookmarkEnd w:id="124"/>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参照执行</w:t>
      </w:r>
      <w:r>
        <w:rPr>
          <w:rFonts w:hint="eastAsia" w:ascii="仿宋" w:hAnsi="仿宋" w:eastAsia="仿宋" w:cs="仿宋"/>
          <w:color w:val="auto"/>
          <w:sz w:val="28"/>
          <w:szCs w:val="28"/>
          <w:highlight w:val="none"/>
          <w:lang w:eastAsia="zh-CN"/>
        </w:rPr>
        <w:t>）</w:t>
      </w:r>
      <w:bookmarkEnd w:id="125"/>
    </w:p>
    <w:p w14:paraId="38BC0C48">
      <w:pPr>
        <w:spacing w:line="46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8.1中小企业（含中型、小型、微型企业，下同）参加投标</w:t>
      </w:r>
    </w:p>
    <w:p w14:paraId="484E861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8.1.1中小企业应当符合以下条件：</w:t>
      </w:r>
    </w:p>
    <w:p w14:paraId="366147B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（1）在货物采购项目中，货物由中小企业制造，即货物由中小企业生产且使用该中小企业商号或者注册商标；</w:t>
      </w:r>
    </w:p>
    <w:p w14:paraId="4D5BB576">
      <w:pPr>
        <w:spacing w:line="460" w:lineRule="exact"/>
        <w:ind w:left="600" w:leftChars="200" w:hanging="120" w:hangingChars="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（2）在</w:t>
      </w:r>
      <w:r>
        <w:rPr>
          <w:rFonts w:hint="eastAsia" w:ascii="仿宋" w:hAnsi="仿宋" w:eastAsia="仿宋" w:cs="仿宋"/>
          <w:color w:val="auto"/>
          <w:sz w:val="24"/>
          <w:szCs w:val="24"/>
          <w:highlight w:val="none"/>
          <w:lang w:eastAsia="zh-CN"/>
        </w:rPr>
        <w:t>服务</w:t>
      </w:r>
      <w:r>
        <w:rPr>
          <w:rFonts w:hint="eastAsia" w:ascii="仿宋" w:hAnsi="仿宋" w:eastAsia="仿宋" w:cs="仿宋"/>
          <w:color w:val="auto"/>
          <w:sz w:val="24"/>
          <w:szCs w:val="24"/>
          <w:highlight w:val="none"/>
        </w:rPr>
        <w:t>采购项目中，</w:t>
      </w:r>
      <w:r>
        <w:rPr>
          <w:rFonts w:hint="eastAsia" w:ascii="仿宋" w:hAnsi="仿宋" w:eastAsia="仿宋" w:cs="仿宋"/>
          <w:color w:val="auto"/>
          <w:sz w:val="24"/>
          <w:szCs w:val="24"/>
          <w:highlight w:val="none"/>
          <w:lang w:eastAsia="zh-CN"/>
        </w:rPr>
        <w:t>服务</w:t>
      </w:r>
      <w:r>
        <w:rPr>
          <w:rFonts w:hint="eastAsia" w:ascii="仿宋" w:hAnsi="仿宋" w:eastAsia="仿宋" w:cs="仿宋"/>
          <w:color w:val="auto"/>
          <w:sz w:val="24"/>
          <w:szCs w:val="24"/>
          <w:highlight w:val="none"/>
        </w:rPr>
        <w:t>由中小企业承建，即</w:t>
      </w:r>
      <w:r>
        <w:rPr>
          <w:rFonts w:hint="eastAsia" w:ascii="仿宋" w:hAnsi="仿宋" w:eastAsia="仿宋" w:cs="仿宋"/>
          <w:color w:val="auto"/>
          <w:sz w:val="24"/>
          <w:szCs w:val="24"/>
          <w:highlight w:val="none"/>
          <w:lang w:eastAsia="zh-CN"/>
        </w:rPr>
        <w:t>服务</w:t>
      </w:r>
      <w:r>
        <w:rPr>
          <w:rFonts w:hint="eastAsia" w:ascii="仿宋" w:hAnsi="仿宋" w:eastAsia="仿宋" w:cs="仿宋"/>
          <w:color w:val="auto"/>
          <w:sz w:val="24"/>
          <w:szCs w:val="24"/>
          <w:highlight w:val="none"/>
        </w:rPr>
        <w:t>施工单位为中小企业；</w:t>
      </w:r>
    </w:p>
    <w:p w14:paraId="60B48753">
      <w:pPr>
        <w:spacing w:line="46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）在服务采购项目中，服务由中小企业承接，即提供服务的人员为中小企业依照《中华人民共和国劳动合同法》订立劳动合同的从业人员。</w:t>
      </w:r>
    </w:p>
    <w:p w14:paraId="52D641AF">
      <w:pPr>
        <w:spacing w:line="46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8.1.2在货物采购项目中，投标人提供的货物既有中小企业制造货物，也有大型企业制造货物的，不享受中小企业扶持政策。</w:t>
      </w:r>
    </w:p>
    <w:p w14:paraId="38361FE0">
      <w:pPr>
        <w:spacing w:line="460" w:lineRule="exact"/>
        <w:ind w:left="600" w:leftChars="200" w:hanging="120" w:hangingChars="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8.1.</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中小企业参加投标须提供的证明材料：</w:t>
      </w:r>
    </w:p>
    <w:p w14:paraId="114C623D">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（1）必须提供《中小企业声明函》（格式详见“第四章</w:t>
      </w:r>
      <w:r>
        <w:rPr>
          <w:rFonts w:hint="eastAsia" w:ascii="仿宋" w:hAnsi="仿宋" w:eastAsia="仿宋" w:cs="仿宋"/>
          <w:color w:val="auto"/>
          <w:sz w:val="24"/>
          <w:szCs w:val="24"/>
          <w:highlight w:val="none"/>
          <w:lang w:eastAsia="zh-CN"/>
        </w:rPr>
        <w:t>投标文件参考格式</w:t>
      </w:r>
      <w:r>
        <w:rPr>
          <w:rFonts w:hint="eastAsia" w:ascii="仿宋" w:hAnsi="仿宋" w:eastAsia="仿宋" w:cs="仿宋"/>
          <w:color w:val="auto"/>
          <w:sz w:val="24"/>
          <w:szCs w:val="24"/>
          <w:highlight w:val="none"/>
        </w:rPr>
        <w:t>8-1”）。</w:t>
      </w:r>
    </w:p>
    <w:p w14:paraId="468222BB">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对于中小企业依照规定提交</w:t>
      </w:r>
      <w:r>
        <w:rPr>
          <w:rFonts w:hint="eastAsia" w:ascii="仿宋" w:hAnsi="仿宋" w:eastAsia="仿宋" w:cs="仿宋"/>
          <w:color w:val="auto"/>
          <w:sz w:val="24"/>
          <w:szCs w:val="24"/>
          <w:highlight w:val="none"/>
        </w:rPr>
        <w:t>《中小企业声明函》</w:t>
      </w:r>
      <w:r>
        <w:rPr>
          <w:rFonts w:hint="eastAsia" w:ascii="仿宋" w:hAnsi="仿宋" w:eastAsia="仿宋" w:cs="仿宋"/>
          <w:color w:val="auto"/>
          <w:sz w:val="24"/>
          <w:szCs w:val="24"/>
          <w:highlight w:val="none"/>
          <w:lang w:eastAsia="zh-CN"/>
        </w:rPr>
        <w:t>的，不需再提供中小企业主管部门等有关部门出具的相关证明。</w:t>
      </w:r>
    </w:p>
    <w:p w14:paraId="26D59FF3">
      <w:pPr>
        <w:spacing w:line="460" w:lineRule="exact"/>
        <w:ind w:left="600" w:leftChars="200" w:hanging="120" w:hangingChars="5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8.2监狱企业参加投标</w:t>
      </w:r>
    </w:p>
    <w:p w14:paraId="7ECD354E">
      <w:pPr>
        <w:spacing w:line="460" w:lineRule="exact"/>
        <w:ind w:left="600" w:leftChars="200" w:hanging="120" w:hangingChars="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8.2.1监狱企业应当符合以下条件：</w:t>
      </w:r>
    </w:p>
    <w:p w14:paraId="3ABD853C">
      <w:pPr>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2B6B0B0">
      <w:pPr>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8.2.2监狱企业参加投标须提供的证明材料：</w:t>
      </w:r>
    </w:p>
    <w:p w14:paraId="39037B9A">
      <w:pPr>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监狱企业参加政府采购活动时，应当提供由省级以上监狱管理局、戒毒管理局（含新疆生产建设兵团）出具的属于监狱企业的证明文件。（格式详见“第四章</w:t>
      </w:r>
      <w:r>
        <w:rPr>
          <w:rFonts w:hint="eastAsia" w:ascii="仿宋" w:hAnsi="仿宋" w:eastAsia="仿宋" w:cs="仿宋"/>
          <w:color w:val="auto"/>
          <w:sz w:val="24"/>
          <w:szCs w:val="24"/>
          <w:highlight w:val="none"/>
          <w:lang w:eastAsia="zh-CN"/>
        </w:rPr>
        <w:t>投标文件参考格式</w:t>
      </w:r>
      <w:r>
        <w:rPr>
          <w:rFonts w:hint="eastAsia" w:ascii="仿宋" w:hAnsi="仿宋" w:eastAsia="仿宋" w:cs="仿宋"/>
          <w:color w:val="auto"/>
          <w:sz w:val="24"/>
          <w:szCs w:val="24"/>
          <w:highlight w:val="none"/>
        </w:rPr>
        <w:t>8-2”）</w:t>
      </w:r>
    </w:p>
    <w:p w14:paraId="6E2F9D30">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8.3残疾人福利性单位参加投标</w:t>
      </w:r>
    </w:p>
    <w:p w14:paraId="5E7C8B7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8.3.1享受政府采购支持政策的残疾人福利性单位应当同时满足以下条件：</w:t>
      </w:r>
    </w:p>
    <w:p w14:paraId="1184CD0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（1）安置的残疾人占本单位在职职工人数的比例不低于25%（含25%），并且安置的残疾人人数不少于10人（含10人）；</w:t>
      </w:r>
    </w:p>
    <w:p w14:paraId="52780C9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（2）依法与安置的每位残疾人签订了一年以上（含一年）的劳动合同或服务协议；</w:t>
      </w:r>
    </w:p>
    <w:p w14:paraId="456120C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（3）为安置的每位残疾人按月足额缴纳了基本养老保险、基本医疗保险、失业保险、工伤保险和生育保险等社会保险费；</w:t>
      </w:r>
    </w:p>
    <w:p w14:paraId="1F22527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（4）通过银行等金融机构向安置的每位残疾人，按月支付了不低于单位所在区县适用的经省级人民政府批准的月最低工资标准的工资；</w:t>
      </w:r>
    </w:p>
    <w:p w14:paraId="7AFDDA9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9A02C0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8.3.2残疾人福利性单位参加投标须提供的证明材料：</w:t>
      </w:r>
    </w:p>
    <w:p w14:paraId="3693388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（1）符合条件的残疾人福利性单位在参加政府采购活动时，应当提供《残疾人福利性单位声明函》（格式详见“第四章</w:t>
      </w:r>
      <w:r>
        <w:rPr>
          <w:rFonts w:hint="eastAsia" w:ascii="仿宋" w:hAnsi="仿宋" w:eastAsia="仿宋" w:cs="仿宋"/>
          <w:color w:val="auto"/>
          <w:sz w:val="24"/>
          <w:szCs w:val="24"/>
          <w:highlight w:val="none"/>
          <w:lang w:eastAsia="zh-CN"/>
        </w:rPr>
        <w:t>投标文件参考格式</w:t>
      </w:r>
      <w:r>
        <w:rPr>
          <w:rFonts w:hint="eastAsia" w:ascii="仿宋" w:hAnsi="仿宋" w:eastAsia="仿宋" w:cs="仿宋"/>
          <w:color w:val="auto"/>
          <w:sz w:val="24"/>
          <w:szCs w:val="24"/>
          <w:highlight w:val="none"/>
        </w:rPr>
        <w:t>8-3”），并对声明的真实性负责。</w:t>
      </w:r>
    </w:p>
    <w:p w14:paraId="53BD739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（2）投标人提供的《残疾人福利性单位声明函》与事实不符的，依照《政府采购法》第七十七条第一款的规定追究法律责任。</w:t>
      </w:r>
    </w:p>
    <w:p w14:paraId="2A2A796A">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8.4节能产品、环境标志产品参加投标</w:t>
      </w:r>
    </w:p>
    <w:p w14:paraId="0E579683">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right="105" w:firstLine="480" w:firstLineChars="200"/>
        <w:jc w:val="both"/>
        <w:textAlignment w:val="baseline"/>
        <w:rPr>
          <w:rFonts w:hint="eastAsia" w:ascii="仿宋" w:hAnsi="仿宋" w:eastAsia="仿宋" w:cs="仿宋"/>
          <w:color w:val="auto"/>
          <w:spacing w:val="0"/>
          <w:w w:val="100"/>
          <w:position w:val="0"/>
          <w:sz w:val="24"/>
          <w:szCs w:val="24"/>
          <w:highlight w:val="none"/>
          <w:lang w:eastAsia="zh-CN"/>
        </w:rPr>
      </w:pPr>
      <w:bookmarkStart w:id="126" w:name="_Toc10395"/>
      <w:bookmarkStart w:id="127" w:name="_Toc494114861"/>
      <w:bookmarkStart w:id="128" w:name="_Toc8870"/>
      <w:bookmarkStart w:id="129" w:name="_Toc1488"/>
      <w:r>
        <w:rPr>
          <w:rFonts w:hint="eastAsia" w:ascii="仿宋" w:hAnsi="仿宋" w:eastAsia="仿宋" w:cs="仿宋"/>
          <w:color w:val="auto"/>
          <w:spacing w:val="0"/>
          <w:w w:val="100"/>
          <w:position w:val="0"/>
          <w:sz w:val="24"/>
          <w:szCs w:val="24"/>
          <w:highlight w:val="none"/>
          <w:lang w:eastAsia="zh-CN"/>
        </w:rPr>
        <w:t>8.</w:t>
      </w:r>
      <w:r>
        <w:rPr>
          <w:rFonts w:hint="eastAsia" w:ascii="仿宋" w:hAnsi="仿宋" w:eastAsia="仿宋" w:cs="仿宋"/>
          <w:color w:val="auto"/>
          <w:spacing w:val="0"/>
          <w:w w:val="100"/>
          <w:position w:val="0"/>
          <w:sz w:val="24"/>
          <w:szCs w:val="24"/>
          <w:highlight w:val="none"/>
          <w:lang w:val="en-US" w:eastAsia="zh-CN"/>
        </w:rPr>
        <w:t>4</w:t>
      </w:r>
      <w:r>
        <w:rPr>
          <w:rFonts w:hint="eastAsia" w:ascii="仿宋" w:hAnsi="仿宋" w:eastAsia="仿宋" w:cs="仿宋"/>
          <w:color w:val="auto"/>
          <w:spacing w:val="0"/>
          <w:w w:val="100"/>
          <w:position w:val="0"/>
          <w:sz w:val="24"/>
          <w:szCs w:val="24"/>
          <w:highlight w:val="none"/>
          <w:lang w:eastAsia="zh-CN"/>
        </w:rPr>
        <w:t>.1 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79ACD90">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right="105" w:firstLine="480" w:firstLineChars="200"/>
        <w:jc w:val="both"/>
        <w:textAlignment w:val="baseline"/>
        <w:rPr>
          <w:rFonts w:hint="eastAsia" w:ascii="仿宋" w:hAnsi="仿宋" w:eastAsia="仿宋" w:cs="仿宋"/>
          <w:color w:val="auto"/>
          <w:spacing w:val="0"/>
          <w:w w:val="100"/>
          <w:position w:val="0"/>
          <w:sz w:val="24"/>
          <w:szCs w:val="24"/>
          <w:highlight w:val="none"/>
          <w:lang w:eastAsia="zh-CN"/>
        </w:rPr>
      </w:pPr>
      <w:r>
        <w:rPr>
          <w:rFonts w:hint="eastAsia" w:ascii="仿宋" w:hAnsi="仿宋" w:eastAsia="仿宋" w:cs="仿宋"/>
          <w:color w:val="auto"/>
          <w:spacing w:val="0"/>
          <w:w w:val="100"/>
          <w:position w:val="0"/>
          <w:sz w:val="24"/>
          <w:szCs w:val="24"/>
          <w:highlight w:val="none"/>
          <w:lang w:val="en-US" w:eastAsia="zh-CN"/>
        </w:rPr>
        <w:t>8</w:t>
      </w:r>
      <w:r>
        <w:rPr>
          <w:rFonts w:hint="eastAsia" w:ascii="仿宋" w:hAnsi="仿宋" w:eastAsia="仿宋" w:cs="仿宋"/>
          <w:color w:val="auto"/>
          <w:spacing w:val="0"/>
          <w:w w:val="100"/>
          <w:position w:val="0"/>
          <w:sz w:val="24"/>
          <w:szCs w:val="24"/>
          <w:highlight w:val="none"/>
          <w:lang w:eastAsia="zh-CN"/>
        </w:rPr>
        <w:t>.</w:t>
      </w:r>
      <w:r>
        <w:rPr>
          <w:rFonts w:hint="eastAsia" w:ascii="仿宋" w:hAnsi="仿宋" w:eastAsia="仿宋" w:cs="仿宋"/>
          <w:color w:val="auto"/>
          <w:spacing w:val="0"/>
          <w:w w:val="100"/>
          <w:position w:val="0"/>
          <w:sz w:val="24"/>
          <w:szCs w:val="24"/>
          <w:highlight w:val="none"/>
          <w:lang w:val="en-US" w:eastAsia="zh-CN"/>
        </w:rPr>
        <w:t>4</w:t>
      </w:r>
      <w:r>
        <w:rPr>
          <w:rFonts w:hint="eastAsia" w:ascii="仿宋" w:hAnsi="仿宋" w:eastAsia="仿宋" w:cs="仿宋"/>
          <w:color w:val="auto"/>
          <w:spacing w:val="0"/>
          <w:w w:val="100"/>
          <w:position w:val="0"/>
          <w:sz w:val="24"/>
          <w:szCs w:val="24"/>
          <w:highlight w:val="none"/>
          <w:lang w:eastAsia="zh-CN"/>
        </w:rPr>
        <w:t>.2 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 号）。</w:t>
      </w:r>
    </w:p>
    <w:p w14:paraId="4B0CBFA5">
      <w:pPr>
        <w:keepNext w:val="0"/>
        <w:keepLines w:val="0"/>
        <w:pageBreakBefore w:val="0"/>
        <w:widowControl w:val="0"/>
        <w:kinsoku w:val="0"/>
        <w:wordWrap/>
        <w:overflowPunct/>
        <w:topLinePunct w:val="0"/>
        <w:autoSpaceDE w:val="0"/>
        <w:autoSpaceDN w:val="0"/>
        <w:bidi w:val="0"/>
        <w:adjustRightInd w:val="0"/>
        <w:snapToGrid w:val="0"/>
        <w:spacing w:beforeAutospacing="0" w:afterAutospacing="0" w:line="360" w:lineRule="auto"/>
        <w:ind w:right="105" w:firstLine="480" w:firstLineChars="200"/>
        <w:jc w:val="both"/>
        <w:textAlignment w:val="baseline"/>
        <w:rPr>
          <w:rFonts w:hint="eastAsia" w:ascii="仿宋" w:hAnsi="仿宋" w:eastAsia="仿宋" w:cs="仿宋"/>
          <w:color w:val="auto"/>
          <w:spacing w:val="0"/>
          <w:w w:val="100"/>
          <w:position w:val="0"/>
          <w:sz w:val="24"/>
          <w:szCs w:val="24"/>
          <w:highlight w:val="none"/>
          <w:lang w:eastAsia="zh-CN"/>
        </w:rPr>
      </w:pPr>
      <w:r>
        <w:rPr>
          <w:rFonts w:hint="eastAsia" w:ascii="仿宋" w:hAnsi="仿宋" w:eastAsia="仿宋" w:cs="仿宋"/>
          <w:color w:val="auto"/>
          <w:spacing w:val="0"/>
          <w:w w:val="100"/>
          <w:position w:val="0"/>
          <w:sz w:val="24"/>
          <w:szCs w:val="24"/>
          <w:highlight w:val="none"/>
          <w:lang w:val="en-US" w:eastAsia="zh-CN"/>
        </w:rPr>
        <w:t>8.4.3 如本项目采购产品属于实施政府强制采购品目清单范围的节能产品，则投标人所投产品必须获得国家确定的认证机构出具的、处于有效期之内的节能产品认证证书</w:t>
      </w:r>
      <w:r>
        <w:rPr>
          <w:rFonts w:hint="eastAsia" w:ascii="仿宋" w:hAnsi="仿宋" w:eastAsia="仿宋" w:cs="仿宋"/>
          <w:color w:val="auto"/>
          <w:spacing w:val="0"/>
          <w:w w:val="100"/>
          <w:position w:val="0"/>
          <w:sz w:val="24"/>
          <w:szCs w:val="24"/>
          <w:highlight w:val="none"/>
          <w:lang w:val="en-US" w:eastAsia="zh-CN"/>
          <w14:textOutline w14:w="4356" w14:cap="sq" w14:cmpd="sng" w14:algn="ctr">
            <w14:solidFill>
              <w14:srgbClr w14:val="000000"/>
            </w14:solidFill>
            <w14:prstDash w14:val="solid"/>
            <w14:bevel/>
          </w14:textOutline>
        </w:rPr>
        <w:t>彩色扫描件，否则投标无效。</w:t>
      </w:r>
    </w:p>
    <w:p w14:paraId="454934B8">
      <w:pPr>
        <w:keepNext w:val="0"/>
        <w:keepLines w:val="0"/>
        <w:pageBreakBefore w:val="0"/>
        <w:widowControl w:val="0"/>
        <w:kinsoku/>
        <w:wordWrap/>
        <w:overflowPunct/>
        <w:topLinePunct w:val="0"/>
        <w:autoSpaceDE w:val="0"/>
        <w:autoSpaceDN w:val="0"/>
        <w:bidi w:val="0"/>
        <w:adjustRightInd w:val="0"/>
        <w:snapToGrid w:val="0"/>
        <w:spacing w:before="47" w:beforeAutospacing="0" w:afterAutospacing="0" w:line="360" w:lineRule="auto"/>
        <w:ind w:right="108" w:firstLine="480" w:firstLineChars="200"/>
        <w:jc w:val="both"/>
        <w:textAlignment w:val="baseline"/>
        <w:rPr>
          <w:rFonts w:hint="eastAsia" w:ascii="仿宋" w:hAnsi="仿宋" w:eastAsia="仿宋" w:cs="仿宋"/>
          <w:color w:val="auto"/>
          <w:spacing w:val="0"/>
          <w:w w:val="100"/>
          <w:position w:val="0"/>
          <w:sz w:val="24"/>
          <w:szCs w:val="24"/>
          <w:highlight w:val="none"/>
          <w:lang w:eastAsia="zh-CN"/>
          <w14:textOutline w14:w="4356" w14:cap="sq" w14:cmpd="sng" w14:algn="ctr">
            <w14:solidFill>
              <w14:srgbClr w14:val="000000"/>
            </w14:solidFill>
            <w14:prstDash w14:val="solid"/>
            <w14:bevel/>
          </w14:textOutline>
        </w:rPr>
      </w:pPr>
      <w:r>
        <w:rPr>
          <w:rFonts w:hint="eastAsia" w:ascii="仿宋" w:hAnsi="仿宋" w:eastAsia="仿宋" w:cs="仿宋"/>
          <w:color w:val="auto"/>
          <w:spacing w:val="0"/>
          <w:w w:val="100"/>
          <w:position w:val="0"/>
          <w:sz w:val="24"/>
          <w:szCs w:val="24"/>
          <w:highlight w:val="none"/>
          <w:lang w:val="en-US" w:eastAsia="zh-CN"/>
        </w:rPr>
        <w:t>8.4.4 非政府强制采购的节能产品或环境标志产品，依据品目清单和认证证书实施政府优先采购。优先采购的具体规定见第六章《评标方法》</w:t>
      </w:r>
      <w:r>
        <w:rPr>
          <w:rFonts w:hint="eastAsia" w:ascii="仿宋" w:hAnsi="仿宋" w:eastAsia="仿宋" w:cs="仿宋"/>
          <w:color w:val="auto"/>
          <w:spacing w:val="0"/>
          <w:w w:val="100"/>
          <w:position w:val="0"/>
          <w:sz w:val="24"/>
          <w:szCs w:val="24"/>
          <w:highlight w:val="none"/>
          <w:lang w:eastAsia="zh-CN"/>
          <w14:textOutline w14:w="4356" w14:cap="sq" w14:cmpd="sng" w14:algn="ctr">
            <w14:solidFill>
              <w14:srgbClr w14:val="000000"/>
            </w14:solidFill>
            <w14:prstDash w14:val="solid"/>
            <w14:bevel/>
          </w14:textOutline>
        </w:rPr>
        <w:t>（如涉及）</w:t>
      </w:r>
      <w:r>
        <w:rPr>
          <w:rFonts w:hint="eastAsia" w:ascii="仿宋" w:hAnsi="仿宋" w:eastAsia="仿宋" w:cs="仿宋"/>
          <w:color w:val="auto"/>
          <w:spacing w:val="0"/>
          <w:w w:val="100"/>
          <w:position w:val="0"/>
          <w:sz w:val="24"/>
          <w:szCs w:val="24"/>
          <w:highlight w:val="none"/>
          <w:lang w:val="en-US" w:eastAsia="zh-CN"/>
        </w:rPr>
        <w:t>。</w:t>
      </w:r>
    </w:p>
    <w:p w14:paraId="55FB7766">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firstLine="480" w:firstLineChars="200"/>
        <w:jc w:val="both"/>
        <w:textAlignment w:val="baseline"/>
        <w:rPr>
          <w:rFonts w:hint="eastAsia" w:ascii="仿宋" w:hAnsi="仿宋" w:eastAsia="仿宋" w:cs="仿宋"/>
          <w:color w:val="auto"/>
          <w:spacing w:val="0"/>
          <w:w w:val="100"/>
          <w:position w:val="0"/>
          <w:highlight w:val="none"/>
          <w:lang w:eastAsia="zh-CN"/>
        </w:rPr>
      </w:pPr>
      <w:r>
        <w:rPr>
          <w:rFonts w:hint="eastAsia" w:ascii="仿宋" w:hAnsi="仿宋" w:eastAsia="仿宋" w:cs="仿宋"/>
          <w:color w:val="auto"/>
          <w:spacing w:val="0"/>
          <w:w w:val="100"/>
          <w:position w:val="0"/>
          <w:sz w:val="24"/>
          <w:szCs w:val="24"/>
          <w:highlight w:val="none"/>
          <w:lang w:eastAsia="zh-CN"/>
        </w:rPr>
        <w:t>8.</w:t>
      </w:r>
      <w:r>
        <w:rPr>
          <w:rFonts w:hint="eastAsia" w:ascii="仿宋" w:hAnsi="仿宋" w:eastAsia="仿宋" w:cs="仿宋"/>
          <w:color w:val="auto"/>
          <w:spacing w:val="0"/>
          <w:w w:val="100"/>
          <w:position w:val="0"/>
          <w:sz w:val="24"/>
          <w:szCs w:val="24"/>
          <w:highlight w:val="none"/>
          <w:lang w:val="en-US" w:eastAsia="zh-CN"/>
        </w:rPr>
        <w:t>4</w:t>
      </w:r>
      <w:r>
        <w:rPr>
          <w:rFonts w:hint="eastAsia" w:ascii="仿宋" w:hAnsi="仿宋" w:eastAsia="仿宋" w:cs="仿宋"/>
          <w:color w:val="auto"/>
          <w:spacing w:val="0"/>
          <w:w w:val="100"/>
          <w:position w:val="0"/>
          <w:sz w:val="24"/>
          <w:szCs w:val="24"/>
          <w:highlight w:val="none"/>
          <w:lang w:eastAsia="zh-CN"/>
        </w:rPr>
        <w:t>.</w:t>
      </w:r>
      <w:r>
        <w:rPr>
          <w:rFonts w:hint="eastAsia" w:ascii="仿宋" w:hAnsi="仿宋" w:eastAsia="仿宋" w:cs="仿宋"/>
          <w:color w:val="auto"/>
          <w:spacing w:val="0"/>
          <w:w w:val="100"/>
          <w:position w:val="0"/>
          <w:sz w:val="24"/>
          <w:szCs w:val="24"/>
          <w:highlight w:val="none"/>
          <w:lang w:val="en-US" w:eastAsia="zh-CN"/>
        </w:rPr>
        <w:t>5</w:t>
      </w:r>
      <w:r>
        <w:rPr>
          <w:rFonts w:hint="eastAsia" w:ascii="仿宋" w:hAnsi="仿宋" w:eastAsia="仿宋" w:cs="仿宋"/>
          <w:color w:val="auto"/>
          <w:spacing w:val="0"/>
          <w:w w:val="100"/>
          <w:position w:val="0"/>
          <w:sz w:val="24"/>
          <w:szCs w:val="24"/>
          <w:highlight w:val="none"/>
          <w:lang w:eastAsia="zh-CN"/>
        </w:rPr>
        <w:t xml:space="preserve"> 招标文件对节能产品、环境标志产品另有规定的从其规定。</w:t>
      </w:r>
    </w:p>
    <w:p w14:paraId="3AABE192">
      <w:pPr>
        <w:pStyle w:val="4"/>
        <w:spacing w:after="0" w:line="420" w:lineRule="exact"/>
        <w:rPr>
          <w:rFonts w:hint="eastAsia" w:ascii="仿宋" w:hAnsi="仿宋" w:eastAsia="仿宋" w:cs="仿宋"/>
          <w:color w:val="auto"/>
          <w:sz w:val="28"/>
          <w:szCs w:val="28"/>
          <w:highlight w:val="none"/>
        </w:rPr>
      </w:pPr>
      <w:bookmarkStart w:id="130" w:name="_Toc23601"/>
      <w:r>
        <w:rPr>
          <w:rFonts w:hint="eastAsia" w:ascii="仿宋" w:hAnsi="仿宋" w:eastAsia="仿宋" w:cs="仿宋"/>
          <w:color w:val="auto"/>
          <w:sz w:val="28"/>
          <w:szCs w:val="28"/>
          <w:highlight w:val="none"/>
        </w:rPr>
        <w:t>9</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对小型和微型企业、监狱企业、残疾人福利性单位产品参加投标享受的政策</w:t>
      </w:r>
      <w:bookmarkEnd w:id="126"/>
      <w:bookmarkEnd w:id="127"/>
      <w:bookmarkEnd w:id="128"/>
      <w:bookmarkEnd w:id="129"/>
      <w:bookmarkEnd w:id="130"/>
    </w:p>
    <w:p w14:paraId="03D0D36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color w:val="auto"/>
          <w:sz w:val="24"/>
          <w:szCs w:val="24"/>
          <w:highlight w:val="none"/>
        </w:rPr>
        <w:t>9.1对小型和微型企业产品的价格给予</w:t>
      </w:r>
      <w:r>
        <w:rPr>
          <w:rFonts w:hint="eastAsia" w:ascii="仿宋" w:hAnsi="仿宋" w:eastAsia="仿宋" w:cs="仿宋"/>
          <w:b/>
          <w:bCs/>
          <w:color w:val="auto"/>
          <w:sz w:val="24"/>
          <w:szCs w:val="24"/>
          <w:highlight w:val="none"/>
          <w:lang w:val="en-US" w:eastAsia="zh-CN"/>
        </w:rPr>
        <w:t>10</w:t>
      </w:r>
      <w:r>
        <w:rPr>
          <w:rFonts w:hint="eastAsia" w:ascii="仿宋" w:hAnsi="仿宋" w:eastAsia="仿宋" w:cs="仿宋"/>
          <w:b/>
          <w:bCs/>
          <w:color w:val="auto"/>
          <w:sz w:val="24"/>
          <w:szCs w:val="24"/>
          <w:highlight w:val="none"/>
        </w:rPr>
        <w:t>%</w:t>
      </w:r>
      <w:r>
        <w:rPr>
          <w:rFonts w:hint="eastAsia" w:ascii="仿宋" w:hAnsi="仿宋" w:eastAsia="仿宋" w:cs="仿宋"/>
          <w:color w:val="auto"/>
          <w:sz w:val="24"/>
          <w:szCs w:val="24"/>
          <w:highlight w:val="none"/>
        </w:rPr>
        <w:t>的扣除，用扣除后的价格参与评审。</w:t>
      </w:r>
    </w:p>
    <w:p w14:paraId="7F37D94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9.2监狱企业视同小型、微型企业，享受评审中价格扣除等政府促进中小企业发展的政府采购政策。</w:t>
      </w:r>
    </w:p>
    <w:p w14:paraId="33F45B1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9.3残疾人福利性单位视同小型、微型企业，享受评审中价格扣除等政府促进中小企业发展的政府采购政策；福利性单位属于小型、微型企业的，不重复享受政策。</w:t>
      </w:r>
    </w:p>
    <w:p w14:paraId="3C5CFA74">
      <w:pPr>
        <w:pStyle w:val="4"/>
        <w:spacing w:after="0"/>
        <w:rPr>
          <w:rFonts w:hint="eastAsia" w:ascii="仿宋" w:hAnsi="仿宋" w:eastAsia="仿宋" w:cs="仿宋"/>
          <w:color w:val="auto"/>
          <w:sz w:val="28"/>
          <w:szCs w:val="28"/>
          <w:highlight w:val="none"/>
        </w:rPr>
      </w:pPr>
      <w:bookmarkStart w:id="131" w:name="_Toc16364"/>
      <w:bookmarkStart w:id="132" w:name="_Toc3224"/>
      <w:bookmarkStart w:id="133" w:name="_Toc7835"/>
      <w:bookmarkStart w:id="134" w:name="_Toc286758313"/>
      <w:bookmarkStart w:id="135" w:name="_Toc494114862"/>
      <w:bookmarkStart w:id="136" w:name="_Toc26095"/>
      <w:r>
        <w:rPr>
          <w:rFonts w:hint="eastAsia" w:ascii="仿宋" w:hAnsi="仿宋" w:eastAsia="仿宋" w:cs="仿宋"/>
          <w:color w:val="auto"/>
          <w:sz w:val="28"/>
          <w:szCs w:val="28"/>
          <w:highlight w:val="none"/>
        </w:rPr>
        <w:t>10</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招标文件的修改</w:t>
      </w:r>
      <w:bookmarkEnd w:id="131"/>
      <w:bookmarkEnd w:id="132"/>
      <w:bookmarkEnd w:id="133"/>
      <w:bookmarkEnd w:id="134"/>
      <w:bookmarkEnd w:id="135"/>
      <w:bookmarkEnd w:id="136"/>
    </w:p>
    <w:p w14:paraId="473BAC8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color w:val="auto"/>
          <w:sz w:val="32"/>
          <w:szCs w:val="32"/>
          <w:highlight w:val="none"/>
        </w:rPr>
      </w:pPr>
      <w:bookmarkStart w:id="137" w:name="_Toc27044"/>
      <w:bookmarkStart w:id="138" w:name="_Toc2511"/>
      <w:bookmarkStart w:id="139" w:name="_Toc494114863"/>
      <w:bookmarkStart w:id="140" w:name="_Toc25882"/>
      <w:r>
        <w:rPr>
          <w:rFonts w:hint="eastAsia" w:ascii="仿宋" w:hAnsi="仿宋" w:eastAsia="仿宋" w:cs="仿宋"/>
          <w:color w:val="auto"/>
          <w:sz w:val="24"/>
          <w:szCs w:val="24"/>
          <w:highlight w:val="none"/>
        </w:rPr>
        <w:t>10.1采购代理机构可以对已发出的招标文件进行必要澄清或者修改，澄清或者修改的内容可能影响投标文件编制的，采购代理机构在投标截止时间至少15日前，在</w:t>
      </w:r>
      <w:r>
        <w:rPr>
          <w:rFonts w:hint="eastAsia" w:ascii="仿宋" w:hAnsi="仿宋" w:eastAsia="仿宋" w:cs="仿宋"/>
          <w:color w:val="auto"/>
          <w:sz w:val="24"/>
          <w:szCs w:val="24"/>
          <w:highlight w:val="none"/>
          <w:lang w:val="en-US" w:eastAsia="zh-CN"/>
        </w:rPr>
        <w:t>江西省招标投标网</w:t>
      </w:r>
      <w:r>
        <w:rPr>
          <w:rFonts w:hint="eastAsia" w:ascii="仿宋" w:hAnsi="仿宋" w:eastAsia="仿宋" w:cs="仿宋"/>
          <w:color w:val="auto"/>
          <w:sz w:val="24"/>
          <w:szCs w:val="24"/>
          <w:highlight w:val="none"/>
        </w:rPr>
        <w:t>上发布更正公告，上传答疑澄清文件。不足15日的，采购代理机构应当顺延提交投标文件的截止时间。</w:t>
      </w:r>
    </w:p>
    <w:p w14:paraId="689FB53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10.2已下载招标文件的投标人必须在</w:t>
      </w:r>
      <w:r>
        <w:rPr>
          <w:rFonts w:hint="eastAsia" w:ascii="仿宋" w:hAnsi="仿宋" w:eastAsia="仿宋" w:cs="仿宋"/>
          <w:color w:val="auto"/>
          <w:sz w:val="24"/>
          <w:szCs w:val="24"/>
          <w:highlight w:val="none"/>
          <w:lang w:val="en-US" w:eastAsia="zh-CN"/>
        </w:rPr>
        <w:t>江西省招标投标网上</w:t>
      </w:r>
      <w:r>
        <w:rPr>
          <w:rFonts w:hint="eastAsia" w:ascii="仿宋" w:hAnsi="仿宋" w:eastAsia="仿宋" w:cs="仿宋"/>
          <w:color w:val="auto"/>
          <w:sz w:val="24"/>
          <w:szCs w:val="24"/>
          <w:highlight w:val="none"/>
        </w:rPr>
        <w:t>下载答疑澄清文件。投标人因未下载答疑澄清文件、由此可能引起的投标文件递交失败、内容缺失等相关后果由投标人自行承担。</w:t>
      </w:r>
    </w:p>
    <w:p w14:paraId="5463E58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10.3当招标文件和澄清文件在同一内容的表述上不一致时，以最后发出的文件为准。</w:t>
      </w:r>
    </w:p>
    <w:p w14:paraId="70599CE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10.4 更正或者修改的内容是招标文件的组成部分，并对投标人具有约束力。</w:t>
      </w:r>
    </w:p>
    <w:p w14:paraId="040435DC">
      <w:pPr>
        <w:pStyle w:val="4"/>
        <w:bidi w:val="0"/>
        <w:jc w:val="center"/>
        <w:rPr>
          <w:rFonts w:hint="eastAsia" w:ascii="仿宋" w:hAnsi="仿宋" w:eastAsia="仿宋" w:cs="仿宋"/>
          <w:color w:val="auto"/>
          <w:highlight w:val="none"/>
        </w:rPr>
      </w:pPr>
      <w:bookmarkStart w:id="141" w:name="_Toc350"/>
      <w:r>
        <w:rPr>
          <w:rFonts w:hint="eastAsia" w:ascii="仿宋" w:hAnsi="仿宋" w:eastAsia="仿宋" w:cs="仿宋"/>
          <w:color w:val="auto"/>
          <w:highlight w:val="none"/>
        </w:rPr>
        <w:t>三、投  标</w:t>
      </w:r>
      <w:bookmarkEnd w:id="137"/>
      <w:bookmarkEnd w:id="138"/>
      <w:bookmarkEnd w:id="139"/>
      <w:bookmarkEnd w:id="140"/>
      <w:bookmarkEnd w:id="141"/>
    </w:p>
    <w:p w14:paraId="71AD826F">
      <w:pPr>
        <w:pStyle w:val="4"/>
        <w:spacing w:after="0"/>
        <w:rPr>
          <w:rFonts w:hint="eastAsia" w:ascii="仿宋" w:hAnsi="仿宋" w:eastAsia="仿宋" w:cs="仿宋"/>
          <w:color w:val="auto"/>
          <w:sz w:val="28"/>
          <w:szCs w:val="28"/>
          <w:highlight w:val="none"/>
        </w:rPr>
      </w:pPr>
      <w:bookmarkStart w:id="142" w:name="_Toc286758315"/>
      <w:bookmarkStart w:id="143" w:name="_Toc19658"/>
      <w:bookmarkStart w:id="144" w:name="_Toc3520"/>
      <w:bookmarkStart w:id="145" w:name="_Toc13102"/>
      <w:bookmarkStart w:id="146" w:name="_Toc494114864"/>
      <w:bookmarkStart w:id="147" w:name="_Toc20436"/>
      <w:r>
        <w:rPr>
          <w:rFonts w:hint="eastAsia" w:ascii="仿宋" w:hAnsi="仿宋" w:eastAsia="仿宋" w:cs="仿宋"/>
          <w:color w:val="auto"/>
          <w:sz w:val="28"/>
          <w:szCs w:val="28"/>
          <w:highlight w:val="none"/>
        </w:rPr>
        <w:t>11</w:t>
      </w:r>
      <w:bookmarkEnd w:id="142"/>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投标文件的编制</w:t>
      </w:r>
      <w:bookmarkEnd w:id="143"/>
      <w:bookmarkEnd w:id="144"/>
      <w:bookmarkEnd w:id="145"/>
      <w:bookmarkEnd w:id="146"/>
      <w:bookmarkEnd w:id="147"/>
    </w:p>
    <w:p w14:paraId="0D144EE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color w:val="auto"/>
          <w:sz w:val="32"/>
          <w:szCs w:val="32"/>
          <w:highlight w:val="none"/>
        </w:rPr>
      </w:pPr>
      <w:bookmarkStart w:id="148" w:name="_Toc262628453"/>
      <w:bookmarkStart w:id="149" w:name="_Toc28139"/>
      <w:bookmarkStart w:id="150" w:name="_Toc494114865"/>
      <w:bookmarkStart w:id="151" w:name="_Toc4842"/>
      <w:bookmarkStart w:id="152" w:name="_Toc3057"/>
      <w:bookmarkStart w:id="153" w:name="_Toc286758318"/>
      <w:r>
        <w:rPr>
          <w:rFonts w:hint="eastAsia" w:ascii="仿宋" w:hAnsi="仿宋" w:eastAsia="仿宋" w:cs="仿宋"/>
          <w:color w:val="auto"/>
          <w:sz w:val="24"/>
          <w:szCs w:val="24"/>
          <w:highlight w:val="none"/>
        </w:rPr>
        <w:t>11.1投标人应当按照招标文件的要求编制投标文件。投标文件应当对招标文件提出的要求和条件作出明确</w:t>
      </w: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w:t>
      </w:r>
    </w:p>
    <w:p w14:paraId="624D46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11.2招标文件中注明不可以采购进口产品的（见“投标邀请”），不允许提供进口产品参与采购活动；提供进口产品参与采购活动的，</w:t>
      </w:r>
      <w:r>
        <w:rPr>
          <w:rFonts w:hint="eastAsia" w:ascii="仿宋" w:hAnsi="仿宋" w:eastAsia="仿宋" w:cs="仿宋"/>
          <w:b/>
          <w:color w:val="auto"/>
          <w:sz w:val="24"/>
          <w:highlight w:val="none"/>
        </w:rPr>
        <w:t>被视为投标无效。</w:t>
      </w:r>
    </w:p>
    <w:p w14:paraId="7944406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11.3投标文件因字迹潦草或表达不清所引起的后果由投标人负责。</w:t>
      </w:r>
    </w:p>
    <w:p w14:paraId="14B210FE">
      <w:pPr>
        <w:pStyle w:val="4"/>
        <w:spacing w:after="0"/>
        <w:rPr>
          <w:rFonts w:hint="eastAsia" w:ascii="仿宋" w:hAnsi="仿宋" w:eastAsia="仿宋" w:cs="仿宋"/>
          <w:color w:val="auto"/>
          <w:sz w:val="28"/>
          <w:szCs w:val="28"/>
          <w:highlight w:val="none"/>
        </w:rPr>
      </w:pPr>
      <w:bookmarkStart w:id="154" w:name="_Toc31290"/>
      <w:r>
        <w:rPr>
          <w:rFonts w:hint="eastAsia" w:ascii="仿宋" w:hAnsi="仿宋" w:eastAsia="仿宋" w:cs="仿宋"/>
          <w:color w:val="auto"/>
          <w:sz w:val="28"/>
          <w:szCs w:val="28"/>
          <w:highlight w:val="none"/>
        </w:rPr>
        <w:t>12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投标文件计量单位</w:t>
      </w:r>
      <w:bookmarkEnd w:id="148"/>
      <w:bookmarkEnd w:id="149"/>
      <w:bookmarkEnd w:id="150"/>
      <w:bookmarkEnd w:id="151"/>
      <w:bookmarkEnd w:id="152"/>
      <w:bookmarkEnd w:id="154"/>
      <w:r>
        <w:rPr>
          <w:rFonts w:hint="eastAsia" w:ascii="仿宋" w:hAnsi="仿宋" w:eastAsia="仿宋" w:cs="仿宋"/>
          <w:color w:val="auto"/>
          <w:sz w:val="28"/>
          <w:szCs w:val="28"/>
          <w:highlight w:val="none"/>
        </w:rPr>
        <w:tab/>
      </w:r>
    </w:p>
    <w:p w14:paraId="2B6CC7A8">
      <w:pPr>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12.1投标文件中所使用的计量单位, 除招标文件中有特殊要求外，应采用国家法定计量单位。</w:t>
      </w:r>
    </w:p>
    <w:p w14:paraId="4B017DB2">
      <w:pPr>
        <w:pStyle w:val="4"/>
        <w:spacing w:after="0"/>
        <w:rPr>
          <w:rFonts w:hint="eastAsia" w:ascii="仿宋" w:hAnsi="仿宋" w:eastAsia="仿宋" w:cs="仿宋"/>
          <w:color w:val="auto"/>
          <w:sz w:val="24"/>
          <w:szCs w:val="24"/>
          <w:highlight w:val="none"/>
        </w:rPr>
      </w:pPr>
      <w:bookmarkStart w:id="155" w:name="_Toc9022"/>
      <w:bookmarkStart w:id="156" w:name="_Toc19802"/>
      <w:bookmarkStart w:id="157" w:name="_Toc494114866"/>
      <w:bookmarkStart w:id="158" w:name="_Toc23550"/>
      <w:bookmarkStart w:id="159" w:name="_Toc29701"/>
      <w:r>
        <w:rPr>
          <w:rFonts w:hint="eastAsia" w:ascii="仿宋" w:hAnsi="仿宋" w:eastAsia="仿宋" w:cs="仿宋"/>
          <w:color w:val="auto"/>
          <w:sz w:val="28"/>
          <w:szCs w:val="28"/>
          <w:highlight w:val="none"/>
        </w:rPr>
        <w:t>13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提供相同品牌产品的不同投标人参加同一合同项下投标的，参加评标、获得中标人推荐资格的认定</w:t>
      </w:r>
      <w:bookmarkEnd w:id="155"/>
      <w:bookmarkEnd w:id="156"/>
      <w:bookmarkEnd w:id="157"/>
      <w:bookmarkEnd w:id="158"/>
      <w:bookmarkEnd w:id="159"/>
      <w:bookmarkStart w:id="160" w:name="_Toc3844"/>
      <w:bookmarkStart w:id="161" w:name="_Toc494114867"/>
      <w:bookmarkStart w:id="162" w:name="_Toc29545"/>
      <w:bookmarkStart w:id="163" w:name="_Toc2449"/>
    </w:p>
    <w:p w14:paraId="5724133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24"/>
          <w:szCs w:val="24"/>
          <w:highlight w:val="none"/>
        </w:rPr>
        <w:t>13.</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招标文件未规定的采取随机抽取方式确定，其他同品牌投标人不作为中标候选人。</w:t>
      </w:r>
    </w:p>
    <w:p w14:paraId="229E43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24"/>
          <w:szCs w:val="24"/>
          <w:highlight w:val="none"/>
        </w:rPr>
        <w:t>13.</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非单一产品采购项目，多家投标人提供的全部核心产品品牌相同的，按前款规定处理。</w:t>
      </w:r>
    </w:p>
    <w:p w14:paraId="3068D8EA">
      <w:pPr>
        <w:pStyle w:val="4"/>
        <w:spacing w:after="0"/>
        <w:rPr>
          <w:rFonts w:hint="eastAsia" w:ascii="仿宋" w:hAnsi="仿宋" w:eastAsia="仿宋" w:cs="仿宋"/>
          <w:color w:val="auto"/>
          <w:sz w:val="28"/>
          <w:szCs w:val="28"/>
          <w:highlight w:val="none"/>
        </w:rPr>
      </w:pPr>
      <w:bookmarkStart w:id="164" w:name="_Toc27882"/>
      <w:r>
        <w:rPr>
          <w:rFonts w:hint="eastAsia" w:ascii="仿宋" w:hAnsi="仿宋" w:eastAsia="仿宋" w:cs="仿宋"/>
          <w:color w:val="auto"/>
          <w:sz w:val="28"/>
          <w:szCs w:val="28"/>
          <w:highlight w:val="none"/>
        </w:rPr>
        <w:t>14</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投标文件的构成</w:t>
      </w:r>
      <w:bookmarkEnd w:id="153"/>
      <w:bookmarkEnd w:id="160"/>
      <w:bookmarkEnd w:id="161"/>
      <w:bookmarkEnd w:id="162"/>
      <w:bookmarkEnd w:id="163"/>
      <w:bookmarkEnd w:id="164"/>
    </w:p>
    <w:p w14:paraId="75C5CA7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bookmarkStart w:id="165" w:name="_Toc7584"/>
      <w:bookmarkStart w:id="166" w:name="_Toc286758321"/>
      <w:bookmarkStart w:id="167" w:name="_Toc26889"/>
      <w:bookmarkStart w:id="168" w:name="_Toc2768"/>
      <w:bookmarkStart w:id="169" w:name="_Toc494114868"/>
      <w:r>
        <w:rPr>
          <w:rFonts w:hint="eastAsia" w:ascii="仿宋" w:hAnsi="仿宋" w:eastAsia="仿宋" w:cs="仿宋"/>
          <w:color w:val="auto"/>
          <w:sz w:val="24"/>
          <w:szCs w:val="24"/>
          <w:highlight w:val="none"/>
        </w:rPr>
        <w:t xml:space="preserve">14.1投标文件应由下列部分构成（格式详见“第四章 </w:t>
      </w:r>
      <w:r>
        <w:rPr>
          <w:rFonts w:hint="eastAsia" w:ascii="仿宋" w:hAnsi="仿宋" w:eastAsia="仿宋" w:cs="仿宋"/>
          <w:color w:val="auto"/>
          <w:sz w:val="24"/>
          <w:szCs w:val="24"/>
          <w:highlight w:val="none"/>
          <w:lang w:eastAsia="zh-CN"/>
        </w:rPr>
        <w:t>投标文件参考格式</w:t>
      </w:r>
      <w:r>
        <w:rPr>
          <w:rFonts w:hint="eastAsia" w:ascii="仿宋" w:hAnsi="仿宋" w:eastAsia="仿宋" w:cs="仿宋"/>
          <w:color w:val="auto"/>
          <w:sz w:val="24"/>
          <w:szCs w:val="24"/>
          <w:highlight w:val="none"/>
        </w:rPr>
        <w:t>”）：</w:t>
      </w:r>
    </w:p>
    <w:p w14:paraId="789ADEF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（1）投标书</w:t>
      </w:r>
    </w:p>
    <w:p w14:paraId="3C066EE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（2）开标一览表</w:t>
      </w:r>
    </w:p>
    <w:p w14:paraId="2C52D74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（3）分项报价表</w:t>
      </w:r>
    </w:p>
    <w:p w14:paraId="4101180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（4）开标一览明细表</w:t>
      </w:r>
    </w:p>
    <w:p w14:paraId="33EC380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eastAsia="zh-CN"/>
        </w:rPr>
        <w:t>技术需求响应承诺函</w:t>
      </w:r>
    </w:p>
    <w:p w14:paraId="5B159E2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eastAsia="zh-CN"/>
        </w:rPr>
        <w:t>商务条件响应承诺函</w:t>
      </w:r>
    </w:p>
    <w:p w14:paraId="2C27F6C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（7）投标人应当提交的资格、资信证明文件</w:t>
      </w:r>
    </w:p>
    <w:p w14:paraId="433CBFD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（8）为落实政府采购政策投标人须提供的证明材料</w:t>
      </w:r>
    </w:p>
    <w:p w14:paraId="6B62CCE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（9）技术文件</w:t>
      </w:r>
    </w:p>
    <w:p w14:paraId="0E28FEB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（10）其他资料</w:t>
      </w:r>
    </w:p>
    <w:p w14:paraId="3F5B2B0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14.2投标人应编写投标文件目录及页码</w:t>
      </w:r>
    </w:p>
    <w:p w14:paraId="014CB952">
      <w:pPr>
        <w:pStyle w:val="4"/>
        <w:spacing w:after="0"/>
        <w:rPr>
          <w:rFonts w:hint="eastAsia" w:ascii="仿宋" w:hAnsi="仿宋" w:eastAsia="仿宋" w:cs="仿宋"/>
          <w:color w:val="auto"/>
          <w:sz w:val="28"/>
          <w:szCs w:val="28"/>
          <w:highlight w:val="none"/>
        </w:rPr>
      </w:pPr>
      <w:bookmarkStart w:id="170" w:name="_Toc31277"/>
      <w:r>
        <w:rPr>
          <w:rFonts w:hint="eastAsia" w:ascii="仿宋" w:hAnsi="仿宋" w:eastAsia="仿宋" w:cs="仿宋"/>
          <w:color w:val="auto"/>
          <w:sz w:val="28"/>
          <w:szCs w:val="28"/>
          <w:highlight w:val="none"/>
        </w:rPr>
        <w:t>15</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投标报价</w:t>
      </w:r>
      <w:bookmarkEnd w:id="165"/>
      <w:bookmarkEnd w:id="166"/>
      <w:bookmarkEnd w:id="167"/>
      <w:bookmarkEnd w:id="168"/>
      <w:bookmarkEnd w:id="170"/>
      <w:r>
        <w:rPr>
          <w:rFonts w:hint="eastAsia" w:ascii="仿宋" w:hAnsi="仿宋" w:eastAsia="仿宋" w:cs="仿宋"/>
          <w:color w:val="auto"/>
          <w:sz w:val="28"/>
          <w:szCs w:val="28"/>
          <w:highlight w:val="none"/>
        </w:rPr>
        <w:t xml:space="preserve"> </w:t>
      </w:r>
      <w:bookmarkEnd w:id="169"/>
    </w:p>
    <w:p w14:paraId="02E98458">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15.1</w:t>
      </w:r>
      <w:r>
        <w:rPr>
          <w:rFonts w:hint="eastAsia" w:ascii="仿宋" w:hAnsi="仿宋" w:eastAsia="仿宋" w:cs="仿宋"/>
          <w:color w:val="auto"/>
          <w:sz w:val="24"/>
          <w:szCs w:val="24"/>
          <w:highlight w:val="none"/>
          <w:lang w:val="en-US" w:eastAsia="zh-CN"/>
        </w:rPr>
        <w:t>1所有投标均以</w:t>
      </w:r>
      <w:r>
        <w:rPr>
          <w:rFonts w:hint="eastAsia" w:ascii="仿宋" w:hAnsi="仿宋" w:eastAsia="仿宋" w:cs="仿宋"/>
          <w:b/>
          <w:bCs/>
          <w:color w:val="auto"/>
          <w:sz w:val="24"/>
          <w:szCs w:val="24"/>
          <w:highlight w:val="none"/>
          <w:lang w:val="en-US" w:eastAsia="zh-CN"/>
        </w:rPr>
        <w:t>“折扣”</w:t>
      </w:r>
      <w:r>
        <w:rPr>
          <w:rFonts w:hint="eastAsia" w:ascii="仿宋" w:hAnsi="仿宋" w:eastAsia="仿宋" w:cs="仿宋"/>
          <w:color w:val="auto"/>
          <w:sz w:val="24"/>
          <w:szCs w:val="24"/>
          <w:highlight w:val="none"/>
          <w:lang w:val="en-US" w:eastAsia="zh-CN"/>
        </w:rPr>
        <w:t>报价，报价内容包含招标文件规定的完成本项目相关服务所需的教材、人员、培训、技术支持、税费等一切相关费用。</w:t>
      </w:r>
    </w:p>
    <w:p w14:paraId="1A5DDB9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15.2投标人要按开标一览表（统一格式）和分项报价表（统一格式）、开标一览明细表的内容填写产品</w:t>
      </w:r>
      <w:r>
        <w:rPr>
          <w:rFonts w:hint="eastAsia" w:ascii="仿宋" w:hAnsi="仿宋" w:eastAsia="仿宋" w:cs="仿宋"/>
          <w:color w:val="auto"/>
          <w:sz w:val="24"/>
          <w:szCs w:val="24"/>
          <w:highlight w:val="none"/>
          <w:lang w:val="en-US" w:eastAsia="zh-CN"/>
        </w:rPr>
        <w:t>单价及其他事项。</w:t>
      </w:r>
      <w:r>
        <w:rPr>
          <w:rFonts w:hint="eastAsia" w:ascii="仿宋" w:hAnsi="仿宋" w:eastAsia="仿宋" w:cs="仿宋"/>
          <w:color w:val="auto"/>
          <w:sz w:val="24"/>
          <w:szCs w:val="24"/>
          <w:highlight w:val="none"/>
        </w:rPr>
        <w:t>投标</w:t>
      </w:r>
      <w:r>
        <w:rPr>
          <w:rFonts w:hint="eastAsia" w:ascii="仿宋" w:hAnsi="仿宋" w:eastAsia="仿宋" w:cs="仿宋"/>
          <w:b w:val="0"/>
          <w:bCs w:val="0"/>
          <w:color w:val="auto"/>
          <w:sz w:val="24"/>
          <w:szCs w:val="24"/>
          <w:highlight w:val="none"/>
          <w:lang w:val="en-US" w:eastAsia="zh-CN"/>
        </w:rPr>
        <w:t>单价</w:t>
      </w:r>
      <w:r>
        <w:rPr>
          <w:rFonts w:hint="eastAsia" w:ascii="仿宋" w:hAnsi="仿宋" w:eastAsia="仿宋" w:cs="仿宋"/>
          <w:color w:val="auto"/>
          <w:sz w:val="24"/>
          <w:szCs w:val="24"/>
          <w:highlight w:val="none"/>
        </w:rPr>
        <w:t>中不得包含招标文件要求以外的内容，否则，在评标时不予核减。若投标人不同意，投标无效。</w:t>
      </w:r>
    </w:p>
    <w:p w14:paraId="686BFA4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15.3投标</w:t>
      </w:r>
      <w:r>
        <w:rPr>
          <w:rFonts w:hint="eastAsia" w:ascii="仿宋" w:hAnsi="仿宋" w:eastAsia="仿宋" w:cs="仿宋"/>
          <w:color w:val="auto"/>
          <w:sz w:val="24"/>
          <w:highlight w:val="none"/>
          <w:lang w:val="en-US" w:eastAsia="zh-CN"/>
        </w:rPr>
        <w:t>单价</w:t>
      </w:r>
      <w:r>
        <w:rPr>
          <w:rFonts w:hint="eastAsia" w:ascii="仿宋" w:hAnsi="仿宋" w:eastAsia="仿宋" w:cs="仿宋"/>
          <w:color w:val="auto"/>
          <w:sz w:val="24"/>
          <w:highlight w:val="none"/>
        </w:rPr>
        <w:t>中如缺漏招标文件所要求的非实质性内容，投标人中标后须提供，且中标价以投标报价为准；若投标人不同意，</w:t>
      </w:r>
      <w:r>
        <w:rPr>
          <w:rFonts w:hint="eastAsia" w:ascii="仿宋" w:hAnsi="仿宋" w:eastAsia="仿宋" w:cs="仿宋"/>
          <w:b/>
          <w:bCs/>
          <w:color w:val="auto"/>
          <w:sz w:val="24"/>
          <w:highlight w:val="none"/>
        </w:rPr>
        <w:t>投标无效。</w:t>
      </w:r>
    </w:p>
    <w:p w14:paraId="1E271A2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15.4 投标人所报的投标价在合同执行过程中是固定不变的，不得以任何理由予以变更。投标人应对所有招标内容进行投标，且只提供最优方案一套，投标人提交任何包含价格调整要求的投标将按非实质性响应投标，</w:t>
      </w:r>
      <w:r>
        <w:rPr>
          <w:rFonts w:hint="eastAsia" w:ascii="仿宋" w:hAnsi="仿宋" w:eastAsia="仿宋" w:cs="仿宋"/>
          <w:b/>
          <w:bCs/>
          <w:color w:val="auto"/>
          <w:sz w:val="24"/>
          <w:highlight w:val="none"/>
        </w:rPr>
        <w:t>投标无效。</w:t>
      </w:r>
    </w:p>
    <w:p w14:paraId="13777D5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15.5 投标人如需用外汇购入某些投标货物，须折合人民币（包含进口环节税）计入总</w:t>
      </w:r>
      <w:r>
        <w:rPr>
          <w:rFonts w:hint="eastAsia" w:ascii="仿宋" w:hAnsi="仿宋" w:eastAsia="仿宋" w:cs="仿宋"/>
          <w:color w:val="auto"/>
          <w:sz w:val="24"/>
          <w:highlight w:val="none"/>
          <w:lang w:val="en-US" w:eastAsia="zh-CN"/>
        </w:rPr>
        <w:t>报</w:t>
      </w:r>
      <w:r>
        <w:rPr>
          <w:rFonts w:hint="eastAsia" w:ascii="仿宋" w:hAnsi="仿宋" w:eastAsia="仿宋" w:cs="仿宋"/>
          <w:color w:val="auto"/>
          <w:sz w:val="24"/>
          <w:highlight w:val="none"/>
        </w:rPr>
        <w:t>价中。</w:t>
      </w:r>
    </w:p>
    <w:p w14:paraId="304A445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15.6 最低报价不能作为中标的保证。</w:t>
      </w:r>
    </w:p>
    <w:p w14:paraId="0A50E3F4">
      <w:pPr>
        <w:pStyle w:val="4"/>
        <w:spacing w:after="0"/>
        <w:rPr>
          <w:rFonts w:hint="eastAsia" w:ascii="仿宋" w:hAnsi="仿宋" w:eastAsia="仿宋" w:cs="仿宋"/>
          <w:color w:val="auto"/>
          <w:sz w:val="28"/>
          <w:szCs w:val="28"/>
          <w:highlight w:val="none"/>
          <w:lang w:eastAsia="zh-CN"/>
        </w:rPr>
      </w:pPr>
      <w:bookmarkStart w:id="171" w:name="_Toc494114869"/>
      <w:bookmarkStart w:id="172" w:name="_Toc19000"/>
      <w:bookmarkStart w:id="173" w:name="_Toc10820"/>
      <w:bookmarkStart w:id="174" w:name="_Toc30723"/>
      <w:bookmarkStart w:id="175" w:name="_Toc29446"/>
      <w:bookmarkStart w:id="176" w:name="_Toc286758322"/>
      <w:r>
        <w:rPr>
          <w:rFonts w:hint="eastAsia" w:ascii="仿宋" w:hAnsi="仿宋" w:eastAsia="仿宋" w:cs="仿宋"/>
          <w:color w:val="auto"/>
          <w:sz w:val="28"/>
          <w:szCs w:val="28"/>
          <w:highlight w:val="none"/>
        </w:rPr>
        <w:t>16</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投标保证金</w:t>
      </w:r>
      <w:bookmarkEnd w:id="171"/>
      <w:bookmarkEnd w:id="172"/>
      <w:bookmarkEnd w:id="173"/>
      <w:bookmarkEnd w:id="174"/>
      <w:bookmarkEnd w:id="175"/>
      <w:bookmarkEnd w:id="176"/>
    </w:p>
    <w:p w14:paraId="3569A50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16.1投标人应按照《投标人须知前附表》中规定的金额、形式、时间及有效期提供投标保证金，并作为其投标的一部分。</w:t>
      </w:r>
    </w:p>
    <w:p w14:paraId="1E3C1974">
      <w:pPr>
        <w:pStyle w:val="2"/>
        <w:rPr>
          <w:rFonts w:hint="eastAsia" w:ascii="仿宋" w:hAnsi="仿宋" w:eastAsia="仿宋" w:cs="仿宋"/>
          <w:color w:val="auto"/>
          <w:highlight w:val="none"/>
          <w:lang w:val="en-US" w:eastAsia="zh-CN"/>
        </w:rPr>
      </w:pPr>
      <w:r>
        <w:rPr>
          <w:rFonts w:hint="eastAsia" w:ascii="仿宋" w:hAnsi="仿宋" w:eastAsia="仿宋" w:cs="仿宋"/>
          <w:color w:val="auto"/>
          <w:sz w:val="24"/>
          <w:szCs w:val="24"/>
          <w:highlight w:val="none"/>
          <w:lang w:val="en-US" w:eastAsia="zh-CN"/>
        </w:rPr>
        <w:t>16.2投标保证金应当以支票、汇票、本票和转账等非现金形式或者金融机构、担保机构出具的保函等非现金形式提交。</w:t>
      </w:r>
    </w:p>
    <w:p w14:paraId="1658DAF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 xml:space="preserve"> 任何未按“投标人须知第16.1条”要求提交投标保证金的投标文件，</w:t>
      </w:r>
      <w:r>
        <w:rPr>
          <w:rFonts w:hint="eastAsia" w:ascii="仿宋" w:hAnsi="仿宋" w:eastAsia="仿宋" w:cs="仿宋"/>
          <w:b/>
          <w:color w:val="auto"/>
          <w:sz w:val="24"/>
          <w:szCs w:val="24"/>
          <w:highlight w:val="none"/>
        </w:rPr>
        <w:t>投标无效。</w:t>
      </w:r>
    </w:p>
    <w:p w14:paraId="66D4EE8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自中标通知书发出之日起5个工作日内退还未中标人的投标保证金，自采购合同签订之日起5个工作日内退还中标人的投标保证金。</w:t>
      </w:r>
    </w:p>
    <w:p w14:paraId="42A18D2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16.</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投标人在投标截止时间前撤回已提交的投标文件的，采购代理机构应当自投标截止之日起5个工作日内，退还已收取的投标保证金，但因投标人自身原因导致无法及时退还的除外。</w:t>
      </w:r>
    </w:p>
    <w:p w14:paraId="4A90B6A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下列任何情况发生时，不予退还其交纳的投标保证金：</w:t>
      </w:r>
    </w:p>
    <w:p w14:paraId="16AA94D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（1)投标人在投标有效期内撤回其投标；</w:t>
      </w:r>
    </w:p>
    <w:p w14:paraId="60083DC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（2)中标人未按招标文件所述规定签订合同；</w:t>
      </w:r>
    </w:p>
    <w:p w14:paraId="1E9D1F1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（3)中标人未按规定缴付采购代理服务费；</w:t>
      </w:r>
    </w:p>
    <w:p w14:paraId="4FC7925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)中标人提供虚假材料和文件意图骗取中标。</w:t>
      </w:r>
    </w:p>
    <w:p w14:paraId="11FA7767">
      <w:pPr>
        <w:pStyle w:val="4"/>
        <w:spacing w:after="0"/>
        <w:rPr>
          <w:rFonts w:hint="eastAsia" w:ascii="仿宋" w:hAnsi="仿宋" w:eastAsia="仿宋" w:cs="仿宋"/>
          <w:b/>
          <w:bCs/>
          <w:color w:val="auto"/>
          <w:sz w:val="28"/>
          <w:szCs w:val="28"/>
          <w:highlight w:val="none"/>
        </w:rPr>
      </w:pPr>
      <w:bookmarkStart w:id="177" w:name="_Toc13339"/>
      <w:bookmarkStart w:id="178" w:name="_Toc8649"/>
      <w:bookmarkStart w:id="179" w:name="_Toc2701"/>
      <w:r>
        <w:rPr>
          <w:rFonts w:hint="eastAsia" w:ascii="仿宋" w:hAnsi="仿宋" w:eastAsia="仿宋" w:cs="仿宋"/>
          <w:b/>
          <w:bCs/>
          <w:color w:val="auto"/>
          <w:sz w:val="28"/>
          <w:szCs w:val="28"/>
          <w:highlight w:val="none"/>
          <w:lang w:val="en-US" w:eastAsia="zh-CN"/>
        </w:rPr>
        <w:t>17.</w:t>
      </w:r>
      <w:r>
        <w:rPr>
          <w:rFonts w:hint="eastAsia" w:ascii="仿宋" w:hAnsi="仿宋" w:eastAsia="仿宋" w:cs="仿宋"/>
          <w:b/>
          <w:bCs/>
          <w:color w:val="auto"/>
          <w:sz w:val="28"/>
          <w:szCs w:val="28"/>
          <w:highlight w:val="none"/>
        </w:rPr>
        <w:t>投标文件的规定</w:t>
      </w:r>
      <w:bookmarkEnd w:id="177"/>
      <w:bookmarkEnd w:id="178"/>
      <w:bookmarkEnd w:id="179"/>
    </w:p>
    <w:p w14:paraId="37C824F0">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rPr>
        <w:t>17.1</w:t>
      </w:r>
      <w:r>
        <w:rPr>
          <w:rFonts w:hint="eastAsia" w:ascii="仿宋" w:hAnsi="仿宋" w:eastAsia="仿宋" w:cs="仿宋"/>
          <w:b/>
          <w:bCs/>
          <w:color w:val="auto"/>
          <w:sz w:val="24"/>
          <w:szCs w:val="24"/>
          <w:highlight w:val="none"/>
          <w:lang w:val="en-US" w:eastAsia="zh-CN"/>
        </w:rPr>
        <w:t>投标文件的签署及规定</w:t>
      </w:r>
    </w:p>
    <w:p w14:paraId="4463031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17.1.1</w:t>
      </w:r>
      <w:r>
        <w:rPr>
          <w:rFonts w:hint="eastAsia" w:ascii="仿宋" w:hAnsi="仿宋" w:eastAsia="仿宋" w:cs="仿宋"/>
          <w:b/>
          <w:bCs/>
          <w:color w:val="auto"/>
          <w:sz w:val="24"/>
          <w:szCs w:val="24"/>
          <w:highlight w:val="none"/>
        </w:rPr>
        <w:t>投标人</w:t>
      </w:r>
      <w:r>
        <w:rPr>
          <w:rFonts w:hint="eastAsia" w:ascii="仿宋" w:hAnsi="仿宋" w:eastAsia="仿宋" w:cs="仿宋"/>
          <w:b/>
          <w:bCs/>
          <w:color w:val="auto"/>
          <w:sz w:val="24"/>
          <w:szCs w:val="24"/>
          <w:highlight w:val="none"/>
          <w:lang w:val="en-US" w:eastAsia="zh-CN"/>
        </w:rPr>
        <w:t>应准备</w:t>
      </w:r>
      <w:r>
        <w:rPr>
          <w:rFonts w:hint="eastAsia" w:ascii="仿宋" w:hAnsi="仿宋" w:eastAsia="仿宋" w:cs="仿宋"/>
          <w:b/>
          <w:bCs/>
          <w:color w:val="auto"/>
          <w:sz w:val="24"/>
          <w:szCs w:val="24"/>
          <w:highlight w:val="none"/>
        </w:rPr>
        <w:t>纸质投标文件（一正三副），每套</w:t>
      </w:r>
      <w:r>
        <w:rPr>
          <w:rFonts w:hint="eastAsia" w:ascii="仿宋" w:hAnsi="仿宋" w:eastAsia="仿宋" w:cs="仿宋"/>
          <w:b/>
          <w:bCs/>
          <w:color w:val="auto"/>
          <w:sz w:val="24"/>
          <w:szCs w:val="24"/>
          <w:highlight w:val="none"/>
          <w:lang w:val="en-US" w:eastAsia="zh-CN"/>
        </w:rPr>
        <w:t>投标</w:t>
      </w:r>
      <w:r>
        <w:rPr>
          <w:rFonts w:hint="eastAsia" w:ascii="仿宋" w:hAnsi="仿宋" w:eastAsia="仿宋" w:cs="仿宋"/>
          <w:b/>
          <w:bCs/>
          <w:color w:val="auto"/>
          <w:sz w:val="24"/>
          <w:szCs w:val="24"/>
          <w:highlight w:val="none"/>
        </w:rPr>
        <w:t>文件须清楚地标明“正本”或“副本”</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若正本和副本不符，以正本为准。</w:t>
      </w:r>
    </w:p>
    <w:p w14:paraId="41D66FB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17.1.2</w:t>
      </w:r>
      <w:r>
        <w:rPr>
          <w:rFonts w:hint="eastAsia" w:ascii="仿宋" w:hAnsi="仿宋" w:eastAsia="仿宋" w:cs="仿宋"/>
          <w:color w:val="auto"/>
          <w:sz w:val="24"/>
          <w:szCs w:val="24"/>
          <w:highlight w:val="none"/>
          <w:lang w:val="en-US" w:eastAsia="zh-CN"/>
        </w:rPr>
        <w:t>投标</w:t>
      </w:r>
      <w:r>
        <w:rPr>
          <w:rFonts w:hint="eastAsia" w:ascii="仿宋" w:hAnsi="仿宋" w:eastAsia="仿宋" w:cs="仿宋"/>
          <w:color w:val="auto"/>
          <w:sz w:val="24"/>
          <w:szCs w:val="24"/>
          <w:highlight w:val="none"/>
        </w:rPr>
        <w:t>文件的正本必须打印，并按</w:t>
      </w:r>
      <w:r>
        <w:rPr>
          <w:rFonts w:hint="eastAsia" w:ascii="仿宋" w:hAnsi="仿宋" w:eastAsia="仿宋" w:cs="仿宋"/>
          <w:color w:val="auto"/>
          <w:sz w:val="24"/>
          <w:szCs w:val="24"/>
          <w:highlight w:val="none"/>
          <w:lang w:val="en-US" w:eastAsia="zh-CN"/>
        </w:rPr>
        <w:t>招标文件</w:t>
      </w:r>
      <w:r>
        <w:rPr>
          <w:rFonts w:hint="eastAsia" w:ascii="仿宋" w:hAnsi="仿宋" w:eastAsia="仿宋" w:cs="仿宋"/>
          <w:color w:val="auto"/>
          <w:sz w:val="24"/>
          <w:szCs w:val="24"/>
          <w:highlight w:val="none"/>
        </w:rPr>
        <w:t>的要求签字、</w:t>
      </w:r>
      <w:r>
        <w:rPr>
          <w:rFonts w:hint="eastAsia" w:ascii="仿宋" w:hAnsi="仿宋" w:eastAsia="仿宋" w:cs="仿宋"/>
          <w:color w:val="auto"/>
          <w:sz w:val="24"/>
          <w:szCs w:val="24"/>
          <w:highlight w:val="none"/>
          <w:lang w:val="en-US" w:eastAsia="zh-CN"/>
        </w:rPr>
        <w:t>盖</w:t>
      </w:r>
      <w:r>
        <w:rPr>
          <w:rFonts w:hint="eastAsia" w:ascii="仿宋" w:hAnsi="仿宋" w:eastAsia="仿宋" w:cs="仿宋"/>
          <w:color w:val="auto"/>
          <w:sz w:val="24"/>
          <w:szCs w:val="24"/>
          <w:highlight w:val="none"/>
        </w:rPr>
        <w:t>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或按印）</w:t>
      </w:r>
      <w:r>
        <w:rPr>
          <w:rFonts w:hint="eastAsia" w:ascii="仿宋" w:hAnsi="仿宋" w:eastAsia="仿宋" w:cs="仿宋"/>
          <w:color w:val="auto"/>
          <w:sz w:val="24"/>
          <w:szCs w:val="24"/>
          <w:highlight w:val="none"/>
        </w:rPr>
        <w:t>。副本可采用正本的复印件。</w:t>
      </w:r>
      <w:r>
        <w:rPr>
          <w:rFonts w:hint="eastAsia" w:ascii="仿宋" w:hAnsi="仿宋" w:eastAsia="仿宋" w:cs="仿宋"/>
          <w:b/>
          <w:bCs/>
          <w:color w:val="auto"/>
          <w:sz w:val="24"/>
          <w:szCs w:val="24"/>
          <w:highlight w:val="none"/>
          <w:lang w:val="en-US" w:eastAsia="zh-CN"/>
        </w:rPr>
        <w:t>正、副本均须胶装成册。</w:t>
      </w:r>
    </w:p>
    <w:p w14:paraId="453FCC47">
      <w:pPr>
        <w:pStyle w:val="28"/>
        <w:keepNext w:val="0"/>
        <w:keepLines w:val="0"/>
        <w:pageBreakBefore w:val="0"/>
        <w:widowControl w:val="0"/>
        <w:kinsoku/>
        <w:wordWrap/>
        <w:overflowPunct/>
        <w:topLinePunct w:val="0"/>
        <w:bidi w:val="0"/>
        <w:snapToGrid/>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17.1.3</w:t>
      </w:r>
      <w:r>
        <w:rPr>
          <w:rFonts w:hint="eastAsia" w:ascii="仿宋" w:hAnsi="仿宋" w:eastAsia="仿宋" w:cs="仿宋"/>
          <w:color w:val="auto"/>
          <w:sz w:val="24"/>
          <w:szCs w:val="24"/>
          <w:highlight w:val="none"/>
        </w:rPr>
        <w:t>投标文件不得涂改和增删，如有修改，必须由投标文件签字人签字或盖章。</w:t>
      </w:r>
    </w:p>
    <w:p w14:paraId="5E5C9E3D">
      <w:pPr>
        <w:pStyle w:val="28"/>
        <w:keepNext w:val="0"/>
        <w:keepLines w:val="0"/>
        <w:pageBreakBefore w:val="0"/>
        <w:widowControl w:val="0"/>
        <w:kinsoku/>
        <w:wordWrap/>
        <w:overflowPunct/>
        <w:topLinePunct w:val="0"/>
        <w:bidi w:val="0"/>
        <w:snapToGrid/>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17.1.4</w:t>
      </w:r>
      <w:r>
        <w:rPr>
          <w:rFonts w:hint="eastAsia" w:ascii="仿宋" w:hAnsi="仿宋" w:eastAsia="仿宋" w:cs="仿宋"/>
          <w:color w:val="auto"/>
          <w:sz w:val="24"/>
          <w:szCs w:val="24"/>
          <w:highlight w:val="none"/>
        </w:rPr>
        <w:t>投标文件因字迹潦草或表达不清所引起的后果由投标人负责。</w:t>
      </w:r>
    </w:p>
    <w:p w14:paraId="56AB192B">
      <w:pPr>
        <w:pStyle w:val="28"/>
        <w:keepNext w:val="0"/>
        <w:keepLines w:val="0"/>
        <w:pageBreakBefore w:val="0"/>
        <w:widowControl w:val="0"/>
        <w:kinsoku/>
        <w:wordWrap/>
        <w:overflowPunct/>
        <w:topLinePunct w:val="0"/>
        <w:bidi w:val="0"/>
        <w:snapToGrid/>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17.1.5</w:t>
      </w:r>
      <w:r>
        <w:rPr>
          <w:rFonts w:hint="eastAsia" w:ascii="仿宋" w:hAnsi="仿宋" w:eastAsia="仿宋" w:cs="仿宋"/>
          <w:color w:val="auto"/>
          <w:sz w:val="24"/>
          <w:szCs w:val="24"/>
          <w:highlight w:val="none"/>
        </w:rPr>
        <w:t>电报、电传、传真形式的投标概不接受。</w:t>
      </w:r>
    </w:p>
    <w:p w14:paraId="5E97A5B5">
      <w:pPr>
        <w:pStyle w:val="28"/>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17.2投标文件的密封及标记</w:t>
      </w:r>
    </w:p>
    <w:p w14:paraId="0C183DE5">
      <w:pPr>
        <w:pStyle w:val="28"/>
        <w:rPr>
          <w:rFonts w:hint="eastAsia" w:ascii="仿宋" w:hAnsi="仿宋" w:eastAsia="仿宋" w:cs="仿宋"/>
          <w:color w:val="auto"/>
          <w:highlight w:val="none"/>
        </w:rPr>
      </w:pPr>
      <w:r>
        <w:rPr>
          <w:rFonts w:hint="eastAsia" w:ascii="仿宋" w:hAnsi="仿宋" w:eastAsia="仿宋" w:cs="仿宋"/>
          <w:b w:val="0"/>
          <w:bCs w:val="0"/>
          <w:color w:val="auto"/>
          <w:sz w:val="24"/>
          <w:szCs w:val="24"/>
          <w:highlight w:val="none"/>
          <w:lang w:val="en-US" w:eastAsia="zh-CN"/>
        </w:rPr>
        <w:t>17.2</w:t>
      </w:r>
      <w:r>
        <w:rPr>
          <w:rFonts w:hint="eastAsia" w:ascii="仿宋" w:hAnsi="仿宋" w:eastAsia="仿宋" w:cs="仿宋"/>
          <w:b w:val="0"/>
          <w:bCs w:val="0"/>
          <w:color w:val="auto"/>
          <w:sz w:val="24"/>
          <w:szCs w:val="24"/>
          <w:highlight w:val="none"/>
        </w:rPr>
        <w:t>投标人</w:t>
      </w:r>
      <w:r>
        <w:rPr>
          <w:rFonts w:hint="eastAsia" w:ascii="仿宋" w:hAnsi="仿宋" w:eastAsia="仿宋" w:cs="仿宋"/>
          <w:b w:val="0"/>
          <w:bCs w:val="0"/>
          <w:color w:val="auto"/>
          <w:sz w:val="24"/>
          <w:szCs w:val="24"/>
          <w:highlight w:val="none"/>
          <w:lang w:val="en-US" w:eastAsia="zh-CN"/>
        </w:rPr>
        <w:t>应将</w:t>
      </w:r>
      <w:r>
        <w:rPr>
          <w:rFonts w:hint="eastAsia" w:ascii="仿宋" w:hAnsi="仿宋" w:eastAsia="仿宋" w:cs="仿宋"/>
          <w:b w:val="0"/>
          <w:bCs w:val="0"/>
          <w:color w:val="auto"/>
          <w:sz w:val="24"/>
          <w:szCs w:val="24"/>
          <w:highlight w:val="none"/>
        </w:rPr>
        <w:t>纸质投标文件</w:t>
      </w:r>
      <w:r>
        <w:rPr>
          <w:rFonts w:hint="eastAsia" w:ascii="仿宋" w:hAnsi="仿宋" w:eastAsia="仿宋" w:cs="仿宋"/>
          <w:b/>
          <w:bCs/>
          <w:color w:val="auto"/>
          <w:sz w:val="24"/>
          <w:szCs w:val="24"/>
          <w:highlight w:val="none"/>
        </w:rPr>
        <w:t>（一正三副）</w:t>
      </w:r>
      <w:r>
        <w:rPr>
          <w:rFonts w:hint="eastAsia" w:ascii="仿宋" w:hAnsi="仿宋" w:eastAsia="仿宋" w:cs="仿宋"/>
          <w:b w:val="0"/>
          <w:bCs w:val="0"/>
          <w:color w:val="auto"/>
          <w:sz w:val="24"/>
          <w:szCs w:val="24"/>
          <w:highlight w:val="none"/>
        </w:rPr>
        <w:t>密封装在一个</w:t>
      </w:r>
      <w:r>
        <w:rPr>
          <w:rFonts w:hint="eastAsia" w:ascii="仿宋" w:hAnsi="仿宋" w:eastAsia="仿宋" w:cs="仿宋"/>
          <w:b w:val="0"/>
          <w:bCs w:val="0"/>
          <w:color w:val="auto"/>
          <w:sz w:val="24"/>
          <w:szCs w:val="24"/>
          <w:highlight w:val="none"/>
          <w:lang w:val="en-US" w:eastAsia="zh-CN"/>
        </w:rPr>
        <w:t>单独的</w:t>
      </w:r>
      <w:r>
        <w:rPr>
          <w:rFonts w:hint="eastAsia" w:ascii="仿宋" w:hAnsi="仿宋" w:eastAsia="仿宋" w:cs="仿宋"/>
          <w:b w:val="0"/>
          <w:bCs w:val="0"/>
          <w:color w:val="auto"/>
          <w:sz w:val="24"/>
          <w:szCs w:val="24"/>
          <w:highlight w:val="none"/>
        </w:rPr>
        <w:t>文件袋中。</w:t>
      </w:r>
      <w:r>
        <w:rPr>
          <w:rFonts w:hint="eastAsia" w:ascii="仿宋" w:hAnsi="仿宋" w:eastAsia="仿宋" w:cs="仿宋"/>
          <w:color w:val="auto"/>
          <w:sz w:val="24"/>
          <w:szCs w:val="24"/>
          <w:highlight w:val="none"/>
        </w:rPr>
        <w:t>封皮上注明</w:t>
      </w:r>
      <w:r>
        <w:rPr>
          <w:rFonts w:hint="eastAsia" w:ascii="仿宋" w:hAnsi="仿宋" w:eastAsia="仿宋" w:cs="仿宋"/>
          <w:b w:val="0"/>
          <w:bCs w:val="0"/>
          <w:color w:val="auto"/>
          <w:sz w:val="24"/>
          <w:szCs w:val="24"/>
          <w:highlight w:val="none"/>
        </w:rPr>
        <w:t>招标名称、项目编号、投标人名称</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color w:val="auto"/>
          <w:sz w:val="24"/>
          <w:szCs w:val="24"/>
          <w:highlight w:val="none"/>
        </w:rPr>
        <w:t>并注明“</w:t>
      </w:r>
      <w:r>
        <w:rPr>
          <w:rFonts w:hint="eastAsia" w:ascii="仿宋" w:hAnsi="仿宋" w:eastAsia="仿宋" w:cs="仿宋"/>
          <w:color w:val="auto"/>
          <w:sz w:val="24"/>
          <w:szCs w:val="24"/>
          <w:highlight w:val="none"/>
          <w:lang w:val="en-US" w:eastAsia="zh-CN"/>
        </w:rPr>
        <w:t>开标</w:t>
      </w:r>
      <w:r>
        <w:rPr>
          <w:rFonts w:hint="eastAsia" w:ascii="仿宋" w:hAnsi="仿宋" w:eastAsia="仿宋" w:cs="仿宋"/>
          <w:color w:val="auto"/>
          <w:sz w:val="24"/>
          <w:szCs w:val="24"/>
          <w:highlight w:val="none"/>
        </w:rPr>
        <w:t>时启封”字样</w:t>
      </w:r>
      <w:r>
        <w:rPr>
          <w:rFonts w:hint="eastAsia" w:ascii="仿宋" w:hAnsi="仿宋" w:eastAsia="仿宋" w:cs="仿宋"/>
          <w:b w:val="0"/>
          <w:bCs w:val="0"/>
          <w:color w:val="auto"/>
          <w:sz w:val="24"/>
          <w:szCs w:val="24"/>
          <w:highlight w:val="none"/>
        </w:rPr>
        <w:t>，封口处应加盖公章或投标代表签字。</w:t>
      </w:r>
    </w:p>
    <w:p w14:paraId="3793CA1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17.2</w:t>
      </w:r>
      <w:r>
        <w:rPr>
          <w:rFonts w:hint="eastAsia" w:ascii="仿宋" w:hAnsi="仿宋" w:eastAsia="仿宋" w:cs="仿宋"/>
          <w:b w:val="0"/>
          <w:bCs w:val="0"/>
          <w:color w:val="auto"/>
          <w:sz w:val="24"/>
          <w:szCs w:val="24"/>
          <w:highlight w:val="none"/>
        </w:rPr>
        <w:t>如果</w:t>
      </w:r>
      <w:r>
        <w:rPr>
          <w:rFonts w:hint="eastAsia" w:ascii="仿宋" w:hAnsi="仿宋" w:eastAsia="仿宋" w:cs="仿宋"/>
          <w:b w:val="0"/>
          <w:bCs w:val="0"/>
          <w:color w:val="auto"/>
          <w:sz w:val="24"/>
          <w:szCs w:val="24"/>
          <w:highlight w:val="none"/>
          <w:lang w:val="en-US" w:eastAsia="zh-CN"/>
        </w:rPr>
        <w:t>投标人</w:t>
      </w:r>
      <w:r>
        <w:rPr>
          <w:rFonts w:hint="eastAsia" w:ascii="仿宋" w:hAnsi="仿宋" w:eastAsia="仿宋" w:cs="仿宋"/>
          <w:b w:val="0"/>
          <w:bCs w:val="0"/>
          <w:color w:val="auto"/>
          <w:sz w:val="24"/>
          <w:szCs w:val="24"/>
          <w:highlight w:val="none"/>
        </w:rPr>
        <w:t>未按上述要求密封及加写标记，采购代理机构对</w:t>
      </w:r>
      <w:r>
        <w:rPr>
          <w:rFonts w:hint="eastAsia" w:ascii="仿宋" w:hAnsi="仿宋" w:eastAsia="仿宋" w:cs="仿宋"/>
          <w:b w:val="0"/>
          <w:bCs w:val="0"/>
          <w:color w:val="auto"/>
          <w:sz w:val="24"/>
          <w:szCs w:val="24"/>
          <w:highlight w:val="none"/>
          <w:lang w:val="en-US" w:eastAsia="zh-CN"/>
        </w:rPr>
        <w:t>投标</w:t>
      </w:r>
      <w:r>
        <w:rPr>
          <w:rFonts w:hint="eastAsia" w:ascii="仿宋" w:hAnsi="仿宋" w:eastAsia="仿宋" w:cs="仿宋"/>
          <w:b w:val="0"/>
          <w:bCs w:val="0"/>
          <w:color w:val="auto"/>
          <w:sz w:val="24"/>
          <w:szCs w:val="24"/>
          <w:highlight w:val="none"/>
        </w:rPr>
        <w:t>文件的误投和提前启封概不负责</w:t>
      </w:r>
      <w:r>
        <w:rPr>
          <w:rFonts w:hint="eastAsia" w:ascii="仿宋" w:hAnsi="仿宋" w:eastAsia="仿宋" w:cs="仿宋"/>
          <w:b w:val="0"/>
          <w:bCs w:val="0"/>
          <w:color w:val="auto"/>
          <w:sz w:val="24"/>
          <w:szCs w:val="24"/>
          <w:highlight w:val="none"/>
          <w:lang w:eastAsia="zh-CN"/>
        </w:rPr>
        <w:t>。</w:t>
      </w:r>
    </w:p>
    <w:p w14:paraId="28169EC8">
      <w:pPr>
        <w:pStyle w:val="4"/>
        <w:spacing w:after="0"/>
        <w:rPr>
          <w:rFonts w:hint="eastAsia" w:ascii="仿宋" w:hAnsi="仿宋" w:eastAsia="仿宋" w:cs="仿宋"/>
          <w:color w:val="auto"/>
          <w:sz w:val="28"/>
          <w:szCs w:val="28"/>
          <w:highlight w:val="none"/>
        </w:rPr>
      </w:pPr>
      <w:bookmarkStart w:id="180" w:name="_Toc28532"/>
      <w:bookmarkStart w:id="181" w:name="_Toc27025"/>
      <w:bookmarkStart w:id="182" w:name="_Toc286758323"/>
      <w:bookmarkStart w:id="183" w:name="_Toc12478"/>
      <w:bookmarkStart w:id="184" w:name="_Toc8759"/>
      <w:bookmarkStart w:id="185" w:name="_Toc494114870"/>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投标有效期</w:t>
      </w:r>
      <w:bookmarkEnd w:id="180"/>
      <w:bookmarkEnd w:id="181"/>
      <w:bookmarkEnd w:id="182"/>
      <w:bookmarkEnd w:id="183"/>
      <w:bookmarkEnd w:id="184"/>
      <w:bookmarkEnd w:id="185"/>
    </w:p>
    <w:p w14:paraId="1DFA8D9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1投标有效期从提交投标文件的截止之日起算。投标文件中承诺的投标有效期应不少于招标文件中载明的投标有效期。并在投标文件中承诺的投标有效期內保持有效。招标文件中载明的投标有效期详见“投标人须知前附表”，投标有效期不足的投标，</w:t>
      </w:r>
      <w:r>
        <w:rPr>
          <w:rFonts w:hint="eastAsia" w:ascii="仿宋" w:hAnsi="仿宋" w:eastAsia="仿宋" w:cs="仿宋"/>
          <w:b/>
          <w:color w:val="auto"/>
          <w:sz w:val="24"/>
          <w:szCs w:val="24"/>
          <w:highlight w:val="none"/>
        </w:rPr>
        <w:t>投标无效</w:t>
      </w:r>
      <w:r>
        <w:rPr>
          <w:rFonts w:hint="eastAsia" w:ascii="仿宋" w:hAnsi="仿宋" w:eastAsia="仿宋" w:cs="仿宋"/>
          <w:color w:val="auto"/>
          <w:sz w:val="24"/>
          <w:szCs w:val="24"/>
          <w:highlight w:val="none"/>
        </w:rPr>
        <w:t>。</w:t>
      </w:r>
    </w:p>
    <w:p w14:paraId="1A87435F">
      <w:pPr>
        <w:keepNext w:val="0"/>
        <w:keepLines w:val="0"/>
        <w:pageBreakBefore w:val="0"/>
        <w:widowControl w:val="0"/>
        <w:kinsoku/>
        <w:wordWrap/>
        <w:overflowPunct/>
        <w:topLinePunct w:val="0"/>
        <w:autoSpaceDE/>
        <w:autoSpaceDN/>
        <w:bidi w:val="0"/>
        <w:adjustRightInd/>
        <w:snapToGrid/>
        <w:spacing w:line="460" w:lineRule="exact"/>
        <w:ind w:left="0" w:firstLine="56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.2在特殊情况下，采购代理机构可延长投标有效期。延长投标有效期在</w:t>
      </w:r>
      <w:r>
        <w:rPr>
          <w:rFonts w:hint="eastAsia" w:ascii="仿宋" w:hAnsi="仿宋" w:eastAsia="仿宋" w:cs="仿宋"/>
          <w:color w:val="auto"/>
          <w:sz w:val="24"/>
          <w:szCs w:val="24"/>
          <w:highlight w:val="none"/>
          <w:lang w:val="en-US" w:eastAsia="zh-CN"/>
        </w:rPr>
        <w:t>江西省招标投标网</w:t>
      </w:r>
      <w:r>
        <w:rPr>
          <w:rFonts w:hint="eastAsia" w:ascii="仿宋" w:hAnsi="仿宋" w:eastAsia="仿宋" w:cs="仿宋"/>
          <w:color w:val="auto"/>
          <w:sz w:val="24"/>
          <w:szCs w:val="24"/>
          <w:highlight w:val="none"/>
        </w:rPr>
        <w:t>上发布，延期函以网上公告的形式通知所有已参加投标的投标人。已参加投标的投标人应以书面形式答复采购代理机构，同意延长有效期的投标人不能修改其投标文件，有关投标保证金的规定在投标有效期的延长期内继续有效。</w:t>
      </w:r>
    </w:p>
    <w:p w14:paraId="5FC3CD9B">
      <w:pPr>
        <w:pStyle w:val="4"/>
        <w:spacing w:after="0"/>
        <w:rPr>
          <w:rFonts w:hint="eastAsia" w:ascii="仿宋" w:hAnsi="仿宋" w:eastAsia="仿宋" w:cs="仿宋"/>
          <w:color w:val="auto"/>
          <w:sz w:val="28"/>
          <w:szCs w:val="28"/>
          <w:highlight w:val="none"/>
        </w:rPr>
      </w:pPr>
      <w:bookmarkStart w:id="186" w:name="_Toc494114871"/>
      <w:bookmarkStart w:id="187" w:name="_Toc27188"/>
      <w:bookmarkStart w:id="188" w:name="_Toc23935"/>
      <w:bookmarkStart w:id="189" w:name="_Toc26920"/>
      <w:bookmarkStart w:id="190" w:name="_Toc32211"/>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投标文件的递交</w:t>
      </w:r>
      <w:bookmarkEnd w:id="186"/>
      <w:bookmarkEnd w:id="187"/>
      <w:bookmarkEnd w:id="188"/>
      <w:bookmarkEnd w:id="189"/>
      <w:bookmarkEnd w:id="190"/>
    </w:p>
    <w:p w14:paraId="5E02F7A2">
      <w:pPr>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val="en-US" w:eastAsia="zh-CN"/>
        </w:rPr>
        <w:t>9</w:t>
      </w:r>
      <w:r>
        <w:rPr>
          <w:rFonts w:hint="eastAsia" w:ascii="仿宋" w:hAnsi="仿宋" w:eastAsia="仿宋" w:cs="仿宋"/>
          <w:b/>
          <w:bCs/>
          <w:color w:val="auto"/>
          <w:sz w:val="24"/>
          <w:szCs w:val="24"/>
          <w:highlight w:val="none"/>
        </w:rPr>
        <w:t>.1投标截止时间</w:t>
      </w:r>
    </w:p>
    <w:p w14:paraId="50C9461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.1.1投标截止时间详见第一章“投标邀请”</w:t>
      </w:r>
    </w:p>
    <w:p w14:paraId="769A991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.1.2</w:t>
      </w:r>
      <w:r>
        <w:rPr>
          <w:rFonts w:hint="eastAsia" w:ascii="仿宋" w:hAnsi="仿宋" w:eastAsia="仿宋" w:cs="仿宋"/>
          <w:color w:val="auto"/>
          <w:sz w:val="24"/>
          <w:szCs w:val="24"/>
          <w:highlight w:val="none"/>
          <w:lang w:val="en-US" w:eastAsia="zh-CN"/>
        </w:rPr>
        <w:t>纸质</w:t>
      </w:r>
      <w:r>
        <w:rPr>
          <w:rFonts w:hint="eastAsia" w:ascii="仿宋" w:hAnsi="仿宋" w:eastAsia="仿宋" w:cs="仿宋"/>
          <w:color w:val="auto"/>
          <w:sz w:val="24"/>
          <w:szCs w:val="24"/>
          <w:highlight w:val="none"/>
        </w:rPr>
        <w:t>版投标文件必须在招标文件规定的投标截止时间前</w:t>
      </w:r>
      <w:r>
        <w:rPr>
          <w:rFonts w:hint="eastAsia" w:ascii="仿宋" w:hAnsi="仿宋" w:eastAsia="仿宋" w:cs="仿宋"/>
          <w:color w:val="auto"/>
          <w:sz w:val="24"/>
          <w:szCs w:val="24"/>
          <w:highlight w:val="none"/>
          <w:lang w:val="en-US" w:eastAsia="zh-CN"/>
        </w:rPr>
        <w:t>递交到开标现场</w:t>
      </w:r>
      <w:r>
        <w:rPr>
          <w:rFonts w:hint="eastAsia" w:ascii="仿宋" w:hAnsi="仿宋" w:eastAsia="仿宋" w:cs="仿宋"/>
          <w:color w:val="auto"/>
          <w:sz w:val="24"/>
          <w:szCs w:val="24"/>
          <w:highlight w:val="none"/>
        </w:rPr>
        <w:t>，</w:t>
      </w:r>
      <w:r>
        <w:rPr>
          <w:rFonts w:hint="eastAsia" w:ascii="仿宋" w:hAnsi="仿宋" w:eastAsia="仿宋" w:cs="仿宋"/>
          <w:b/>
          <w:color w:val="auto"/>
          <w:sz w:val="24"/>
          <w:szCs w:val="24"/>
          <w:highlight w:val="none"/>
        </w:rPr>
        <w:t>否则投标无效。</w:t>
      </w:r>
    </w:p>
    <w:p w14:paraId="3976B24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.1.3采购代理机构推迟投标截止时间，在</w:t>
      </w:r>
      <w:r>
        <w:rPr>
          <w:rFonts w:hint="eastAsia" w:ascii="仿宋" w:hAnsi="仿宋" w:eastAsia="仿宋" w:cs="仿宋"/>
          <w:color w:val="auto"/>
          <w:sz w:val="24"/>
          <w:szCs w:val="24"/>
          <w:highlight w:val="none"/>
          <w:lang w:val="en-US" w:eastAsia="zh-CN"/>
        </w:rPr>
        <w:t>江西省招标投标网</w:t>
      </w:r>
      <w:r>
        <w:rPr>
          <w:rFonts w:hint="eastAsia" w:ascii="仿宋" w:hAnsi="仿宋" w:eastAsia="仿宋" w:cs="仿宋"/>
          <w:color w:val="auto"/>
          <w:sz w:val="24"/>
          <w:szCs w:val="24"/>
          <w:highlight w:val="none"/>
        </w:rPr>
        <w:t>上发布延期公告，延期函以网上公告的形式通知所有已下载招标文件的投标人。在这种情况下，采购代理机构、采购人和投标人受投标截止时间制约的所有权利和义务均应延长至新的投标截止时间。</w:t>
      </w:r>
    </w:p>
    <w:p w14:paraId="38288D68">
      <w:pPr>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val="en-US" w:eastAsia="zh-CN"/>
        </w:rPr>
        <w:t>9</w:t>
      </w:r>
      <w:r>
        <w:rPr>
          <w:rFonts w:hint="eastAsia" w:ascii="仿宋" w:hAnsi="仿宋" w:eastAsia="仿宋" w:cs="仿宋"/>
          <w:b/>
          <w:bCs/>
          <w:color w:val="auto"/>
          <w:sz w:val="24"/>
          <w:szCs w:val="24"/>
          <w:highlight w:val="none"/>
        </w:rPr>
        <w:t>.2迟交的投标文件</w:t>
      </w:r>
    </w:p>
    <w:p w14:paraId="2A5E11D4">
      <w:pPr>
        <w:spacing w:line="460" w:lineRule="exact"/>
        <w:ind w:left="600" w:leftChars="200" w:hanging="120" w:hangingChars="50"/>
        <w:rPr>
          <w:rFonts w:hint="eastAsia" w:ascii="仿宋" w:hAnsi="仿宋" w:eastAsia="仿宋" w:cs="仿宋"/>
          <w:b/>
          <w:color w:val="auto"/>
          <w:sz w:val="32"/>
          <w:szCs w:val="32"/>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.2.1在投标截止时间以后送达的</w:t>
      </w:r>
      <w:r>
        <w:rPr>
          <w:rFonts w:hint="eastAsia" w:ascii="仿宋" w:hAnsi="仿宋" w:eastAsia="仿宋" w:cs="仿宋"/>
          <w:color w:val="auto"/>
          <w:sz w:val="24"/>
          <w:szCs w:val="24"/>
          <w:highlight w:val="none"/>
          <w:lang w:val="en-US" w:eastAsia="zh-CN"/>
        </w:rPr>
        <w:t>投标文件</w:t>
      </w:r>
      <w:r>
        <w:rPr>
          <w:rFonts w:hint="eastAsia" w:ascii="仿宋" w:hAnsi="仿宋" w:eastAsia="仿宋" w:cs="仿宋"/>
          <w:color w:val="auto"/>
          <w:sz w:val="24"/>
          <w:szCs w:val="24"/>
          <w:highlight w:val="none"/>
        </w:rPr>
        <w:t>，采购代理机构将拒绝接收。</w:t>
      </w:r>
    </w:p>
    <w:p w14:paraId="454F6D3D">
      <w:pPr>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val="en-US" w:eastAsia="zh-CN"/>
        </w:rPr>
        <w:t>9</w:t>
      </w:r>
      <w:r>
        <w:rPr>
          <w:rFonts w:hint="eastAsia" w:ascii="仿宋" w:hAnsi="仿宋" w:eastAsia="仿宋" w:cs="仿宋"/>
          <w:b/>
          <w:bCs/>
          <w:color w:val="auto"/>
          <w:sz w:val="24"/>
          <w:szCs w:val="24"/>
          <w:highlight w:val="none"/>
        </w:rPr>
        <w:t>.3投标文件的修改和撤回</w:t>
      </w:r>
    </w:p>
    <w:p w14:paraId="07DC09C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.3.1在投标截止时间前，投标人</w:t>
      </w:r>
      <w:r>
        <w:rPr>
          <w:rFonts w:hint="eastAsia" w:ascii="仿宋" w:hAnsi="仿宋" w:eastAsia="仿宋" w:cs="仿宋"/>
          <w:color w:val="auto"/>
          <w:sz w:val="24"/>
          <w:szCs w:val="24"/>
          <w:highlight w:val="none"/>
          <w:lang w:val="en-US" w:eastAsia="zh-CN"/>
        </w:rPr>
        <w:t>可以</w:t>
      </w:r>
      <w:r>
        <w:rPr>
          <w:rFonts w:hint="eastAsia" w:ascii="仿宋" w:hAnsi="仿宋" w:eastAsia="仿宋" w:cs="仿宋"/>
          <w:color w:val="auto"/>
          <w:sz w:val="24"/>
          <w:szCs w:val="24"/>
          <w:highlight w:val="none"/>
        </w:rPr>
        <w:t>修改或撤回投标文件。</w:t>
      </w:r>
      <w:r>
        <w:rPr>
          <w:rFonts w:hint="eastAsia" w:ascii="仿宋" w:hAnsi="仿宋" w:eastAsia="仿宋" w:cs="仿宋"/>
          <w:b/>
          <w:color w:val="auto"/>
          <w:sz w:val="32"/>
          <w:szCs w:val="32"/>
          <w:highlight w:val="none"/>
        </w:rPr>
        <w:t xml:space="preserve"> </w:t>
      </w:r>
    </w:p>
    <w:p w14:paraId="1BA9502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.3.2从投标截止期至投标有效期期满这段时间内，投标人不得撤回其投标，否则不予退还其交纳的投标保证金。</w:t>
      </w:r>
    </w:p>
    <w:p w14:paraId="065C575E">
      <w:pPr>
        <w:pStyle w:val="4"/>
        <w:numPr>
          <w:ilvl w:val="0"/>
          <w:numId w:val="1"/>
        </w:numPr>
        <w:spacing w:before="0" w:after="0" w:line="240" w:lineRule="auto"/>
        <w:ind w:left="562" w:hanging="562" w:hangingChars="200"/>
        <w:rPr>
          <w:rFonts w:hint="eastAsia" w:ascii="仿宋" w:hAnsi="仿宋" w:eastAsia="仿宋" w:cs="仿宋"/>
          <w:color w:val="auto"/>
          <w:sz w:val="28"/>
          <w:szCs w:val="28"/>
          <w:highlight w:val="none"/>
        </w:rPr>
      </w:pPr>
      <w:bookmarkStart w:id="191" w:name="_Toc494114872"/>
      <w:bookmarkStart w:id="192" w:name="_Toc1452"/>
      <w:bookmarkStart w:id="193" w:name="_Toc9825"/>
      <w:bookmarkStart w:id="194" w:name="_Toc15284"/>
      <w:bookmarkStart w:id="195" w:name="_Toc5572"/>
      <w:r>
        <w:rPr>
          <w:rFonts w:hint="eastAsia" w:ascii="仿宋" w:hAnsi="仿宋" w:eastAsia="仿宋" w:cs="仿宋"/>
          <w:color w:val="auto"/>
          <w:sz w:val="28"/>
          <w:szCs w:val="28"/>
          <w:highlight w:val="none"/>
        </w:rPr>
        <w:t>分包的规定</w:t>
      </w:r>
      <w:bookmarkEnd w:id="191"/>
      <w:bookmarkEnd w:id="192"/>
      <w:bookmarkEnd w:id="193"/>
      <w:bookmarkEnd w:id="194"/>
      <w:bookmarkEnd w:id="195"/>
      <w:bookmarkStart w:id="196" w:name="_Toc15774"/>
      <w:bookmarkStart w:id="197" w:name="_Toc20046"/>
      <w:bookmarkStart w:id="198" w:name="_Toc494114873"/>
      <w:bookmarkStart w:id="199" w:name="_Toc18950"/>
    </w:p>
    <w:p w14:paraId="7316A7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20.1本项目是否允许分包：详见“投标人须知前附表”；</w:t>
      </w:r>
    </w:p>
    <w:p w14:paraId="0BBEECB2">
      <w:pPr>
        <w:pStyle w:val="4"/>
        <w:spacing w:after="0"/>
        <w:rPr>
          <w:rFonts w:hint="eastAsia" w:ascii="仿宋" w:hAnsi="仿宋" w:eastAsia="仿宋" w:cs="仿宋"/>
          <w:color w:val="auto"/>
          <w:sz w:val="28"/>
          <w:szCs w:val="28"/>
          <w:highlight w:val="none"/>
        </w:rPr>
      </w:pPr>
      <w:bookmarkStart w:id="200" w:name="_Toc18936"/>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恶意串通等行为的处理及串通投标情形的认定</w:t>
      </w:r>
      <w:bookmarkEnd w:id="196"/>
      <w:bookmarkEnd w:id="197"/>
      <w:bookmarkEnd w:id="198"/>
      <w:bookmarkEnd w:id="199"/>
      <w:bookmarkEnd w:id="200"/>
    </w:p>
    <w:p w14:paraId="7DEEDCA1">
      <w:pPr>
        <w:keepNext w:val="0"/>
        <w:keepLines w:val="0"/>
        <w:pageBreakBefore w:val="0"/>
        <w:widowControl/>
        <w:kinsoku/>
        <w:wordWrap/>
        <w:overflowPunct/>
        <w:topLinePunct w:val="0"/>
        <w:autoSpaceDE/>
        <w:autoSpaceDN/>
        <w:bidi w:val="0"/>
        <w:adjustRightInd/>
        <w:snapToGrid/>
        <w:spacing w:beforeAutospacing="0" w:afterAutospacing="0" w:line="440" w:lineRule="exact"/>
        <w:ind w:left="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.1投标人应当遵循公平竞争的原则，不得恶意串通，不得妨碍其他投标人的竞争行为，不得损害采购人或者其他投标人的合法权益。</w:t>
      </w:r>
    </w:p>
    <w:p w14:paraId="4F04ED7C">
      <w:pPr>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在评标过程中发现投标人有上述情形的，评标委员会应当认定其</w:t>
      </w:r>
      <w:r>
        <w:rPr>
          <w:rFonts w:hint="eastAsia" w:ascii="仿宋" w:hAnsi="仿宋" w:eastAsia="仿宋" w:cs="仿宋"/>
          <w:b/>
          <w:color w:val="auto"/>
          <w:sz w:val="24"/>
          <w:szCs w:val="24"/>
          <w:highlight w:val="none"/>
        </w:rPr>
        <w:t>投标无效</w:t>
      </w:r>
      <w:r>
        <w:rPr>
          <w:rFonts w:hint="eastAsia" w:ascii="仿宋" w:hAnsi="仿宋" w:eastAsia="仿宋" w:cs="仿宋"/>
          <w:color w:val="auto"/>
          <w:sz w:val="24"/>
          <w:szCs w:val="24"/>
          <w:highlight w:val="none"/>
        </w:rPr>
        <w:t>，并书面报告本级财政部门。</w:t>
      </w:r>
    </w:p>
    <w:p w14:paraId="6CAC8ABD">
      <w:pPr>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.2有下列情形之一的，视为投标人串通投标，其</w:t>
      </w:r>
      <w:r>
        <w:rPr>
          <w:rFonts w:hint="eastAsia" w:ascii="仿宋" w:hAnsi="仿宋" w:eastAsia="仿宋" w:cs="仿宋"/>
          <w:b/>
          <w:color w:val="auto"/>
          <w:sz w:val="24"/>
          <w:szCs w:val="24"/>
          <w:highlight w:val="none"/>
        </w:rPr>
        <w:t>投标无效</w:t>
      </w:r>
      <w:r>
        <w:rPr>
          <w:rFonts w:hint="eastAsia" w:ascii="仿宋" w:hAnsi="仿宋" w:eastAsia="仿宋" w:cs="仿宋"/>
          <w:color w:val="auto"/>
          <w:sz w:val="24"/>
          <w:szCs w:val="24"/>
          <w:highlight w:val="none"/>
        </w:rPr>
        <w:t>：</w:t>
      </w:r>
    </w:p>
    <w:p w14:paraId="176FEEBF">
      <w:pPr>
        <w:keepNext w:val="0"/>
        <w:keepLines w:val="0"/>
        <w:pageBreakBefore w:val="0"/>
        <w:widowControl/>
        <w:kinsoku/>
        <w:wordWrap/>
        <w:overflowPunct/>
        <w:topLinePunct w:val="0"/>
        <w:autoSpaceDE/>
        <w:autoSpaceDN/>
        <w:bidi w:val="0"/>
        <w:adjustRightInd/>
        <w:snapToGrid/>
        <w:spacing w:beforeAutospacing="0" w:afterAutospacing="0" w:line="440" w:lineRule="exact"/>
        <w:ind w:left="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（1）不同投标人的投标文件由同一单位或者个人编制；</w:t>
      </w:r>
    </w:p>
    <w:p w14:paraId="3FA35ED3">
      <w:pPr>
        <w:keepNext w:val="0"/>
        <w:keepLines w:val="0"/>
        <w:pageBreakBefore w:val="0"/>
        <w:widowControl/>
        <w:kinsoku/>
        <w:wordWrap/>
        <w:overflowPunct/>
        <w:topLinePunct w:val="0"/>
        <w:autoSpaceDE/>
        <w:autoSpaceDN/>
        <w:bidi w:val="0"/>
        <w:adjustRightInd/>
        <w:snapToGrid/>
        <w:spacing w:beforeAutospacing="0" w:afterAutospacing="0" w:line="440" w:lineRule="exact"/>
        <w:ind w:left="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（2）不同投标人委托同一单位或者个人办理投标事宜；</w:t>
      </w:r>
    </w:p>
    <w:p w14:paraId="69B6F124">
      <w:pPr>
        <w:keepNext w:val="0"/>
        <w:keepLines w:val="0"/>
        <w:pageBreakBefore w:val="0"/>
        <w:widowControl/>
        <w:kinsoku/>
        <w:wordWrap/>
        <w:overflowPunct/>
        <w:topLinePunct w:val="0"/>
        <w:autoSpaceDE/>
        <w:autoSpaceDN/>
        <w:bidi w:val="0"/>
        <w:adjustRightInd/>
        <w:snapToGrid/>
        <w:spacing w:beforeAutospacing="0" w:afterAutospacing="0" w:line="440" w:lineRule="exact"/>
        <w:ind w:left="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（3）不同投标人的投标文件载明的项目管理成员或者联系人员为同一人；</w:t>
      </w:r>
    </w:p>
    <w:p w14:paraId="2C82A817">
      <w:pPr>
        <w:keepNext w:val="0"/>
        <w:keepLines w:val="0"/>
        <w:pageBreakBefore w:val="0"/>
        <w:widowControl/>
        <w:kinsoku/>
        <w:wordWrap/>
        <w:overflowPunct/>
        <w:topLinePunct w:val="0"/>
        <w:autoSpaceDE/>
        <w:autoSpaceDN/>
        <w:bidi w:val="0"/>
        <w:adjustRightInd/>
        <w:snapToGrid/>
        <w:spacing w:beforeAutospacing="0" w:afterAutospacing="0" w:line="440" w:lineRule="exact"/>
        <w:ind w:left="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（4）不同投标人的投标文件异常一致或者投标报价呈规律性差异；</w:t>
      </w:r>
    </w:p>
    <w:p w14:paraId="545FFB18">
      <w:pPr>
        <w:keepNext w:val="0"/>
        <w:keepLines w:val="0"/>
        <w:pageBreakBefore w:val="0"/>
        <w:widowControl/>
        <w:kinsoku/>
        <w:wordWrap/>
        <w:overflowPunct/>
        <w:topLinePunct w:val="0"/>
        <w:autoSpaceDE/>
        <w:autoSpaceDN/>
        <w:bidi w:val="0"/>
        <w:adjustRightInd/>
        <w:snapToGrid/>
        <w:spacing w:beforeAutospacing="0" w:afterAutospacing="0" w:line="440" w:lineRule="exact"/>
        <w:ind w:left="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（5）不同投标人的投标文件相互混装；</w:t>
      </w:r>
    </w:p>
    <w:p w14:paraId="5E983BF7">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（6）不同投标人的投标保证金从同一单位或者个人的账户转出。</w:t>
      </w:r>
    </w:p>
    <w:p w14:paraId="1E591E20">
      <w:pPr>
        <w:keepNext w:val="0"/>
        <w:keepLines w:val="0"/>
        <w:pageBreakBefore w:val="0"/>
        <w:widowControl/>
        <w:kinsoku/>
        <w:wordWrap/>
        <w:overflowPunct/>
        <w:topLinePunct w:val="0"/>
        <w:autoSpaceDE/>
        <w:autoSpaceDN/>
        <w:bidi w:val="0"/>
        <w:adjustRightInd/>
        <w:snapToGrid/>
        <w:spacing w:beforeAutospacing="0" w:afterAutospacing="0" w:line="440" w:lineRule="exact"/>
        <w:ind w:left="0" w:firstLine="480" w:firstLineChars="200"/>
        <w:jc w:val="left"/>
        <w:textAlignment w:val="auto"/>
        <w:rPr>
          <w:rFonts w:hint="eastAsia" w:ascii="仿宋" w:hAnsi="仿宋" w:eastAsia="仿宋" w:cs="仿宋"/>
          <w:color w:val="auto"/>
          <w:sz w:val="24"/>
          <w:szCs w:val="24"/>
          <w:highlight w:val="none"/>
          <w:lang w:eastAsia="zh-CN"/>
        </w:rPr>
      </w:pPr>
    </w:p>
    <w:p w14:paraId="4E7BB553">
      <w:pPr>
        <w:pStyle w:val="4"/>
        <w:bidi w:val="0"/>
        <w:jc w:val="center"/>
        <w:rPr>
          <w:rFonts w:hint="eastAsia" w:ascii="仿宋" w:hAnsi="仿宋" w:eastAsia="仿宋" w:cs="仿宋"/>
          <w:color w:val="auto"/>
          <w:highlight w:val="none"/>
          <w:lang w:val="en-US" w:eastAsia="zh-CN"/>
        </w:rPr>
      </w:pPr>
      <w:bookmarkStart w:id="201" w:name="_Toc15372"/>
      <w:bookmarkStart w:id="202" w:name="_Toc10675"/>
      <w:bookmarkStart w:id="203" w:name="_Toc15685"/>
      <w:bookmarkStart w:id="204" w:name="_Toc494114874"/>
      <w:bookmarkStart w:id="205" w:name="_Toc11703"/>
      <w:r>
        <w:rPr>
          <w:rFonts w:hint="eastAsia" w:ascii="仿宋" w:hAnsi="仿宋" w:eastAsia="仿宋" w:cs="仿宋"/>
          <w:color w:val="auto"/>
          <w:highlight w:val="none"/>
        </w:rPr>
        <w:t>四、开标</w:t>
      </w:r>
      <w:bookmarkEnd w:id="201"/>
      <w:bookmarkEnd w:id="202"/>
      <w:bookmarkEnd w:id="203"/>
      <w:bookmarkEnd w:id="204"/>
      <w:bookmarkEnd w:id="205"/>
    </w:p>
    <w:p w14:paraId="7B19ECAF">
      <w:pPr>
        <w:pStyle w:val="4"/>
        <w:spacing w:after="0"/>
        <w:rPr>
          <w:rFonts w:hint="eastAsia" w:ascii="仿宋" w:hAnsi="仿宋" w:eastAsia="仿宋" w:cs="仿宋"/>
          <w:color w:val="auto"/>
          <w:sz w:val="28"/>
          <w:szCs w:val="28"/>
          <w:highlight w:val="none"/>
        </w:rPr>
      </w:pPr>
      <w:bookmarkStart w:id="206" w:name="_Toc15871"/>
      <w:bookmarkStart w:id="207" w:name="_Toc22057"/>
      <w:bookmarkStart w:id="208" w:name="_Toc25373"/>
      <w:bookmarkStart w:id="209" w:name="_Toc286758331"/>
      <w:bookmarkStart w:id="210" w:name="_Toc494114875"/>
      <w:bookmarkStart w:id="211" w:name="_Toc12480"/>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开标</w:t>
      </w:r>
      <w:bookmarkEnd w:id="206"/>
      <w:bookmarkEnd w:id="207"/>
      <w:bookmarkEnd w:id="208"/>
      <w:bookmarkEnd w:id="209"/>
      <w:bookmarkEnd w:id="210"/>
      <w:bookmarkEnd w:id="211"/>
      <w:r>
        <w:rPr>
          <w:rFonts w:hint="eastAsia" w:ascii="仿宋" w:hAnsi="仿宋" w:eastAsia="仿宋" w:cs="仿宋"/>
          <w:color w:val="auto"/>
          <w:sz w:val="28"/>
          <w:szCs w:val="28"/>
          <w:highlight w:val="none"/>
        </w:rPr>
        <w:t xml:space="preserve"> </w:t>
      </w:r>
    </w:p>
    <w:p w14:paraId="2CA5DAAA">
      <w:pPr>
        <w:keepNext w:val="0"/>
        <w:keepLines w:val="0"/>
        <w:pageBreakBefore w:val="0"/>
        <w:widowControl w:val="0"/>
        <w:kinsoku/>
        <w:wordWrap/>
        <w:overflowPunct/>
        <w:topLinePunct w:val="0"/>
        <w:autoSpaceDE/>
        <w:autoSpaceDN/>
        <w:bidi w:val="0"/>
        <w:adjustRightInd/>
        <w:snapToGrid/>
        <w:spacing w:line="440" w:lineRule="exact"/>
        <w:ind w:left="480" w:leftChars="200"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.1采购代理机构在“投标邀请”中规定的时间和地点组织公开开标。</w:t>
      </w:r>
    </w:p>
    <w:p w14:paraId="627792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.2开标由采购人或者采购代理机构主持，邀请投标人参加。评标委员会成员不得参加开标活动。</w:t>
      </w:r>
    </w:p>
    <w:p w14:paraId="005D91D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.3</w:t>
      </w:r>
      <w:r>
        <w:rPr>
          <w:rFonts w:hint="eastAsia" w:ascii="仿宋" w:hAnsi="仿宋" w:eastAsia="仿宋" w:cs="仿宋"/>
          <w:bCs/>
          <w:color w:val="auto"/>
          <w:sz w:val="24"/>
          <w:szCs w:val="24"/>
          <w:highlight w:val="none"/>
        </w:rPr>
        <w:t>投标截止时间前投标人未递交</w:t>
      </w:r>
      <w:r>
        <w:rPr>
          <w:rFonts w:hint="eastAsia" w:ascii="仿宋" w:hAnsi="仿宋" w:eastAsia="仿宋" w:cs="仿宋"/>
          <w:bCs/>
          <w:color w:val="auto"/>
          <w:sz w:val="24"/>
          <w:szCs w:val="24"/>
          <w:highlight w:val="none"/>
          <w:lang w:val="en-US" w:eastAsia="zh-CN"/>
        </w:rPr>
        <w:t>投标文件</w:t>
      </w:r>
      <w:r>
        <w:rPr>
          <w:rFonts w:hint="eastAsia" w:ascii="仿宋" w:hAnsi="仿宋" w:eastAsia="仿宋" w:cs="仿宋"/>
          <w:bCs/>
          <w:color w:val="auto"/>
          <w:sz w:val="24"/>
          <w:szCs w:val="24"/>
          <w:highlight w:val="none"/>
        </w:rPr>
        <w:t>的，</w:t>
      </w:r>
      <w:r>
        <w:rPr>
          <w:rFonts w:hint="eastAsia" w:ascii="仿宋" w:hAnsi="仿宋" w:eastAsia="仿宋" w:cs="仿宋"/>
          <w:b/>
          <w:color w:val="auto"/>
          <w:sz w:val="24"/>
          <w:szCs w:val="24"/>
          <w:highlight w:val="none"/>
        </w:rPr>
        <w:t>投标无效</w:t>
      </w:r>
      <w:r>
        <w:rPr>
          <w:rFonts w:hint="eastAsia" w:ascii="仿宋" w:hAnsi="仿宋" w:eastAsia="仿宋" w:cs="仿宋"/>
          <w:bCs/>
          <w:color w:val="auto"/>
          <w:sz w:val="24"/>
          <w:szCs w:val="24"/>
          <w:highlight w:val="none"/>
        </w:rPr>
        <w:t>。</w:t>
      </w:r>
    </w:p>
    <w:p w14:paraId="431CFF5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.4开标时，采购代理机构将宣读投标人名称、投标</w:t>
      </w:r>
      <w:r>
        <w:rPr>
          <w:rFonts w:hint="eastAsia" w:ascii="仿宋" w:hAnsi="仿宋" w:eastAsia="仿宋" w:cs="仿宋"/>
          <w:color w:val="auto"/>
          <w:sz w:val="24"/>
          <w:szCs w:val="24"/>
          <w:highlight w:val="none"/>
          <w:lang w:val="en-US" w:eastAsia="zh-CN"/>
        </w:rPr>
        <w:t>单</w:t>
      </w:r>
      <w:r>
        <w:rPr>
          <w:rFonts w:hint="eastAsia" w:ascii="仿宋" w:hAnsi="仿宋" w:eastAsia="仿宋" w:cs="仿宋"/>
          <w:color w:val="auto"/>
          <w:sz w:val="24"/>
          <w:szCs w:val="24"/>
          <w:highlight w:val="none"/>
        </w:rPr>
        <w:t>价以及采购代理机构认为合适的其他内容。</w:t>
      </w:r>
    </w:p>
    <w:p w14:paraId="5939669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color w:val="auto"/>
          <w:kern w:val="0"/>
          <w:sz w:val="32"/>
          <w:szCs w:val="32"/>
          <w:highlight w:val="none"/>
        </w:rPr>
      </w:pPr>
      <w:r>
        <w:rPr>
          <w:rFonts w:hint="eastAsia" w:ascii="仿宋" w:hAnsi="仿宋" w:eastAsia="仿宋" w:cs="仿宋"/>
          <w:b/>
          <w:bCs/>
          <w:color w:val="auto"/>
          <w:sz w:val="24"/>
          <w:szCs w:val="24"/>
          <w:highlight w:val="none"/>
        </w:rPr>
        <w:t>投标人不足3家的，不得开标。</w:t>
      </w:r>
    </w:p>
    <w:p w14:paraId="21DA5C8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bookmarkStart w:id="212" w:name="_Toc286758332"/>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.5只有开标时唱出的内容，在评标时才予以考虑。在开标时没有宣读的投标文件，在评标时将不予考虑。</w:t>
      </w:r>
      <w:bookmarkEnd w:id="212"/>
    </w:p>
    <w:p w14:paraId="437F520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.6开标过程应当由采购代理机构负责记录，并随采购文件一并存档。</w:t>
      </w:r>
    </w:p>
    <w:p w14:paraId="3612B08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278C60F6">
      <w:pPr>
        <w:keepNext w:val="0"/>
        <w:keepLines w:val="0"/>
        <w:pageBreakBefore w:val="0"/>
        <w:widowControl w:val="0"/>
        <w:kinsoku/>
        <w:wordWrap/>
        <w:overflowPunct/>
        <w:topLinePunct w:val="0"/>
        <w:autoSpaceDE/>
        <w:autoSpaceDN/>
        <w:bidi w:val="0"/>
        <w:adjustRightInd/>
        <w:snapToGrid/>
        <w:spacing w:line="440" w:lineRule="exact"/>
        <w:ind w:left="120" w:leftChars="5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投标人未参加开标的，视同认可开标结果。</w:t>
      </w:r>
    </w:p>
    <w:p w14:paraId="3905355B">
      <w:pPr>
        <w:pStyle w:val="4"/>
        <w:numPr>
          <w:ilvl w:val="0"/>
          <w:numId w:val="0"/>
        </w:numPr>
        <w:bidi w:val="0"/>
        <w:jc w:val="center"/>
        <w:rPr>
          <w:rFonts w:hint="eastAsia" w:ascii="仿宋" w:hAnsi="仿宋" w:eastAsia="仿宋" w:cs="仿宋"/>
          <w:color w:val="auto"/>
          <w:highlight w:val="none"/>
          <w:lang w:val="en-US"/>
        </w:rPr>
      </w:pPr>
      <w:bookmarkStart w:id="213" w:name="_Toc27587"/>
      <w:bookmarkStart w:id="214" w:name="_Toc9059"/>
      <w:bookmarkStart w:id="215" w:name="_Toc14110"/>
      <w:bookmarkStart w:id="216" w:name="_Toc2414"/>
      <w:bookmarkStart w:id="217" w:name="_Toc494114876"/>
      <w:r>
        <w:rPr>
          <w:rFonts w:hint="eastAsia" w:ascii="仿宋" w:hAnsi="仿宋" w:eastAsia="仿宋" w:cs="仿宋"/>
          <w:color w:val="auto"/>
          <w:highlight w:val="none"/>
          <w:lang w:val="en-US" w:eastAsia="zh-CN"/>
        </w:rPr>
        <w:t>五、</w:t>
      </w:r>
      <w:r>
        <w:rPr>
          <w:rFonts w:hint="eastAsia" w:ascii="仿宋" w:hAnsi="仿宋" w:eastAsia="仿宋" w:cs="仿宋"/>
          <w:color w:val="auto"/>
          <w:highlight w:val="none"/>
        </w:rPr>
        <w:t>评标</w:t>
      </w:r>
      <w:bookmarkEnd w:id="213"/>
      <w:bookmarkEnd w:id="214"/>
      <w:bookmarkEnd w:id="215"/>
      <w:bookmarkEnd w:id="216"/>
      <w:bookmarkEnd w:id="217"/>
    </w:p>
    <w:p w14:paraId="193FBC02">
      <w:pPr>
        <w:pStyle w:val="4"/>
        <w:spacing w:after="0"/>
        <w:rPr>
          <w:rFonts w:hint="eastAsia" w:ascii="仿宋" w:hAnsi="仿宋" w:eastAsia="仿宋" w:cs="仿宋"/>
          <w:color w:val="auto"/>
          <w:sz w:val="28"/>
          <w:szCs w:val="28"/>
          <w:highlight w:val="none"/>
        </w:rPr>
      </w:pPr>
      <w:bookmarkStart w:id="218" w:name="_Toc19230"/>
      <w:bookmarkStart w:id="219" w:name="_Toc18610"/>
      <w:bookmarkStart w:id="220" w:name="_Toc8243"/>
      <w:bookmarkStart w:id="221" w:name="_Toc494114877"/>
      <w:bookmarkStart w:id="222" w:name="_Toc23489"/>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评标</w:t>
      </w:r>
      <w:bookmarkEnd w:id="218"/>
      <w:bookmarkEnd w:id="219"/>
      <w:bookmarkEnd w:id="220"/>
      <w:bookmarkEnd w:id="221"/>
      <w:bookmarkEnd w:id="222"/>
    </w:p>
    <w:p w14:paraId="700346DA">
      <w:pPr>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.1公开招标采购项目开标结束后，采购人或者采购代理机构应当依法对投标人的资格进行审查。</w:t>
      </w:r>
    </w:p>
    <w:p w14:paraId="2D344C8E">
      <w:pPr>
        <w:spacing w:line="460" w:lineRule="exact"/>
        <w:ind w:left="540" w:leftChars="200" w:hanging="60" w:hangingChars="25"/>
        <w:rPr>
          <w:rFonts w:hint="eastAsia" w:ascii="仿宋" w:hAnsi="仿宋" w:eastAsia="仿宋" w:cs="仿宋"/>
          <w:b/>
          <w:bCs/>
          <w:color w:val="auto"/>
          <w:sz w:val="32"/>
          <w:szCs w:val="32"/>
          <w:highlight w:val="none"/>
        </w:rPr>
      </w:pPr>
      <w:r>
        <w:rPr>
          <w:rFonts w:hint="eastAsia" w:ascii="仿宋" w:hAnsi="仿宋" w:eastAsia="仿宋" w:cs="仿宋"/>
          <w:b/>
          <w:bCs/>
          <w:color w:val="auto"/>
          <w:sz w:val="24"/>
          <w:szCs w:val="24"/>
          <w:highlight w:val="none"/>
        </w:rPr>
        <w:t>合格投标人不足3家的，不得评标。</w:t>
      </w:r>
    </w:p>
    <w:p w14:paraId="1D4721C8">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.2 招标代理机构将在开、评标期间查询投标人的信用记录并告知评标委员会，经评标委员会评审确定投标人存在不良信用记录的，其</w:t>
      </w:r>
      <w:r>
        <w:rPr>
          <w:rFonts w:hint="eastAsia" w:ascii="仿宋" w:hAnsi="仿宋" w:eastAsia="仿宋" w:cs="仿宋"/>
          <w:b/>
          <w:color w:val="auto"/>
          <w:sz w:val="24"/>
          <w:szCs w:val="24"/>
          <w:highlight w:val="none"/>
        </w:rPr>
        <w:t>投标无效</w:t>
      </w:r>
      <w:r>
        <w:rPr>
          <w:rFonts w:hint="eastAsia" w:ascii="仿宋" w:hAnsi="仿宋" w:eastAsia="仿宋" w:cs="仿宋"/>
          <w:color w:val="auto"/>
          <w:sz w:val="24"/>
          <w:szCs w:val="24"/>
          <w:highlight w:val="none"/>
        </w:rPr>
        <w:t>；查询到的不良信用记录随采购文件存档。</w:t>
      </w:r>
    </w:p>
    <w:p w14:paraId="69F0D017">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bCs/>
          <w:color w:val="auto"/>
          <w:szCs w:val="24"/>
          <w:highlight w:val="none"/>
        </w:rPr>
        <w:t>（1）根据《财政部关于在政府采购活动中查询及使用信用记录有关问题的通知》（财库〔2016〕125 号），不良信用记录指：投标人在“信用中国”网站（www.creditchina.gov.cn）被列入失信被执行人和重大税收违法案件当事人名单或在中国政府采购网（www.ccgp.gov.cn）被列入政府采购严重违法失信行为记录名单。</w:t>
      </w:r>
    </w:p>
    <w:p w14:paraId="1FF41FBD">
      <w:pPr>
        <w:keepNext w:val="0"/>
        <w:keepLines w:val="0"/>
        <w:pageBreakBefore w:val="0"/>
        <w:widowControl w:val="0"/>
        <w:kinsoku/>
        <w:wordWrap/>
        <w:overflowPunct/>
        <w:topLinePunct w:val="0"/>
        <w:autoSpaceDE w:val="0"/>
        <w:autoSpaceDN w:val="0"/>
        <w:bidi w:val="0"/>
        <w:adjustRightInd w:val="0"/>
        <w:snapToGrid/>
        <w:spacing w:line="46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）投标人不良信用记录以招标代理机构查询结果为准，招标代理机构查询之后，网站信息发生的任何变更均不再作为评标依据，投标人自行提供的与网站信息不一致的其他证明材料亦不作为评标依据。</w:t>
      </w:r>
    </w:p>
    <w:p w14:paraId="0B83EDB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bookmarkStart w:id="223" w:name="_Toc262628244"/>
      <w:bookmarkStart w:id="224" w:name="_Toc262628245"/>
      <w:bookmarkStart w:id="225" w:name="_Toc286758333"/>
      <w:bookmarkStart w:id="226" w:name="_Toc286758334"/>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.3 评标委员会</w:t>
      </w:r>
    </w:p>
    <w:p w14:paraId="3978694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评标由依照有关法规组建的评标委员会负责。</w:t>
      </w:r>
    </w:p>
    <w:p w14:paraId="3D61D32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.4评标委员会应当对符合资格的投标人的投标文件进行符合性审查，以确定其是否满足招标文件的实质性要求。</w:t>
      </w:r>
    </w:p>
    <w:p w14:paraId="3776838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5对于投标文件中含义不明确、同类问题表述不一致或者有明显文字和计算错误的内容，评标委员会应当以书面形式要求投标人作出必要的澄清、说明或者补正。投标人的澄清、说明或者补正应当采用书面形式，并加盖公章，或者由法定代表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或经营者）</w:t>
      </w:r>
      <w:r>
        <w:rPr>
          <w:rFonts w:hint="eastAsia" w:ascii="仿宋" w:hAnsi="仿宋" w:eastAsia="仿宋" w:cs="仿宋"/>
          <w:color w:val="auto"/>
          <w:sz w:val="24"/>
          <w:szCs w:val="24"/>
          <w:highlight w:val="none"/>
        </w:rPr>
        <w:t>或其授权的代表签字。投标人的澄清、说明或者补正不得超出投标文件的范围或者改变投标文件的实质性内容。</w:t>
      </w:r>
    </w:p>
    <w:p w14:paraId="1B53128C">
      <w:pPr>
        <w:keepNext w:val="0"/>
        <w:keepLines w:val="0"/>
        <w:pageBreakBefore w:val="0"/>
        <w:widowControl/>
        <w:kinsoku/>
        <w:wordWrap/>
        <w:overflowPunct/>
        <w:topLinePunct w:val="0"/>
        <w:autoSpaceDE/>
        <w:autoSpaceDN/>
        <w:bidi w:val="0"/>
        <w:adjustRightInd/>
        <w:snapToGrid/>
        <w:spacing w:beforeAutospacing="0" w:afterAutospacing="0" w:line="460" w:lineRule="atLeast"/>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.6</w:t>
      </w:r>
      <w:r>
        <w:rPr>
          <w:rFonts w:hint="eastAsia" w:ascii="仿宋" w:hAnsi="仿宋" w:eastAsia="仿宋" w:cs="仿宋"/>
          <w:bCs/>
          <w:color w:val="auto"/>
          <w:sz w:val="24"/>
          <w:szCs w:val="24"/>
          <w:highlight w:val="none"/>
        </w:rPr>
        <w:t>评标委员会应当按照招标文件中规定的评标方法和标准，对符合性审查合格的投标文件进行商务和技术评估，综合比较与评价。</w:t>
      </w:r>
    </w:p>
    <w:p w14:paraId="46FEDB4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7采用综合评分法的，评标结果按评审后得分由高到低顺序排列。得分相同的，按投标报价由低到高顺序排列；得分且投标报价相同的，按节能环保产品金额占投标报价比例（简称“比例”）由高到低顺序排列；得分、投标报价及比例相同的，由评标委员会随机抽取。</w:t>
      </w:r>
    </w:p>
    <w:p w14:paraId="50B0730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Cs/>
          <w:color w:val="auto"/>
          <w:sz w:val="24"/>
          <w:szCs w:val="24"/>
          <w:highlight w:val="none"/>
        </w:rPr>
        <w:t>2</w:t>
      </w:r>
      <w:r>
        <w:rPr>
          <w:rFonts w:hint="eastAsia" w:ascii="仿宋" w:hAnsi="仿宋" w:eastAsia="仿宋" w:cs="仿宋"/>
          <w:bCs/>
          <w:color w:val="auto"/>
          <w:sz w:val="24"/>
          <w:szCs w:val="24"/>
          <w:highlight w:val="none"/>
          <w:lang w:val="en-US" w:eastAsia="zh-CN"/>
        </w:rPr>
        <w:t>3.8</w:t>
      </w:r>
      <w:r>
        <w:rPr>
          <w:rFonts w:hint="eastAsia" w:ascii="仿宋" w:hAnsi="仿宋" w:eastAsia="仿宋" w:cs="仿宋"/>
          <w:bCs/>
          <w:color w:val="auto"/>
          <w:sz w:val="24"/>
          <w:szCs w:val="24"/>
          <w:highlight w:val="none"/>
        </w:rPr>
        <w:t>评标委员会根据全体评标成员签字的原始评标记录和评标结果编写评标报告。</w:t>
      </w:r>
    </w:p>
    <w:p w14:paraId="4186253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Cs/>
          <w:color w:val="auto"/>
          <w:sz w:val="24"/>
          <w:szCs w:val="24"/>
          <w:highlight w:val="none"/>
        </w:rPr>
        <w:t>2</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val="en-US" w:eastAsia="zh-CN"/>
        </w:rPr>
        <w:t>9</w:t>
      </w:r>
      <w:r>
        <w:rPr>
          <w:rFonts w:hint="eastAsia" w:ascii="仿宋" w:hAnsi="仿宋" w:eastAsia="仿宋" w:cs="仿宋"/>
          <w:bCs/>
          <w:color w:val="auto"/>
          <w:sz w:val="24"/>
          <w:szCs w:val="24"/>
          <w:highlight w:val="none"/>
        </w:rPr>
        <w:t>投标文件报价出现前后不一致的，除招标文件另有规定外，按照下列规定修正：</w:t>
      </w:r>
    </w:p>
    <w:p w14:paraId="0FB4E05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（1）投标文件中开标一览表（报价表）内容与投标文件中相应内容不一致的，以开标一览表（报价表）为准；</w:t>
      </w:r>
    </w:p>
    <w:p w14:paraId="14D68FB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（2）大写金额和小写金额不一致的，以大写金额为准；</w:t>
      </w:r>
    </w:p>
    <w:p w14:paraId="64E53E0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（3）单价金额小数点或者百分比有明显错位的，</w:t>
      </w:r>
      <w:r>
        <w:rPr>
          <w:rFonts w:hint="eastAsia" w:ascii="仿宋" w:hAnsi="仿宋" w:eastAsia="仿宋" w:cs="仿宋"/>
          <w:bCs/>
          <w:color w:val="auto"/>
          <w:sz w:val="24"/>
          <w:szCs w:val="24"/>
          <w:highlight w:val="none"/>
          <w:lang w:val="en-US" w:eastAsia="zh-CN"/>
        </w:rPr>
        <w:t>评标委员可要求投标人现场对单价进行澄清修改</w:t>
      </w:r>
    </w:p>
    <w:p w14:paraId="5408D237">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bCs/>
          <w:color w:val="auto"/>
          <w:sz w:val="24"/>
          <w:szCs w:val="24"/>
          <w:highlight w:val="none"/>
        </w:rPr>
        <w:t>同时出现两种以上不一致的，按照前款规定的顺序修正。修正后的报价按照投标人的澄清、说明或者补正应当采用书面形式，并加盖公章，或者由法定代表人</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或经营者）</w:t>
      </w:r>
      <w:r>
        <w:rPr>
          <w:rFonts w:hint="eastAsia" w:ascii="仿宋" w:hAnsi="仿宋" w:eastAsia="仿宋" w:cs="仿宋"/>
          <w:bCs/>
          <w:color w:val="auto"/>
          <w:sz w:val="24"/>
          <w:szCs w:val="24"/>
          <w:highlight w:val="none"/>
        </w:rPr>
        <w:t>或其授权的代表签字。投标人的澄清、说明或者补正不得超出投标文件的范围或者改变投标文件的实质性内容的规定经投标人确认后产生约束力，投标人不确认的，其</w:t>
      </w:r>
      <w:r>
        <w:rPr>
          <w:rFonts w:hint="eastAsia" w:ascii="仿宋" w:hAnsi="仿宋" w:eastAsia="仿宋" w:cs="仿宋"/>
          <w:b/>
          <w:bCs/>
          <w:color w:val="auto"/>
          <w:sz w:val="24"/>
          <w:szCs w:val="24"/>
          <w:highlight w:val="none"/>
        </w:rPr>
        <w:t>投标无效</w:t>
      </w:r>
      <w:r>
        <w:rPr>
          <w:rFonts w:hint="eastAsia" w:ascii="仿宋" w:hAnsi="仿宋" w:eastAsia="仿宋" w:cs="仿宋"/>
          <w:bCs/>
          <w:color w:val="auto"/>
          <w:sz w:val="24"/>
          <w:szCs w:val="24"/>
          <w:highlight w:val="none"/>
        </w:rPr>
        <w:t>。</w:t>
      </w:r>
    </w:p>
    <w:p w14:paraId="34F3051E">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firstLine="480" w:firstLineChars="200"/>
        <w:jc w:val="left"/>
        <w:textAlignment w:val="auto"/>
        <w:rPr>
          <w:rFonts w:hint="eastAsia" w:ascii="仿宋" w:hAnsi="仿宋" w:eastAsia="仿宋" w:cs="仿宋"/>
          <w:b/>
          <w:color w:val="auto"/>
          <w:kern w:val="0"/>
          <w:sz w:val="32"/>
          <w:szCs w:val="32"/>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w:t>
      </w:r>
      <w:r>
        <w:rPr>
          <w:rFonts w:hint="eastAsia" w:ascii="仿宋" w:hAnsi="仿宋" w:eastAsia="仿宋" w:cs="仿宋"/>
          <w:b/>
          <w:color w:val="auto"/>
          <w:sz w:val="24"/>
          <w:szCs w:val="24"/>
          <w:highlight w:val="none"/>
        </w:rPr>
        <w:t>为无效投标处理。</w:t>
      </w:r>
    </w:p>
    <w:p w14:paraId="6D78DFDC">
      <w:pPr>
        <w:keepNext w:val="0"/>
        <w:keepLines w:val="0"/>
        <w:pageBreakBefore w:val="0"/>
        <w:widowControl/>
        <w:kinsoku/>
        <w:wordWrap/>
        <w:overflowPunct/>
        <w:topLinePunct w:val="0"/>
        <w:autoSpaceDE/>
        <w:autoSpaceDN/>
        <w:bidi w:val="0"/>
        <w:adjustRightInd/>
        <w:snapToGrid/>
        <w:spacing w:beforeAutospacing="0" w:afterAutospacing="0" w:line="440" w:lineRule="exact"/>
        <w:ind w:left="0" w:leftChars="0" w:firstLine="480" w:firstLineChars="200"/>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rPr>
        <w:t>.1</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rPr>
        <w:t>投标人存在下列情况之一的，</w:t>
      </w:r>
      <w:r>
        <w:rPr>
          <w:rFonts w:hint="eastAsia" w:ascii="仿宋" w:hAnsi="仿宋" w:eastAsia="仿宋" w:cs="仿宋"/>
          <w:b/>
          <w:bCs/>
          <w:color w:val="auto"/>
          <w:sz w:val="24"/>
          <w:szCs w:val="24"/>
          <w:highlight w:val="none"/>
        </w:rPr>
        <w:t>投标无效</w:t>
      </w:r>
      <w:r>
        <w:rPr>
          <w:rFonts w:hint="eastAsia" w:ascii="仿宋" w:hAnsi="仿宋" w:eastAsia="仿宋" w:cs="仿宋"/>
          <w:bCs/>
          <w:color w:val="auto"/>
          <w:sz w:val="24"/>
          <w:szCs w:val="24"/>
          <w:highlight w:val="none"/>
        </w:rPr>
        <w:t>:</w:t>
      </w:r>
    </w:p>
    <w:p w14:paraId="0777B7EB">
      <w:pPr>
        <w:keepNext w:val="0"/>
        <w:keepLines w:val="0"/>
        <w:pageBreakBefore w:val="0"/>
        <w:numPr>
          <w:ilvl w:val="0"/>
          <w:numId w:val="0"/>
        </w:numPr>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）未按照招标文件的规定提交投标保证金的；</w:t>
      </w:r>
    </w:p>
    <w:p w14:paraId="6F4D319F">
      <w:pPr>
        <w:keepNext w:val="0"/>
        <w:keepLines w:val="0"/>
        <w:pageBreakBefore w:val="0"/>
        <w:numPr>
          <w:ilvl w:val="0"/>
          <w:numId w:val="0"/>
        </w:numPr>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）投标文件未按招标文件要求签署、盖章的；</w:t>
      </w:r>
    </w:p>
    <w:p w14:paraId="67DDDFD2">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（3）不具备招标文件中规定的资格要求的；</w:t>
      </w:r>
    </w:p>
    <w:p w14:paraId="2687B60C">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（4）报价超过招标文件中规定的预算金额或者最高限价的；</w:t>
      </w:r>
      <w:r>
        <w:rPr>
          <w:rFonts w:hint="eastAsia" w:ascii="仿宋" w:hAnsi="仿宋" w:eastAsia="仿宋" w:cs="仿宋"/>
          <w:color w:val="auto"/>
          <w:sz w:val="24"/>
          <w:szCs w:val="24"/>
          <w:highlight w:val="none"/>
          <w:lang w:val="en-US" w:eastAsia="zh-CN"/>
        </w:rPr>
        <w:t xml:space="preserve"> </w:t>
      </w:r>
    </w:p>
    <w:p w14:paraId="21283A0D">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（5）投标文件含有采购人不能接受的附加条件的；</w:t>
      </w:r>
    </w:p>
    <w:p w14:paraId="3428DE02">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（6）法律、法规和招标文件规定的其他无效情形。</w:t>
      </w:r>
    </w:p>
    <w:p w14:paraId="7809ABF4">
      <w:pPr>
        <w:keepNext w:val="0"/>
        <w:keepLines w:val="0"/>
        <w:pageBreakBefore w:val="0"/>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23.1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在招标采购中，出现下列情形之一的，</w:t>
      </w:r>
      <w:r>
        <w:rPr>
          <w:rFonts w:hint="eastAsia" w:ascii="仿宋" w:hAnsi="仿宋" w:eastAsia="仿宋" w:cs="仿宋"/>
          <w:b/>
          <w:color w:val="auto"/>
          <w:sz w:val="24"/>
          <w:szCs w:val="24"/>
          <w:highlight w:val="none"/>
        </w:rPr>
        <w:t>应予废标：</w:t>
      </w:r>
    </w:p>
    <w:p w14:paraId="40F3F369">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（1）符合专业条件的投标人或者对招标文件作实质响应的投标人不足三家的；</w:t>
      </w:r>
    </w:p>
    <w:p w14:paraId="3381EF31">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（2）出现影响采购公正的违法、违规行为的；</w:t>
      </w:r>
    </w:p>
    <w:p w14:paraId="14D412AB">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（3）投标人的报价均超过了采购预算，采购人不能支付的；</w:t>
      </w:r>
    </w:p>
    <w:p w14:paraId="39D105F9">
      <w:pPr>
        <w:spacing w:line="440" w:lineRule="exact"/>
        <w:ind w:firstLine="480" w:firstLineChars="200"/>
        <w:rPr>
          <w:rFonts w:hint="eastAsia" w:ascii="仿宋" w:hAnsi="仿宋" w:eastAsia="仿宋" w:cs="仿宋"/>
          <w:b/>
          <w:bCs/>
          <w:color w:val="auto"/>
          <w:sz w:val="24"/>
          <w:szCs w:val="24"/>
          <w:highlight w:val="none"/>
          <w:lang w:eastAsia="zh-CN"/>
        </w:rPr>
      </w:pPr>
      <w:r>
        <w:rPr>
          <w:rFonts w:hint="eastAsia" w:ascii="仿宋" w:hAnsi="仿宋" w:eastAsia="仿宋" w:cs="仿宋"/>
          <w:color w:val="auto"/>
          <w:sz w:val="24"/>
          <w:szCs w:val="24"/>
          <w:highlight w:val="none"/>
        </w:rPr>
        <w:t>（4）因重大变故，采购任务取消</w:t>
      </w:r>
      <w:r>
        <w:rPr>
          <w:rFonts w:hint="eastAsia" w:ascii="仿宋" w:hAnsi="仿宋" w:eastAsia="仿宋" w:cs="仿宋"/>
          <w:color w:val="auto"/>
          <w:sz w:val="24"/>
          <w:szCs w:val="24"/>
          <w:highlight w:val="none"/>
          <w:lang w:eastAsia="zh-CN"/>
        </w:rPr>
        <w:t>。</w:t>
      </w:r>
    </w:p>
    <w:p w14:paraId="081B245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bookmarkEnd w:id="223"/>
    <w:bookmarkEnd w:id="224"/>
    <w:bookmarkEnd w:id="225"/>
    <w:bookmarkEnd w:id="226"/>
    <w:p w14:paraId="0B525C7F">
      <w:pPr>
        <w:keepNext w:val="0"/>
        <w:keepLines w:val="0"/>
        <w:pageBreakBefore w:val="0"/>
        <w:widowControl w:val="0"/>
        <w:kinsoku/>
        <w:wordWrap/>
        <w:overflowPunct/>
        <w:topLinePunct w:val="0"/>
        <w:autoSpaceDE/>
        <w:autoSpaceDN/>
        <w:bidi w:val="0"/>
        <w:adjustRightInd/>
        <w:snapToGrid/>
        <w:spacing w:line="460" w:lineRule="exact"/>
        <w:ind w:left="0"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14</w:t>
      </w:r>
      <w:r>
        <w:rPr>
          <w:rFonts w:hint="eastAsia" w:ascii="仿宋" w:hAnsi="仿宋" w:eastAsia="仿宋" w:cs="仿宋"/>
          <w:color w:val="auto"/>
          <w:sz w:val="24"/>
          <w:szCs w:val="24"/>
          <w:highlight w:val="none"/>
        </w:rPr>
        <w:t>评标委员会决定投标的实质性</w:t>
      </w: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，只根据投标本身的真实无误的内容，除查询投标人信用记录，其他评审工作不依据外部的证据，但投标有不真实不正确的内容时除外。</w:t>
      </w:r>
    </w:p>
    <w:p w14:paraId="49BA1B07">
      <w:pPr>
        <w:pageBreakBefore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val="0"/>
          <w:bCs w:val="0"/>
          <w:i w:val="0"/>
          <w:iCs w:val="0"/>
          <w:color w:val="auto"/>
          <w:kern w:val="2"/>
          <w:sz w:val="24"/>
          <w:szCs w:val="24"/>
          <w:highlight w:val="none"/>
          <w:lang w:val="en-US" w:eastAsia="zh-CN" w:bidi="ar-SA"/>
        </w:rPr>
      </w:pPr>
      <w:r>
        <w:rPr>
          <w:rFonts w:hint="eastAsia" w:ascii="仿宋" w:hAnsi="仿宋" w:eastAsia="仿宋" w:cs="仿宋"/>
          <w:b/>
          <w:bCs/>
          <w:i w:val="0"/>
          <w:iCs w:val="0"/>
          <w:color w:val="auto"/>
          <w:kern w:val="2"/>
          <w:sz w:val="24"/>
          <w:szCs w:val="24"/>
          <w:highlight w:val="none"/>
          <w:lang w:val="en-US" w:eastAsia="zh-CN" w:bidi="ar-SA"/>
        </w:rPr>
        <w:t>23.15 异常低价审查</w:t>
      </w:r>
    </w:p>
    <w:p w14:paraId="060F896F">
      <w:pPr>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i w:val="0"/>
          <w:iCs w:val="0"/>
          <w:color w:val="auto"/>
          <w:kern w:val="2"/>
          <w:sz w:val="24"/>
          <w:szCs w:val="24"/>
          <w:highlight w:val="none"/>
          <w:lang w:val="en-US" w:eastAsia="zh-CN" w:bidi="ar-SA"/>
        </w:rPr>
      </w:pPr>
      <w:r>
        <w:rPr>
          <w:rFonts w:hint="eastAsia" w:ascii="仿宋" w:hAnsi="仿宋" w:eastAsia="仿宋" w:cs="仿宋"/>
          <w:b w:val="0"/>
          <w:bCs w:val="0"/>
          <w:i w:val="0"/>
          <w:iCs w:val="0"/>
          <w:color w:val="auto"/>
          <w:kern w:val="2"/>
          <w:sz w:val="24"/>
          <w:szCs w:val="24"/>
          <w:highlight w:val="none"/>
          <w:lang w:val="en-US" w:eastAsia="zh-CN" w:bidi="ar-SA"/>
        </w:rPr>
        <w:t>23.15.1评审中出现下列情形之一的，评审委员会应当启动异常低价投标审查程序：</w:t>
      </w:r>
    </w:p>
    <w:p w14:paraId="11ABC8B5">
      <w:pPr>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i w:val="0"/>
          <w:iCs w:val="0"/>
          <w:color w:val="auto"/>
          <w:kern w:val="2"/>
          <w:sz w:val="24"/>
          <w:szCs w:val="24"/>
          <w:highlight w:val="none"/>
          <w:lang w:val="en-US" w:eastAsia="zh-CN" w:bidi="ar-SA"/>
        </w:rPr>
      </w:pPr>
      <w:r>
        <w:rPr>
          <w:rFonts w:hint="eastAsia" w:ascii="仿宋" w:hAnsi="仿宋" w:eastAsia="仿宋" w:cs="仿宋"/>
          <w:b w:val="0"/>
          <w:bCs w:val="0"/>
          <w:i w:val="0"/>
          <w:iCs w:val="0"/>
          <w:color w:val="auto"/>
          <w:kern w:val="2"/>
          <w:sz w:val="24"/>
          <w:szCs w:val="24"/>
          <w:highlight w:val="none"/>
          <w:lang w:val="en-US" w:eastAsia="zh-CN" w:bidi="ar-SA"/>
        </w:rPr>
        <w:t>23.15.1.1 投标报价低于全部通过符合性审查投标人投标报价平均值50%的，即投标报价&lt;全部通过符合性审查投标人投标报价平均值×50%；</w:t>
      </w:r>
    </w:p>
    <w:p w14:paraId="3BC3BA55">
      <w:pPr>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i w:val="0"/>
          <w:iCs w:val="0"/>
          <w:color w:val="auto"/>
          <w:kern w:val="2"/>
          <w:sz w:val="24"/>
          <w:szCs w:val="24"/>
          <w:highlight w:val="none"/>
          <w:lang w:val="en-US" w:eastAsia="zh-CN" w:bidi="ar-SA"/>
        </w:rPr>
      </w:pPr>
      <w:r>
        <w:rPr>
          <w:rFonts w:hint="eastAsia" w:ascii="仿宋" w:hAnsi="仿宋" w:eastAsia="仿宋" w:cs="仿宋"/>
          <w:b w:val="0"/>
          <w:bCs w:val="0"/>
          <w:i w:val="0"/>
          <w:iCs w:val="0"/>
          <w:color w:val="auto"/>
          <w:kern w:val="2"/>
          <w:sz w:val="24"/>
          <w:szCs w:val="24"/>
          <w:highlight w:val="none"/>
          <w:lang w:val="en-US" w:eastAsia="zh-CN" w:bidi="ar-SA"/>
        </w:rPr>
        <w:t>23.15.1.2 投标报价低于通过符合性审查的次低报价投标人投标报价50%的，即投标报价&lt;通过符合性审查的次低报价投标人投标报价×50%；</w:t>
      </w:r>
    </w:p>
    <w:p w14:paraId="62C13E88">
      <w:pPr>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i w:val="0"/>
          <w:iCs w:val="0"/>
          <w:color w:val="auto"/>
          <w:kern w:val="2"/>
          <w:sz w:val="24"/>
          <w:szCs w:val="24"/>
          <w:highlight w:val="none"/>
          <w:lang w:val="en-US" w:eastAsia="zh-CN" w:bidi="ar-SA"/>
        </w:rPr>
      </w:pPr>
      <w:r>
        <w:rPr>
          <w:rFonts w:hint="eastAsia" w:ascii="仿宋" w:hAnsi="仿宋" w:eastAsia="仿宋" w:cs="仿宋"/>
          <w:b w:val="0"/>
          <w:bCs w:val="0"/>
          <w:i w:val="0"/>
          <w:iCs w:val="0"/>
          <w:color w:val="auto"/>
          <w:kern w:val="2"/>
          <w:sz w:val="24"/>
          <w:szCs w:val="24"/>
          <w:highlight w:val="none"/>
          <w:lang w:val="en-US" w:eastAsia="zh-CN" w:bidi="ar-SA"/>
        </w:rPr>
        <w:t>23.15.1.3 投标报价低于采购项目最高限价45%的，即投标报价&lt;采购项目最高限价×45%；</w:t>
      </w:r>
    </w:p>
    <w:p w14:paraId="28C976A7">
      <w:pPr>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i w:val="0"/>
          <w:iCs w:val="0"/>
          <w:color w:val="auto"/>
          <w:kern w:val="2"/>
          <w:sz w:val="24"/>
          <w:szCs w:val="24"/>
          <w:highlight w:val="none"/>
          <w:lang w:val="en-US" w:eastAsia="zh-CN" w:bidi="ar-SA"/>
        </w:rPr>
      </w:pPr>
      <w:r>
        <w:rPr>
          <w:rFonts w:hint="eastAsia" w:ascii="仿宋" w:hAnsi="仿宋" w:eastAsia="仿宋" w:cs="仿宋"/>
          <w:b w:val="0"/>
          <w:bCs w:val="0"/>
          <w:i w:val="0"/>
          <w:iCs w:val="0"/>
          <w:color w:val="auto"/>
          <w:kern w:val="2"/>
          <w:sz w:val="24"/>
          <w:szCs w:val="24"/>
          <w:highlight w:val="none"/>
          <w:lang w:val="en-US" w:eastAsia="zh-CN" w:bidi="ar-SA"/>
        </w:rPr>
        <w:t>23.15.1.4 评审委员会认为投标人报价过低，有可能影响产品质量或者不能诚信履约的其他情形。</w:t>
      </w:r>
    </w:p>
    <w:p w14:paraId="1C92620C">
      <w:pPr>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i w:val="0"/>
          <w:iCs w:val="0"/>
          <w:color w:val="auto"/>
          <w:kern w:val="2"/>
          <w:sz w:val="24"/>
          <w:szCs w:val="24"/>
          <w:highlight w:val="none"/>
          <w:lang w:val="en-US" w:eastAsia="zh-CN" w:bidi="ar-SA"/>
        </w:rPr>
      </w:pPr>
      <w:r>
        <w:rPr>
          <w:rFonts w:hint="eastAsia" w:ascii="仿宋" w:hAnsi="仿宋" w:eastAsia="仿宋" w:cs="仿宋"/>
          <w:b w:val="0"/>
          <w:bCs w:val="0"/>
          <w:i w:val="0"/>
          <w:iCs w:val="0"/>
          <w:color w:val="auto"/>
          <w:kern w:val="2"/>
          <w:sz w:val="24"/>
          <w:szCs w:val="24"/>
          <w:highlight w:val="none"/>
          <w:lang w:val="en-US" w:eastAsia="zh-CN" w:bidi="ar-SA"/>
        </w:rPr>
        <w:t>相关法律法规对投标人报价有规定的，从其规定。</w:t>
      </w:r>
    </w:p>
    <w:p w14:paraId="68889562">
      <w:pPr>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i w:val="0"/>
          <w:iCs w:val="0"/>
          <w:color w:val="auto"/>
          <w:kern w:val="2"/>
          <w:sz w:val="24"/>
          <w:szCs w:val="24"/>
          <w:highlight w:val="none"/>
          <w:lang w:val="en-US" w:eastAsia="zh-CN" w:bidi="ar-SA"/>
        </w:rPr>
      </w:pPr>
      <w:r>
        <w:rPr>
          <w:rFonts w:hint="eastAsia" w:ascii="仿宋" w:hAnsi="仿宋" w:eastAsia="仿宋" w:cs="仿宋"/>
          <w:b w:val="0"/>
          <w:bCs w:val="0"/>
          <w:i w:val="0"/>
          <w:iCs w:val="0"/>
          <w:color w:val="auto"/>
          <w:kern w:val="2"/>
          <w:sz w:val="24"/>
          <w:szCs w:val="24"/>
          <w:highlight w:val="none"/>
          <w:lang w:val="en-US" w:eastAsia="zh-CN" w:bidi="ar-SA"/>
        </w:rPr>
        <w:t>23.15.2 评审委员会启动异常低价投标审查后，应当要求相关投标人在评审现场合理的时间内对投标价格作出解释，提供项目具体成本测算等与报价合理性相关的书面说明及必要的证明材料。评审委员会结合同类项目的中标价格、在主要电商平台的价格、行业薪资水平等情况，依据专业经验对报价合理性进行判断。投标人不能提供书面说明、证明材料，或者提供的书面说明、证明材料不能证明其报价合理性的，评审委员会应当将其作为无效投标（响应）处理，并在评审报告中记录审查相关情况。</w:t>
      </w:r>
    </w:p>
    <w:p w14:paraId="319EAB01">
      <w:pPr>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b w:val="0"/>
          <w:bCs w:val="0"/>
          <w:i w:val="0"/>
          <w:iCs w:val="0"/>
          <w:color w:val="auto"/>
          <w:kern w:val="2"/>
          <w:sz w:val="24"/>
          <w:szCs w:val="24"/>
          <w:highlight w:val="none"/>
          <w:lang w:val="en-US" w:eastAsia="zh-CN" w:bidi="ar-SA"/>
        </w:rPr>
        <w:t>采购人应当为评审委员会在评审现场及时获取采购项目中标（成交）价格、市场价格水平、行业薪资水平等相关信息资料提供便利。</w:t>
      </w:r>
    </w:p>
    <w:p w14:paraId="530E99B2">
      <w:pPr>
        <w:pStyle w:val="4"/>
        <w:spacing w:after="0"/>
        <w:rPr>
          <w:rFonts w:hint="eastAsia" w:ascii="仿宋" w:hAnsi="仿宋" w:eastAsia="仿宋" w:cs="仿宋"/>
          <w:color w:val="auto"/>
          <w:sz w:val="28"/>
          <w:szCs w:val="28"/>
          <w:highlight w:val="none"/>
        </w:rPr>
      </w:pPr>
      <w:bookmarkStart w:id="227" w:name="_Toc494114878"/>
      <w:bookmarkStart w:id="228" w:name="_Toc3990"/>
      <w:bookmarkStart w:id="229" w:name="_Toc30736"/>
      <w:bookmarkStart w:id="230" w:name="_Toc21184"/>
      <w:bookmarkStart w:id="231" w:name="_Toc4253"/>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评标方法和评标标准</w:t>
      </w:r>
      <w:bookmarkEnd w:id="227"/>
      <w:bookmarkEnd w:id="228"/>
      <w:bookmarkEnd w:id="229"/>
      <w:bookmarkEnd w:id="230"/>
      <w:bookmarkEnd w:id="231"/>
    </w:p>
    <w:p w14:paraId="59E3977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bookmarkStart w:id="232" w:name="_Toc494114879"/>
      <w:bookmarkStart w:id="233" w:name="_Toc5970"/>
      <w:bookmarkStart w:id="234" w:name="_Toc12335"/>
      <w:bookmarkStart w:id="235" w:name="_Toc28489"/>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.1评标方法，见“投标人须知前附表”</w:t>
      </w:r>
    </w:p>
    <w:p w14:paraId="0D16F9E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.1.1综合评分法，是指投标文件满足招标文件全部实质性要求，且按照评审因素的量化指标评审得分最高的投标人为中标候选人的评标方法。</w:t>
      </w:r>
    </w:p>
    <w:p w14:paraId="3E89C67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.2评标标准（评标标准详见“第六章评标标准”）</w:t>
      </w:r>
    </w:p>
    <w:p w14:paraId="1844896D">
      <w:pPr>
        <w:pStyle w:val="4"/>
        <w:bidi w:val="0"/>
        <w:jc w:val="center"/>
        <w:rPr>
          <w:rFonts w:hint="eastAsia" w:ascii="仿宋" w:hAnsi="仿宋" w:eastAsia="仿宋" w:cs="仿宋"/>
          <w:color w:val="auto"/>
          <w:highlight w:val="none"/>
        </w:rPr>
      </w:pPr>
      <w:bookmarkStart w:id="236" w:name="_Toc3552"/>
      <w:r>
        <w:rPr>
          <w:rFonts w:hint="eastAsia" w:ascii="仿宋" w:hAnsi="仿宋" w:eastAsia="仿宋" w:cs="仿宋"/>
          <w:color w:val="auto"/>
          <w:highlight w:val="none"/>
        </w:rPr>
        <w:t>六、意外情况的情形和处理</w:t>
      </w:r>
      <w:bookmarkEnd w:id="232"/>
      <w:bookmarkEnd w:id="233"/>
      <w:bookmarkEnd w:id="234"/>
      <w:bookmarkEnd w:id="235"/>
      <w:bookmarkEnd w:id="236"/>
    </w:p>
    <w:p w14:paraId="30FD302C">
      <w:pPr>
        <w:pStyle w:val="4"/>
        <w:spacing w:after="0"/>
        <w:rPr>
          <w:rFonts w:hint="eastAsia" w:ascii="仿宋" w:hAnsi="仿宋" w:eastAsia="仿宋" w:cs="仿宋"/>
          <w:color w:val="auto"/>
          <w:sz w:val="28"/>
          <w:szCs w:val="28"/>
          <w:highlight w:val="none"/>
        </w:rPr>
      </w:pPr>
      <w:bookmarkStart w:id="237" w:name="_Toc494114880"/>
      <w:bookmarkStart w:id="238" w:name="_Toc7586"/>
      <w:bookmarkStart w:id="239" w:name="_Toc900"/>
      <w:bookmarkStart w:id="240" w:name="_Toc11211"/>
      <w:bookmarkStart w:id="241" w:name="_Toc28508"/>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意外情况的情形</w:t>
      </w:r>
      <w:bookmarkEnd w:id="237"/>
      <w:bookmarkEnd w:id="238"/>
      <w:bookmarkEnd w:id="239"/>
      <w:bookmarkEnd w:id="240"/>
      <w:bookmarkEnd w:id="241"/>
    </w:p>
    <w:p w14:paraId="79ECB960">
      <w:pPr>
        <w:keepNext w:val="0"/>
        <w:keepLines w:val="0"/>
        <w:pageBreakBefore w:val="0"/>
        <w:widowControl w:val="0"/>
        <w:kinsoku/>
        <w:wordWrap/>
        <w:overflowPunct/>
        <w:topLinePunct w:val="0"/>
        <w:bidi w:val="0"/>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1如在开标时出现意外情况，故障当日（工作时间内）可排除的，采购恢复进行；如故障当日无法排除的，采购活动终止并重新组织采购活动，或者由监督管理部门批准后推迟开、评标（资料封存）。可能发生的意外情况如下：</w:t>
      </w:r>
    </w:p>
    <w:p w14:paraId="7F73D275">
      <w:pPr>
        <w:pStyle w:val="28"/>
        <w:keepNext w:val="0"/>
        <w:keepLines w:val="0"/>
        <w:pageBreakBefore w:val="0"/>
        <w:widowControl w:val="0"/>
        <w:kinsoku/>
        <w:wordWrap/>
        <w:overflowPunct/>
        <w:topLinePunct w:val="0"/>
        <w:bidi w:val="0"/>
        <w:snapToGrid/>
        <w:ind w:left="0" w:leftChars="0"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（1)网络系统及其他设备发生故障，导致无法查询保证金的；</w:t>
      </w:r>
    </w:p>
    <w:p w14:paraId="2B18CC0E">
      <w:pPr>
        <w:pStyle w:val="28"/>
        <w:keepNext w:val="0"/>
        <w:keepLines w:val="0"/>
        <w:pageBreakBefore w:val="0"/>
        <w:widowControl w:val="0"/>
        <w:kinsoku/>
        <w:wordWrap/>
        <w:overflowPunct/>
        <w:topLinePunct w:val="0"/>
        <w:bidi w:val="0"/>
        <w:snapToGrid/>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（2)其他无法保证采购活动正常进行的。</w:t>
      </w:r>
    </w:p>
    <w:p w14:paraId="464942F5">
      <w:pPr>
        <w:pStyle w:val="4"/>
        <w:spacing w:after="0"/>
        <w:rPr>
          <w:rFonts w:hint="eastAsia" w:ascii="仿宋" w:hAnsi="仿宋" w:eastAsia="仿宋" w:cs="仿宋"/>
          <w:color w:val="auto"/>
          <w:sz w:val="28"/>
          <w:szCs w:val="28"/>
          <w:highlight w:val="none"/>
        </w:rPr>
      </w:pPr>
      <w:bookmarkStart w:id="242" w:name="_Toc7432"/>
      <w:bookmarkStart w:id="243" w:name="_Toc494114881"/>
      <w:bookmarkStart w:id="244" w:name="_Toc31392"/>
      <w:bookmarkStart w:id="245" w:name="_Toc3972"/>
      <w:bookmarkStart w:id="246" w:name="_Toc19503"/>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意外情况的处理</w:t>
      </w:r>
      <w:bookmarkEnd w:id="242"/>
      <w:bookmarkEnd w:id="243"/>
      <w:bookmarkEnd w:id="244"/>
      <w:bookmarkEnd w:id="245"/>
      <w:bookmarkEnd w:id="246"/>
    </w:p>
    <w:p w14:paraId="62A31F2D">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.1出现上述情况，故障当日（工作时间内）可排除的，</w:t>
      </w:r>
      <w:r>
        <w:rPr>
          <w:rFonts w:hint="eastAsia" w:ascii="仿宋" w:hAnsi="仿宋" w:eastAsia="仿宋" w:cs="仿宋"/>
          <w:color w:val="auto"/>
          <w:sz w:val="24"/>
          <w:szCs w:val="24"/>
          <w:highlight w:val="none"/>
          <w:lang w:val="en-US" w:eastAsia="zh-CN"/>
        </w:rPr>
        <w:t>采购活动</w:t>
      </w:r>
      <w:r>
        <w:rPr>
          <w:rFonts w:hint="eastAsia" w:ascii="仿宋" w:hAnsi="仿宋" w:eastAsia="仿宋" w:cs="仿宋"/>
          <w:color w:val="auto"/>
          <w:sz w:val="24"/>
          <w:szCs w:val="24"/>
          <w:highlight w:val="none"/>
        </w:rPr>
        <w:t>恢复进行；如故障当日无法排除的，采购活动</w:t>
      </w:r>
      <w:r>
        <w:rPr>
          <w:rFonts w:hint="eastAsia" w:ascii="仿宋" w:hAnsi="仿宋" w:eastAsia="仿宋" w:cs="仿宋"/>
          <w:color w:val="auto"/>
          <w:sz w:val="24"/>
          <w:szCs w:val="24"/>
          <w:highlight w:val="none"/>
          <w:lang w:val="en-US" w:eastAsia="zh-CN"/>
        </w:rPr>
        <w:t>结束</w:t>
      </w:r>
      <w:r>
        <w:rPr>
          <w:rFonts w:hint="eastAsia" w:ascii="仿宋" w:hAnsi="仿宋" w:eastAsia="仿宋" w:cs="仿宋"/>
          <w:color w:val="auto"/>
          <w:sz w:val="24"/>
          <w:szCs w:val="24"/>
          <w:highlight w:val="none"/>
        </w:rPr>
        <w:t>，重新组织采购活动。</w:t>
      </w:r>
    </w:p>
    <w:p w14:paraId="42936F9C">
      <w:pPr>
        <w:pStyle w:val="4"/>
        <w:bidi w:val="0"/>
        <w:jc w:val="center"/>
        <w:rPr>
          <w:rFonts w:hint="eastAsia" w:ascii="仿宋" w:hAnsi="仿宋" w:eastAsia="仿宋" w:cs="仿宋"/>
          <w:color w:val="auto"/>
          <w:highlight w:val="none"/>
        </w:rPr>
      </w:pPr>
      <w:bookmarkStart w:id="247" w:name="_Toc17492"/>
      <w:bookmarkStart w:id="248" w:name="_Toc27658"/>
      <w:bookmarkStart w:id="249" w:name="_Toc17707"/>
      <w:bookmarkStart w:id="250" w:name="_Toc494114882"/>
      <w:bookmarkStart w:id="251" w:name="_Toc31614"/>
      <w:r>
        <w:rPr>
          <w:rFonts w:hint="eastAsia" w:ascii="仿宋" w:hAnsi="仿宋" w:eastAsia="仿宋" w:cs="仿宋"/>
          <w:color w:val="auto"/>
          <w:highlight w:val="none"/>
        </w:rPr>
        <w:t>七、中标和合同</w:t>
      </w:r>
      <w:bookmarkEnd w:id="247"/>
      <w:bookmarkEnd w:id="248"/>
      <w:bookmarkEnd w:id="249"/>
      <w:bookmarkEnd w:id="250"/>
      <w:bookmarkEnd w:id="251"/>
    </w:p>
    <w:p w14:paraId="594DD866">
      <w:pPr>
        <w:pStyle w:val="4"/>
        <w:spacing w:after="0"/>
        <w:rPr>
          <w:rFonts w:hint="eastAsia" w:ascii="仿宋" w:hAnsi="仿宋" w:eastAsia="仿宋" w:cs="仿宋"/>
          <w:color w:val="auto"/>
          <w:sz w:val="28"/>
          <w:szCs w:val="28"/>
          <w:highlight w:val="none"/>
        </w:rPr>
      </w:pPr>
      <w:bookmarkStart w:id="252" w:name="_Toc27155"/>
      <w:bookmarkStart w:id="253" w:name="_Toc14265"/>
      <w:bookmarkStart w:id="254" w:name="_Toc30192"/>
      <w:bookmarkStart w:id="255" w:name="_Toc494114883"/>
      <w:bookmarkStart w:id="256" w:name="_Toc384"/>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中标人的确定</w:t>
      </w:r>
      <w:bookmarkEnd w:id="252"/>
      <w:bookmarkEnd w:id="253"/>
      <w:bookmarkEnd w:id="254"/>
      <w:bookmarkEnd w:id="255"/>
      <w:bookmarkEnd w:id="256"/>
    </w:p>
    <w:p w14:paraId="0F2AF26A">
      <w:pPr>
        <w:keepNext w:val="0"/>
        <w:keepLines w:val="0"/>
        <w:pageBreakBefore w:val="0"/>
        <w:widowControl w:val="0"/>
        <w:kinsoku/>
        <w:wordWrap/>
        <w:overflowPunct/>
        <w:topLinePunct w:val="0"/>
        <w:autoSpaceDE/>
        <w:autoSpaceDN/>
        <w:bidi w:val="0"/>
        <w:adjustRightInd/>
        <w:snapToGrid/>
        <w:spacing w:line="420" w:lineRule="exact"/>
        <w:ind w:left="0" w:firstLine="56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27.1采购人应当自收到评标报告之日起1个工作日内，在评标报告确定的中标候选人名单中按顺序确定中标人。</w:t>
      </w:r>
    </w:p>
    <w:p w14:paraId="0D71FC0E">
      <w:pPr>
        <w:pStyle w:val="4"/>
        <w:spacing w:after="0"/>
        <w:rPr>
          <w:rFonts w:hint="eastAsia" w:ascii="仿宋" w:hAnsi="仿宋" w:eastAsia="仿宋" w:cs="仿宋"/>
          <w:color w:val="auto"/>
          <w:sz w:val="28"/>
          <w:szCs w:val="28"/>
          <w:highlight w:val="none"/>
        </w:rPr>
      </w:pPr>
      <w:bookmarkStart w:id="257" w:name="_Toc9114"/>
      <w:bookmarkStart w:id="258" w:name="_Toc29435"/>
      <w:bookmarkStart w:id="259" w:name="_Toc30389"/>
      <w:bookmarkStart w:id="260" w:name="_Toc494114884"/>
      <w:bookmarkStart w:id="261" w:name="_Toc4711"/>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中标结果公告</w:t>
      </w:r>
      <w:bookmarkEnd w:id="257"/>
      <w:bookmarkEnd w:id="258"/>
      <w:bookmarkEnd w:id="259"/>
      <w:bookmarkEnd w:id="260"/>
      <w:bookmarkEnd w:id="261"/>
    </w:p>
    <w:p w14:paraId="2B35B129">
      <w:pPr>
        <w:spacing w:line="440" w:lineRule="exact"/>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4"/>
          <w:highlight w:val="none"/>
        </w:rPr>
        <w:t>中标人确定后，采购代理机构在</w:t>
      </w:r>
      <w:r>
        <w:rPr>
          <w:rFonts w:hint="eastAsia" w:ascii="仿宋" w:hAnsi="仿宋" w:eastAsia="仿宋" w:cs="仿宋"/>
          <w:bCs/>
          <w:color w:val="auto"/>
          <w:sz w:val="24"/>
          <w:szCs w:val="24"/>
          <w:highlight w:val="none"/>
          <w:lang w:val="en-US" w:eastAsia="zh-CN"/>
        </w:rPr>
        <w:t>江西省招标投标网网上</w:t>
      </w:r>
      <w:r>
        <w:rPr>
          <w:rFonts w:hint="eastAsia" w:ascii="仿宋" w:hAnsi="仿宋" w:eastAsia="仿宋" w:cs="仿宋"/>
          <w:color w:val="auto"/>
          <w:sz w:val="24"/>
          <w:szCs w:val="24"/>
          <w:highlight w:val="none"/>
        </w:rPr>
        <w:t>公告中标结果，中标公告期限为1个工作日。</w:t>
      </w:r>
    </w:p>
    <w:p w14:paraId="4BC5C0FD">
      <w:pPr>
        <w:pStyle w:val="4"/>
        <w:spacing w:after="0"/>
        <w:rPr>
          <w:rFonts w:hint="eastAsia" w:ascii="仿宋" w:hAnsi="仿宋" w:eastAsia="仿宋" w:cs="仿宋"/>
          <w:color w:val="auto"/>
          <w:sz w:val="28"/>
          <w:szCs w:val="28"/>
          <w:highlight w:val="none"/>
        </w:rPr>
      </w:pPr>
      <w:bookmarkStart w:id="262" w:name="_Toc494114885"/>
      <w:bookmarkStart w:id="263" w:name="_Toc1245"/>
      <w:bookmarkStart w:id="264" w:name="_Toc9420"/>
      <w:bookmarkStart w:id="265" w:name="_Toc17943"/>
      <w:bookmarkStart w:id="266" w:name="_Toc1142"/>
      <w:bookmarkStart w:id="267" w:name="_Toc11918"/>
      <w:bookmarkStart w:id="268" w:name="_Toc494114886"/>
      <w:bookmarkStart w:id="269" w:name="_Toc9732"/>
      <w:bookmarkStart w:id="270" w:name="_Toc30493"/>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.履约保证金</w:t>
      </w:r>
      <w:bookmarkEnd w:id="262"/>
      <w:bookmarkEnd w:id="263"/>
      <w:bookmarkEnd w:id="264"/>
      <w:bookmarkEnd w:id="265"/>
      <w:bookmarkEnd w:id="266"/>
    </w:p>
    <w:p w14:paraId="1989C7C8">
      <w:pPr>
        <w:keepNext w:val="0"/>
        <w:keepLines w:val="0"/>
        <w:pageBreakBefore w:val="0"/>
        <w:widowControl w:val="0"/>
        <w:kinsoku/>
        <w:wordWrap/>
        <w:overflowPunct/>
        <w:topLinePunct w:val="0"/>
        <w:autoSpaceDE/>
        <w:autoSpaceDN/>
        <w:bidi w:val="0"/>
        <w:adjustRightInd/>
        <w:snapToGrid/>
        <w:spacing w:line="420" w:lineRule="exact"/>
        <w:ind w:left="0" w:firstLine="567"/>
        <w:textAlignment w:val="auto"/>
        <w:rPr>
          <w:rFonts w:hint="eastAsia" w:ascii="仿宋" w:hAnsi="仿宋" w:eastAsia="仿宋" w:cs="仿宋"/>
          <w:color w:val="auto"/>
          <w:sz w:val="24"/>
          <w:szCs w:val="24"/>
          <w:highlight w:val="none"/>
        </w:rPr>
      </w:pPr>
      <w:r>
        <w:rPr>
          <w:rFonts w:hint="eastAsia" w:ascii="仿宋" w:hAnsi="仿宋" w:eastAsia="仿宋" w:cs="仿宋"/>
          <w:color w:val="auto"/>
          <w:spacing w:val="-12"/>
          <w:sz w:val="24"/>
          <w:szCs w:val="24"/>
          <w:highlight w:val="none"/>
        </w:rPr>
        <w:t>2</w:t>
      </w:r>
      <w:r>
        <w:rPr>
          <w:rFonts w:hint="eastAsia" w:ascii="仿宋" w:hAnsi="仿宋" w:eastAsia="仿宋" w:cs="仿宋"/>
          <w:color w:val="auto"/>
          <w:spacing w:val="-12"/>
          <w:sz w:val="24"/>
          <w:szCs w:val="24"/>
          <w:highlight w:val="none"/>
          <w:lang w:val="en-US" w:eastAsia="zh-CN"/>
        </w:rPr>
        <w:t>9</w:t>
      </w:r>
      <w:r>
        <w:rPr>
          <w:rFonts w:hint="eastAsia" w:ascii="仿宋" w:hAnsi="仿宋" w:eastAsia="仿宋" w:cs="仿宋"/>
          <w:color w:val="auto"/>
          <w:spacing w:val="-12"/>
          <w:sz w:val="24"/>
          <w:szCs w:val="24"/>
          <w:highlight w:val="none"/>
        </w:rPr>
        <w:t>.1</w:t>
      </w:r>
      <w:r>
        <w:rPr>
          <w:rFonts w:hint="eastAsia" w:ascii="仿宋" w:hAnsi="仿宋" w:eastAsia="仿宋" w:cs="仿宋"/>
          <w:color w:val="auto"/>
          <w:sz w:val="24"/>
          <w:szCs w:val="24"/>
          <w:highlight w:val="none"/>
        </w:rPr>
        <w:t>中标人在与采购人签订采购合同之前，应</w:t>
      </w:r>
      <w:r>
        <w:rPr>
          <w:rFonts w:hint="eastAsia" w:ascii="仿宋" w:hAnsi="仿宋" w:eastAsia="仿宋" w:cs="仿宋"/>
          <w:color w:val="auto"/>
          <w:spacing w:val="-12"/>
          <w:sz w:val="24"/>
          <w:szCs w:val="24"/>
          <w:highlight w:val="none"/>
        </w:rPr>
        <w:t>向采购人提交“投标人须知前附表”规定的履约保证金。</w:t>
      </w:r>
      <w:r>
        <w:rPr>
          <w:rFonts w:hint="eastAsia" w:ascii="仿宋" w:hAnsi="仿宋" w:eastAsia="仿宋" w:cs="仿宋"/>
          <w:color w:val="auto"/>
          <w:sz w:val="24"/>
          <w:szCs w:val="24"/>
          <w:highlight w:val="none"/>
        </w:rPr>
        <w:t>履约保证金按采购人的要求汇入采购人指定账户。</w:t>
      </w:r>
    </w:p>
    <w:p w14:paraId="21B652CA">
      <w:pPr>
        <w:keepNext w:val="0"/>
        <w:keepLines w:val="0"/>
        <w:pageBreakBefore w:val="0"/>
        <w:widowControl w:val="0"/>
        <w:kinsoku/>
        <w:wordWrap/>
        <w:overflowPunct/>
        <w:topLinePunct w:val="0"/>
        <w:autoSpaceDE/>
        <w:autoSpaceDN/>
        <w:bidi w:val="0"/>
        <w:adjustRightInd/>
        <w:snapToGrid/>
        <w:spacing w:line="420" w:lineRule="exact"/>
        <w:ind w:left="0" w:firstLine="56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.2 履约保证金用于补偿因中标人不能完成其合同义务而使采购人蒙受的损失。</w:t>
      </w:r>
    </w:p>
    <w:p w14:paraId="1F66E9EC">
      <w:pPr>
        <w:keepNext w:val="0"/>
        <w:keepLines w:val="0"/>
        <w:pageBreakBefore w:val="0"/>
        <w:widowControl w:val="0"/>
        <w:kinsoku/>
        <w:wordWrap/>
        <w:overflowPunct/>
        <w:topLinePunct w:val="0"/>
        <w:autoSpaceDE/>
        <w:autoSpaceDN/>
        <w:bidi w:val="0"/>
        <w:adjustRightInd/>
        <w:snapToGrid/>
        <w:spacing w:line="420" w:lineRule="exact"/>
        <w:ind w:left="0" w:firstLine="56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.3如果中标人没有按本须知“第2</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1条”规定执行，采购代理机构将按本须知“第16.5条”规定不予退还其交纳的投标保证金。采购人将有充分理由取消该中标决定，在此情况下可以与排位在中标人之后第一位的中标候选人签订采购合同，以此类推；或重新组织招标。</w:t>
      </w:r>
    </w:p>
    <w:p w14:paraId="7104A0E1">
      <w:pPr>
        <w:keepNext w:val="0"/>
        <w:keepLines w:val="0"/>
        <w:pageBreakBefore w:val="0"/>
        <w:widowControl w:val="0"/>
        <w:kinsoku/>
        <w:wordWrap/>
        <w:overflowPunct/>
        <w:topLinePunct w:val="0"/>
        <w:autoSpaceDE/>
        <w:autoSpaceDN/>
        <w:bidi w:val="0"/>
        <w:adjustRightInd/>
        <w:snapToGrid/>
        <w:spacing w:line="420" w:lineRule="exact"/>
        <w:ind w:left="0" w:firstLine="567"/>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.4 履约保证金自项目验收合格后收到相关支付凭据的5个工作日内全额退还至中标人原账户，不付利息。</w:t>
      </w:r>
    </w:p>
    <w:p w14:paraId="47143760">
      <w:pPr>
        <w:pStyle w:val="4"/>
        <w:spacing w:after="0"/>
        <w:rPr>
          <w:rFonts w:hint="eastAsia" w:ascii="仿宋" w:hAnsi="仿宋" w:eastAsia="仿宋" w:cs="仿宋"/>
          <w:color w:val="auto"/>
          <w:sz w:val="28"/>
          <w:szCs w:val="28"/>
          <w:highlight w:val="none"/>
        </w:rPr>
      </w:pPr>
      <w:bookmarkStart w:id="271" w:name="_Toc6492"/>
      <w:r>
        <w:rPr>
          <w:rFonts w:hint="eastAsia"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rPr>
        <w:t>签订合同</w:t>
      </w:r>
      <w:bookmarkEnd w:id="267"/>
      <w:bookmarkEnd w:id="268"/>
      <w:bookmarkEnd w:id="269"/>
      <w:bookmarkEnd w:id="270"/>
      <w:bookmarkEnd w:id="271"/>
    </w:p>
    <w:p w14:paraId="734DB9C9">
      <w:pPr>
        <w:keepNext w:val="0"/>
        <w:keepLines w:val="0"/>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.1中标人应按中标通知书规定的时间、地点与采购人签订合同，否则按开标后撤回投标处理。</w:t>
      </w:r>
    </w:p>
    <w:p w14:paraId="4D9C7B97">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.2招标文件、中标人的投标文件及评标过程中有关澄清文件均为签订合同的依据。</w:t>
      </w:r>
    </w:p>
    <w:p w14:paraId="6EBFF404">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.3中标通知书是合同的一个组成部分。</w:t>
      </w:r>
    </w:p>
    <w:p w14:paraId="021E2D09">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30</w:t>
      </w:r>
      <w:r>
        <w:rPr>
          <w:rFonts w:hint="eastAsia" w:ascii="仿宋" w:hAnsi="仿宋" w:eastAsia="仿宋" w:cs="仿宋"/>
          <w:bCs/>
          <w:color w:val="auto"/>
          <w:sz w:val="24"/>
          <w:szCs w:val="24"/>
          <w:highlight w:val="none"/>
        </w:rPr>
        <w:t>.4采购人与中标人应当根据合同的约定依法履行合同义务。</w:t>
      </w:r>
    </w:p>
    <w:p w14:paraId="6C9B32ED">
      <w:pPr>
        <w:keepNext w:val="0"/>
        <w:keepLines w:val="0"/>
        <w:pageBreakBefore w:val="0"/>
        <w:kinsoku/>
        <w:wordWrap/>
        <w:overflowPunct/>
        <w:topLinePunct w:val="0"/>
        <w:autoSpaceDE/>
        <w:autoSpaceDN/>
        <w:bidi w:val="0"/>
        <w:adjustRightInd/>
        <w:snapToGrid/>
        <w:spacing w:beforeAutospacing="0" w:afterAutospacing="0" w:line="460" w:lineRule="exact"/>
        <w:ind w:left="0" w:leftChars="0" w:firstLine="480" w:firstLineChars="200"/>
        <w:textAlignment w:val="auto"/>
        <w:rPr>
          <w:rFonts w:hint="eastAsia" w:ascii="仿宋" w:hAnsi="仿宋" w:eastAsia="仿宋" w:cs="仿宋"/>
          <w:b/>
          <w:color w:val="auto"/>
          <w:kern w:val="0"/>
          <w:sz w:val="32"/>
          <w:szCs w:val="32"/>
          <w:highlight w:val="none"/>
        </w:rPr>
      </w:pPr>
      <w:r>
        <w:rPr>
          <w:rFonts w:hint="eastAsia" w:ascii="仿宋" w:hAnsi="仿宋" w:eastAsia="仿宋" w:cs="仿宋"/>
          <w:bCs/>
          <w:color w:val="auto"/>
          <w:sz w:val="24"/>
          <w:szCs w:val="24"/>
          <w:highlight w:val="none"/>
        </w:rPr>
        <w:t>采购合同的履行、违约责任和解决争议的方法等适用《中华人民共和国</w:t>
      </w:r>
      <w:r>
        <w:rPr>
          <w:rFonts w:hint="eastAsia" w:ascii="仿宋" w:hAnsi="仿宋" w:eastAsia="仿宋" w:cs="仿宋"/>
          <w:bCs/>
          <w:color w:val="auto"/>
          <w:sz w:val="24"/>
          <w:szCs w:val="24"/>
          <w:highlight w:val="none"/>
          <w:lang w:val="en-US" w:eastAsia="zh-CN"/>
        </w:rPr>
        <w:t>民法典</w:t>
      </w:r>
      <w:r>
        <w:rPr>
          <w:rFonts w:hint="eastAsia" w:ascii="仿宋" w:hAnsi="仿宋" w:eastAsia="仿宋" w:cs="仿宋"/>
          <w:bCs/>
          <w:color w:val="auto"/>
          <w:sz w:val="24"/>
          <w:szCs w:val="24"/>
          <w:highlight w:val="none"/>
        </w:rPr>
        <w:t>》。</w:t>
      </w:r>
    </w:p>
    <w:p w14:paraId="29281D11">
      <w:pPr>
        <w:keepNext w:val="0"/>
        <w:keepLines w:val="0"/>
        <w:pageBreakBefore w:val="0"/>
        <w:widowControl/>
        <w:kinsoku/>
        <w:wordWrap/>
        <w:overflowPunct/>
        <w:topLinePunct w:val="0"/>
        <w:autoSpaceDE/>
        <w:autoSpaceDN/>
        <w:bidi w:val="0"/>
        <w:adjustRightInd/>
        <w:snapToGrid/>
        <w:spacing w:beforeAutospacing="0" w:afterAutospacing="0" w:line="460" w:lineRule="exact"/>
        <w:ind w:firstLine="480" w:firstLineChars="20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bCs/>
          <w:color w:val="auto"/>
          <w:sz w:val="24"/>
          <w:szCs w:val="24"/>
          <w:highlight w:val="none"/>
          <w:lang w:val="en-US" w:eastAsia="zh-CN"/>
        </w:rPr>
        <w:t>30</w:t>
      </w:r>
      <w:r>
        <w:rPr>
          <w:rFonts w:hint="eastAsia" w:ascii="仿宋" w:hAnsi="仿宋" w:eastAsia="仿宋" w:cs="仿宋"/>
          <w:bCs/>
          <w:color w:val="auto"/>
          <w:sz w:val="24"/>
          <w:szCs w:val="24"/>
          <w:highlight w:val="none"/>
        </w:rPr>
        <w:t>.5采购人应当加强对中标人的履约管理，并按照采购合同约定，及时向中标人支付采购资金。对于中标人违反采购合同约定的行为，采购人应当及时处理，依法追究其违约责任。</w:t>
      </w:r>
    </w:p>
    <w:p w14:paraId="02A08D59">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.6合同履行中，采购人需追加与合同标的相同的</w:t>
      </w:r>
      <w:r>
        <w:rPr>
          <w:rFonts w:hint="eastAsia" w:ascii="仿宋" w:hAnsi="仿宋" w:eastAsia="仿宋" w:cs="仿宋"/>
          <w:color w:val="auto"/>
          <w:sz w:val="24"/>
          <w:szCs w:val="24"/>
          <w:highlight w:val="none"/>
          <w:lang w:val="en-US" w:eastAsia="zh-CN"/>
        </w:rPr>
        <w:t>服务</w:t>
      </w:r>
      <w:r>
        <w:rPr>
          <w:rFonts w:hint="eastAsia" w:ascii="仿宋" w:hAnsi="仿宋" w:eastAsia="仿宋" w:cs="仿宋"/>
          <w:color w:val="auto"/>
          <w:sz w:val="24"/>
          <w:szCs w:val="24"/>
          <w:highlight w:val="none"/>
        </w:rPr>
        <w:t>的，在不改变合同其他条款的前提下，可以与中标人协商签订补充合同，但所有补充合同的采购金额不得超过原合同采购金额的百分之十。</w:t>
      </w:r>
    </w:p>
    <w:p w14:paraId="6F375208">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7中标人拒绝与采购人签订合同的，采购人可以按照评审报告推荐的中标候选人名单排序，确定下一候选人为中标人，也可以重新开展采购活动；拒绝签订采购合同的中标人不得参加该项目重新开展的采购活动，并不予退还其交纳的投标保证金。</w:t>
      </w:r>
    </w:p>
    <w:p w14:paraId="17F0755D">
      <w:pPr>
        <w:pStyle w:val="4"/>
        <w:bidi w:val="0"/>
        <w:jc w:val="center"/>
        <w:rPr>
          <w:rFonts w:hint="eastAsia" w:ascii="仿宋" w:hAnsi="仿宋" w:eastAsia="仿宋" w:cs="仿宋"/>
          <w:color w:val="auto"/>
          <w:highlight w:val="none"/>
        </w:rPr>
      </w:pPr>
      <w:bookmarkStart w:id="272" w:name="_Toc3216"/>
      <w:bookmarkStart w:id="273" w:name="_Toc15989"/>
      <w:bookmarkStart w:id="274" w:name="_Toc10640"/>
      <w:bookmarkStart w:id="275" w:name="_Toc494114887"/>
      <w:bookmarkStart w:id="276" w:name="_Toc3563"/>
      <w:r>
        <w:rPr>
          <w:rFonts w:hint="eastAsia" w:ascii="仿宋" w:hAnsi="仿宋" w:eastAsia="仿宋" w:cs="仿宋"/>
          <w:color w:val="auto"/>
          <w:highlight w:val="none"/>
        </w:rPr>
        <w:t>八、询问和质疑</w:t>
      </w:r>
      <w:bookmarkEnd w:id="272"/>
      <w:bookmarkEnd w:id="273"/>
      <w:bookmarkEnd w:id="274"/>
      <w:bookmarkEnd w:id="275"/>
      <w:bookmarkEnd w:id="276"/>
    </w:p>
    <w:p w14:paraId="3C4E50F0">
      <w:pPr>
        <w:pStyle w:val="4"/>
        <w:spacing w:after="0"/>
        <w:rPr>
          <w:rFonts w:hint="eastAsia" w:ascii="仿宋" w:hAnsi="仿宋" w:eastAsia="仿宋" w:cs="仿宋"/>
          <w:color w:val="auto"/>
          <w:sz w:val="28"/>
          <w:szCs w:val="28"/>
          <w:highlight w:val="none"/>
        </w:rPr>
      </w:pPr>
      <w:bookmarkStart w:id="277" w:name="_Toc494114888"/>
      <w:bookmarkStart w:id="278" w:name="_Toc9197"/>
      <w:bookmarkStart w:id="279" w:name="_Toc19520"/>
      <w:bookmarkStart w:id="280" w:name="_Toc9931"/>
      <w:bookmarkStart w:id="281" w:name="_Toc30989"/>
      <w:r>
        <w:rPr>
          <w:rFonts w:hint="eastAsia" w:ascii="仿宋" w:hAnsi="仿宋" w:eastAsia="仿宋" w:cs="仿宋"/>
          <w:color w:val="auto"/>
          <w:sz w:val="28"/>
          <w:szCs w:val="28"/>
          <w:highlight w:val="none"/>
          <w:lang w:val="en-US" w:eastAsia="zh-CN"/>
        </w:rPr>
        <w:t>3</w:t>
      </w:r>
      <w:bookmarkEnd w:id="277"/>
      <w:bookmarkEnd w:id="278"/>
      <w:bookmarkEnd w:id="279"/>
      <w:bookmarkEnd w:id="280"/>
      <w:bookmarkStart w:id="282" w:name="_Toc3821"/>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询问</w:t>
      </w:r>
      <w:bookmarkEnd w:id="281"/>
      <w:bookmarkEnd w:id="282"/>
    </w:p>
    <w:p w14:paraId="55324D1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r>
        <w:rPr>
          <w:rFonts w:hint="eastAsia" w:ascii="仿宋" w:hAnsi="仿宋" w:eastAsia="仿宋" w:cs="仿宋"/>
          <w:bCs/>
          <w:color w:val="auto"/>
          <w:sz w:val="24"/>
          <w:szCs w:val="24"/>
          <w:highlight w:val="none"/>
          <w:lang w:val="en-US" w:eastAsia="zh-CN"/>
        </w:rPr>
        <w:t>1</w:t>
      </w:r>
      <w:r>
        <w:rPr>
          <w:rFonts w:hint="eastAsia" w:ascii="仿宋" w:hAnsi="仿宋" w:eastAsia="仿宋" w:cs="仿宋"/>
          <w:bCs/>
          <w:color w:val="auto"/>
          <w:sz w:val="24"/>
          <w:szCs w:val="24"/>
          <w:highlight w:val="none"/>
        </w:rPr>
        <w:t>.1投标人对采购活动事项有疑问的，可以向采购人或者采购代理机构提出询问</w:t>
      </w:r>
      <w:r>
        <w:rPr>
          <w:rFonts w:hint="eastAsia" w:ascii="仿宋" w:hAnsi="仿宋" w:eastAsia="仿宋" w:cs="仿宋"/>
          <w:color w:val="auto"/>
          <w:sz w:val="24"/>
          <w:szCs w:val="24"/>
          <w:highlight w:val="none"/>
        </w:rPr>
        <w:t>，采购代理机构应当在3个工作日内对投标人依法提出询问作出答复。</w:t>
      </w:r>
    </w:p>
    <w:p w14:paraId="655DE225">
      <w:pPr>
        <w:pStyle w:val="4"/>
        <w:spacing w:after="0"/>
        <w:rPr>
          <w:rFonts w:hint="eastAsia" w:ascii="仿宋" w:hAnsi="仿宋" w:eastAsia="仿宋" w:cs="仿宋"/>
          <w:color w:val="auto"/>
          <w:sz w:val="28"/>
          <w:szCs w:val="28"/>
          <w:highlight w:val="none"/>
        </w:rPr>
      </w:pPr>
      <w:bookmarkStart w:id="283" w:name="_Toc494114889"/>
      <w:bookmarkStart w:id="284" w:name="_Toc105"/>
      <w:bookmarkStart w:id="285" w:name="_Toc21350"/>
      <w:bookmarkStart w:id="286" w:name="_Toc8166"/>
      <w:bookmarkStart w:id="287" w:name="_Toc2519"/>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质疑</w:t>
      </w:r>
      <w:bookmarkEnd w:id="283"/>
      <w:bookmarkEnd w:id="284"/>
      <w:bookmarkEnd w:id="285"/>
      <w:bookmarkEnd w:id="286"/>
      <w:bookmarkEnd w:id="287"/>
    </w:p>
    <w:p w14:paraId="2F5A9C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.1 投标人认为招标文件、招标过程、中标结果使自己的权益受到损害的，可以在知道或者应知其权益受到损害之日起7个工作日内，以书面形式向采购人、采购代理机构提出质疑。</w:t>
      </w:r>
    </w:p>
    <w:p w14:paraId="0DE8194E">
      <w:pPr>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1）对可以质疑的招标文件提出质疑的，为招标文件公告期限届满之日起7个工作日内；</w:t>
      </w:r>
    </w:p>
    <w:p w14:paraId="5E596E16">
      <w:pPr>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2）对招标过程提出质疑的，为各招标程序环节结束之日起7个工作日内；</w:t>
      </w:r>
    </w:p>
    <w:p w14:paraId="7F326734">
      <w:pPr>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3）对中标结果提出质疑的，为中标结果公告期限届满之日起7个工作日内。</w:t>
      </w:r>
    </w:p>
    <w:p w14:paraId="56D36FA3">
      <w:pPr>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.2投标人应在法定质疑期内一次性提出针对同一采购程序环节的质疑。</w:t>
      </w:r>
    </w:p>
    <w:p w14:paraId="5FB35C3C">
      <w:pPr>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.3提出质疑的投标人应当是参与所质疑项目采购活动的投标人。</w:t>
      </w:r>
    </w:p>
    <w:p w14:paraId="11A94AB6">
      <w:pPr>
        <w:spacing w:line="360" w:lineRule="auto"/>
        <w:ind w:left="600" w:leftChars="200" w:hanging="120" w:hangingChars="5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.4潜在投标人已依法获取其可质疑的招标文件的，可以对该文件提出质疑。</w:t>
      </w:r>
    </w:p>
    <w:p w14:paraId="62CC4CFA">
      <w:pPr>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.5投标人提出质疑应当提交质疑函和必要的证明材料。质疑函应当包括下列内容（格式参照中国政府采购网 </w:t>
      </w:r>
      <w:r>
        <w:rPr>
          <w:rFonts w:hint="eastAsia" w:ascii="仿宋" w:hAnsi="仿宋" w:eastAsia="仿宋" w:cs="仿宋"/>
          <w:bCs/>
          <w:color w:val="auto"/>
          <w:sz w:val="24"/>
          <w:szCs w:val="24"/>
          <w:highlight w:val="none"/>
        </w:rPr>
        <w:fldChar w:fldCharType="begin"/>
      </w:r>
      <w:r>
        <w:rPr>
          <w:rFonts w:hint="eastAsia" w:ascii="仿宋" w:hAnsi="仿宋" w:eastAsia="仿宋" w:cs="仿宋"/>
          <w:bCs/>
          <w:color w:val="auto"/>
          <w:sz w:val="24"/>
          <w:szCs w:val="24"/>
          <w:highlight w:val="none"/>
        </w:rPr>
        <w:instrText xml:space="preserve"> HYPERLINK "http://www.ccgp.gov.cn/" </w:instrText>
      </w:r>
      <w:r>
        <w:rPr>
          <w:rFonts w:hint="eastAsia" w:ascii="仿宋" w:hAnsi="仿宋" w:eastAsia="仿宋" w:cs="仿宋"/>
          <w:bCs/>
          <w:color w:val="auto"/>
          <w:sz w:val="24"/>
          <w:szCs w:val="24"/>
          <w:highlight w:val="none"/>
        </w:rPr>
        <w:fldChar w:fldCharType="separate"/>
      </w:r>
      <w:r>
        <w:rPr>
          <w:rFonts w:hint="eastAsia" w:ascii="仿宋" w:hAnsi="仿宋" w:eastAsia="仿宋" w:cs="仿宋"/>
          <w:bCs/>
          <w:color w:val="auto"/>
          <w:sz w:val="24"/>
          <w:szCs w:val="24"/>
          <w:highlight w:val="none"/>
        </w:rPr>
        <w:t>http://www.ccgp.gov.cn/</w:t>
      </w:r>
      <w:r>
        <w:rPr>
          <w:rFonts w:hint="eastAsia" w:ascii="仿宋" w:hAnsi="仿宋" w:eastAsia="仿宋" w:cs="仿宋"/>
          <w:bCs/>
          <w:color w:val="auto"/>
          <w:sz w:val="24"/>
          <w:szCs w:val="24"/>
          <w:highlight w:val="none"/>
        </w:rPr>
        <w:fldChar w:fldCharType="end"/>
      </w:r>
      <w:r>
        <w:rPr>
          <w:rFonts w:hint="eastAsia" w:ascii="仿宋" w:hAnsi="仿宋" w:eastAsia="仿宋" w:cs="仿宋"/>
          <w:b/>
          <w:bCs/>
          <w:color w:val="auto"/>
          <w:sz w:val="24"/>
          <w:szCs w:val="24"/>
          <w:highlight w:val="none"/>
        </w:rPr>
        <w:t>下载专区</w:t>
      </w:r>
      <w:r>
        <w:rPr>
          <w:rFonts w:hint="eastAsia" w:ascii="仿宋" w:hAnsi="仿宋" w:eastAsia="仿宋" w:cs="仿宋"/>
          <w:bCs/>
          <w:color w:val="auto"/>
          <w:sz w:val="24"/>
          <w:szCs w:val="24"/>
          <w:highlight w:val="none"/>
        </w:rPr>
        <w:t>的《政府采购供应商质疑函范本》）。</w:t>
      </w:r>
    </w:p>
    <w:p w14:paraId="7D8C97AE">
      <w:pPr>
        <w:widowControl/>
        <w:spacing w:line="360" w:lineRule="auto"/>
        <w:ind w:firstLine="489"/>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（一）投标人的姓名或者名称、地址、邮编、联系人及联系电话；</w:t>
      </w:r>
    </w:p>
    <w:p w14:paraId="688509CB">
      <w:pPr>
        <w:widowControl/>
        <w:spacing w:line="360" w:lineRule="auto"/>
        <w:ind w:firstLine="489"/>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（二）质疑项目的名称、编号；</w:t>
      </w:r>
    </w:p>
    <w:p w14:paraId="5D8F0A86">
      <w:pPr>
        <w:widowControl/>
        <w:spacing w:line="360" w:lineRule="auto"/>
        <w:ind w:firstLine="489"/>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（三）具体、明确的质疑事项和与质疑事项相关的请求；</w:t>
      </w:r>
    </w:p>
    <w:p w14:paraId="2F225AE7">
      <w:pPr>
        <w:widowControl/>
        <w:spacing w:line="360" w:lineRule="auto"/>
        <w:ind w:firstLine="489"/>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（四）事实依据；</w:t>
      </w:r>
    </w:p>
    <w:p w14:paraId="62AA0DF4">
      <w:pPr>
        <w:widowControl/>
        <w:spacing w:line="360" w:lineRule="auto"/>
        <w:ind w:firstLine="489"/>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（五）必要的法律依据；</w:t>
      </w:r>
    </w:p>
    <w:p w14:paraId="5EBC6C78">
      <w:pPr>
        <w:widowControl/>
        <w:spacing w:line="360" w:lineRule="auto"/>
        <w:ind w:firstLine="489"/>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（六）提出质疑的日期。</w:t>
      </w:r>
    </w:p>
    <w:p w14:paraId="1CA5DBA4">
      <w:pPr>
        <w:widowControl/>
        <w:spacing w:line="360" w:lineRule="auto"/>
        <w:ind w:firstLine="489"/>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投标人为自然人的，应当由本人签字；投标人为法人或者其他组织的，应当由法定代表人</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或经营者）</w:t>
      </w:r>
      <w:r>
        <w:rPr>
          <w:rFonts w:hint="eastAsia" w:ascii="仿宋" w:hAnsi="仿宋" w:eastAsia="仿宋" w:cs="仿宋"/>
          <w:bCs/>
          <w:color w:val="auto"/>
          <w:sz w:val="24"/>
          <w:szCs w:val="24"/>
          <w:highlight w:val="none"/>
        </w:rPr>
        <w:t>、主要负责人，或者其授权代表签字或者盖章，并加盖公章。</w:t>
      </w:r>
    </w:p>
    <w:p w14:paraId="6CE712B2">
      <w:pPr>
        <w:widowControl/>
        <w:spacing w:line="360" w:lineRule="auto"/>
        <w:ind w:firstLine="489"/>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对不在采购代理机构现场购买的招标文件质疑的，须同时提供下载招标文件的凭证。</w:t>
      </w:r>
    </w:p>
    <w:p w14:paraId="284A7EA2">
      <w:pPr>
        <w:widowControl/>
        <w:spacing w:line="360" w:lineRule="auto"/>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.6质疑函接收方式</w:t>
      </w:r>
    </w:p>
    <w:p w14:paraId="5037375B">
      <w:pPr>
        <w:widowControl/>
        <w:spacing w:line="360" w:lineRule="auto"/>
        <w:ind w:firstLine="480" w:firstLineChars="200"/>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w:t>
      </w:r>
      <w:r>
        <w:rPr>
          <w:rFonts w:hint="eastAsia" w:ascii="仿宋" w:hAnsi="仿宋" w:eastAsia="仿宋" w:cs="仿宋"/>
          <w:bCs/>
          <w:color w:val="auto"/>
          <w:sz w:val="24"/>
          <w:szCs w:val="24"/>
          <w:highlight w:val="none"/>
          <w:lang w:val="en-US" w:eastAsia="zh-CN"/>
        </w:rPr>
        <w:t>2</w:t>
      </w:r>
      <w:r>
        <w:rPr>
          <w:rFonts w:hint="eastAsia" w:ascii="仿宋" w:hAnsi="仿宋" w:eastAsia="仿宋" w:cs="仿宋"/>
          <w:bCs/>
          <w:color w:val="auto"/>
          <w:sz w:val="24"/>
          <w:szCs w:val="24"/>
          <w:highlight w:val="none"/>
        </w:rPr>
        <w:t>.6.1对招标文件</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招标过程、中标结果质疑</w:t>
      </w:r>
    </w:p>
    <w:p w14:paraId="2550DCC7">
      <w:pPr>
        <w:pageBreakBefore w:val="0"/>
        <w:widowControl/>
        <w:kinsoku/>
        <w:wordWrap/>
        <w:overflowPunct/>
        <w:topLinePunct w:val="0"/>
        <w:autoSpaceDE/>
        <w:autoSpaceDN/>
        <w:bidi w:val="0"/>
        <w:adjustRightInd/>
        <w:snapToGrid/>
        <w:spacing w:line="348" w:lineRule="auto"/>
        <w:ind w:firstLine="480" w:firstLineChars="200"/>
        <w:jc w:val="lef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接收部门：</w:t>
      </w:r>
      <w:r>
        <w:rPr>
          <w:rFonts w:hint="eastAsia" w:ascii="仿宋" w:hAnsi="仿宋" w:eastAsia="仿宋" w:cs="仿宋"/>
          <w:color w:val="auto"/>
          <w:kern w:val="0"/>
          <w:sz w:val="24"/>
          <w:highlight w:val="none"/>
        </w:rPr>
        <w:t>江西企恒企业管理有限公司</w:t>
      </w:r>
    </w:p>
    <w:p w14:paraId="36225EBC">
      <w:pPr>
        <w:pageBreakBefore w:val="0"/>
        <w:widowControl/>
        <w:kinsoku/>
        <w:wordWrap/>
        <w:overflowPunct/>
        <w:topLinePunct w:val="0"/>
        <w:autoSpaceDE/>
        <w:autoSpaceDN/>
        <w:bidi w:val="0"/>
        <w:adjustRightInd/>
        <w:snapToGrid/>
        <w:spacing w:line="348" w:lineRule="auto"/>
        <w:ind w:firstLine="480" w:firstLineChars="200"/>
        <w:jc w:val="left"/>
        <w:textAlignment w:val="auto"/>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lang w:eastAsia="zh-CN"/>
        </w:rPr>
        <w:t>0796-8181718</w:t>
      </w:r>
    </w:p>
    <w:p w14:paraId="096D4B3A">
      <w:pPr>
        <w:pageBreakBefore w:val="0"/>
        <w:widowControl/>
        <w:kinsoku/>
        <w:wordWrap/>
        <w:overflowPunct/>
        <w:topLinePunct w:val="0"/>
        <w:autoSpaceDE/>
        <w:autoSpaceDN/>
        <w:bidi w:val="0"/>
        <w:adjustRightInd/>
        <w:snapToGrid/>
        <w:spacing w:line="348"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通讯地址：</w:t>
      </w:r>
      <w:r>
        <w:rPr>
          <w:rFonts w:hint="eastAsia" w:ascii="仿宋" w:hAnsi="仿宋" w:eastAsia="仿宋" w:cs="仿宋"/>
          <w:color w:val="auto"/>
          <w:sz w:val="24"/>
          <w:szCs w:val="24"/>
          <w:highlight w:val="none"/>
          <w:lang w:eastAsia="zh-CN"/>
        </w:rPr>
        <w:t>吉安市吉州区长冈南路29号二楼</w:t>
      </w:r>
    </w:p>
    <w:p w14:paraId="243100C3">
      <w:pPr>
        <w:widowControl/>
        <w:spacing w:line="360" w:lineRule="auto"/>
        <w:ind w:firstLine="489"/>
        <w:jc w:val="left"/>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邮编：343000</w:t>
      </w:r>
    </w:p>
    <w:p w14:paraId="14057209">
      <w:pPr>
        <w:pStyle w:val="4"/>
        <w:bidi w:val="0"/>
        <w:jc w:val="center"/>
        <w:rPr>
          <w:rFonts w:hint="eastAsia" w:ascii="仿宋" w:hAnsi="仿宋" w:eastAsia="仿宋" w:cs="仿宋"/>
          <w:color w:val="auto"/>
          <w:highlight w:val="none"/>
        </w:rPr>
      </w:pPr>
      <w:bookmarkStart w:id="288" w:name="_Toc19512"/>
      <w:bookmarkStart w:id="289" w:name="_Toc494114890"/>
      <w:bookmarkStart w:id="290" w:name="_Toc474492103"/>
      <w:bookmarkStart w:id="291" w:name="_Toc19143"/>
      <w:bookmarkStart w:id="292" w:name="_Toc26236"/>
      <w:bookmarkStart w:id="293" w:name="_Toc8185"/>
      <w:r>
        <w:rPr>
          <w:rFonts w:hint="eastAsia" w:ascii="仿宋" w:hAnsi="仿宋" w:eastAsia="仿宋" w:cs="仿宋"/>
          <w:color w:val="auto"/>
          <w:highlight w:val="none"/>
        </w:rPr>
        <w:t>九、采购代理服务费</w:t>
      </w:r>
      <w:bookmarkEnd w:id="288"/>
      <w:bookmarkEnd w:id="289"/>
      <w:bookmarkEnd w:id="290"/>
      <w:bookmarkEnd w:id="291"/>
      <w:bookmarkEnd w:id="292"/>
      <w:bookmarkEnd w:id="293"/>
    </w:p>
    <w:p w14:paraId="7BBADDB4">
      <w:pPr>
        <w:pStyle w:val="4"/>
        <w:spacing w:after="0"/>
        <w:rPr>
          <w:rFonts w:hint="eastAsia" w:ascii="仿宋" w:hAnsi="仿宋" w:eastAsia="仿宋" w:cs="仿宋"/>
          <w:color w:val="auto"/>
          <w:sz w:val="28"/>
          <w:szCs w:val="28"/>
          <w:highlight w:val="none"/>
        </w:rPr>
      </w:pPr>
      <w:bookmarkStart w:id="294" w:name="_Toc9586"/>
      <w:bookmarkStart w:id="295" w:name="_Toc494114891"/>
      <w:bookmarkStart w:id="296" w:name="_Toc28375"/>
      <w:bookmarkStart w:id="297" w:name="_Toc24478"/>
      <w:bookmarkStart w:id="298" w:name="_Toc31869"/>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.采购代理服务费</w:t>
      </w:r>
      <w:bookmarkEnd w:id="294"/>
      <w:bookmarkEnd w:id="295"/>
      <w:bookmarkEnd w:id="296"/>
      <w:bookmarkEnd w:id="297"/>
      <w:bookmarkEnd w:id="298"/>
    </w:p>
    <w:p w14:paraId="647F5B18">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供应商在领取</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通知书时须按“供应商须知前附表”规定的收费标准</w:t>
      </w:r>
      <w:r>
        <w:rPr>
          <w:rFonts w:hint="eastAsia" w:ascii="仿宋" w:hAnsi="仿宋" w:eastAsia="仿宋" w:cs="仿宋"/>
          <w:b/>
          <w:color w:val="auto"/>
          <w:sz w:val="24"/>
          <w:szCs w:val="24"/>
          <w:highlight w:val="none"/>
        </w:rPr>
        <w:t>，</w:t>
      </w:r>
      <w:r>
        <w:rPr>
          <w:rFonts w:hint="eastAsia" w:ascii="仿宋" w:hAnsi="仿宋" w:eastAsia="仿宋" w:cs="仿宋"/>
          <w:color w:val="auto"/>
          <w:sz w:val="24"/>
          <w:szCs w:val="24"/>
          <w:highlight w:val="none"/>
        </w:rPr>
        <w:t>向采购代理机构缴纳采购代理服务费。在领取代理服务费发票时提供采购合同一份。</w:t>
      </w:r>
    </w:p>
    <w:p w14:paraId="15CBE73F">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.2 采购代理服务费采用银行转账、支票、汇票、本票、现金等采购代理机构认可的形式交纳。</w:t>
      </w:r>
    </w:p>
    <w:p w14:paraId="5D6C3B99">
      <w:pPr>
        <w:pageBreakBefore w:val="0"/>
        <w:widowControl w:val="0"/>
        <w:kinsoku/>
        <w:wordWrap/>
        <w:overflowPunct/>
        <w:topLinePunct w:val="0"/>
        <w:autoSpaceDE/>
        <w:autoSpaceDN/>
        <w:bidi w:val="0"/>
        <w:adjustRightInd/>
        <w:snapToGrid/>
        <w:spacing w:line="348" w:lineRule="auto"/>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账户名：江西企恒企业管理有限公司</w:t>
      </w:r>
    </w:p>
    <w:p w14:paraId="166B5C6A">
      <w:pPr>
        <w:pageBreakBefore w:val="0"/>
        <w:widowControl w:val="0"/>
        <w:kinsoku/>
        <w:wordWrap/>
        <w:overflowPunct/>
        <w:topLinePunct w:val="0"/>
        <w:autoSpaceDE/>
        <w:autoSpaceDN/>
        <w:bidi w:val="0"/>
        <w:adjustRightInd/>
        <w:snapToGrid/>
        <w:spacing w:line="348" w:lineRule="auto"/>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开户银行：中国建设银行股份有限公司吉安吉州支行</w:t>
      </w:r>
    </w:p>
    <w:p w14:paraId="5C66B855">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账号：36050184015200000460</w:t>
      </w:r>
    </w:p>
    <w:p w14:paraId="69485AC2">
      <w:pPr>
        <w:pStyle w:val="15"/>
        <w:rPr>
          <w:rFonts w:hint="eastAsia" w:ascii="仿宋" w:hAnsi="仿宋" w:eastAsia="仿宋" w:cs="仿宋"/>
          <w:color w:val="auto"/>
          <w:highlight w:val="none"/>
        </w:rPr>
      </w:pPr>
    </w:p>
    <w:p w14:paraId="42891395">
      <w:pPr>
        <w:pStyle w:val="4"/>
        <w:bidi w:val="0"/>
        <w:jc w:val="center"/>
        <w:rPr>
          <w:rFonts w:hint="eastAsia" w:ascii="仿宋" w:hAnsi="仿宋" w:eastAsia="仿宋" w:cs="仿宋"/>
          <w:color w:val="auto"/>
          <w:highlight w:val="none"/>
        </w:rPr>
      </w:pPr>
      <w:bookmarkStart w:id="299" w:name="_Toc28784"/>
      <w:bookmarkStart w:id="300" w:name="_Toc27739"/>
      <w:bookmarkStart w:id="301" w:name="_Toc474492104"/>
      <w:bookmarkStart w:id="302" w:name="_Toc4608"/>
      <w:bookmarkStart w:id="303" w:name="_Toc27581"/>
      <w:bookmarkStart w:id="304" w:name="_Toc494114892"/>
      <w:r>
        <w:rPr>
          <w:rFonts w:hint="eastAsia" w:ascii="仿宋" w:hAnsi="仿宋" w:eastAsia="仿宋" w:cs="仿宋"/>
          <w:color w:val="auto"/>
          <w:highlight w:val="none"/>
        </w:rPr>
        <w:t>十、附则</w:t>
      </w:r>
      <w:bookmarkEnd w:id="299"/>
      <w:bookmarkEnd w:id="300"/>
      <w:bookmarkEnd w:id="301"/>
      <w:bookmarkEnd w:id="302"/>
      <w:bookmarkEnd w:id="303"/>
      <w:bookmarkEnd w:id="304"/>
    </w:p>
    <w:p w14:paraId="2219B660">
      <w:pPr>
        <w:pStyle w:val="4"/>
        <w:spacing w:after="0"/>
        <w:rPr>
          <w:rFonts w:hint="eastAsia" w:ascii="仿宋" w:hAnsi="仿宋" w:eastAsia="仿宋" w:cs="仿宋"/>
          <w:color w:val="auto"/>
          <w:sz w:val="28"/>
          <w:szCs w:val="28"/>
          <w:highlight w:val="none"/>
        </w:rPr>
      </w:pPr>
      <w:bookmarkStart w:id="305" w:name="_Toc11365"/>
      <w:bookmarkStart w:id="306" w:name="_Toc6780"/>
      <w:bookmarkStart w:id="307" w:name="_Toc12460"/>
      <w:bookmarkStart w:id="308" w:name="_Toc17623"/>
      <w:bookmarkStart w:id="309" w:name="_Toc494114893"/>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 解释权</w:t>
      </w:r>
      <w:bookmarkEnd w:id="305"/>
      <w:bookmarkEnd w:id="306"/>
      <w:bookmarkEnd w:id="307"/>
      <w:bookmarkEnd w:id="308"/>
      <w:bookmarkEnd w:id="309"/>
    </w:p>
    <w:p w14:paraId="0ED27DE7">
      <w:pPr>
        <w:spacing w:line="4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本招标文件是</w:t>
      </w:r>
      <w:r>
        <w:rPr>
          <w:rFonts w:hint="eastAsia" w:ascii="仿宋" w:hAnsi="仿宋" w:eastAsia="仿宋" w:cs="仿宋"/>
          <w:color w:val="auto"/>
          <w:sz w:val="24"/>
          <w:highlight w:val="none"/>
          <w:lang w:val="en-US" w:eastAsia="zh-CN"/>
        </w:rPr>
        <w:t>参照</w:t>
      </w:r>
      <w:r>
        <w:rPr>
          <w:rFonts w:hint="eastAsia" w:ascii="仿宋" w:hAnsi="仿宋" w:eastAsia="仿宋" w:cs="仿宋"/>
          <w:color w:val="auto"/>
          <w:sz w:val="24"/>
          <w:highlight w:val="none"/>
        </w:rPr>
        <w:t>国家有关法律、法规以及政府采购管理有关规定编制，解释权属</w:t>
      </w:r>
      <w:r>
        <w:rPr>
          <w:rFonts w:hint="eastAsia" w:ascii="仿宋" w:hAnsi="仿宋" w:eastAsia="仿宋" w:cs="仿宋"/>
          <w:color w:val="auto"/>
          <w:sz w:val="24"/>
          <w:highlight w:val="none"/>
          <w:lang w:eastAsia="zh-CN"/>
        </w:rPr>
        <w:t>江西企恒企业管理有限公司</w:t>
      </w:r>
      <w:r>
        <w:rPr>
          <w:rFonts w:hint="eastAsia" w:ascii="仿宋" w:hAnsi="仿宋" w:eastAsia="仿宋" w:cs="仿宋"/>
          <w:color w:val="auto"/>
          <w:sz w:val="24"/>
          <w:highlight w:val="none"/>
        </w:rPr>
        <w:t>。</w:t>
      </w:r>
    </w:p>
    <w:p w14:paraId="61F10417">
      <w:pPr>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55308728">
      <w:pPr>
        <w:pStyle w:val="3"/>
        <w:bidi w:val="0"/>
        <w:jc w:val="center"/>
        <w:rPr>
          <w:rFonts w:hint="eastAsia" w:ascii="仿宋" w:hAnsi="仿宋" w:eastAsia="仿宋" w:cs="仿宋"/>
          <w:color w:val="auto"/>
          <w:highlight w:val="none"/>
        </w:rPr>
      </w:pPr>
      <w:bookmarkStart w:id="310" w:name="_Toc7421"/>
      <w:bookmarkStart w:id="311" w:name="_Toc22941"/>
      <w:bookmarkStart w:id="312" w:name="_Toc23085"/>
      <w:bookmarkStart w:id="313" w:name="_Toc6310"/>
      <w:r>
        <w:rPr>
          <w:rFonts w:hint="eastAsia" w:ascii="仿宋" w:hAnsi="仿宋" w:eastAsia="仿宋" w:cs="仿宋"/>
          <w:color w:val="auto"/>
          <w:highlight w:val="none"/>
          <w:lang w:val="en-US" w:eastAsia="zh-CN"/>
        </w:rPr>
        <w:t xml:space="preserve">第三章 </w:t>
      </w:r>
      <w:r>
        <w:rPr>
          <w:rFonts w:hint="eastAsia" w:ascii="仿宋" w:hAnsi="仿宋" w:eastAsia="仿宋" w:cs="仿宋"/>
          <w:color w:val="auto"/>
          <w:highlight w:val="none"/>
        </w:rPr>
        <w:t>拟签订的合同文本</w:t>
      </w:r>
      <w:bookmarkEnd w:id="310"/>
      <w:bookmarkEnd w:id="311"/>
      <w:bookmarkEnd w:id="312"/>
      <w:bookmarkEnd w:id="313"/>
    </w:p>
    <w:p w14:paraId="635CDB90">
      <w:pPr>
        <w:jc w:val="center"/>
        <w:rPr>
          <w:rFonts w:hint="eastAsia" w:ascii="仿宋" w:hAnsi="仿宋" w:eastAsia="仿宋" w:cs="仿宋"/>
          <w:color w:val="auto"/>
          <w:highlight w:val="none"/>
        </w:rPr>
      </w:pPr>
    </w:p>
    <w:p w14:paraId="6B46FE78">
      <w:pPr>
        <w:pStyle w:val="15"/>
        <w:jc w:val="center"/>
        <w:rPr>
          <w:rFonts w:hint="eastAsia" w:ascii="仿宋" w:hAnsi="仿宋" w:eastAsia="仿宋" w:cs="仿宋"/>
          <w:color w:val="auto"/>
          <w:highlight w:val="none"/>
        </w:rPr>
      </w:pPr>
    </w:p>
    <w:p w14:paraId="3C6EFBCD">
      <w:pPr>
        <w:jc w:val="center"/>
        <w:rPr>
          <w:rFonts w:hint="eastAsia" w:ascii="仿宋" w:hAnsi="仿宋" w:eastAsia="仿宋" w:cs="仿宋"/>
          <w:color w:val="auto"/>
          <w:highlight w:val="none"/>
        </w:rPr>
      </w:pPr>
    </w:p>
    <w:p w14:paraId="3CB04F12">
      <w:pPr>
        <w:pStyle w:val="15"/>
        <w:jc w:val="center"/>
        <w:rPr>
          <w:rFonts w:hint="eastAsia" w:ascii="仿宋" w:hAnsi="仿宋" w:eastAsia="仿宋" w:cs="仿宋"/>
          <w:color w:val="auto"/>
          <w:highlight w:val="none"/>
        </w:rPr>
      </w:pPr>
    </w:p>
    <w:p w14:paraId="0306312F">
      <w:pPr>
        <w:jc w:val="center"/>
        <w:rPr>
          <w:rFonts w:hint="eastAsia" w:ascii="仿宋" w:hAnsi="仿宋" w:eastAsia="仿宋" w:cs="仿宋"/>
          <w:color w:val="auto"/>
          <w:highlight w:val="none"/>
          <w:lang w:val="en-US" w:eastAsia="zh-CN"/>
        </w:rPr>
      </w:pPr>
    </w:p>
    <w:p w14:paraId="618903A5">
      <w:pPr>
        <w:jc w:val="center"/>
        <w:rPr>
          <w:rFonts w:hint="eastAsia" w:ascii="仿宋" w:hAnsi="仿宋" w:eastAsia="仿宋" w:cs="仿宋"/>
          <w:b/>
          <w:bCs/>
          <w:color w:val="auto"/>
          <w:sz w:val="32"/>
          <w:highlight w:val="none"/>
          <w:lang w:val="en-US" w:eastAsia="zh-CN"/>
        </w:rPr>
      </w:pPr>
      <w:r>
        <w:rPr>
          <w:rFonts w:hint="eastAsia" w:ascii="仿宋" w:hAnsi="仿宋" w:eastAsia="仿宋" w:cs="仿宋"/>
          <w:b/>
          <w:bCs/>
          <w:color w:val="auto"/>
          <w:sz w:val="84"/>
          <w:szCs w:val="84"/>
          <w:highlight w:val="none"/>
          <w:lang w:val="en-US" w:eastAsia="zh-CN"/>
        </w:rPr>
        <w:t>采 购 合 同</w:t>
      </w:r>
    </w:p>
    <w:p w14:paraId="63FDB7EB">
      <w:pPr>
        <w:jc w:val="center"/>
        <w:rPr>
          <w:rFonts w:hint="eastAsia" w:ascii="仿宋" w:hAnsi="仿宋" w:eastAsia="仿宋" w:cs="仿宋"/>
          <w:color w:val="auto"/>
          <w:sz w:val="28"/>
          <w:szCs w:val="36"/>
          <w:highlight w:val="none"/>
        </w:rPr>
      </w:pPr>
    </w:p>
    <w:p w14:paraId="6C114E84">
      <w:pPr>
        <w:pStyle w:val="15"/>
        <w:jc w:val="center"/>
        <w:rPr>
          <w:rFonts w:hint="eastAsia" w:ascii="仿宋" w:hAnsi="仿宋" w:eastAsia="仿宋" w:cs="仿宋"/>
          <w:color w:val="auto"/>
          <w:sz w:val="28"/>
          <w:szCs w:val="36"/>
          <w:highlight w:val="none"/>
        </w:rPr>
      </w:pPr>
    </w:p>
    <w:p w14:paraId="5BC5A74E">
      <w:pPr>
        <w:jc w:val="center"/>
        <w:rPr>
          <w:rFonts w:hint="eastAsia" w:ascii="仿宋" w:hAnsi="仿宋" w:eastAsia="仿宋" w:cs="仿宋"/>
          <w:color w:val="auto"/>
          <w:sz w:val="28"/>
          <w:szCs w:val="36"/>
          <w:highlight w:val="none"/>
        </w:rPr>
      </w:pPr>
    </w:p>
    <w:p w14:paraId="7C0BFDC3">
      <w:pPr>
        <w:pStyle w:val="15"/>
        <w:jc w:val="center"/>
        <w:rPr>
          <w:rFonts w:hint="eastAsia" w:ascii="仿宋" w:hAnsi="仿宋" w:eastAsia="仿宋" w:cs="仿宋"/>
          <w:color w:val="auto"/>
          <w:sz w:val="28"/>
          <w:szCs w:val="36"/>
          <w:highlight w:val="none"/>
        </w:rPr>
      </w:pPr>
    </w:p>
    <w:p w14:paraId="308B373F">
      <w:pPr>
        <w:jc w:val="center"/>
        <w:rPr>
          <w:rFonts w:hint="eastAsia" w:ascii="仿宋" w:hAnsi="仿宋" w:eastAsia="仿宋" w:cs="仿宋"/>
          <w:color w:val="auto"/>
          <w:sz w:val="28"/>
          <w:szCs w:val="36"/>
          <w:highlight w:val="none"/>
        </w:rPr>
      </w:pPr>
    </w:p>
    <w:p w14:paraId="069D486A">
      <w:pPr>
        <w:pStyle w:val="15"/>
        <w:jc w:val="center"/>
        <w:rPr>
          <w:rFonts w:hint="eastAsia" w:ascii="仿宋" w:hAnsi="仿宋" w:eastAsia="仿宋" w:cs="仿宋"/>
          <w:color w:val="auto"/>
          <w:sz w:val="28"/>
          <w:szCs w:val="36"/>
          <w:highlight w:val="none"/>
        </w:rPr>
      </w:pPr>
    </w:p>
    <w:p w14:paraId="33E7656A">
      <w:pPr>
        <w:keepNext w:val="0"/>
        <w:keepLines w:val="0"/>
        <w:pageBreakBefore w:val="0"/>
        <w:widowControl w:val="0"/>
        <w:kinsoku/>
        <w:wordWrap/>
        <w:overflowPunct/>
        <w:topLinePunct w:val="0"/>
        <w:autoSpaceDE/>
        <w:autoSpaceDN/>
        <w:bidi w:val="0"/>
        <w:adjustRightInd/>
        <w:snapToGrid/>
        <w:ind w:firstLine="1124" w:firstLineChars="350"/>
        <w:textAlignment w:val="auto"/>
        <w:rPr>
          <w:rFonts w:hint="eastAsia" w:ascii="仿宋" w:hAnsi="仿宋" w:eastAsia="仿宋" w:cs="仿宋"/>
          <w:b/>
          <w:bCs/>
          <w:color w:val="auto"/>
          <w:sz w:val="32"/>
          <w:highlight w:val="none"/>
          <w:u w:val="single"/>
          <w:lang w:val="en-US" w:eastAsia="zh-CN"/>
        </w:rPr>
      </w:pPr>
      <w:r>
        <w:rPr>
          <w:rFonts w:hint="eastAsia" w:ascii="仿宋" w:hAnsi="仿宋" w:eastAsia="仿宋" w:cs="仿宋"/>
          <w:b/>
          <w:bCs/>
          <w:color w:val="auto"/>
          <w:sz w:val="32"/>
          <w:highlight w:val="none"/>
          <w:lang w:val="en-US" w:eastAsia="zh-CN"/>
        </w:rPr>
        <w:t>项目名称：</w:t>
      </w:r>
      <w:r>
        <w:rPr>
          <w:rFonts w:hint="eastAsia" w:ascii="仿宋" w:hAnsi="仿宋" w:eastAsia="仿宋" w:cs="仿宋"/>
          <w:b w:val="0"/>
          <w:bCs w:val="0"/>
          <w:color w:val="auto"/>
          <w:sz w:val="32"/>
          <w:highlight w:val="none"/>
          <w:u w:val="single"/>
          <w:lang w:val="en-US" w:eastAsia="zh-CN"/>
        </w:rPr>
        <w:t xml:space="preserve">                                    </w:t>
      </w:r>
    </w:p>
    <w:p w14:paraId="3BF8209A">
      <w:pPr>
        <w:keepNext w:val="0"/>
        <w:keepLines w:val="0"/>
        <w:pageBreakBefore w:val="0"/>
        <w:widowControl w:val="0"/>
        <w:kinsoku/>
        <w:wordWrap/>
        <w:overflowPunct/>
        <w:topLinePunct w:val="0"/>
        <w:autoSpaceDE/>
        <w:autoSpaceDN/>
        <w:bidi w:val="0"/>
        <w:adjustRightInd/>
        <w:snapToGrid/>
        <w:ind w:firstLine="1124" w:firstLineChars="350"/>
        <w:textAlignment w:val="auto"/>
        <w:rPr>
          <w:rFonts w:hint="eastAsia" w:ascii="仿宋" w:hAnsi="仿宋" w:eastAsia="仿宋" w:cs="仿宋"/>
          <w:b/>
          <w:bCs/>
          <w:color w:val="auto"/>
          <w:sz w:val="32"/>
          <w:highlight w:val="none"/>
          <w:lang w:val="en-US" w:eastAsia="zh-CN"/>
        </w:rPr>
      </w:pPr>
      <w:r>
        <w:rPr>
          <w:rFonts w:hint="eastAsia" w:ascii="仿宋" w:hAnsi="仿宋" w:eastAsia="仿宋" w:cs="仿宋"/>
          <w:b/>
          <w:bCs/>
          <w:color w:val="auto"/>
          <w:sz w:val="32"/>
          <w:highlight w:val="none"/>
          <w:u w:val="none"/>
          <w:lang w:val="en-US" w:eastAsia="zh-CN"/>
        </w:rPr>
        <w:t>项目编号：</w:t>
      </w:r>
      <w:r>
        <w:rPr>
          <w:rFonts w:hint="eastAsia" w:ascii="仿宋" w:hAnsi="仿宋" w:eastAsia="仿宋" w:cs="仿宋"/>
          <w:b w:val="0"/>
          <w:bCs w:val="0"/>
          <w:color w:val="auto"/>
          <w:sz w:val="32"/>
          <w:highlight w:val="none"/>
          <w:u w:val="single"/>
          <w:lang w:val="en-US" w:eastAsia="zh-CN"/>
        </w:rPr>
        <w:t xml:space="preserve">                                    </w:t>
      </w:r>
    </w:p>
    <w:p w14:paraId="6730C671">
      <w:pPr>
        <w:keepNext w:val="0"/>
        <w:keepLines w:val="0"/>
        <w:pageBreakBefore w:val="0"/>
        <w:widowControl w:val="0"/>
        <w:kinsoku/>
        <w:wordWrap/>
        <w:overflowPunct/>
        <w:topLinePunct w:val="0"/>
        <w:autoSpaceDE/>
        <w:autoSpaceDN/>
        <w:bidi w:val="0"/>
        <w:adjustRightInd/>
        <w:snapToGrid/>
        <w:ind w:firstLine="1124" w:firstLineChars="350"/>
        <w:textAlignment w:val="auto"/>
        <w:rPr>
          <w:rFonts w:hint="eastAsia" w:ascii="仿宋" w:hAnsi="仿宋" w:eastAsia="仿宋" w:cs="仿宋"/>
          <w:b/>
          <w:bCs/>
          <w:color w:val="auto"/>
          <w:sz w:val="32"/>
          <w:highlight w:val="none"/>
          <w:lang w:val="en-US" w:eastAsia="zh-CN"/>
        </w:rPr>
      </w:pPr>
      <w:r>
        <w:rPr>
          <w:rFonts w:hint="eastAsia" w:ascii="仿宋" w:hAnsi="仿宋" w:eastAsia="仿宋" w:cs="仿宋"/>
          <w:b/>
          <w:bCs/>
          <w:color w:val="auto"/>
          <w:sz w:val="32"/>
          <w:highlight w:val="none"/>
          <w:lang w:val="en-US" w:eastAsia="zh-CN"/>
        </w:rPr>
        <w:t>甲    方：</w:t>
      </w:r>
      <w:r>
        <w:rPr>
          <w:rFonts w:hint="eastAsia" w:ascii="仿宋" w:hAnsi="仿宋" w:eastAsia="仿宋" w:cs="仿宋"/>
          <w:b w:val="0"/>
          <w:bCs w:val="0"/>
          <w:color w:val="auto"/>
          <w:sz w:val="32"/>
          <w:highlight w:val="none"/>
          <w:u w:val="single"/>
          <w:lang w:val="en-US" w:eastAsia="zh-CN"/>
        </w:rPr>
        <w:t xml:space="preserve">                                    </w:t>
      </w:r>
    </w:p>
    <w:p w14:paraId="30C46EA9">
      <w:pPr>
        <w:keepNext w:val="0"/>
        <w:keepLines w:val="0"/>
        <w:pageBreakBefore w:val="0"/>
        <w:widowControl w:val="0"/>
        <w:kinsoku/>
        <w:wordWrap/>
        <w:overflowPunct/>
        <w:topLinePunct w:val="0"/>
        <w:autoSpaceDE/>
        <w:autoSpaceDN/>
        <w:bidi w:val="0"/>
        <w:adjustRightInd/>
        <w:snapToGrid/>
        <w:ind w:firstLine="1124" w:firstLineChars="350"/>
        <w:textAlignment w:val="auto"/>
        <w:rPr>
          <w:rFonts w:hint="eastAsia" w:ascii="仿宋" w:hAnsi="仿宋" w:eastAsia="仿宋" w:cs="仿宋"/>
          <w:b/>
          <w:bCs/>
          <w:color w:val="auto"/>
          <w:sz w:val="32"/>
          <w:highlight w:val="none"/>
          <w:lang w:val="en-US" w:eastAsia="zh-CN"/>
        </w:rPr>
      </w:pPr>
      <w:r>
        <w:rPr>
          <w:rFonts w:hint="eastAsia" w:ascii="仿宋" w:hAnsi="仿宋" w:eastAsia="仿宋" w:cs="仿宋"/>
          <w:b/>
          <w:bCs/>
          <w:color w:val="auto"/>
          <w:sz w:val="32"/>
          <w:highlight w:val="none"/>
          <w:lang w:val="en-US" w:eastAsia="zh-CN"/>
        </w:rPr>
        <w:t>乙    方：</w:t>
      </w:r>
      <w:r>
        <w:rPr>
          <w:rFonts w:hint="eastAsia" w:ascii="仿宋" w:hAnsi="仿宋" w:eastAsia="仿宋" w:cs="仿宋"/>
          <w:b w:val="0"/>
          <w:bCs w:val="0"/>
          <w:color w:val="auto"/>
          <w:sz w:val="32"/>
          <w:highlight w:val="none"/>
          <w:u w:val="single"/>
          <w:lang w:val="en-US" w:eastAsia="zh-CN"/>
        </w:rPr>
        <w:t xml:space="preserve">                                    </w:t>
      </w:r>
    </w:p>
    <w:p w14:paraId="138145B7">
      <w:pPr>
        <w:keepNext w:val="0"/>
        <w:keepLines w:val="0"/>
        <w:pageBreakBefore w:val="0"/>
        <w:widowControl w:val="0"/>
        <w:kinsoku/>
        <w:wordWrap/>
        <w:overflowPunct/>
        <w:topLinePunct w:val="0"/>
        <w:autoSpaceDE/>
        <w:autoSpaceDN/>
        <w:bidi w:val="0"/>
        <w:adjustRightInd/>
        <w:snapToGrid/>
        <w:ind w:firstLine="1124" w:firstLineChars="350"/>
        <w:textAlignment w:val="auto"/>
        <w:rPr>
          <w:rFonts w:hint="eastAsia" w:ascii="仿宋" w:hAnsi="仿宋" w:eastAsia="仿宋" w:cs="仿宋"/>
          <w:b w:val="0"/>
          <w:bCs w:val="0"/>
          <w:color w:val="auto"/>
          <w:sz w:val="32"/>
          <w:highlight w:val="none"/>
          <w:u w:val="single"/>
          <w:lang w:val="en-US" w:eastAsia="zh-CN"/>
        </w:rPr>
      </w:pPr>
      <w:r>
        <w:rPr>
          <w:rFonts w:hint="eastAsia" w:ascii="仿宋" w:hAnsi="仿宋" w:eastAsia="仿宋" w:cs="仿宋"/>
          <w:b/>
          <w:bCs/>
          <w:color w:val="auto"/>
          <w:sz w:val="32"/>
          <w:highlight w:val="none"/>
          <w:lang w:val="en-US" w:eastAsia="zh-CN"/>
        </w:rPr>
        <w:t>签约时间：</w:t>
      </w:r>
      <w:r>
        <w:rPr>
          <w:rFonts w:hint="eastAsia" w:ascii="仿宋" w:hAnsi="仿宋" w:eastAsia="仿宋" w:cs="仿宋"/>
          <w:b w:val="0"/>
          <w:bCs w:val="0"/>
          <w:color w:val="auto"/>
          <w:sz w:val="32"/>
          <w:highlight w:val="none"/>
          <w:u w:val="single"/>
          <w:lang w:val="en-US" w:eastAsia="zh-CN"/>
        </w:rPr>
        <w:t xml:space="preserve">                                   </w:t>
      </w:r>
    </w:p>
    <w:p w14:paraId="71C9CCB9">
      <w:pPr>
        <w:rPr>
          <w:rFonts w:hint="eastAsia" w:ascii="仿宋" w:hAnsi="仿宋" w:eastAsia="仿宋" w:cs="仿宋"/>
          <w:b/>
          <w:bCs/>
          <w:color w:val="auto"/>
          <w:kern w:val="0"/>
          <w:sz w:val="24"/>
          <w:szCs w:val="24"/>
          <w:highlight w:val="none"/>
          <w:lang w:val="en-US" w:eastAsia="zh-CN"/>
        </w:rPr>
      </w:pPr>
    </w:p>
    <w:p w14:paraId="51FB50C0">
      <w:pPr>
        <w:rPr>
          <w:rFonts w:hint="eastAsia" w:ascii="仿宋" w:hAnsi="仿宋" w:eastAsia="仿宋" w:cs="仿宋"/>
          <w:b/>
          <w:bCs/>
          <w:color w:val="auto"/>
          <w:kern w:val="0"/>
          <w:sz w:val="24"/>
          <w:szCs w:val="24"/>
          <w:highlight w:val="none"/>
          <w:lang w:val="en-US" w:eastAsia="zh-CN"/>
        </w:rPr>
      </w:pPr>
    </w:p>
    <w:p w14:paraId="06C201B5">
      <w:pPr>
        <w:jc w:val="center"/>
        <w:rPr>
          <w:rFonts w:hint="eastAsia" w:ascii="仿宋" w:hAnsi="仿宋" w:eastAsia="仿宋" w:cs="仿宋"/>
          <w:b/>
          <w:bCs/>
          <w:color w:val="auto"/>
          <w:kern w:val="0"/>
          <w:sz w:val="24"/>
          <w:szCs w:val="24"/>
          <w:highlight w:val="none"/>
          <w:lang w:val="en-US" w:eastAsia="zh-CN"/>
        </w:rPr>
      </w:pPr>
    </w:p>
    <w:p w14:paraId="608CF5A5">
      <w:pPr>
        <w:jc w:val="center"/>
        <w:rPr>
          <w:rFonts w:hint="eastAsia" w:ascii="仿宋" w:hAnsi="仿宋" w:eastAsia="仿宋" w:cs="仿宋"/>
          <w:b/>
          <w:bCs/>
          <w:color w:val="auto"/>
          <w:kern w:val="0"/>
          <w:sz w:val="24"/>
          <w:szCs w:val="24"/>
          <w:highlight w:val="none"/>
          <w:lang w:val="en-US" w:eastAsia="zh-CN"/>
        </w:rPr>
      </w:pPr>
    </w:p>
    <w:p w14:paraId="7A636D1C">
      <w:pPr>
        <w:jc w:val="center"/>
        <w:rPr>
          <w:rFonts w:hint="eastAsia" w:ascii="仿宋" w:hAnsi="仿宋" w:eastAsia="仿宋" w:cs="仿宋"/>
          <w:b/>
          <w:bCs/>
          <w:color w:val="auto"/>
          <w:kern w:val="0"/>
          <w:sz w:val="24"/>
          <w:szCs w:val="24"/>
          <w:highlight w:val="none"/>
          <w:lang w:val="en-US" w:eastAsia="zh-CN"/>
        </w:rPr>
      </w:pPr>
    </w:p>
    <w:p w14:paraId="168271D9">
      <w:pP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注：</w:t>
      </w:r>
      <w:r>
        <w:rPr>
          <w:rFonts w:hint="eastAsia" w:ascii="仿宋" w:hAnsi="仿宋" w:eastAsia="仿宋" w:cs="仿宋"/>
          <w:b/>
          <w:bCs/>
          <w:color w:val="auto"/>
          <w:highlight w:val="none"/>
        </w:rPr>
        <w:t>本合同格式仅为合同的参考范文本，具体以双方签订的正式合同为准，合同内容不得违背本项目招标文件实质性要求</w:t>
      </w:r>
    </w:p>
    <w:p w14:paraId="45DE5D34">
      <w:pP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br w:type="page"/>
      </w:r>
    </w:p>
    <w:p w14:paraId="53EC2CA6">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rPr>
        <w:t>甲方（采购方）：</w:t>
      </w:r>
    </w:p>
    <w:p w14:paraId="14D5610E">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乙方（供应方）：</w:t>
      </w:r>
    </w:p>
    <w:p w14:paraId="410BCB4C">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根据《中华人民共和国政府采购法》《中华人民共和国民法典》及招标文件的要求，经双方协商一致，签订本合同。 技术说明及其他有关合同货物的特定信息由合同附件予以 说明，所有附件及本项目的招投标文件、会议纪要、协议等均为本合同不可分割之一部分。</w:t>
      </w:r>
    </w:p>
    <w:p w14:paraId="0B27E3A1">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第一条  项目名称</w:t>
      </w:r>
    </w:p>
    <w:p w14:paraId="69E2A25E">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1.项目名称：</w:t>
      </w:r>
    </w:p>
    <w:p w14:paraId="0640D72A">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2.招标编号：</w:t>
      </w:r>
    </w:p>
    <w:p w14:paraId="7E705BD7">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第二条  货物采购清单</w:t>
      </w:r>
    </w:p>
    <w:tbl>
      <w:tblPr>
        <w:tblStyle w:val="3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324"/>
        <w:gridCol w:w="1324"/>
        <w:gridCol w:w="1326"/>
        <w:gridCol w:w="1326"/>
        <w:gridCol w:w="1329"/>
        <w:gridCol w:w="1329"/>
      </w:tblGrid>
      <w:tr w14:paraId="674F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pct"/>
            <w:noWrap w:val="0"/>
            <w:vAlign w:val="center"/>
          </w:tcPr>
          <w:p w14:paraId="0522BD05">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序号</w:t>
            </w:r>
          </w:p>
        </w:tc>
        <w:tc>
          <w:tcPr>
            <w:tcW w:w="713" w:type="pct"/>
            <w:noWrap w:val="0"/>
            <w:vAlign w:val="center"/>
          </w:tcPr>
          <w:p w14:paraId="72523D26">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货物名称</w:t>
            </w:r>
          </w:p>
        </w:tc>
        <w:tc>
          <w:tcPr>
            <w:tcW w:w="713" w:type="pct"/>
            <w:noWrap w:val="0"/>
            <w:vAlign w:val="center"/>
          </w:tcPr>
          <w:p w14:paraId="29BEC23B">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规格型号</w:t>
            </w:r>
          </w:p>
        </w:tc>
        <w:tc>
          <w:tcPr>
            <w:tcW w:w="714" w:type="pct"/>
            <w:noWrap w:val="0"/>
            <w:vAlign w:val="center"/>
          </w:tcPr>
          <w:p w14:paraId="3886EB7A">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生产厂商</w:t>
            </w:r>
          </w:p>
        </w:tc>
        <w:tc>
          <w:tcPr>
            <w:tcW w:w="714" w:type="pct"/>
            <w:noWrap w:val="0"/>
            <w:vAlign w:val="center"/>
          </w:tcPr>
          <w:p w14:paraId="7E67521C">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单位</w:t>
            </w:r>
          </w:p>
        </w:tc>
        <w:tc>
          <w:tcPr>
            <w:tcW w:w="715" w:type="pct"/>
            <w:noWrap w:val="0"/>
            <w:vAlign w:val="center"/>
          </w:tcPr>
          <w:p w14:paraId="55ACEDF8">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数量</w:t>
            </w:r>
          </w:p>
        </w:tc>
        <w:tc>
          <w:tcPr>
            <w:tcW w:w="715" w:type="pct"/>
            <w:noWrap w:val="0"/>
            <w:vAlign w:val="center"/>
          </w:tcPr>
          <w:p w14:paraId="4F0F2711">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单价</w:t>
            </w:r>
          </w:p>
        </w:tc>
      </w:tr>
      <w:tr w14:paraId="5A66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pct"/>
            <w:noWrap w:val="0"/>
            <w:vAlign w:val="center"/>
          </w:tcPr>
          <w:p w14:paraId="68BEC60C">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3" w:type="pct"/>
            <w:noWrap w:val="0"/>
            <w:vAlign w:val="center"/>
          </w:tcPr>
          <w:p w14:paraId="6834FA70">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3" w:type="pct"/>
            <w:noWrap w:val="0"/>
            <w:vAlign w:val="center"/>
          </w:tcPr>
          <w:p w14:paraId="265556C4">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4" w:type="pct"/>
            <w:noWrap w:val="0"/>
            <w:vAlign w:val="center"/>
          </w:tcPr>
          <w:p w14:paraId="0BB61E3F">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4" w:type="pct"/>
            <w:noWrap w:val="0"/>
            <w:vAlign w:val="center"/>
          </w:tcPr>
          <w:p w14:paraId="11724460">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5" w:type="pct"/>
            <w:noWrap w:val="0"/>
            <w:vAlign w:val="center"/>
          </w:tcPr>
          <w:p w14:paraId="421AEDA7">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5" w:type="pct"/>
            <w:noWrap w:val="0"/>
            <w:vAlign w:val="center"/>
          </w:tcPr>
          <w:p w14:paraId="23BA0E3A">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r>
      <w:tr w14:paraId="43BC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pct"/>
            <w:noWrap w:val="0"/>
            <w:vAlign w:val="center"/>
          </w:tcPr>
          <w:p w14:paraId="280124A7">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3" w:type="pct"/>
            <w:noWrap w:val="0"/>
            <w:vAlign w:val="center"/>
          </w:tcPr>
          <w:p w14:paraId="49928973">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3" w:type="pct"/>
            <w:noWrap w:val="0"/>
            <w:vAlign w:val="center"/>
          </w:tcPr>
          <w:p w14:paraId="315E5539">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4" w:type="pct"/>
            <w:noWrap w:val="0"/>
            <w:vAlign w:val="center"/>
          </w:tcPr>
          <w:p w14:paraId="2F3DD264">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4" w:type="pct"/>
            <w:noWrap w:val="0"/>
            <w:vAlign w:val="center"/>
          </w:tcPr>
          <w:p w14:paraId="5EB4AFD5">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5" w:type="pct"/>
            <w:noWrap w:val="0"/>
            <w:vAlign w:val="center"/>
          </w:tcPr>
          <w:p w14:paraId="30B1AB77">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c>
          <w:tcPr>
            <w:tcW w:w="715" w:type="pct"/>
            <w:noWrap w:val="0"/>
            <w:vAlign w:val="center"/>
          </w:tcPr>
          <w:p w14:paraId="770CF16A">
            <w:pPr>
              <w:keepNext w:val="0"/>
              <w:keepLines w:val="0"/>
              <w:pageBreakBefore w:val="0"/>
              <w:widowControl/>
              <w:kinsoku w:val="0"/>
              <w:wordWrap/>
              <w:overflowPunct/>
              <w:topLinePunct w:val="0"/>
              <w:autoSpaceDE w:val="0"/>
              <w:autoSpaceDN w:val="0"/>
              <w:bidi w:val="0"/>
              <w:adjustRightInd w:val="0"/>
              <w:snapToGrid w:val="0"/>
              <w:spacing w:line="324" w:lineRule="auto"/>
              <w:jc w:val="center"/>
              <w:textAlignment w:val="baseline"/>
              <w:rPr>
                <w:rFonts w:hint="eastAsia" w:ascii="仿宋" w:hAnsi="仿宋" w:eastAsia="仿宋" w:cs="仿宋"/>
                <w:color w:val="auto"/>
                <w:sz w:val="24"/>
                <w:szCs w:val="24"/>
                <w:highlight w:val="none"/>
                <w:vertAlign w:val="baseline"/>
              </w:rPr>
            </w:pPr>
          </w:p>
        </w:tc>
      </w:tr>
    </w:tbl>
    <w:p w14:paraId="3AAB5E2F">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第三条  合同总价</w:t>
      </w:r>
    </w:p>
    <w:p w14:paraId="0D231C41">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总价为</w:t>
      </w:r>
      <w:r>
        <w:rPr>
          <w:rFonts w:hint="eastAsia" w:ascii="仿宋" w:hAnsi="仿宋" w:eastAsia="仿宋" w:cs="仿宋"/>
          <w:color w:val="auto"/>
          <w:sz w:val="24"/>
          <w:szCs w:val="24"/>
          <w:highlight w:val="none"/>
          <w:lang w:val="en-US" w:eastAsia="zh-CN"/>
        </w:rPr>
        <w:t>折扣</w:t>
      </w:r>
      <w:r>
        <w:rPr>
          <w:rFonts w:hint="eastAsia" w:ascii="仿宋" w:hAnsi="仿宋" w:eastAsia="仿宋" w:cs="仿宋"/>
          <w:color w:val="auto"/>
          <w:sz w:val="24"/>
          <w:szCs w:val="24"/>
          <w:highlight w:val="none"/>
        </w:rPr>
        <w:t>（大写）：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rPr>
        <w:t>即</w:t>
      </w:r>
      <w:r>
        <w:rPr>
          <w:rFonts w:hint="eastAsia" w:ascii="仿宋" w:hAnsi="仿宋" w:eastAsia="仿宋" w:cs="仿宋"/>
          <w:color w:val="auto"/>
          <w:sz w:val="24"/>
          <w:szCs w:val="24"/>
          <w:highlight w:val="none"/>
          <w:lang w:val="en-US" w:eastAsia="zh-CN"/>
        </w:rPr>
        <w:t>折扣（小写）</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。该合同总价是货物设计、制造、包装、仓储、运输、安装、调试、培训、质保期服务等各项含税费用。本合同执行期间合同总价不变。</w:t>
      </w:r>
    </w:p>
    <w:p w14:paraId="592B5E10">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第四条  专利权</w:t>
      </w:r>
    </w:p>
    <w:p w14:paraId="65B9F90B">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乙方应保证其提供的货物、技术及有关服务不侵犯他人的专利权、商标权或工业设计等知识产权，并保证本合同中 的使用者能够合法使用，否则，由此给甲方造成的一切损失均由乙方承担。</w:t>
      </w:r>
    </w:p>
    <w:p w14:paraId="3867CF5F">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第五条  交货和验收</w:t>
      </w:r>
    </w:p>
    <w:p w14:paraId="0E65CA3F">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1.乙方须提供全新的、符合国家有关质量标准和规范、环保要求的货物，其质量、规格及技术特征符合招标文件技术参数的要求。乙方提供的全部货物均应按标准保护措施进 行包装，这类包装应适应于远距离运输防潮、防震、防锈和 防野蛮装卸，以确保货物安全无损运抵指定现场。由于包装不善所引起的货物锈蚀、损坏和损失均由乙方负责。</w:t>
      </w:r>
    </w:p>
    <w:p w14:paraId="68085998">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2.存在缺陷（包括潜在缺陷）或不符合要求的货物、都 将视为不合格产品，由此产生的一切后果均由乙方负责，乙方必须在5个工作日内及时完成更换。</w:t>
      </w:r>
    </w:p>
    <w:p w14:paraId="4B5FB5CF">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3.在合同签订后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日内，乙方免费送货至甲方指定地点。</w:t>
      </w:r>
    </w:p>
    <w:p w14:paraId="4F6817EF">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4.乙方必须保证所提供的主要货物除必要的技术性标志外，还应有以下内容的标志：（1）货物的型号和名称；（2）制造厂名称；（</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）制造日期或编号。具有出厂合格证、序列号、包装箱号与厂批号一致，并可追索查阅。并将产品出厂自带的说明书、保修卡、或有关资料及配件等随同货物一同交付给甲方。</w:t>
      </w:r>
    </w:p>
    <w:p w14:paraId="20FAE69F">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5.货物运抵交货地点后，由甲方与乙方一起进行到货验 收，对货物的数量、型号、质量、技术资料等进行检查。甲方须为货物验收提供必须的设备、工具及其它便利条件。双方确认后，由乙方提供免费安装调试与培训（含所需的一切耗材、工具、工时费等）。</w:t>
      </w:r>
    </w:p>
    <w:p w14:paraId="3659A7C9">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6.乙方不能完整交付货物及本款规定的单证和工具的，视为未按合同约定付货，乙方必须负责补齐，因此导致逾期交付的，由乙方承担相关的违约责任。</w:t>
      </w:r>
    </w:p>
    <w:p w14:paraId="7E528548">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 甲方应在到货</w:t>
      </w:r>
      <w:r>
        <w:rPr>
          <w:rFonts w:hint="eastAsia" w:ascii="仿宋" w:hAnsi="仿宋" w:eastAsia="仿宋" w:cs="仿宋"/>
          <w:color w:val="auto"/>
          <w:sz w:val="24"/>
          <w:szCs w:val="24"/>
          <w:highlight w:val="none"/>
          <w:u w:val="single"/>
        </w:rPr>
        <w:t xml:space="preserve">   30   </w:t>
      </w:r>
      <w:r>
        <w:rPr>
          <w:rFonts w:hint="eastAsia" w:ascii="仿宋" w:hAnsi="仿宋" w:eastAsia="仿宋" w:cs="仿宋"/>
          <w:color w:val="auto"/>
          <w:sz w:val="24"/>
          <w:szCs w:val="24"/>
          <w:highlight w:val="none"/>
        </w:rPr>
        <w:t>天内组织验收小组对货物进行交付验收。交付验收合格后，由验收小组、甲乙双方共同签署验收单。</w:t>
      </w:r>
    </w:p>
    <w:p w14:paraId="26EFF2B8">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8.交付验收标准依次对照适用标准为：（1）符合中华人民共和国国家安全质量标准、环保标准或行业标准。（2）符合采购文件和响应承诺中甲方认可的合理最佳配置、参数及各项要求。</w:t>
      </w:r>
    </w:p>
    <w:p w14:paraId="286E02B3">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第六条  付款方式</w:t>
      </w:r>
    </w:p>
    <w:p w14:paraId="06639C01">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付款方式：</w:t>
      </w:r>
    </w:p>
    <w:p w14:paraId="6C5E28D5">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以教材定价作为计算书款的依据。按教材码洋×折扣进行结算；（2）验收时教材定价如与发货单不符，按照实际图书定价核算。（3）中标供应商必须开具包括教材码洋、折扣、实洋等内容的正式购书发票，并加盖中标供应商单位公章。（4）教材采购费用采用每年结算方式进行，但如出现因实际招生人数未达到原计划招生数而产生的教材多出部分的，供应商应无条件退费。</w:t>
      </w:r>
      <w:r>
        <w:rPr>
          <w:rFonts w:hint="eastAsia" w:ascii="仿宋" w:hAnsi="仿宋" w:eastAsia="仿宋" w:cs="仿宋"/>
          <w:color w:val="auto"/>
          <w:sz w:val="24"/>
          <w:szCs w:val="24"/>
          <w:highlight w:val="none"/>
        </w:rPr>
        <w:t xml:space="preserve"> </w:t>
      </w:r>
    </w:p>
    <w:p w14:paraId="30162088">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本合同供货单位指定的收款账户：</w:t>
      </w:r>
    </w:p>
    <w:p w14:paraId="7983875C">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户  名 ：</w:t>
      </w:r>
      <w:r>
        <w:rPr>
          <w:rFonts w:hint="eastAsia" w:ascii="仿宋" w:hAnsi="仿宋" w:eastAsia="仿宋" w:cs="仿宋"/>
          <w:color w:val="auto"/>
          <w:sz w:val="24"/>
          <w:szCs w:val="24"/>
          <w:highlight w:val="none"/>
          <w:u w:val="single"/>
        </w:rPr>
        <w:t xml:space="preserve">                       </w:t>
      </w:r>
    </w:p>
    <w:p w14:paraId="632D0390">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开户行：</w:t>
      </w:r>
      <w:r>
        <w:rPr>
          <w:rFonts w:hint="eastAsia" w:ascii="仿宋" w:hAnsi="仿宋" w:eastAsia="仿宋" w:cs="仿宋"/>
          <w:color w:val="auto"/>
          <w:sz w:val="24"/>
          <w:szCs w:val="24"/>
          <w:highlight w:val="none"/>
          <w:u w:val="single"/>
        </w:rPr>
        <w:t xml:space="preserve">                       </w:t>
      </w:r>
    </w:p>
    <w:p w14:paraId="6A57F4A5">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账  号 ：</w:t>
      </w:r>
      <w:r>
        <w:rPr>
          <w:rFonts w:hint="eastAsia" w:ascii="仿宋" w:hAnsi="仿宋" w:eastAsia="仿宋" w:cs="仿宋"/>
          <w:color w:val="auto"/>
          <w:sz w:val="24"/>
          <w:szCs w:val="24"/>
          <w:highlight w:val="none"/>
          <w:u w:val="single"/>
        </w:rPr>
        <w:t xml:space="preserve">                       </w:t>
      </w:r>
    </w:p>
    <w:p w14:paraId="152C31B1">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第七条  售后服务</w:t>
      </w:r>
    </w:p>
    <w:p w14:paraId="2D017EE9">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乙方进行相应的技术培训，培训地点主要在货物安装现场或由甲方安排。</w:t>
      </w:r>
    </w:p>
    <w:p w14:paraId="14D5BC6B">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2.质量保证期为：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年；质保期自交付验收合格之日起计算，保修费用计入总价。</w:t>
      </w:r>
    </w:p>
    <w:p w14:paraId="38B9E1C1">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质量保证期内，乙方负责对其提供的货物进行维修和系统维护，所有货物保修服务方式均为乙方上门保修，即由乙方派员到货物使用现场维修，由此产生的一切费用均由乙方承担，不可抗力（如火灾、雷击等）造成的故障除外。</w:t>
      </w:r>
    </w:p>
    <w:p w14:paraId="0B9E4448">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在质保期内若设备出现故障，乙方要在12小时内到达现场，并在48小时内及时排除故障，若48小时内仍无法排除故障，则免费提供不低于故障货物规格型号档次的备用货物供甲方使用，确保学校的正常教学不受影响。</w:t>
      </w:r>
    </w:p>
    <w:p w14:paraId="6090DD62">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5.质保服务期内，如对软件有新的改进、增加新功能或者为适应最新标准所形成的最新版本，均免费、及时提供给用户使用。</w:t>
      </w:r>
    </w:p>
    <w:p w14:paraId="37F1077B">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6.质保期期满后，乙方将继续为甲方提供维护服务。备品配件价格不得高于本次</w:t>
      </w:r>
      <w:r>
        <w:rPr>
          <w:rFonts w:hint="eastAsia" w:ascii="仿宋" w:hAnsi="仿宋" w:eastAsia="仿宋" w:cs="仿宋"/>
          <w:color w:val="auto"/>
          <w:sz w:val="24"/>
          <w:szCs w:val="24"/>
          <w:highlight w:val="none"/>
          <w:lang w:val="en-US" w:eastAsia="zh-CN"/>
        </w:rPr>
        <w:t>中标</w:t>
      </w:r>
      <w:r>
        <w:rPr>
          <w:rFonts w:hint="eastAsia" w:ascii="仿宋" w:hAnsi="仿宋" w:eastAsia="仿宋" w:cs="仿宋"/>
          <w:color w:val="auto"/>
          <w:sz w:val="24"/>
          <w:szCs w:val="24"/>
          <w:highlight w:val="none"/>
        </w:rPr>
        <w:t>价格。</w:t>
      </w:r>
    </w:p>
    <w:p w14:paraId="6D6E590D">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第八条  违约责任</w:t>
      </w:r>
    </w:p>
    <w:p w14:paraId="702B1F60">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1.如乙方延期交货，应及时告知甲方，说明其原因并征得甲方同意，同时明确后续供货日期。乙方无故逾期交货超过10天以上的，甲方有权终止合同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按照考核办法扣除货款</w:t>
      </w:r>
      <w:r>
        <w:rPr>
          <w:rFonts w:hint="eastAsia" w:ascii="仿宋" w:hAnsi="仿宋" w:eastAsia="仿宋" w:cs="仿宋"/>
          <w:color w:val="auto"/>
          <w:sz w:val="24"/>
          <w:szCs w:val="24"/>
          <w:highlight w:val="none"/>
        </w:rPr>
        <w:t>。</w:t>
      </w:r>
    </w:p>
    <w:p w14:paraId="00EE4344">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2.乙方所交的货物品种、型号、规格不符合合同规定或发现质量不合格产品，乙方必须按甲方的要求重新供货。 乙方无法满足的，甲方有权终止合同。</w:t>
      </w:r>
    </w:p>
    <w:p w14:paraId="28E5639B">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第九条  争议及仲裁</w:t>
      </w:r>
    </w:p>
    <w:p w14:paraId="1EEBA7AD">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1.因货物的质量问题发生争议，由质量监督部门或其指定的质量鉴定单位进行质量鉴定。货物符合标准的，鉴定费由甲方承担；货物不符合质量标准的，鉴定费由乙方承担。</w:t>
      </w:r>
    </w:p>
    <w:p w14:paraId="6279DE76">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2.因本合同引起的争议，甲、乙双方应首先通过友好协商解决，如果协商或调解不能解决争议，则向合同签订地人民法院提起诉讼。本合同签定地：江西省吉安市。</w:t>
      </w:r>
    </w:p>
    <w:p w14:paraId="187947AB">
      <w:pPr>
        <w:keepNext w:val="0"/>
        <w:keepLines w:val="0"/>
        <w:pageBreakBefore w:val="0"/>
        <w:widowControl/>
        <w:kinsoku w:val="0"/>
        <w:wordWrap/>
        <w:overflowPunct/>
        <w:topLinePunct w:val="0"/>
        <w:autoSpaceDE w:val="0"/>
        <w:autoSpaceDN w:val="0"/>
        <w:bidi w:val="0"/>
        <w:adjustRightInd w:val="0"/>
        <w:snapToGrid w:val="0"/>
        <w:spacing w:line="324" w:lineRule="auto"/>
        <w:ind w:firstLine="482"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第十条  其它</w:t>
      </w:r>
    </w:p>
    <w:p w14:paraId="5D12DCC0">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本合同在双方法人代表或其授权代理人签字盖章之日并甲方收到乙方提供的履约保证金后生效。</w:t>
      </w:r>
    </w:p>
    <w:p w14:paraId="07EA03BB">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2.本合同一式</w:t>
      </w:r>
      <w:r>
        <w:rPr>
          <w:rFonts w:hint="eastAsia" w:ascii="仿宋" w:hAnsi="仿宋" w:eastAsia="仿宋" w:cs="仿宋"/>
          <w:color w:val="auto"/>
          <w:sz w:val="24"/>
          <w:szCs w:val="24"/>
          <w:highlight w:val="none"/>
          <w:lang w:val="en-US" w:eastAsia="zh-CN"/>
        </w:rPr>
        <w:t>伍</w:t>
      </w:r>
      <w:r>
        <w:rPr>
          <w:rFonts w:hint="eastAsia" w:ascii="仿宋" w:hAnsi="仿宋" w:eastAsia="仿宋" w:cs="仿宋"/>
          <w:color w:val="auto"/>
          <w:sz w:val="24"/>
          <w:szCs w:val="24"/>
          <w:highlight w:val="none"/>
        </w:rPr>
        <w:t>份，具有同等法律效力，甲方</w:t>
      </w:r>
      <w:r>
        <w:rPr>
          <w:rFonts w:hint="eastAsia" w:ascii="仿宋" w:hAnsi="仿宋" w:eastAsia="仿宋" w:cs="仿宋"/>
          <w:color w:val="auto"/>
          <w:sz w:val="24"/>
          <w:szCs w:val="24"/>
          <w:highlight w:val="none"/>
          <w:lang w:val="en-US" w:eastAsia="zh-CN"/>
        </w:rPr>
        <w:t>贰</w:t>
      </w:r>
      <w:r>
        <w:rPr>
          <w:rFonts w:hint="eastAsia" w:ascii="仿宋" w:hAnsi="仿宋" w:eastAsia="仿宋" w:cs="仿宋"/>
          <w:color w:val="auto"/>
          <w:sz w:val="24"/>
          <w:szCs w:val="24"/>
          <w:highlight w:val="none"/>
        </w:rPr>
        <w:t>份，乙方</w:t>
      </w:r>
      <w:r>
        <w:rPr>
          <w:rFonts w:hint="eastAsia" w:ascii="仿宋" w:hAnsi="仿宋" w:eastAsia="仿宋" w:cs="仿宋"/>
          <w:color w:val="auto"/>
          <w:sz w:val="24"/>
          <w:szCs w:val="24"/>
          <w:highlight w:val="none"/>
          <w:lang w:val="en-US" w:eastAsia="zh-CN"/>
        </w:rPr>
        <w:t>贰</w:t>
      </w:r>
      <w:r>
        <w:rPr>
          <w:rFonts w:hint="eastAsia" w:ascii="仿宋" w:hAnsi="仿宋" w:eastAsia="仿宋" w:cs="仿宋"/>
          <w:color w:val="auto"/>
          <w:sz w:val="24"/>
          <w:szCs w:val="24"/>
          <w:highlight w:val="none"/>
        </w:rPr>
        <w:t>份，采购代理机构一份。</w:t>
      </w:r>
    </w:p>
    <w:p w14:paraId="542BCE04">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3.本合同未尽事宜， 由双方协商处理。</w:t>
      </w:r>
    </w:p>
    <w:p w14:paraId="36F5F2C6">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乙方：</w:t>
      </w:r>
    </w:p>
    <w:p w14:paraId="1F94A13E">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法定代表人或授权代表：</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法定代表人或授权代表：</w:t>
      </w:r>
    </w:p>
    <w:p w14:paraId="33319937">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联系人：</w:t>
      </w:r>
    </w:p>
    <w:p w14:paraId="3A58F541">
      <w:pPr>
        <w:keepNext w:val="0"/>
        <w:keepLines w:val="0"/>
        <w:pageBreakBefore w:val="0"/>
        <w:widowControl/>
        <w:kinsoku w:val="0"/>
        <w:wordWrap/>
        <w:overflowPunct/>
        <w:topLinePunct w:val="0"/>
        <w:autoSpaceDE w:val="0"/>
        <w:autoSpaceDN w:val="0"/>
        <w:bidi w:val="0"/>
        <w:adjustRightInd w:val="0"/>
        <w:snapToGrid w:val="0"/>
        <w:spacing w:line="324"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电话：</w:t>
      </w:r>
    </w:p>
    <w:p w14:paraId="581DA722">
      <w:pPr>
        <w:keepNext w:val="0"/>
        <w:keepLines w:val="0"/>
        <w:pageBreakBefore w:val="0"/>
        <w:widowControl w:val="0"/>
        <w:kinsoku/>
        <w:wordWrap/>
        <w:overflowPunct/>
        <w:topLinePunct w:val="0"/>
        <w:autoSpaceDE/>
        <w:autoSpaceDN/>
        <w:bidi w:val="0"/>
        <w:adjustRightInd/>
        <w:snapToGrid/>
        <w:spacing w:line="324" w:lineRule="auto"/>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sz w:val="24"/>
          <w:szCs w:val="24"/>
          <w:highlight w:val="none"/>
        </w:rPr>
        <w:t>签约日期：</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签约日期：</w:t>
      </w:r>
    </w:p>
    <w:p w14:paraId="339A2538">
      <w:pPr>
        <w:keepNext w:val="0"/>
        <w:keepLines w:val="0"/>
        <w:pageBreakBefore w:val="0"/>
        <w:wordWrap/>
        <w:overflowPunct/>
        <w:topLinePunct w:val="0"/>
        <w:bidi w:val="0"/>
        <w:spacing w:line="312" w:lineRule="auto"/>
        <w:rPr>
          <w:rFonts w:hint="eastAsia" w:ascii="仿宋" w:hAnsi="仿宋" w:eastAsia="仿宋" w:cs="仿宋"/>
          <w:color w:val="auto"/>
          <w:highlight w:val="none"/>
        </w:rPr>
      </w:pPr>
      <w:r>
        <w:rPr>
          <w:rFonts w:hint="eastAsia" w:ascii="仿宋" w:hAnsi="仿宋" w:eastAsia="仿宋" w:cs="仿宋"/>
          <w:color w:val="auto"/>
          <w:sz w:val="24"/>
          <w:szCs w:val="24"/>
          <w:highlight w:val="none"/>
          <w:lang w:val="en-US" w:eastAsia="zh-CN"/>
        </w:rPr>
        <w:br w:type="page"/>
      </w:r>
    </w:p>
    <w:p w14:paraId="3D0D34E1">
      <w:pPr>
        <w:pStyle w:val="3"/>
        <w:numPr>
          <w:ilvl w:val="0"/>
          <w:numId w:val="0"/>
        </w:numPr>
        <w:bidi w:val="0"/>
        <w:jc w:val="center"/>
        <w:rPr>
          <w:rFonts w:hint="eastAsia" w:ascii="仿宋" w:hAnsi="仿宋" w:eastAsia="仿宋" w:cs="仿宋"/>
          <w:color w:val="auto"/>
          <w:highlight w:val="none"/>
          <w:lang w:eastAsia="zh-CN"/>
        </w:rPr>
      </w:pPr>
      <w:bookmarkStart w:id="314" w:name="_Toc31975"/>
      <w:bookmarkStart w:id="315" w:name="_Toc738"/>
      <w:bookmarkStart w:id="316" w:name="_Toc7212"/>
      <w:r>
        <w:rPr>
          <w:rFonts w:hint="eastAsia" w:ascii="仿宋" w:hAnsi="仿宋" w:eastAsia="仿宋" w:cs="仿宋"/>
          <w:color w:val="auto"/>
          <w:highlight w:val="none"/>
          <w:lang w:val="en-US" w:eastAsia="zh-CN"/>
        </w:rPr>
        <w:t xml:space="preserve">第四章  </w:t>
      </w:r>
      <w:r>
        <w:rPr>
          <w:rFonts w:hint="eastAsia" w:ascii="仿宋" w:hAnsi="仿宋" w:eastAsia="仿宋" w:cs="仿宋"/>
          <w:color w:val="auto"/>
          <w:highlight w:val="none"/>
          <w:lang w:eastAsia="zh-CN"/>
        </w:rPr>
        <w:t>投标文件参考格式</w:t>
      </w:r>
      <w:bookmarkEnd w:id="314"/>
      <w:bookmarkEnd w:id="315"/>
      <w:bookmarkEnd w:id="316"/>
    </w:p>
    <w:p w14:paraId="39A6DBBF">
      <w:pPr>
        <w:widowControl w:val="0"/>
        <w:numPr>
          <w:ilvl w:val="0"/>
          <w:numId w:val="0"/>
        </w:numPr>
        <w:spacing w:line="240" w:lineRule="auto"/>
        <w:jc w:val="both"/>
        <w:rPr>
          <w:rFonts w:hint="eastAsia" w:ascii="仿宋" w:hAnsi="仿宋" w:eastAsia="仿宋" w:cs="仿宋"/>
          <w:color w:val="auto"/>
          <w:highlight w:val="none"/>
        </w:rPr>
      </w:pPr>
    </w:p>
    <w:p w14:paraId="792793E6">
      <w:pPr>
        <w:pStyle w:val="15"/>
        <w:rPr>
          <w:rFonts w:hint="eastAsia" w:ascii="仿宋" w:hAnsi="仿宋" w:eastAsia="仿宋" w:cs="仿宋"/>
          <w:color w:val="auto"/>
          <w:highlight w:val="none"/>
        </w:rPr>
      </w:pPr>
    </w:p>
    <w:p w14:paraId="4AA5D06E">
      <w:pPr>
        <w:rPr>
          <w:rFonts w:hint="eastAsia" w:ascii="仿宋" w:hAnsi="仿宋" w:eastAsia="仿宋" w:cs="仿宋"/>
          <w:color w:val="auto"/>
          <w:highlight w:val="none"/>
        </w:rPr>
      </w:pPr>
    </w:p>
    <w:p w14:paraId="42D24643">
      <w:pPr>
        <w:pStyle w:val="15"/>
        <w:rPr>
          <w:rFonts w:hint="eastAsia" w:ascii="仿宋" w:hAnsi="仿宋" w:eastAsia="仿宋" w:cs="仿宋"/>
          <w:color w:val="auto"/>
          <w:highlight w:val="none"/>
        </w:rPr>
      </w:pPr>
    </w:p>
    <w:p w14:paraId="568E5F17">
      <w:pPr>
        <w:rPr>
          <w:rFonts w:hint="eastAsia" w:ascii="仿宋" w:hAnsi="仿宋" w:eastAsia="仿宋" w:cs="仿宋"/>
          <w:color w:val="auto"/>
          <w:highlight w:val="none"/>
        </w:rPr>
      </w:pPr>
    </w:p>
    <w:p w14:paraId="7BB00029">
      <w:pPr>
        <w:pStyle w:val="15"/>
        <w:rPr>
          <w:rFonts w:hint="eastAsia" w:ascii="仿宋" w:hAnsi="仿宋" w:eastAsia="仿宋" w:cs="仿宋"/>
          <w:color w:val="auto"/>
          <w:highlight w:val="none"/>
        </w:rPr>
      </w:pPr>
    </w:p>
    <w:p w14:paraId="2E19F15F">
      <w:pPr>
        <w:rPr>
          <w:rFonts w:hint="eastAsia" w:ascii="仿宋" w:hAnsi="仿宋" w:eastAsia="仿宋" w:cs="仿宋"/>
          <w:color w:val="auto"/>
          <w:highlight w:val="none"/>
        </w:rPr>
      </w:pPr>
    </w:p>
    <w:p w14:paraId="41244F61">
      <w:pPr>
        <w:jc w:val="center"/>
        <w:rPr>
          <w:rFonts w:hint="eastAsia" w:ascii="仿宋" w:hAnsi="仿宋" w:eastAsia="仿宋" w:cs="仿宋"/>
          <w:color w:val="auto"/>
          <w:sz w:val="84"/>
          <w:szCs w:val="84"/>
          <w:highlight w:val="none"/>
        </w:rPr>
      </w:pPr>
      <w:r>
        <w:rPr>
          <w:rFonts w:hint="eastAsia" w:ascii="仿宋" w:hAnsi="仿宋" w:eastAsia="仿宋" w:cs="仿宋"/>
          <w:color w:val="auto"/>
          <w:sz w:val="84"/>
          <w:szCs w:val="84"/>
          <w:highlight w:val="none"/>
        </w:rPr>
        <w:t>投 标 文 件</w:t>
      </w:r>
    </w:p>
    <w:p w14:paraId="2C7F65BA">
      <w:pPr>
        <w:pStyle w:val="15"/>
        <w:rPr>
          <w:rFonts w:hint="eastAsia" w:ascii="仿宋" w:hAnsi="仿宋" w:eastAsia="仿宋" w:cs="仿宋"/>
          <w:color w:val="auto"/>
          <w:highlight w:val="none"/>
        </w:rPr>
      </w:pPr>
    </w:p>
    <w:p w14:paraId="6F3BE4DD">
      <w:pPr>
        <w:rPr>
          <w:rFonts w:hint="eastAsia" w:ascii="仿宋" w:hAnsi="仿宋" w:eastAsia="仿宋" w:cs="仿宋"/>
          <w:color w:val="auto"/>
          <w:highlight w:val="none"/>
        </w:rPr>
      </w:pPr>
    </w:p>
    <w:p w14:paraId="7EB3DB7C">
      <w:pPr>
        <w:pStyle w:val="15"/>
        <w:rPr>
          <w:rFonts w:hint="eastAsia" w:ascii="仿宋" w:hAnsi="仿宋" w:eastAsia="仿宋" w:cs="仿宋"/>
          <w:color w:val="auto"/>
          <w:highlight w:val="none"/>
        </w:rPr>
      </w:pPr>
    </w:p>
    <w:p w14:paraId="5E109C58">
      <w:pPr>
        <w:rPr>
          <w:rFonts w:hint="eastAsia" w:ascii="仿宋" w:hAnsi="仿宋" w:eastAsia="仿宋" w:cs="仿宋"/>
          <w:color w:val="auto"/>
          <w:highlight w:val="none"/>
        </w:rPr>
      </w:pPr>
    </w:p>
    <w:p w14:paraId="3AD5A0C7">
      <w:pPr>
        <w:pStyle w:val="15"/>
        <w:rPr>
          <w:rFonts w:hint="eastAsia" w:ascii="仿宋" w:hAnsi="仿宋" w:eastAsia="仿宋" w:cs="仿宋"/>
          <w:color w:val="auto"/>
          <w:highlight w:val="none"/>
        </w:rPr>
      </w:pPr>
    </w:p>
    <w:p w14:paraId="0BC11CAF">
      <w:pPr>
        <w:rPr>
          <w:rFonts w:hint="eastAsia" w:ascii="仿宋" w:hAnsi="仿宋" w:eastAsia="仿宋" w:cs="仿宋"/>
          <w:color w:val="auto"/>
          <w:highlight w:val="none"/>
        </w:rPr>
      </w:pPr>
    </w:p>
    <w:p w14:paraId="61A88E84">
      <w:pPr>
        <w:pStyle w:val="15"/>
        <w:ind w:firstLine="1960" w:firstLineChars="700"/>
        <w:rPr>
          <w:rFonts w:hint="eastAsia" w:ascii="仿宋" w:hAnsi="仿宋" w:eastAsia="仿宋" w:cs="仿宋"/>
          <w:color w:val="auto"/>
          <w:sz w:val="28"/>
          <w:highlight w:val="none"/>
          <w:u w:val="single"/>
        </w:rPr>
      </w:pPr>
      <w:r>
        <w:rPr>
          <w:rFonts w:hint="eastAsia" w:ascii="仿宋" w:hAnsi="仿宋" w:eastAsia="仿宋" w:cs="仿宋"/>
          <w:color w:val="auto"/>
          <w:sz w:val="28"/>
          <w:highlight w:val="none"/>
        </w:rPr>
        <w:t xml:space="preserve">项目名称： </w:t>
      </w:r>
      <w:r>
        <w:rPr>
          <w:rFonts w:hint="eastAsia" w:ascii="仿宋" w:hAnsi="仿宋" w:eastAsia="仿宋" w:cs="仿宋"/>
          <w:color w:val="auto"/>
          <w:sz w:val="28"/>
          <w:highlight w:val="none"/>
          <w:u w:val="single"/>
        </w:rPr>
        <w:t xml:space="preserve">                        </w:t>
      </w:r>
    </w:p>
    <w:p w14:paraId="0680834A">
      <w:pPr>
        <w:rPr>
          <w:rFonts w:hint="eastAsia" w:ascii="仿宋" w:hAnsi="仿宋" w:eastAsia="仿宋" w:cs="仿宋"/>
          <w:color w:val="auto"/>
          <w:sz w:val="28"/>
          <w:highlight w:val="none"/>
          <w:u w:val="single"/>
        </w:rPr>
      </w:pPr>
    </w:p>
    <w:p w14:paraId="79569E54">
      <w:pPr>
        <w:pStyle w:val="15"/>
        <w:rPr>
          <w:rFonts w:hint="eastAsia" w:ascii="仿宋" w:hAnsi="仿宋" w:eastAsia="仿宋" w:cs="仿宋"/>
          <w:color w:val="auto"/>
          <w:sz w:val="28"/>
          <w:highlight w:val="none"/>
          <w:u w:val="single"/>
        </w:rPr>
      </w:pPr>
    </w:p>
    <w:p w14:paraId="5890ADB5">
      <w:pPr>
        <w:ind w:firstLine="1960" w:firstLineChars="700"/>
        <w:rPr>
          <w:rFonts w:hint="eastAsia" w:ascii="仿宋" w:hAnsi="仿宋" w:eastAsia="仿宋" w:cs="仿宋"/>
          <w:color w:val="auto"/>
          <w:sz w:val="28"/>
          <w:highlight w:val="none"/>
          <w:u w:val="single"/>
        </w:rPr>
      </w:pPr>
      <w:r>
        <w:rPr>
          <w:rFonts w:hint="eastAsia" w:ascii="仿宋" w:hAnsi="仿宋" w:eastAsia="仿宋" w:cs="仿宋"/>
          <w:color w:val="auto"/>
          <w:sz w:val="28"/>
          <w:highlight w:val="none"/>
          <w:lang w:eastAsia="zh-CN"/>
        </w:rPr>
        <w:t>项目编号</w:t>
      </w:r>
      <w:r>
        <w:rPr>
          <w:rFonts w:hint="eastAsia" w:ascii="仿宋" w:hAnsi="仿宋" w:eastAsia="仿宋" w:cs="仿宋"/>
          <w:color w:val="auto"/>
          <w:sz w:val="28"/>
          <w:highlight w:val="none"/>
        </w:rPr>
        <w:t xml:space="preserve">： </w:t>
      </w:r>
      <w:r>
        <w:rPr>
          <w:rFonts w:hint="eastAsia" w:ascii="仿宋" w:hAnsi="仿宋" w:eastAsia="仿宋" w:cs="仿宋"/>
          <w:color w:val="auto"/>
          <w:sz w:val="28"/>
          <w:highlight w:val="none"/>
          <w:u w:val="single"/>
        </w:rPr>
        <w:t xml:space="preserve">                        </w:t>
      </w:r>
    </w:p>
    <w:p w14:paraId="3E450FFD">
      <w:pPr>
        <w:pStyle w:val="15"/>
        <w:rPr>
          <w:rFonts w:hint="eastAsia" w:ascii="仿宋" w:hAnsi="仿宋" w:eastAsia="仿宋" w:cs="仿宋"/>
          <w:color w:val="auto"/>
          <w:sz w:val="28"/>
          <w:highlight w:val="none"/>
          <w:u w:val="single"/>
        </w:rPr>
      </w:pPr>
    </w:p>
    <w:p w14:paraId="6F3206B7">
      <w:pPr>
        <w:rPr>
          <w:rFonts w:hint="eastAsia" w:ascii="仿宋" w:hAnsi="仿宋" w:eastAsia="仿宋" w:cs="仿宋"/>
          <w:color w:val="auto"/>
          <w:sz w:val="28"/>
          <w:highlight w:val="none"/>
          <w:u w:val="single"/>
        </w:rPr>
      </w:pPr>
    </w:p>
    <w:p w14:paraId="0F0A7FEF">
      <w:pPr>
        <w:pStyle w:val="15"/>
        <w:rPr>
          <w:rFonts w:hint="eastAsia" w:ascii="仿宋" w:hAnsi="仿宋" w:eastAsia="仿宋" w:cs="仿宋"/>
          <w:color w:val="auto"/>
          <w:sz w:val="28"/>
          <w:highlight w:val="none"/>
          <w:u w:val="single"/>
        </w:rPr>
      </w:pPr>
    </w:p>
    <w:p w14:paraId="292C14F9">
      <w:pPr>
        <w:jc w:val="center"/>
        <w:rPr>
          <w:rFonts w:hint="eastAsia" w:ascii="仿宋" w:hAnsi="仿宋" w:eastAsia="仿宋" w:cs="仿宋"/>
          <w:color w:val="auto"/>
          <w:sz w:val="28"/>
          <w:highlight w:val="none"/>
        </w:rPr>
      </w:pPr>
      <w:r>
        <w:rPr>
          <w:rFonts w:hint="eastAsia" w:ascii="仿宋" w:hAnsi="仿宋" w:eastAsia="仿宋" w:cs="仿宋"/>
          <w:color w:val="auto"/>
          <w:sz w:val="28"/>
          <w:highlight w:val="none"/>
        </w:rPr>
        <w:t>投标单位（</w:t>
      </w:r>
      <w:r>
        <w:rPr>
          <w:rFonts w:hint="eastAsia" w:ascii="仿宋" w:hAnsi="仿宋" w:eastAsia="仿宋" w:cs="仿宋"/>
          <w:color w:val="auto"/>
          <w:sz w:val="28"/>
          <w:highlight w:val="none"/>
          <w:lang w:val="en-US" w:eastAsia="zh-CN"/>
        </w:rPr>
        <w:t>公</w:t>
      </w:r>
      <w:r>
        <w:rPr>
          <w:rFonts w:hint="eastAsia" w:ascii="仿宋" w:hAnsi="仿宋" w:eastAsia="仿宋" w:cs="仿宋"/>
          <w:color w:val="auto"/>
          <w:sz w:val="28"/>
          <w:highlight w:val="none"/>
        </w:rPr>
        <w:t>章）</w:t>
      </w:r>
    </w:p>
    <w:p w14:paraId="39554D29">
      <w:pPr>
        <w:pStyle w:val="15"/>
        <w:rPr>
          <w:rFonts w:hint="eastAsia" w:ascii="仿宋" w:hAnsi="仿宋" w:eastAsia="仿宋" w:cs="仿宋"/>
          <w:color w:val="auto"/>
          <w:highlight w:val="none"/>
        </w:rPr>
      </w:pPr>
    </w:p>
    <w:p w14:paraId="10535CEB">
      <w:pPr>
        <w:ind w:firstLine="3640" w:firstLineChars="1300"/>
        <w:rPr>
          <w:rFonts w:hint="eastAsia" w:ascii="仿宋" w:hAnsi="仿宋" w:eastAsia="仿宋" w:cs="仿宋"/>
          <w:color w:val="auto"/>
          <w:sz w:val="28"/>
          <w:highlight w:val="none"/>
        </w:rPr>
      </w:pPr>
      <w:r>
        <w:rPr>
          <w:rFonts w:hint="eastAsia" w:ascii="仿宋" w:hAnsi="仿宋" w:eastAsia="仿宋" w:cs="仿宋"/>
          <w:color w:val="auto"/>
          <w:sz w:val="28"/>
          <w:highlight w:val="none"/>
        </w:rPr>
        <w:t>年   月   日</w:t>
      </w:r>
    </w:p>
    <w:p w14:paraId="46E01942">
      <w:pPr>
        <w:rPr>
          <w:rFonts w:hint="eastAsia" w:ascii="仿宋" w:hAnsi="仿宋" w:eastAsia="仿宋" w:cs="仿宋"/>
          <w:color w:val="auto"/>
          <w:sz w:val="28"/>
          <w:highlight w:val="none"/>
        </w:rPr>
      </w:pPr>
      <w:r>
        <w:rPr>
          <w:rFonts w:hint="eastAsia" w:ascii="仿宋" w:hAnsi="仿宋" w:eastAsia="仿宋" w:cs="仿宋"/>
          <w:color w:val="auto"/>
          <w:sz w:val="28"/>
          <w:highlight w:val="none"/>
        </w:rPr>
        <w:br w:type="page"/>
      </w:r>
    </w:p>
    <w:p w14:paraId="697530A9">
      <w:pPr>
        <w:pStyle w:val="4"/>
        <w:bidi w:val="0"/>
        <w:jc w:val="center"/>
        <w:rPr>
          <w:rFonts w:hint="eastAsia" w:ascii="仿宋" w:hAnsi="仿宋" w:eastAsia="仿宋" w:cs="仿宋"/>
          <w:color w:val="auto"/>
          <w:highlight w:val="none"/>
        </w:rPr>
      </w:pPr>
      <w:bookmarkStart w:id="317" w:name="_Toc6155"/>
      <w:bookmarkStart w:id="318" w:name="_Toc474492109"/>
      <w:bookmarkStart w:id="319" w:name="_Toc31238"/>
      <w:bookmarkStart w:id="320" w:name="_Toc4976"/>
      <w:bookmarkStart w:id="321" w:name="_Toc12624"/>
      <w:bookmarkStart w:id="322" w:name="_Toc494114896"/>
      <w:bookmarkStart w:id="323" w:name="_Toc281381182"/>
      <w:r>
        <w:rPr>
          <w:rFonts w:hint="eastAsia" w:ascii="仿宋" w:hAnsi="仿宋" w:eastAsia="仿宋" w:cs="仿宋"/>
          <w:color w:val="auto"/>
          <w:highlight w:val="none"/>
        </w:rPr>
        <w:t>格式1</w:t>
      </w:r>
      <w:r>
        <w:rPr>
          <w:rFonts w:hint="eastAsia" w:ascii="仿宋" w:hAnsi="仿宋" w:eastAsia="仿宋" w:cs="仿宋"/>
          <w:color w:val="auto"/>
          <w:highlight w:val="none"/>
          <w:lang w:val="en-US" w:eastAsia="zh-CN"/>
        </w:rPr>
        <w:t>.</w:t>
      </w:r>
      <w:r>
        <w:rPr>
          <w:rFonts w:hint="eastAsia" w:ascii="仿宋" w:hAnsi="仿宋" w:eastAsia="仿宋" w:cs="仿宋"/>
          <w:color w:val="auto"/>
          <w:highlight w:val="none"/>
        </w:rPr>
        <w:t>投标书</w:t>
      </w:r>
      <w:bookmarkEnd w:id="317"/>
      <w:bookmarkEnd w:id="318"/>
      <w:bookmarkEnd w:id="319"/>
      <w:bookmarkEnd w:id="320"/>
      <w:bookmarkEnd w:id="321"/>
      <w:bookmarkEnd w:id="322"/>
      <w:bookmarkEnd w:id="323"/>
    </w:p>
    <w:p w14:paraId="13CE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江西企恒企业管理有限公司</w:t>
      </w:r>
    </w:p>
    <w:p w14:paraId="1436422C">
      <w:pPr>
        <w:keepNext w:val="0"/>
        <w:keepLines w:val="0"/>
        <w:pageBreakBefore w:val="0"/>
        <w:widowControl w:val="0"/>
        <w:kinsoku/>
        <w:wordWrap/>
        <w:overflowPunct/>
        <w:topLinePunct w:val="0"/>
        <w:autoSpaceDE/>
        <w:autoSpaceDN/>
        <w:bidi w:val="0"/>
        <w:adjustRightInd/>
        <w:snapToGrid/>
        <w:spacing w:line="288" w:lineRule="auto"/>
        <w:ind w:firstLine="48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根据贵方为</w:t>
      </w:r>
      <w:r>
        <w:rPr>
          <w:rFonts w:hint="eastAsia" w:ascii="仿宋" w:hAnsi="仿宋" w:eastAsia="仿宋" w:cs="仿宋"/>
          <w:i/>
          <w:color w:val="auto"/>
          <w:sz w:val="24"/>
          <w:highlight w:val="none"/>
        </w:rPr>
        <w:t>(</w:t>
      </w:r>
      <w:r>
        <w:rPr>
          <w:rFonts w:hint="eastAsia" w:ascii="仿宋" w:hAnsi="仿宋" w:eastAsia="仿宋" w:cs="仿宋"/>
          <w:i/>
          <w:color w:val="auto"/>
          <w:sz w:val="24"/>
          <w:highlight w:val="none"/>
          <w:u w:val="single"/>
        </w:rPr>
        <w:t>项目名称</w:t>
      </w:r>
      <w:r>
        <w:rPr>
          <w:rFonts w:hint="eastAsia" w:ascii="仿宋" w:hAnsi="仿宋" w:eastAsia="仿宋" w:cs="仿宋"/>
          <w:i/>
          <w:color w:val="auto"/>
          <w:sz w:val="24"/>
          <w:highlight w:val="none"/>
        </w:rPr>
        <w:t>)</w:t>
      </w:r>
      <w:r>
        <w:rPr>
          <w:rFonts w:hint="eastAsia" w:ascii="仿宋" w:hAnsi="仿宋" w:eastAsia="仿宋" w:cs="仿宋"/>
          <w:color w:val="auto"/>
          <w:sz w:val="24"/>
          <w:highlight w:val="none"/>
        </w:rPr>
        <w:t>项目招标采购货物及有关服务的投标邀请</w:t>
      </w:r>
      <w:r>
        <w:rPr>
          <w:rFonts w:hint="eastAsia" w:ascii="仿宋" w:hAnsi="仿宋" w:eastAsia="仿宋" w:cs="仿宋"/>
          <w:i/>
          <w:color w:val="auto"/>
          <w:sz w:val="24"/>
          <w:highlight w:val="none"/>
        </w:rPr>
        <w:t>(</w:t>
      </w:r>
      <w:r>
        <w:rPr>
          <w:rFonts w:hint="eastAsia" w:ascii="仿宋" w:hAnsi="仿宋" w:eastAsia="仿宋" w:cs="仿宋"/>
          <w:i/>
          <w:color w:val="auto"/>
          <w:sz w:val="24"/>
          <w:highlight w:val="none"/>
          <w:u w:val="single"/>
          <w:lang w:eastAsia="zh-CN"/>
        </w:rPr>
        <w:t>项目编号</w:t>
      </w:r>
      <w:r>
        <w:rPr>
          <w:rFonts w:hint="eastAsia" w:ascii="仿宋" w:hAnsi="仿宋" w:eastAsia="仿宋" w:cs="仿宋"/>
          <w:color w:val="auto"/>
          <w:sz w:val="24"/>
          <w:highlight w:val="none"/>
        </w:rPr>
        <w:t>)，签字代表</w:t>
      </w:r>
      <w:r>
        <w:rPr>
          <w:rFonts w:hint="eastAsia" w:ascii="仿宋" w:hAnsi="仿宋" w:eastAsia="仿宋" w:cs="仿宋"/>
          <w:i/>
          <w:color w:val="auto"/>
          <w:sz w:val="24"/>
          <w:highlight w:val="none"/>
        </w:rPr>
        <w:t>(</w:t>
      </w:r>
      <w:r>
        <w:rPr>
          <w:rFonts w:hint="eastAsia" w:ascii="仿宋" w:hAnsi="仿宋" w:eastAsia="仿宋" w:cs="仿宋"/>
          <w:i/>
          <w:color w:val="auto"/>
          <w:sz w:val="24"/>
          <w:highlight w:val="none"/>
          <w:u w:val="single"/>
        </w:rPr>
        <w:t>姓名、职务</w:t>
      </w:r>
      <w:r>
        <w:rPr>
          <w:rFonts w:hint="eastAsia" w:ascii="仿宋" w:hAnsi="仿宋" w:eastAsia="仿宋" w:cs="仿宋"/>
          <w:i/>
          <w:color w:val="auto"/>
          <w:sz w:val="24"/>
          <w:highlight w:val="none"/>
        </w:rPr>
        <w:t>)</w:t>
      </w:r>
      <w:r>
        <w:rPr>
          <w:rFonts w:hint="eastAsia" w:ascii="仿宋" w:hAnsi="仿宋" w:eastAsia="仿宋" w:cs="仿宋"/>
          <w:color w:val="auto"/>
          <w:sz w:val="24"/>
          <w:highlight w:val="none"/>
        </w:rPr>
        <w:t>经正式授权并代表投标人</w:t>
      </w:r>
      <w:r>
        <w:rPr>
          <w:rFonts w:hint="eastAsia" w:ascii="仿宋" w:hAnsi="仿宋" w:eastAsia="仿宋" w:cs="仿宋"/>
          <w:i/>
          <w:color w:val="auto"/>
          <w:sz w:val="24"/>
          <w:highlight w:val="none"/>
          <w:u w:val="single"/>
        </w:rPr>
        <w:t>(投标人名称、地址)</w:t>
      </w:r>
      <w:r>
        <w:rPr>
          <w:rFonts w:hint="eastAsia" w:ascii="仿宋" w:hAnsi="仿宋" w:eastAsia="仿宋" w:cs="仿宋"/>
          <w:color w:val="auto"/>
          <w:sz w:val="24"/>
          <w:highlight w:val="none"/>
        </w:rPr>
        <w:t>提交下述文件:</w:t>
      </w:r>
    </w:p>
    <w:p w14:paraId="6957B90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投标书</w:t>
      </w:r>
    </w:p>
    <w:p w14:paraId="0820CEC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开标一览表</w:t>
      </w:r>
    </w:p>
    <w:p w14:paraId="01303F3C">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分项报价表</w:t>
      </w:r>
    </w:p>
    <w:p w14:paraId="46FFCFF1">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开标一览明细表</w:t>
      </w:r>
    </w:p>
    <w:p w14:paraId="7C9F9EFA">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5</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技术需求响应承诺函</w:t>
      </w:r>
    </w:p>
    <w:p w14:paraId="1B3B5EDE">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6</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lang w:eastAsia="zh-CN"/>
        </w:rPr>
        <w:t>商务条件响应承诺函</w:t>
      </w:r>
    </w:p>
    <w:p w14:paraId="61BDAC46">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投标人应当提交的资格、资信证明文件</w:t>
      </w:r>
    </w:p>
    <w:p w14:paraId="17091790">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为落实政府采购政策投标人须提供的证明材料</w:t>
      </w:r>
    </w:p>
    <w:p w14:paraId="4A7BF0AF">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技术文件</w:t>
      </w:r>
    </w:p>
    <w:p w14:paraId="0C29FD4F">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其他资料</w:t>
      </w:r>
    </w:p>
    <w:p w14:paraId="395D3391">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据此函,签字代表宣布同意如下:</w:t>
      </w:r>
    </w:p>
    <w:p w14:paraId="772D9B2A">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1.所附开标一览表中规定的应提交和交付的</w:t>
      </w:r>
      <w:r>
        <w:rPr>
          <w:rFonts w:hint="eastAsia" w:ascii="仿宋" w:hAnsi="仿宋" w:eastAsia="仿宋" w:cs="仿宋"/>
          <w:b/>
          <w:bCs/>
          <w:color w:val="auto"/>
          <w:sz w:val="24"/>
          <w:highlight w:val="none"/>
          <w:lang w:val="en-US" w:eastAsia="zh-CN"/>
        </w:rPr>
        <w:t>货物投标总价折扣为</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p>
    <w:p w14:paraId="50F3EE3A">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2.投标人将按招标文件的规定履行合同责任和义务，并承诺</w:t>
      </w:r>
      <w:r>
        <w:rPr>
          <w:rFonts w:hint="eastAsia" w:ascii="仿宋" w:hAnsi="仿宋" w:eastAsia="仿宋" w:cs="仿宋"/>
          <w:color w:val="auto"/>
          <w:sz w:val="24"/>
          <w:highlight w:val="none"/>
          <w:lang w:val="en-US" w:eastAsia="zh-CN"/>
        </w:rPr>
        <w:t>投标</w:t>
      </w:r>
      <w:r>
        <w:rPr>
          <w:rFonts w:hint="eastAsia" w:ascii="仿宋" w:hAnsi="仿宋" w:eastAsia="仿宋" w:cs="仿宋"/>
          <w:color w:val="auto"/>
          <w:sz w:val="24"/>
          <w:highlight w:val="none"/>
        </w:rPr>
        <w:t>文件中提供的所有材料真实有效，否则，自愿接受相应的从重处罚。</w:t>
      </w:r>
    </w:p>
    <w:p w14:paraId="7D40897C">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3.投标人已详细审查全部招标文件，包括第</w:t>
      </w:r>
      <w:r>
        <w:rPr>
          <w:rFonts w:hint="eastAsia" w:ascii="仿宋" w:hAnsi="仿宋" w:eastAsia="仿宋" w:cs="仿宋"/>
          <w:color w:val="auto"/>
          <w:sz w:val="24"/>
          <w:highlight w:val="none"/>
          <w:u w:val="single"/>
        </w:rPr>
        <w:t>(编号、补遗函)(如果有的话)。</w:t>
      </w:r>
      <w:r>
        <w:rPr>
          <w:rFonts w:hint="eastAsia" w:ascii="仿宋" w:hAnsi="仿宋" w:eastAsia="仿宋" w:cs="仿宋"/>
          <w:color w:val="auto"/>
          <w:sz w:val="24"/>
          <w:highlight w:val="none"/>
        </w:rPr>
        <w:t>我们完全理解并同意放弃对这方面有不明及误解的权力。</w:t>
      </w:r>
    </w:p>
    <w:p w14:paraId="759CB338">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4.本投标有效期为</w:t>
      </w:r>
      <w:r>
        <w:rPr>
          <w:rFonts w:hint="eastAsia" w:ascii="仿宋" w:hAnsi="仿宋" w:eastAsia="仿宋" w:cs="仿宋"/>
          <w:b/>
          <w:color w:val="auto"/>
          <w:sz w:val="24"/>
          <w:highlight w:val="none"/>
        </w:rPr>
        <w:t>从提交投标文件截止之日起</w:t>
      </w:r>
      <w:r>
        <w:rPr>
          <w:rFonts w:hint="eastAsia" w:ascii="仿宋" w:hAnsi="仿宋" w:eastAsia="仿宋" w:cs="仿宋"/>
          <w:color w:val="auto"/>
          <w:sz w:val="24"/>
          <w:highlight w:val="none"/>
          <w:u w:val="single"/>
        </w:rPr>
        <w:t xml:space="preserve">      90       </w:t>
      </w:r>
      <w:r>
        <w:rPr>
          <w:rFonts w:hint="eastAsia" w:ascii="仿宋" w:hAnsi="仿宋" w:eastAsia="仿宋" w:cs="仿宋"/>
          <w:color w:val="auto"/>
          <w:sz w:val="24"/>
          <w:highlight w:val="none"/>
        </w:rPr>
        <w:t>天。</w:t>
      </w:r>
    </w:p>
    <w:p w14:paraId="559B69D5">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5.如果在规定的开标时间后，</w:t>
      </w:r>
      <w:r>
        <w:rPr>
          <w:rFonts w:hint="eastAsia" w:ascii="仿宋" w:hAnsi="仿宋" w:eastAsia="仿宋" w:cs="仿宋"/>
          <w:color w:val="auto"/>
          <w:sz w:val="24"/>
          <w:highlight w:val="none"/>
          <w:lang w:val="en-US" w:eastAsia="zh-CN"/>
        </w:rPr>
        <w:t>我方不会</w:t>
      </w:r>
      <w:r>
        <w:rPr>
          <w:rFonts w:hint="eastAsia" w:ascii="仿宋" w:hAnsi="仿宋" w:eastAsia="仿宋" w:cs="仿宋"/>
          <w:color w:val="auto"/>
          <w:sz w:val="24"/>
          <w:highlight w:val="none"/>
        </w:rPr>
        <w:t>在投标有效期内撤回投标</w:t>
      </w:r>
      <w:r>
        <w:rPr>
          <w:rFonts w:hint="eastAsia" w:ascii="仿宋" w:hAnsi="仿宋" w:eastAsia="仿宋" w:cs="仿宋"/>
          <w:color w:val="auto"/>
          <w:sz w:val="24"/>
          <w:highlight w:val="none"/>
          <w:lang w:val="en-US" w:eastAsia="zh-CN"/>
        </w:rPr>
        <w:t>文件</w:t>
      </w:r>
      <w:r>
        <w:rPr>
          <w:rFonts w:hint="eastAsia" w:ascii="仿宋" w:hAnsi="仿宋" w:eastAsia="仿宋" w:cs="仿宋"/>
          <w:color w:val="auto"/>
          <w:sz w:val="24"/>
          <w:highlight w:val="none"/>
        </w:rPr>
        <w:t>。</w:t>
      </w:r>
    </w:p>
    <w:p w14:paraId="6431DC83">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6.投标人同意提供按照贵方可能要求的与其投标有关的一切数据或资料，完全理解贵方不一定接受最低价的投标或收到的任何投标。</w:t>
      </w:r>
    </w:p>
    <w:p w14:paraId="79E177E1">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7.与本投标有关的一切正式往来信函请寄:</w:t>
      </w:r>
    </w:p>
    <w:p w14:paraId="30AE26E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auto"/>
          <w:sz w:val="24"/>
          <w:highlight w:val="none"/>
        </w:rPr>
      </w:pPr>
    </w:p>
    <w:p w14:paraId="067E3E2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传真</w:t>
      </w:r>
      <w:r>
        <w:rPr>
          <w:rFonts w:hint="eastAsia" w:ascii="仿宋" w:hAnsi="仿宋" w:eastAsia="仿宋" w:cs="仿宋"/>
          <w:color w:val="auto"/>
          <w:sz w:val="24"/>
          <w:highlight w:val="none"/>
          <w:u w:val="single"/>
        </w:rPr>
        <w:t xml:space="preserve">                              </w:t>
      </w:r>
    </w:p>
    <w:p w14:paraId="0D9276C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电子邮件</w:t>
      </w:r>
      <w:r>
        <w:rPr>
          <w:rFonts w:hint="eastAsia" w:ascii="仿宋" w:hAnsi="仿宋" w:eastAsia="仿宋" w:cs="仿宋"/>
          <w:color w:val="auto"/>
          <w:sz w:val="24"/>
          <w:highlight w:val="none"/>
          <w:u w:val="single"/>
        </w:rPr>
        <w:t xml:space="preserve">                          </w:t>
      </w:r>
    </w:p>
    <w:p w14:paraId="6B2D999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法定代表人（或经营者）或</w:t>
      </w:r>
      <w:r>
        <w:rPr>
          <w:rFonts w:hint="eastAsia" w:ascii="仿宋" w:hAnsi="仿宋" w:eastAsia="仿宋" w:cs="仿宋"/>
          <w:color w:val="auto"/>
          <w:sz w:val="24"/>
          <w:highlight w:val="none"/>
        </w:rPr>
        <w:t>投标人代表签字或章</w:t>
      </w:r>
      <w:r>
        <w:rPr>
          <w:rFonts w:hint="eastAsia" w:ascii="仿宋" w:hAnsi="仿宋" w:eastAsia="仿宋" w:cs="仿宋"/>
          <w:color w:val="auto"/>
          <w:sz w:val="24"/>
          <w:highlight w:val="none"/>
          <w:u w:val="single"/>
        </w:rPr>
        <w:t xml:space="preserve">                             </w:t>
      </w:r>
    </w:p>
    <w:p w14:paraId="1E8849A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val="en-US" w:eastAsia="zh-CN"/>
        </w:rPr>
        <w:t>公</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u w:val="single"/>
        </w:rPr>
        <w:t xml:space="preserve">                                 </w:t>
      </w:r>
    </w:p>
    <w:p w14:paraId="4EE6055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p>
    <w:p w14:paraId="2B1C53CA">
      <w:pPr>
        <w:rPr>
          <w:rFonts w:hint="eastAsia" w:ascii="仿宋" w:hAnsi="仿宋" w:eastAsia="仿宋" w:cs="仿宋"/>
          <w:color w:val="auto"/>
          <w:highlight w:val="none"/>
        </w:rPr>
      </w:pPr>
      <w:r>
        <w:rPr>
          <w:rFonts w:hint="eastAsia" w:ascii="仿宋" w:hAnsi="仿宋" w:eastAsia="仿宋" w:cs="仿宋"/>
          <w:color w:val="auto"/>
          <w:sz w:val="24"/>
          <w:highlight w:val="none"/>
          <w:u w:val="single"/>
        </w:rPr>
        <w:br w:type="page"/>
      </w:r>
    </w:p>
    <w:p w14:paraId="0EEEA69D">
      <w:pPr>
        <w:pStyle w:val="4"/>
        <w:bidi w:val="0"/>
        <w:jc w:val="center"/>
        <w:rPr>
          <w:rFonts w:hint="eastAsia" w:ascii="仿宋" w:hAnsi="仿宋" w:eastAsia="仿宋" w:cs="仿宋"/>
          <w:color w:val="auto"/>
          <w:highlight w:val="none"/>
        </w:rPr>
        <w:sectPr>
          <w:footerReference r:id="rId8" w:type="default"/>
          <w:pgSz w:w="11906" w:h="16838"/>
          <w:pgMar w:top="1247" w:right="1417" w:bottom="1701" w:left="141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bookmarkStart w:id="324" w:name="_Toc30739"/>
      <w:bookmarkStart w:id="325" w:name="_Toc2384"/>
      <w:bookmarkStart w:id="326" w:name="_Toc474492110"/>
      <w:bookmarkStart w:id="327" w:name="_Toc494114897"/>
      <w:bookmarkStart w:id="328" w:name="_Toc26591"/>
    </w:p>
    <w:p w14:paraId="64AF6FA5">
      <w:pPr>
        <w:pStyle w:val="4"/>
        <w:bidi w:val="0"/>
        <w:jc w:val="center"/>
        <w:rPr>
          <w:rFonts w:hint="eastAsia" w:ascii="仿宋" w:hAnsi="仿宋" w:eastAsia="仿宋" w:cs="仿宋"/>
          <w:color w:val="auto"/>
          <w:highlight w:val="none"/>
        </w:rPr>
      </w:pPr>
      <w:bookmarkStart w:id="329" w:name="_Toc22065"/>
      <w:r>
        <w:rPr>
          <w:rFonts w:hint="eastAsia" w:ascii="仿宋" w:hAnsi="仿宋" w:eastAsia="仿宋" w:cs="仿宋"/>
          <w:color w:val="auto"/>
          <w:highlight w:val="none"/>
        </w:rPr>
        <w:t>格式2.开标一览表</w:t>
      </w:r>
      <w:bookmarkEnd w:id="324"/>
      <w:bookmarkEnd w:id="325"/>
      <w:bookmarkEnd w:id="326"/>
      <w:bookmarkEnd w:id="327"/>
      <w:bookmarkEnd w:id="328"/>
      <w:bookmarkEnd w:id="329"/>
    </w:p>
    <w:p w14:paraId="00CBBAEF">
      <w:pPr>
        <w:spacing w:line="432"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投标人</w:t>
      </w:r>
      <w:r>
        <w:rPr>
          <w:rFonts w:hint="eastAsia" w:ascii="仿宋" w:hAnsi="仿宋" w:eastAsia="仿宋" w:cs="仿宋"/>
          <w:color w:val="auto"/>
          <w:sz w:val="24"/>
          <w:highlight w:val="none"/>
        </w:rPr>
        <w:t xml:space="preserve">名称：                                                      项目编号： </w:t>
      </w:r>
    </w:p>
    <w:tbl>
      <w:tblPr>
        <w:tblStyle w:val="29"/>
        <w:tblW w:w="4998"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2197"/>
        <w:gridCol w:w="1236"/>
        <w:gridCol w:w="1088"/>
        <w:gridCol w:w="1478"/>
        <w:gridCol w:w="1750"/>
        <w:gridCol w:w="2566"/>
        <w:gridCol w:w="1177"/>
        <w:gridCol w:w="1026"/>
      </w:tblGrid>
      <w:tr w14:paraId="4F976B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347" w:type="pct"/>
            <w:noWrap w:val="0"/>
            <w:vAlign w:val="center"/>
          </w:tcPr>
          <w:p w14:paraId="6A72B6AA">
            <w:pPr>
              <w:spacing w:line="432"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16" w:type="pct"/>
            <w:noWrap w:val="0"/>
            <w:vAlign w:val="center"/>
          </w:tcPr>
          <w:p w14:paraId="37935F10">
            <w:pPr>
              <w:spacing w:line="432"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459" w:type="pct"/>
            <w:noWrap w:val="0"/>
            <w:vAlign w:val="center"/>
          </w:tcPr>
          <w:p w14:paraId="49097C36">
            <w:pPr>
              <w:spacing w:line="432"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单位</w:t>
            </w:r>
          </w:p>
        </w:tc>
        <w:tc>
          <w:tcPr>
            <w:tcW w:w="404" w:type="pct"/>
            <w:noWrap w:val="0"/>
            <w:vAlign w:val="center"/>
          </w:tcPr>
          <w:p w14:paraId="472D9820">
            <w:pPr>
              <w:spacing w:line="432"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数量</w:t>
            </w:r>
          </w:p>
        </w:tc>
        <w:tc>
          <w:tcPr>
            <w:tcW w:w="549" w:type="pct"/>
            <w:noWrap w:val="0"/>
            <w:vAlign w:val="center"/>
          </w:tcPr>
          <w:p w14:paraId="65EBACAB">
            <w:pPr>
              <w:spacing w:line="432"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p>
        </w:tc>
        <w:tc>
          <w:tcPr>
            <w:tcW w:w="650" w:type="pct"/>
            <w:noWrap w:val="0"/>
            <w:vAlign w:val="center"/>
          </w:tcPr>
          <w:p w14:paraId="62E213D6">
            <w:pPr>
              <w:spacing w:line="432"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综合折扣（%）</w:t>
            </w:r>
          </w:p>
        </w:tc>
        <w:tc>
          <w:tcPr>
            <w:tcW w:w="953" w:type="pct"/>
            <w:noWrap w:val="0"/>
            <w:vAlign w:val="center"/>
          </w:tcPr>
          <w:p w14:paraId="1057EEE3">
            <w:pPr>
              <w:spacing w:line="432"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交货期</w:t>
            </w:r>
          </w:p>
        </w:tc>
        <w:tc>
          <w:tcPr>
            <w:tcW w:w="437" w:type="pct"/>
            <w:noWrap w:val="0"/>
            <w:vAlign w:val="center"/>
          </w:tcPr>
          <w:p w14:paraId="164C23AE">
            <w:pPr>
              <w:spacing w:line="432"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交货地点</w:t>
            </w:r>
          </w:p>
        </w:tc>
        <w:tc>
          <w:tcPr>
            <w:tcW w:w="381" w:type="pct"/>
            <w:noWrap w:val="0"/>
            <w:vAlign w:val="center"/>
          </w:tcPr>
          <w:p w14:paraId="723BC74E">
            <w:pPr>
              <w:spacing w:line="432"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3F5C12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347" w:type="pct"/>
            <w:noWrap w:val="0"/>
            <w:vAlign w:val="center"/>
          </w:tcPr>
          <w:p w14:paraId="70372A89">
            <w:pPr>
              <w:spacing w:line="432" w:lineRule="auto"/>
              <w:jc w:val="center"/>
              <w:rPr>
                <w:rFonts w:hint="eastAsia" w:ascii="仿宋" w:hAnsi="仿宋" w:eastAsia="仿宋" w:cs="仿宋"/>
                <w:color w:val="auto"/>
                <w:sz w:val="28"/>
                <w:highlight w:val="none"/>
              </w:rPr>
            </w:pPr>
          </w:p>
        </w:tc>
        <w:tc>
          <w:tcPr>
            <w:tcW w:w="816" w:type="pct"/>
            <w:noWrap w:val="0"/>
            <w:vAlign w:val="center"/>
          </w:tcPr>
          <w:p w14:paraId="6845F84C">
            <w:pPr>
              <w:spacing w:line="432" w:lineRule="auto"/>
              <w:jc w:val="center"/>
              <w:rPr>
                <w:rFonts w:hint="eastAsia" w:ascii="仿宋" w:hAnsi="仿宋" w:eastAsia="仿宋" w:cs="仿宋"/>
                <w:color w:val="auto"/>
                <w:sz w:val="28"/>
                <w:highlight w:val="none"/>
              </w:rPr>
            </w:pPr>
            <w:r>
              <w:rPr>
                <w:rFonts w:hint="eastAsia" w:ascii="仿宋" w:hAnsi="仿宋" w:eastAsia="仿宋" w:cs="仿宋"/>
                <w:color w:val="auto"/>
                <w:sz w:val="28"/>
                <w:highlight w:val="none"/>
              </w:rPr>
              <w:t>2026年吉安市中等专业学校教材采购项目</w:t>
            </w:r>
          </w:p>
        </w:tc>
        <w:tc>
          <w:tcPr>
            <w:tcW w:w="459" w:type="pct"/>
            <w:noWrap w:val="0"/>
            <w:vAlign w:val="center"/>
          </w:tcPr>
          <w:p w14:paraId="0046FC62">
            <w:pPr>
              <w:spacing w:line="432" w:lineRule="auto"/>
              <w:jc w:val="center"/>
              <w:rPr>
                <w:rFonts w:hint="eastAsia" w:ascii="仿宋" w:hAnsi="仿宋" w:eastAsia="仿宋" w:cs="仿宋"/>
                <w:color w:val="auto"/>
                <w:sz w:val="28"/>
                <w:highlight w:val="none"/>
                <w:lang w:val="en-US" w:eastAsia="zh-CN"/>
              </w:rPr>
            </w:pPr>
            <w:r>
              <w:rPr>
                <w:rFonts w:hint="eastAsia" w:ascii="仿宋" w:hAnsi="仿宋" w:eastAsia="仿宋" w:cs="仿宋"/>
                <w:color w:val="auto"/>
                <w:sz w:val="28"/>
                <w:highlight w:val="none"/>
                <w:lang w:val="en-US" w:eastAsia="zh-CN"/>
              </w:rPr>
              <w:t>1</w:t>
            </w:r>
          </w:p>
        </w:tc>
        <w:tc>
          <w:tcPr>
            <w:tcW w:w="404" w:type="pct"/>
            <w:noWrap w:val="0"/>
            <w:vAlign w:val="center"/>
          </w:tcPr>
          <w:p w14:paraId="5E5030AE">
            <w:pPr>
              <w:spacing w:line="432" w:lineRule="auto"/>
              <w:jc w:val="center"/>
              <w:rPr>
                <w:rFonts w:hint="eastAsia" w:ascii="仿宋" w:hAnsi="仿宋" w:eastAsia="仿宋" w:cs="仿宋"/>
                <w:color w:val="auto"/>
                <w:sz w:val="28"/>
                <w:highlight w:val="none"/>
                <w:lang w:val="en-US" w:eastAsia="zh-CN"/>
              </w:rPr>
            </w:pPr>
            <w:r>
              <w:rPr>
                <w:rFonts w:hint="eastAsia" w:ascii="仿宋" w:hAnsi="仿宋" w:eastAsia="仿宋" w:cs="仿宋"/>
                <w:color w:val="auto"/>
                <w:sz w:val="28"/>
                <w:highlight w:val="none"/>
                <w:lang w:val="en-US" w:eastAsia="zh-CN"/>
              </w:rPr>
              <w:t>批</w:t>
            </w:r>
          </w:p>
        </w:tc>
        <w:tc>
          <w:tcPr>
            <w:tcW w:w="549" w:type="pct"/>
            <w:noWrap w:val="0"/>
            <w:vAlign w:val="center"/>
          </w:tcPr>
          <w:p w14:paraId="2817D582">
            <w:pPr>
              <w:spacing w:line="432" w:lineRule="auto"/>
              <w:jc w:val="center"/>
              <w:rPr>
                <w:rFonts w:hint="eastAsia" w:ascii="仿宋" w:hAnsi="仿宋" w:eastAsia="仿宋" w:cs="仿宋"/>
                <w:color w:val="auto"/>
                <w:sz w:val="28"/>
                <w:highlight w:val="none"/>
              </w:rPr>
            </w:pPr>
          </w:p>
        </w:tc>
        <w:tc>
          <w:tcPr>
            <w:tcW w:w="650" w:type="pct"/>
            <w:noWrap w:val="0"/>
            <w:vAlign w:val="center"/>
          </w:tcPr>
          <w:p w14:paraId="5E87181E">
            <w:pPr>
              <w:spacing w:line="432" w:lineRule="auto"/>
              <w:jc w:val="center"/>
              <w:rPr>
                <w:rFonts w:hint="eastAsia" w:ascii="仿宋" w:hAnsi="仿宋" w:eastAsia="仿宋" w:cs="仿宋"/>
                <w:color w:val="auto"/>
                <w:sz w:val="28"/>
                <w:highlight w:val="none"/>
              </w:rPr>
            </w:pPr>
          </w:p>
        </w:tc>
        <w:tc>
          <w:tcPr>
            <w:tcW w:w="953" w:type="pct"/>
            <w:noWrap w:val="0"/>
            <w:vAlign w:val="center"/>
          </w:tcPr>
          <w:p w14:paraId="0BC35BA0">
            <w:pPr>
              <w:spacing w:line="432" w:lineRule="auto"/>
              <w:jc w:val="center"/>
              <w:rPr>
                <w:rFonts w:hint="eastAsia" w:ascii="仿宋" w:hAnsi="仿宋" w:eastAsia="仿宋" w:cs="仿宋"/>
                <w:color w:val="auto"/>
                <w:sz w:val="28"/>
                <w:highlight w:val="none"/>
              </w:rPr>
            </w:pPr>
            <w:r>
              <w:rPr>
                <w:rFonts w:hint="eastAsia" w:ascii="仿宋" w:hAnsi="仿宋" w:eastAsia="仿宋" w:cs="仿宋"/>
                <w:color w:val="auto"/>
                <w:sz w:val="28"/>
                <w:highlight w:val="none"/>
                <w:lang w:val="en-US" w:eastAsia="zh-CN"/>
              </w:rPr>
              <w:t>按采购人要求时间供货（春季学期须于开学前7个自然日到货，秋季学期须于开学前15个自然日到货）。</w:t>
            </w:r>
          </w:p>
        </w:tc>
        <w:tc>
          <w:tcPr>
            <w:tcW w:w="437" w:type="pct"/>
            <w:noWrap w:val="0"/>
            <w:vAlign w:val="center"/>
          </w:tcPr>
          <w:p w14:paraId="771C9F08">
            <w:pPr>
              <w:spacing w:line="432" w:lineRule="auto"/>
              <w:jc w:val="center"/>
              <w:rPr>
                <w:rFonts w:hint="default" w:ascii="仿宋" w:hAnsi="仿宋" w:eastAsia="仿宋" w:cs="仿宋"/>
                <w:color w:val="auto"/>
                <w:sz w:val="28"/>
                <w:highlight w:val="none"/>
                <w:lang w:val="en-US"/>
              </w:rPr>
            </w:pPr>
            <w:r>
              <w:rPr>
                <w:rFonts w:hint="eastAsia" w:ascii="仿宋" w:hAnsi="仿宋" w:eastAsia="仿宋" w:cs="仿宋"/>
                <w:color w:val="auto"/>
                <w:sz w:val="28"/>
                <w:highlight w:val="none"/>
              </w:rPr>
              <w:t>吉安市中等专业学校</w:t>
            </w:r>
            <w:r>
              <w:rPr>
                <w:rFonts w:hint="eastAsia" w:ascii="仿宋" w:hAnsi="仿宋" w:eastAsia="仿宋" w:cs="仿宋"/>
                <w:color w:val="auto"/>
                <w:sz w:val="28"/>
                <w:highlight w:val="none"/>
                <w:lang w:eastAsia="zh-CN"/>
              </w:rPr>
              <w:t>新校区</w:t>
            </w:r>
            <w:r>
              <w:rPr>
                <w:rFonts w:hint="eastAsia" w:ascii="仿宋" w:hAnsi="仿宋" w:eastAsia="仿宋" w:cs="仿宋"/>
                <w:color w:val="auto"/>
                <w:sz w:val="28"/>
                <w:highlight w:val="none"/>
                <w:lang w:val="en-US" w:eastAsia="zh-CN"/>
              </w:rPr>
              <w:t>内指定地点</w:t>
            </w:r>
          </w:p>
        </w:tc>
        <w:tc>
          <w:tcPr>
            <w:tcW w:w="381" w:type="pct"/>
            <w:noWrap w:val="0"/>
            <w:vAlign w:val="center"/>
          </w:tcPr>
          <w:p w14:paraId="2932B9F8">
            <w:pPr>
              <w:spacing w:line="432" w:lineRule="auto"/>
              <w:jc w:val="center"/>
              <w:rPr>
                <w:rFonts w:hint="eastAsia" w:ascii="仿宋" w:hAnsi="仿宋" w:eastAsia="仿宋" w:cs="仿宋"/>
                <w:color w:val="auto"/>
                <w:sz w:val="28"/>
                <w:highlight w:val="none"/>
              </w:rPr>
            </w:pPr>
          </w:p>
        </w:tc>
      </w:tr>
    </w:tbl>
    <w:p w14:paraId="6EDBC4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注：</w:t>
      </w:r>
      <w:r>
        <w:rPr>
          <w:rFonts w:hint="eastAsia" w:ascii="仿宋" w:hAnsi="仿宋" w:eastAsia="仿宋" w:cs="仿宋"/>
          <w:color w:val="auto"/>
          <w:sz w:val="24"/>
          <w:highlight w:val="none"/>
          <w:lang w:val="en-US" w:eastAsia="zh-CN"/>
        </w:rPr>
        <w:t>1.小、微企业产品需在备注中注明，否则产生的一切后果由供应商承担。</w:t>
      </w:r>
    </w:p>
    <w:p w14:paraId="62348302">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 节能、环保产品需备注注明。 </w:t>
      </w:r>
    </w:p>
    <w:p w14:paraId="1176937C">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i w:val="0"/>
          <w:iCs/>
          <w:color w:val="auto"/>
          <w:sz w:val="24"/>
          <w:highlight w:val="none"/>
          <w:lang w:val="en-US" w:eastAsia="zh-CN"/>
        </w:rPr>
      </w:pPr>
      <w:r>
        <w:rPr>
          <w:rFonts w:hint="eastAsia" w:ascii="仿宋" w:hAnsi="仿宋" w:eastAsia="仿宋" w:cs="仿宋"/>
          <w:color w:val="auto"/>
          <w:sz w:val="24"/>
          <w:highlight w:val="none"/>
          <w:lang w:val="en-US" w:eastAsia="zh-CN"/>
        </w:rPr>
        <w:t>3. 招标文件如另有单独分项报价要求的按要求填写。</w:t>
      </w:r>
    </w:p>
    <w:p w14:paraId="203AE9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highlight w:val="none"/>
        </w:rPr>
      </w:pPr>
    </w:p>
    <w:p w14:paraId="57A29E01">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default" w:ascii="仿宋" w:hAnsi="仿宋" w:eastAsia="仿宋" w:cs="仿宋"/>
          <w:color w:val="auto"/>
          <w:highlight w:val="none"/>
          <w:u w:val="single"/>
          <w:lang w:val="en-US" w:eastAsia="zh-CN"/>
        </w:rPr>
      </w:pPr>
      <w:r>
        <w:rPr>
          <w:rFonts w:hint="eastAsia" w:ascii="仿宋" w:hAnsi="仿宋" w:eastAsia="仿宋" w:cs="仿宋"/>
          <w:color w:val="auto"/>
          <w:sz w:val="24"/>
          <w:highlight w:val="none"/>
        </w:rPr>
        <w:t>供应商公章：</w:t>
      </w:r>
      <w:r>
        <w:rPr>
          <w:rFonts w:hint="eastAsia" w:ascii="仿宋" w:hAnsi="仿宋" w:eastAsia="仿宋" w:cs="仿宋"/>
          <w:color w:val="auto"/>
          <w:sz w:val="24"/>
          <w:highlight w:val="none"/>
          <w:u w:val="single"/>
          <w:lang w:val="en-US" w:eastAsia="zh-CN"/>
        </w:rPr>
        <w:t xml:space="preserve">             </w:t>
      </w:r>
    </w:p>
    <w:p w14:paraId="6AD5577D">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法定代表人（或经营者）或供应商代表签字或章：</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 xml:space="preserve">   </w:t>
      </w:r>
    </w:p>
    <w:p w14:paraId="7DE9E6BE">
      <w:pPr>
        <w:rPr>
          <w:rFonts w:hint="eastAsia" w:ascii="仿宋" w:hAnsi="仿宋" w:eastAsia="仿宋" w:cs="仿宋"/>
          <w:color w:val="auto"/>
          <w:highlight w:val="none"/>
        </w:rPr>
      </w:pPr>
      <w:bookmarkStart w:id="330" w:name="_Toc464823714"/>
      <w:bookmarkStart w:id="331" w:name="_Toc494114899"/>
      <w:bookmarkStart w:id="332" w:name="_Toc474492112"/>
      <w:bookmarkStart w:id="333" w:name="_Toc6002"/>
      <w:bookmarkStart w:id="334" w:name="_Toc26969"/>
      <w:bookmarkStart w:id="335" w:name="_Toc6538"/>
      <w:r>
        <w:rPr>
          <w:rFonts w:hint="eastAsia" w:ascii="仿宋" w:hAnsi="仿宋" w:eastAsia="仿宋" w:cs="仿宋"/>
          <w:color w:val="auto"/>
          <w:highlight w:val="none"/>
        </w:rPr>
        <w:br w:type="page"/>
      </w:r>
    </w:p>
    <w:p w14:paraId="4286BD9A">
      <w:pPr>
        <w:pStyle w:val="4"/>
        <w:bidi w:val="0"/>
        <w:jc w:val="center"/>
        <w:rPr>
          <w:rFonts w:hint="eastAsia" w:ascii="仿宋" w:hAnsi="仿宋" w:eastAsia="仿宋" w:cs="仿宋"/>
          <w:color w:val="auto"/>
          <w:highlight w:val="none"/>
        </w:rPr>
      </w:pPr>
      <w:bookmarkStart w:id="336" w:name="_Toc5000"/>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.开标一览明细表</w:t>
      </w:r>
      <w:bookmarkEnd w:id="330"/>
      <w:bookmarkEnd w:id="331"/>
      <w:bookmarkEnd w:id="332"/>
      <w:bookmarkEnd w:id="333"/>
      <w:bookmarkEnd w:id="334"/>
      <w:bookmarkEnd w:id="335"/>
      <w:bookmarkEnd w:id="336"/>
    </w:p>
    <w:p w14:paraId="1C74F002">
      <w:pPr>
        <w:spacing w:line="460" w:lineRule="exac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val="en-US" w:eastAsia="zh-CN"/>
        </w:rPr>
        <w:t>投标人</w:t>
      </w:r>
      <w:r>
        <w:rPr>
          <w:rFonts w:hint="eastAsia" w:ascii="仿宋" w:hAnsi="仿宋" w:eastAsia="仿宋" w:cs="仿宋"/>
          <w:color w:val="auto"/>
          <w:sz w:val="24"/>
          <w:highlight w:val="none"/>
        </w:rPr>
        <w:t xml:space="preserve">名称：                                                              项目编号：                          </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163"/>
        <w:gridCol w:w="1405"/>
        <w:gridCol w:w="2346"/>
        <w:gridCol w:w="1849"/>
        <w:gridCol w:w="2233"/>
        <w:gridCol w:w="1598"/>
        <w:gridCol w:w="1001"/>
      </w:tblGrid>
      <w:tr w14:paraId="36C2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noWrap w:val="0"/>
            <w:vAlign w:val="center"/>
          </w:tcPr>
          <w:p w14:paraId="3FBAD31D">
            <w:pPr>
              <w:bidi w:val="0"/>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序号</w:t>
            </w:r>
          </w:p>
        </w:tc>
        <w:tc>
          <w:tcPr>
            <w:tcW w:w="804" w:type="pct"/>
            <w:noWrap w:val="0"/>
            <w:vAlign w:val="center"/>
          </w:tcPr>
          <w:p w14:paraId="46640269">
            <w:pPr>
              <w:bidi w:val="0"/>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highlight w:val="none"/>
              </w:rPr>
              <w:t>项目名称</w:t>
            </w:r>
          </w:p>
        </w:tc>
        <w:tc>
          <w:tcPr>
            <w:tcW w:w="522" w:type="pct"/>
            <w:noWrap w:val="0"/>
            <w:vAlign w:val="center"/>
          </w:tcPr>
          <w:p w14:paraId="5B211BED">
            <w:pPr>
              <w:bidi w:val="0"/>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数量、单位</w:t>
            </w:r>
          </w:p>
        </w:tc>
        <w:tc>
          <w:tcPr>
            <w:tcW w:w="872" w:type="pct"/>
            <w:noWrap w:val="0"/>
            <w:vAlign w:val="center"/>
          </w:tcPr>
          <w:p w14:paraId="4F2D27CE">
            <w:pPr>
              <w:bidi w:val="0"/>
              <w:spacing w:line="360" w:lineRule="auto"/>
              <w:jc w:val="center"/>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报价声明</w:t>
            </w:r>
          </w:p>
        </w:tc>
        <w:tc>
          <w:tcPr>
            <w:tcW w:w="687" w:type="pct"/>
            <w:noWrap w:val="0"/>
            <w:vAlign w:val="center"/>
          </w:tcPr>
          <w:p w14:paraId="3022B88A">
            <w:pPr>
              <w:bidi w:val="0"/>
              <w:spacing w:line="360" w:lineRule="auto"/>
              <w:jc w:val="center"/>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综合折扣（%）</w:t>
            </w:r>
          </w:p>
        </w:tc>
        <w:tc>
          <w:tcPr>
            <w:tcW w:w="830" w:type="pct"/>
            <w:noWrap w:val="0"/>
            <w:vAlign w:val="center"/>
          </w:tcPr>
          <w:p w14:paraId="47994A09">
            <w:pPr>
              <w:bidi w:val="0"/>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是否属于小、微企业或监狱企业产品</w:t>
            </w:r>
          </w:p>
        </w:tc>
        <w:tc>
          <w:tcPr>
            <w:tcW w:w="594" w:type="pct"/>
            <w:noWrap w:val="0"/>
            <w:vAlign w:val="center"/>
          </w:tcPr>
          <w:p w14:paraId="09DCCD3C">
            <w:pPr>
              <w:bidi w:val="0"/>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是否属于节能、环保产品</w:t>
            </w:r>
          </w:p>
        </w:tc>
        <w:tc>
          <w:tcPr>
            <w:tcW w:w="372" w:type="pct"/>
            <w:noWrap w:val="0"/>
            <w:vAlign w:val="center"/>
          </w:tcPr>
          <w:p w14:paraId="23EB0512">
            <w:pPr>
              <w:bidi w:val="0"/>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备注</w:t>
            </w:r>
          </w:p>
        </w:tc>
      </w:tr>
      <w:tr w14:paraId="728F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 w:type="pct"/>
            <w:noWrap w:val="0"/>
            <w:vAlign w:val="center"/>
          </w:tcPr>
          <w:p w14:paraId="7B6AA246">
            <w:pPr>
              <w:bidi w:val="0"/>
              <w:spacing w:line="360" w:lineRule="auto"/>
              <w:jc w:val="center"/>
              <w:rPr>
                <w:rFonts w:hint="eastAsia" w:ascii="仿宋" w:hAnsi="仿宋" w:eastAsia="仿宋" w:cs="仿宋"/>
                <w:color w:val="auto"/>
                <w:sz w:val="24"/>
                <w:szCs w:val="24"/>
                <w:highlight w:val="none"/>
                <w:vertAlign w:val="baseline"/>
                <w:lang w:val="en-US" w:eastAsia="zh-CN"/>
              </w:rPr>
            </w:pPr>
          </w:p>
        </w:tc>
        <w:tc>
          <w:tcPr>
            <w:tcW w:w="804" w:type="pct"/>
            <w:noWrap w:val="0"/>
            <w:vAlign w:val="center"/>
          </w:tcPr>
          <w:p w14:paraId="744C037F">
            <w:pPr>
              <w:bidi w:val="0"/>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2026年吉安市中等专业学校教材采购项目</w:t>
            </w:r>
          </w:p>
        </w:tc>
        <w:tc>
          <w:tcPr>
            <w:tcW w:w="522" w:type="pct"/>
            <w:noWrap w:val="0"/>
            <w:vAlign w:val="center"/>
          </w:tcPr>
          <w:p w14:paraId="10B127BA">
            <w:pPr>
              <w:bidi w:val="0"/>
              <w:spacing w:line="360" w:lineRule="auto"/>
              <w:jc w:val="center"/>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1批</w:t>
            </w:r>
          </w:p>
        </w:tc>
        <w:tc>
          <w:tcPr>
            <w:tcW w:w="872" w:type="pct"/>
            <w:noWrap w:val="0"/>
            <w:vAlign w:val="center"/>
          </w:tcPr>
          <w:p w14:paraId="03F14307">
            <w:pPr>
              <w:bidi w:val="0"/>
              <w:spacing w:line="360" w:lineRule="auto"/>
              <w:jc w:val="center"/>
              <w:rPr>
                <w:rFonts w:hint="eastAsia" w:ascii="仿宋" w:hAnsi="仿宋" w:eastAsia="仿宋" w:cs="仿宋"/>
                <w:b/>
                <w:bCs/>
                <w:color w:val="auto"/>
                <w:sz w:val="24"/>
                <w:szCs w:val="24"/>
                <w:highlight w:val="none"/>
                <w:vertAlign w:val="baseline"/>
                <w:lang w:val="en-US" w:eastAsia="zh-CN"/>
              </w:rPr>
            </w:pPr>
          </w:p>
        </w:tc>
        <w:tc>
          <w:tcPr>
            <w:tcW w:w="687" w:type="pct"/>
            <w:noWrap w:val="0"/>
            <w:vAlign w:val="center"/>
          </w:tcPr>
          <w:p w14:paraId="7377B8C3">
            <w:pPr>
              <w:bidi w:val="0"/>
              <w:spacing w:line="360" w:lineRule="auto"/>
              <w:jc w:val="center"/>
              <w:rPr>
                <w:rFonts w:hint="eastAsia" w:ascii="仿宋" w:hAnsi="仿宋" w:eastAsia="仿宋" w:cs="仿宋"/>
                <w:b/>
                <w:bCs/>
                <w:color w:val="auto"/>
                <w:sz w:val="24"/>
                <w:szCs w:val="24"/>
                <w:highlight w:val="none"/>
                <w:vertAlign w:val="baseline"/>
                <w:lang w:val="en-US" w:eastAsia="zh-CN"/>
              </w:rPr>
            </w:pPr>
          </w:p>
        </w:tc>
        <w:tc>
          <w:tcPr>
            <w:tcW w:w="830" w:type="pct"/>
            <w:noWrap w:val="0"/>
            <w:vAlign w:val="center"/>
          </w:tcPr>
          <w:p w14:paraId="42F396FD">
            <w:pPr>
              <w:bidi w:val="0"/>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填表须知：</w:t>
            </w:r>
          </w:p>
          <w:p w14:paraId="24DCB578">
            <w:pPr>
              <w:bidi w:val="0"/>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详见注1</w:t>
            </w:r>
          </w:p>
        </w:tc>
        <w:tc>
          <w:tcPr>
            <w:tcW w:w="594" w:type="pct"/>
            <w:noWrap w:val="0"/>
            <w:vAlign w:val="center"/>
          </w:tcPr>
          <w:p w14:paraId="639966E8">
            <w:pPr>
              <w:bidi w:val="0"/>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填表须知：详见注2</w:t>
            </w:r>
          </w:p>
        </w:tc>
        <w:tc>
          <w:tcPr>
            <w:tcW w:w="372" w:type="pct"/>
            <w:noWrap w:val="0"/>
            <w:vAlign w:val="center"/>
          </w:tcPr>
          <w:p w14:paraId="40C8939A">
            <w:pPr>
              <w:bidi w:val="0"/>
              <w:spacing w:line="360" w:lineRule="auto"/>
              <w:jc w:val="center"/>
              <w:rPr>
                <w:rFonts w:hint="eastAsia" w:ascii="仿宋" w:hAnsi="仿宋" w:eastAsia="仿宋" w:cs="仿宋"/>
                <w:color w:val="auto"/>
                <w:sz w:val="24"/>
                <w:szCs w:val="24"/>
                <w:highlight w:val="none"/>
                <w:vertAlign w:val="baseline"/>
                <w:lang w:val="en-US" w:eastAsia="zh-CN"/>
              </w:rPr>
            </w:pPr>
          </w:p>
        </w:tc>
      </w:tr>
      <w:tr w14:paraId="1954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6" w:type="pct"/>
            <w:gridSpan w:val="4"/>
            <w:noWrap w:val="0"/>
            <w:vAlign w:val="top"/>
          </w:tcPr>
          <w:p w14:paraId="53A0F647">
            <w:pPr>
              <w:bidi w:val="0"/>
              <w:spacing w:line="360" w:lineRule="auto"/>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折扣：（大写）</w:t>
            </w:r>
          </w:p>
        </w:tc>
        <w:tc>
          <w:tcPr>
            <w:tcW w:w="2483" w:type="pct"/>
            <w:gridSpan w:val="4"/>
            <w:noWrap w:val="0"/>
            <w:vAlign w:val="top"/>
          </w:tcPr>
          <w:p w14:paraId="49C4B642">
            <w:pPr>
              <w:bidi w:val="0"/>
              <w:spacing w:line="360" w:lineRule="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（小写）</w:t>
            </w:r>
          </w:p>
        </w:tc>
      </w:tr>
    </w:tbl>
    <w:p w14:paraId="03FC06D0">
      <w:pPr>
        <w:spacing w:line="360" w:lineRule="exact"/>
        <w:ind w:left="840" w:hanging="840" w:hangingChars="350"/>
        <w:rPr>
          <w:rFonts w:hint="eastAsia" w:ascii="仿宋" w:hAnsi="仿宋" w:eastAsia="仿宋" w:cs="仿宋"/>
          <w:color w:val="auto"/>
          <w:highlight w:val="none"/>
        </w:rPr>
      </w:pPr>
      <w:r>
        <w:rPr>
          <w:rFonts w:hint="eastAsia" w:ascii="仿宋" w:hAnsi="仿宋" w:eastAsia="仿宋" w:cs="仿宋"/>
          <w:color w:val="auto"/>
          <w:highlight w:val="none"/>
        </w:rPr>
        <w:t>注：1、小、微企业产品、监狱或残疾人福利性单位产品须在明细表中注明，并在投标文件中提供相应证明材料，否则产生的一切后果由投标人承担。</w:t>
      </w:r>
    </w:p>
    <w:p w14:paraId="2CBFE839">
      <w:pPr>
        <w:spacing w:line="360" w:lineRule="exact"/>
        <w:ind w:left="907" w:leftChars="228" w:hanging="360" w:hangingChars="150"/>
        <w:rPr>
          <w:rFonts w:hint="eastAsia" w:ascii="仿宋" w:hAnsi="仿宋" w:eastAsia="仿宋" w:cs="仿宋"/>
          <w:color w:val="auto"/>
          <w:highlight w:val="none"/>
        </w:rPr>
      </w:pPr>
      <w:r>
        <w:rPr>
          <w:rFonts w:hint="eastAsia" w:ascii="仿宋" w:hAnsi="仿宋" w:eastAsia="仿宋" w:cs="仿宋"/>
          <w:color w:val="auto"/>
          <w:highlight w:val="none"/>
        </w:rPr>
        <w:t>2、节能、环保产品需备注注明。</w:t>
      </w:r>
    </w:p>
    <w:p w14:paraId="2400D317">
      <w:pPr>
        <w:spacing w:line="360" w:lineRule="auto"/>
        <w:ind w:left="907" w:leftChars="228" w:hanging="360" w:hangingChars="150"/>
        <w:rPr>
          <w:rFonts w:hint="eastAsia" w:ascii="仿宋" w:hAnsi="仿宋" w:eastAsia="仿宋" w:cs="仿宋"/>
          <w:color w:val="auto"/>
          <w:highlight w:val="none"/>
        </w:rPr>
      </w:pPr>
      <w:r>
        <w:rPr>
          <w:rFonts w:hint="eastAsia" w:ascii="仿宋" w:hAnsi="仿宋" w:eastAsia="仿宋" w:cs="仿宋"/>
          <w:color w:val="auto"/>
          <w:highlight w:val="none"/>
        </w:rPr>
        <w:t>3、招标文件对节能、环保产品另有规定的从其规定。</w:t>
      </w:r>
    </w:p>
    <w:p w14:paraId="6D2EC85F">
      <w:pPr>
        <w:spacing w:line="360" w:lineRule="auto"/>
        <w:ind w:left="908" w:leftChars="228" w:hanging="361" w:hangingChars="150"/>
        <w:rPr>
          <w:rFonts w:hint="eastAsia"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 xml:space="preserve">4、本项目采用折扣报价   </w:t>
      </w:r>
    </w:p>
    <w:p w14:paraId="39F15D05">
      <w:pPr>
        <w:spacing w:line="360" w:lineRule="auto"/>
        <w:ind w:left="908" w:leftChars="228" w:hanging="361" w:hangingChars="150"/>
        <w:rPr>
          <w:rFonts w:hint="default"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 xml:space="preserve">5、实洋=码洋×折扣报价（折扣报价不得超过最高限价≤80%）  </w:t>
      </w:r>
    </w:p>
    <w:p w14:paraId="2A3C9F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rPr>
        <w:sectPr>
          <w:footerReference r:id="rId9" w:type="default"/>
          <w:footerReference r:id="rId10" w:type="even"/>
          <w:pgSz w:w="16840" w:h="11907" w:orient="landscape"/>
          <w:pgMar w:top="1440" w:right="1800" w:bottom="1440" w:left="1800" w:header="720" w:footer="720" w:gutter="0"/>
          <w:pgNumType w:fmt="decimal"/>
          <w:cols w:space="720" w:num="1"/>
          <w:docGrid w:linePitch="285" w:charSpace="0"/>
        </w:sectPr>
      </w:pPr>
      <w:r>
        <w:rPr>
          <w:rFonts w:hint="eastAsia" w:ascii="仿宋" w:hAnsi="仿宋" w:eastAsia="仿宋" w:cs="仿宋"/>
          <w:color w:val="auto"/>
          <w:highlight w:val="none"/>
          <w:lang w:eastAsia="zh-CN"/>
        </w:rPr>
        <w:t>法定代表人（或授权委托人）签字或章：</w:t>
      </w:r>
      <w:r>
        <w:rPr>
          <w:rFonts w:hint="eastAsia" w:ascii="仿宋" w:hAnsi="仿宋" w:eastAsia="仿宋" w:cs="仿宋"/>
          <w:color w:val="auto"/>
          <w:szCs w:val="24"/>
          <w:highlight w:val="none"/>
        </w:rPr>
        <w:t>：______________</w:t>
      </w:r>
    </w:p>
    <w:p w14:paraId="10F69066">
      <w:pPr>
        <w:pStyle w:val="4"/>
        <w:bidi w:val="0"/>
        <w:jc w:val="center"/>
        <w:rPr>
          <w:rFonts w:hint="eastAsia" w:ascii="仿宋" w:hAnsi="仿宋" w:eastAsia="仿宋" w:cs="仿宋"/>
          <w:color w:val="auto"/>
          <w:highlight w:val="none"/>
          <w:lang w:eastAsia="zh-CN"/>
        </w:rPr>
      </w:pPr>
      <w:bookmarkStart w:id="337" w:name="_Toc474492113"/>
      <w:bookmarkStart w:id="338" w:name="_Toc27486"/>
      <w:bookmarkStart w:id="339" w:name="_Toc27351"/>
      <w:bookmarkStart w:id="340" w:name="_Toc494114900"/>
      <w:bookmarkStart w:id="341" w:name="_Toc15477"/>
      <w:bookmarkStart w:id="342" w:name="_Toc16559"/>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.技术需求响应</w:t>
      </w:r>
      <w:bookmarkEnd w:id="337"/>
      <w:bookmarkEnd w:id="338"/>
      <w:bookmarkEnd w:id="339"/>
      <w:bookmarkEnd w:id="340"/>
      <w:bookmarkEnd w:id="341"/>
      <w:r>
        <w:rPr>
          <w:rFonts w:hint="eastAsia" w:ascii="仿宋" w:hAnsi="仿宋" w:eastAsia="仿宋" w:cs="仿宋"/>
          <w:color w:val="auto"/>
          <w:highlight w:val="none"/>
          <w:lang w:val="en-US" w:eastAsia="zh-CN"/>
        </w:rPr>
        <w:t>承诺函</w:t>
      </w:r>
      <w:bookmarkEnd w:id="342"/>
    </w:p>
    <w:p w14:paraId="6B461D89">
      <w:pPr>
        <w:spacing w:line="400" w:lineRule="exac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我公司承诺：</w:t>
      </w:r>
    </w:p>
    <w:p w14:paraId="1628AD0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highlight w:val="none"/>
          <w:lang w:val="en-US" w:eastAsia="zh-CN"/>
        </w:rPr>
      </w:pPr>
      <w:r>
        <w:rPr>
          <w:rFonts w:hint="eastAsia" w:ascii="仿宋" w:hAnsi="仿宋" w:eastAsia="仿宋" w:cs="仿宋"/>
          <w:b/>
          <w:bCs/>
          <w:color w:val="auto"/>
          <w:highlight w:val="none"/>
        </w:rPr>
        <w:t>（一）技术需求</w:t>
      </w:r>
    </w:p>
    <w:p w14:paraId="7ABC3FD4">
      <w:pPr>
        <w:spacing w:line="360" w:lineRule="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采购项目概况</w:t>
      </w:r>
    </w:p>
    <w:p w14:paraId="25F7882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保障学校教育教学工作正常开展，根据财政局文件要求，学校纸质教材征订需采取公开招投标方式进行采购。所有课程教材需按照《职业院校教材管理办法》《教育部办公厅关于做好中等职业学校公共基础课程教材使用的通知》要求选用和采购。</w:t>
      </w:r>
    </w:p>
    <w:p w14:paraId="6ED32FA1">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1、总体要求</w:t>
      </w:r>
    </w:p>
    <w:p w14:paraId="1C15C83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（1）因为教材的意识形态属性较强，</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须对教材的重大思想政治内容重点把关，重点审查教材的政治立场、价值导向等。要把好教材政治关、理念关、科学关。如提供的教材有意识形态问题，</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需承担一切责任。</w:t>
      </w:r>
    </w:p>
    <w:p w14:paraId="7542A16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rPr>
        <w:t>（2）</w:t>
      </w:r>
      <w:r>
        <w:rPr>
          <w:rFonts w:hint="eastAsia" w:ascii="仿宋" w:hAnsi="仿宋" w:eastAsia="仿宋" w:cs="仿宋"/>
          <w:color w:val="auto"/>
          <w:sz w:val="24"/>
          <w:szCs w:val="24"/>
          <w:highlight w:val="none"/>
        </w:rPr>
        <w:t>吉安市中等专业学校专业设置情况、吉安市中等专业学校通识教育课程设置情况、吉安市中等专业学校各专业课程设置情况仅供参考，</w:t>
      </w:r>
      <w:r>
        <w:rPr>
          <w:rFonts w:hint="eastAsia" w:ascii="仿宋" w:hAnsi="仿宋" w:eastAsia="仿宋" w:cs="仿宋"/>
          <w:color w:val="auto"/>
          <w:sz w:val="24"/>
          <w:szCs w:val="24"/>
          <w:highlight w:val="none"/>
          <w:lang w:val="en-US" w:eastAsia="zh-CN"/>
        </w:rPr>
        <w:t>中标</w:t>
      </w:r>
      <w:r>
        <w:rPr>
          <w:rFonts w:hint="eastAsia" w:ascii="仿宋" w:hAnsi="仿宋" w:eastAsia="仿宋" w:cs="仿宋"/>
          <w:color w:val="auto"/>
          <w:sz w:val="24"/>
          <w:szCs w:val="24"/>
          <w:highlight w:val="none"/>
        </w:rPr>
        <w:t>人应按采购人实际需求进行教材配送。</w:t>
      </w:r>
    </w:p>
    <w:p w14:paraId="315E55A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）所有纸质教材采购必须是中等职业学校国家规划教材或省级规划教材。</w:t>
      </w:r>
    </w:p>
    <w:p w14:paraId="322C51B1">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语文、历史、思政三科</w:t>
      </w:r>
      <w:r>
        <w:rPr>
          <w:rFonts w:hint="eastAsia" w:ascii="仿宋" w:hAnsi="仿宋" w:eastAsia="仿宋" w:cs="仿宋"/>
          <w:color w:val="auto"/>
          <w:sz w:val="24"/>
          <w:szCs w:val="24"/>
          <w:highlight w:val="none"/>
          <w:lang w:val="en-US" w:eastAsia="zh-CN"/>
        </w:rPr>
        <w:t>必须提供</w:t>
      </w:r>
      <w:r>
        <w:rPr>
          <w:rFonts w:hint="eastAsia" w:ascii="仿宋" w:hAnsi="仿宋" w:eastAsia="仿宋" w:cs="仿宋"/>
          <w:color w:val="auto"/>
          <w:sz w:val="24"/>
          <w:szCs w:val="24"/>
          <w:highlight w:val="none"/>
          <w:lang w:eastAsia="zh-CN"/>
        </w:rPr>
        <w:t>中等职业学校统编教材。</w:t>
      </w:r>
    </w:p>
    <w:p w14:paraId="7799CE7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）教材质量要求：供应的所有教材应保证印刷质量、包装良好，印刷质量执行《中华人民共和国产品质量法》及新闻出版总署公布的《图书质量管理规定》相关规定，包含不限于：</w:t>
      </w:r>
    </w:p>
    <w:p w14:paraId="0982144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GB/T788-1999 图书和杂志开本及其幅面尺寸</w:t>
      </w:r>
    </w:p>
    <w:p w14:paraId="20F7CAB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CY/T5-1999 平版印刷品质量要求及检验方法；</w:t>
      </w:r>
    </w:p>
    <w:p w14:paraId="4CC599C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CY/T27-1999 装订质量要求及检验方法精装；</w:t>
      </w:r>
    </w:p>
    <w:p w14:paraId="6744596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CY/T28-1999 装订质量要求及检验方法平装；</w:t>
      </w:r>
    </w:p>
    <w:p w14:paraId="6999F76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CY/T29-1999 装订质量要求及检验方法。</w:t>
      </w:r>
    </w:p>
    <w:p w14:paraId="759D45D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必须采购渠道正规合法，确保正规出版社出版，不得选用盗版、盗印教材，保证教材质量；要严格按照采购人所确认订单配备教材，不得擅自夹带盗版书、劣质书和非采购人预订书。所供教材必须为国家正式出版物（必须保证 ISBN 号的唯一性），无版权纠纷，无盗版书籍，无印刷和装订方面的问题。如有非法出版及低质量书籍，所带来的一切法律责任及赔偿等均由</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承担，同时该批教材一律不付款，并要求</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承担10万元违约金。</w:t>
      </w:r>
    </w:p>
    <w:p w14:paraId="624169EF">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2、服务要求</w:t>
      </w:r>
    </w:p>
    <w:p w14:paraId="69EDAEAB">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shd w:val="clear" w:color="auto" w:fill="FFFFFF"/>
        </w:rPr>
        <w:t>每批教材内应附一份详细纸质发货清单，清点时，如品种、数量与发货清单不符，校方在收货后通知供货商，供货商应按校方要求在半个月内供货。</w:t>
      </w:r>
    </w:p>
    <w:p w14:paraId="4D980F03">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（2）教材结算时供货商须出具国家税务机关正规发票和已盖章的原始教材清单方能结算，结算按文件折扣价进行。</w:t>
      </w:r>
    </w:p>
    <w:p w14:paraId="068894BB">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（3）纸质教材到货验收时，若出现缺页、污损、图文不清倒装、倒页和缺附件等质量问题，一律退回。</w:t>
      </w:r>
      <w:r>
        <w:rPr>
          <w:rFonts w:hint="eastAsia" w:ascii="仿宋" w:hAnsi="仿宋" w:eastAsia="仿宋" w:cs="仿宋"/>
          <w:color w:val="auto"/>
          <w:sz w:val="24"/>
          <w:szCs w:val="24"/>
          <w:highlight w:val="none"/>
          <w:lang w:val="en-US" w:eastAsia="zh-CN"/>
        </w:rPr>
        <w:t>中标</w:t>
      </w:r>
      <w:r>
        <w:rPr>
          <w:rFonts w:hint="eastAsia" w:ascii="仿宋" w:hAnsi="仿宋" w:eastAsia="仿宋" w:cs="仿宋"/>
          <w:color w:val="auto"/>
          <w:sz w:val="24"/>
          <w:szCs w:val="24"/>
          <w:highlight w:val="none"/>
          <w:shd w:val="clear" w:color="auto" w:fill="FFFFFF"/>
        </w:rPr>
        <w:t>供货商送交的纸质教材若与订单不符，一律退回，</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shd w:val="clear" w:color="auto" w:fill="FFFFFF"/>
        </w:rPr>
        <w:t>供货商不能以任何理由拒绝由此造成的损失及费用由</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shd w:val="clear" w:color="auto" w:fill="FFFFFF"/>
        </w:rPr>
        <w:t>供货商承担。</w:t>
      </w:r>
    </w:p>
    <w:p w14:paraId="709BCC7A">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（4）</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shd w:val="clear" w:color="auto" w:fill="FFFFFF"/>
        </w:rPr>
        <w:t>人</w:t>
      </w:r>
      <w:r>
        <w:rPr>
          <w:rFonts w:hint="eastAsia" w:ascii="仿宋" w:hAnsi="仿宋" w:eastAsia="仿宋" w:cs="仿宋"/>
          <w:color w:val="auto"/>
          <w:sz w:val="24"/>
          <w:szCs w:val="24"/>
          <w:highlight w:val="none"/>
          <w:shd w:val="clear" w:color="auto" w:fill="FFFFFF"/>
          <w:lang w:val="en-US" w:eastAsia="zh-CN"/>
        </w:rPr>
        <w:t>在新目录出来后15天内</w:t>
      </w:r>
      <w:r>
        <w:rPr>
          <w:rFonts w:hint="eastAsia" w:ascii="仿宋" w:hAnsi="仿宋" w:eastAsia="仿宋" w:cs="仿宋"/>
          <w:color w:val="auto"/>
          <w:sz w:val="24"/>
          <w:szCs w:val="24"/>
          <w:highlight w:val="none"/>
          <w:shd w:val="clear" w:color="auto" w:fill="FFFFFF"/>
        </w:rPr>
        <w:t>，须向采购人提供电子版《全国大中专教学用书汇编订购目录》和其他所需出版社目录，以供查询、征订。</w:t>
      </w:r>
    </w:p>
    <w:p w14:paraId="643C2816">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（5）拟采购的所有教材必须由中标供应商按照采购人</w:t>
      </w:r>
      <w:r>
        <w:rPr>
          <w:rFonts w:hint="eastAsia" w:ascii="仿宋" w:hAnsi="仿宋" w:eastAsia="仿宋" w:cs="仿宋"/>
          <w:color w:val="auto"/>
          <w:sz w:val="24"/>
          <w:szCs w:val="24"/>
          <w:highlight w:val="none"/>
          <w:shd w:val="clear" w:color="auto" w:fill="FFFFFF"/>
          <w:lang w:val="en-US" w:eastAsia="zh-CN"/>
        </w:rPr>
        <w:t>要求</w:t>
      </w:r>
      <w:r>
        <w:rPr>
          <w:rFonts w:hint="eastAsia" w:ascii="仿宋" w:hAnsi="仿宋" w:eastAsia="仿宋" w:cs="仿宋"/>
          <w:color w:val="auto"/>
          <w:sz w:val="24"/>
          <w:szCs w:val="24"/>
          <w:highlight w:val="none"/>
          <w:shd w:val="clear" w:color="auto" w:fill="FFFFFF"/>
        </w:rPr>
        <w:t>规定时间</w:t>
      </w:r>
      <w:r>
        <w:rPr>
          <w:rFonts w:hint="eastAsia" w:ascii="仿宋" w:hAnsi="仿宋" w:eastAsia="仿宋" w:cs="仿宋"/>
          <w:color w:val="auto"/>
          <w:sz w:val="24"/>
          <w:szCs w:val="24"/>
          <w:highlight w:val="none"/>
          <w:shd w:val="clear" w:color="auto" w:fill="FFFFFF"/>
          <w:lang w:val="en-US" w:eastAsia="zh-CN"/>
        </w:rPr>
        <w:t>供货</w:t>
      </w: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eastAsia="zh-CN"/>
        </w:rPr>
        <w:t>中标供应商</w:t>
      </w:r>
      <w:r>
        <w:rPr>
          <w:rFonts w:hint="eastAsia" w:ascii="仿宋" w:hAnsi="仿宋" w:eastAsia="仿宋" w:cs="仿宋"/>
          <w:color w:val="auto"/>
          <w:sz w:val="24"/>
          <w:szCs w:val="24"/>
          <w:highlight w:val="none"/>
          <w:shd w:val="clear" w:color="auto" w:fill="FFFFFF"/>
        </w:rPr>
        <w:t>需安排送货人员负责将教材配送至采购人指定的地点（吉安市中等专业学校</w:t>
      </w:r>
      <w:r>
        <w:rPr>
          <w:rFonts w:hint="eastAsia" w:ascii="仿宋" w:hAnsi="仿宋" w:eastAsia="仿宋" w:cs="仿宋"/>
          <w:color w:val="auto"/>
          <w:sz w:val="24"/>
          <w:szCs w:val="24"/>
          <w:highlight w:val="none"/>
          <w:shd w:val="clear" w:color="auto" w:fill="FFFFFF"/>
          <w:lang w:eastAsia="zh-CN"/>
        </w:rPr>
        <w:t>新校区</w:t>
      </w:r>
      <w:r>
        <w:rPr>
          <w:rFonts w:hint="eastAsia" w:ascii="仿宋" w:hAnsi="仿宋" w:eastAsia="仿宋" w:cs="仿宋"/>
          <w:color w:val="auto"/>
          <w:sz w:val="24"/>
          <w:szCs w:val="24"/>
          <w:highlight w:val="none"/>
          <w:shd w:val="clear" w:color="auto" w:fill="FFFFFF"/>
        </w:rPr>
        <w:t>）按校方要求摆放到位，并在正式上课前及时发放到学生手中，场地清理维修等一切费用由供应商承担。</w:t>
      </w:r>
    </w:p>
    <w:p w14:paraId="15A08C9C">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（6）为了确保教材及时发放，</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shd w:val="clear" w:color="auto" w:fill="FFFFFF"/>
        </w:rPr>
        <w:t xml:space="preserve">人必须安排工作人员上门负责教材发放、清退、结算等工作，能够提供教材发放明细，包含《各学生教材发放明细单》《各班教材发放明细单》《学生个人领书签字确认表》《各专业各年级教材费用表》。 </w:t>
      </w:r>
    </w:p>
    <w:p w14:paraId="325D0C03">
      <w:pPr>
        <w:spacing w:line="360" w:lineRule="auto"/>
        <w:ind w:firstLine="480" w:firstLineChars="200"/>
        <w:rPr>
          <w:rFonts w:hint="eastAsia" w:ascii="仿宋" w:hAnsi="仿宋" w:eastAsia="仿宋" w:cs="仿宋"/>
          <w:color w:val="auto"/>
          <w:sz w:val="24"/>
          <w:szCs w:val="24"/>
          <w:highlight w:val="none"/>
          <w:shd w:val="clear" w:color="auto" w:fill="FFFFFF"/>
          <w:lang w:eastAsia="zh-CN"/>
        </w:rPr>
      </w:pPr>
      <w:r>
        <w:rPr>
          <w:rFonts w:hint="eastAsia" w:ascii="仿宋" w:hAnsi="仿宋" w:eastAsia="仿宋" w:cs="仿宋"/>
          <w:color w:val="auto"/>
          <w:sz w:val="24"/>
          <w:szCs w:val="24"/>
          <w:highlight w:val="none"/>
          <w:shd w:val="clear" w:color="auto" w:fill="FFFFFF"/>
          <w:lang w:eastAsia="zh-CN"/>
        </w:rPr>
        <w:t>（7）配套教师用书：中标人须按采购人实际订购学生用书册数的3%，免费向采购人提供配套的纸质教师用书。单品种计算不足1册的，按1册配发。</w:t>
      </w:r>
    </w:p>
    <w:p w14:paraId="43889726">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8</w:t>
      </w:r>
      <w:r>
        <w:rPr>
          <w:rFonts w:hint="eastAsia" w:ascii="仿宋" w:hAnsi="仿宋" w:eastAsia="仿宋" w:cs="仿宋"/>
          <w:color w:val="auto"/>
          <w:sz w:val="24"/>
          <w:szCs w:val="24"/>
          <w:highlight w:val="none"/>
          <w:shd w:val="clear" w:color="auto" w:fill="FFFFFF"/>
        </w:rPr>
        <w:t xml:space="preserve">）送货 </w:t>
      </w:r>
    </w:p>
    <w:p w14:paraId="4B4C1014">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 xml:space="preserve">①教材包装要求防潮、防破，运输和打包时要避免造成教材损坏。 </w:t>
      </w:r>
    </w:p>
    <w:p w14:paraId="22EE1DD9">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②每包教材要有分包清单，教材清单要求字迹清晰，并按流水号从小到大排列，清单表列内必须有：序号、包号、书名、ISBN 号、出版社、数量、单价、码洋、登录号、分类号等字段，清单必须 标明登录号起止号、制单时间、总册数、总码洋、折扣和总实洋按条码号顺序打包。要求包型方正，大小均匀，包内教材与清单顺序一致，以便于验收人员验收。</w:t>
      </w:r>
    </w:p>
    <w:p w14:paraId="50E83BDD">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③及时受理学校相关部门送达的教材采购计划。</w:t>
      </w:r>
    </w:p>
    <w:p w14:paraId="30C5B82B">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④订单确认与回复：收到学校相关部门的教材采购计划，应在3天内确认收到采购计划。</w:t>
      </w:r>
    </w:p>
    <w:p w14:paraId="2B49C2BE">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⑤学校专业设置是动态调整的，各专业学生人数也是动态变化的，因此，教材征订过程中出现文化课教材版本变更、专业课教材变更、新增专业产生的专业课程教材、学生人数改变等情况，以实际书目需求清单为准。</w:t>
      </w:r>
    </w:p>
    <w:p w14:paraId="409A148D">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⑥对因招生计划变更，教学计划调整等原因造成的教材增减及其它变更，教材供应商须</w:t>
      </w:r>
      <w:r>
        <w:rPr>
          <w:rFonts w:hint="eastAsia" w:ascii="仿宋" w:hAnsi="仿宋" w:eastAsia="仿宋" w:cs="仿宋"/>
          <w:color w:val="auto"/>
          <w:sz w:val="24"/>
          <w:szCs w:val="24"/>
          <w:highlight w:val="none"/>
          <w:shd w:val="clear" w:color="auto" w:fill="FFFFFF"/>
          <w:lang w:val="en-US" w:eastAsia="zh-CN"/>
        </w:rPr>
        <w:t>在5天内回复，并</w:t>
      </w:r>
      <w:r>
        <w:rPr>
          <w:rFonts w:hint="eastAsia" w:ascii="仿宋" w:hAnsi="仿宋" w:eastAsia="仿宋" w:cs="仿宋"/>
          <w:color w:val="auto"/>
          <w:sz w:val="24"/>
          <w:szCs w:val="24"/>
          <w:highlight w:val="none"/>
          <w:shd w:val="clear" w:color="auto" w:fill="FFFFFF"/>
        </w:rPr>
        <w:t>按校方要求增加供货、退货和调剂。</w:t>
      </w:r>
    </w:p>
    <w:p w14:paraId="2AD36F4E">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9</w:t>
      </w:r>
      <w:r>
        <w:rPr>
          <w:rFonts w:hint="eastAsia" w:ascii="仿宋" w:hAnsi="仿宋" w:eastAsia="仿宋" w:cs="仿宋"/>
          <w:color w:val="auto"/>
          <w:sz w:val="24"/>
          <w:szCs w:val="24"/>
          <w:highlight w:val="none"/>
          <w:shd w:val="clear" w:color="auto" w:fill="FFFFFF"/>
        </w:rPr>
        <w:t xml:space="preserve">）退换教材 </w:t>
      </w:r>
    </w:p>
    <w:p w14:paraId="0B3410C0">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①对装订错误、缺页、破损、印刷不清、附件缺失等教材由</w:t>
      </w:r>
      <w:r>
        <w:rPr>
          <w:rFonts w:hint="eastAsia" w:ascii="仿宋" w:hAnsi="仿宋" w:eastAsia="仿宋" w:cs="仿宋"/>
          <w:color w:val="auto"/>
          <w:sz w:val="24"/>
          <w:szCs w:val="24"/>
          <w:highlight w:val="none"/>
          <w:shd w:val="clear" w:color="auto" w:fill="FFFFFF"/>
          <w:lang w:eastAsia="zh-CN"/>
        </w:rPr>
        <w:t>中标供应商</w:t>
      </w:r>
      <w:r>
        <w:rPr>
          <w:rFonts w:hint="eastAsia" w:ascii="仿宋" w:hAnsi="仿宋" w:eastAsia="仿宋" w:cs="仿宋"/>
          <w:color w:val="auto"/>
          <w:sz w:val="24"/>
          <w:szCs w:val="24"/>
          <w:highlight w:val="none"/>
          <w:shd w:val="clear" w:color="auto" w:fill="FFFFFF"/>
        </w:rPr>
        <w:t xml:space="preserve">无条件负责更换和补齐。 </w:t>
      </w:r>
    </w:p>
    <w:p w14:paraId="6AA8DE70">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 xml:space="preserve">②到货教材与订单不符的无条件退货。 </w:t>
      </w:r>
    </w:p>
    <w:p w14:paraId="626886E1">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③对采购人误订的教材</w:t>
      </w:r>
      <w:r>
        <w:rPr>
          <w:rFonts w:hint="eastAsia" w:ascii="仿宋" w:hAnsi="仿宋" w:eastAsia="仿宋" w:cs="仿宋"/>
          <w:color w:val="auto"/>
          <w:sz w:val="24"/>
          <w:szCs w:val="24"/>
          <w:highlight w:val="none"/>
          <w:shd w:val="clear" w:color="auto" w:fill="FFFFFF"/>
          <w:lang w:val="en-US" w:eastAsia="zh-CN"/>
        </w:rPr>
        <w:t>须退货</w:t>
      </w:r>
      <w:r>
        <w:rPr>
          <w:rFonts w:hint="eastAsia" w:ascii="仿宋" w:hAnsi="仿宋" w:eastAsia="仿宋" w:cs="仿宋"/>
          <w:color w:val="auto"/>
          <w:sz w:val="24"/>
          <w:szCs w:val="24"/>
          <w:highlight w:val="none"/>
          <w:shd w:val="clear" w:color="auto" w:fill="FFFFFF"/>
        </w:rPr>
        <w:t>处理。</w:t>
      </w:r>
    </w:p>
    <w:p w14:paraId="4F899A8B">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④凡</w:t>
      </w:r>
      <w:r>
        <w:rPr>
          <w:rFonts w:hint="eastAsia" w:ascii="仿宋" w:hAnsi="仿宋" w:eastAsia="仿宋" w:cs="仿宋"/>
          <w:color w:val="auto"/>
          <w:sz w:val="24"/>
          <w:szCs w:val="24"/>
          <w:highlight w:val="none"/>
          <w:shd w:val="clear" w:color="auto" w:fill="FFFFFF"/>
          <w:lang w:eastAsia="zh-CN"/>
        </w:rPr>
        <w:t>中标供应商</w:t>
      </w:r>
      <w:r>
        <w:rPr>
          <w:rFonts w:hint="eastAsia" w:ascii="仿宋" w:hAnsi="仿宋" w:eastAsia="仿宋" w:cs="仿宋"/>
          <w:color w:val="auto"/>
          <w:sz w:val="24"/>
          <w:szCs w:val="24"/>
          <w:highlight w:val="none"/>
          <w:shd w:val="clear" w:color="auto" w:fill="FFFFFF"/>
        </w:rPr>
        <w:t>负责退货、换货的教材产生的一切费用，由</w:t>
      </w:r>
      <w:r>
        <w:rPr>
          <w:rFonts w:hint="eastAsia" w:ascii="仿宋" w:hAnsi="仿宋" w:eastAsia="仿宋" w:cs="仿宋"/>
          <w:color w:val="auto"/>
          <w:sz w:val="24"/>
          <w:szCs w:val="24"/>
          <w:highlight w:val="none"/>
          <w:shd w:val="clear" w:color="auto" w:fill="FFFFFF"/>
          <w:lang w:eastAsia="zh-CN"/>
        </w:rPr>
        <w:t>中标供应商</w:t>
      </w:r>
      <w:r>
        <w:rPr>
          <w:rFonts w:hint="eastAsia" w:ascii="仿宋" w:hAnsi="仿宋" w:eastAsia="仿宋" w:cs="仿宋"/>
          <w:color w:val="auto"/>
          <w:sz w:val="24"/>
          <w:szCs w:val="24"/>
          <w:highlight w:val="none"/>
          <w:shd w:val="clear" w:color="auto" w:fill="FFFFFF"/>
        </w:rPr>
        <w:t xml:space="preserve">负责。 </w:t>
      </w:r>
    </w:p>
    <w:p w14:paraId="2C8AAD9D">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⑤</w:t>
      </w:r>
      <w:r>
        <w:rPr>
          <w:rFonts w:hint="eastAsia" w:ascii="仿宋" w:hAnsi="仿宋" w:eastAsia="仿宋" w:cs="仿宋"/>
          <w:color w:val="auto"/>
          <w:sz w:val="24"/>
          <w:szCs w:val="24"/>
          <w:highlight w:val="none"/>
          <w:shd w:val="clear" w:color="auto" w:fill="FFFFFF"/>
          <w:lang w:val="en-US" w:eastAsia="zh-CN"/>
        </w:rPr>
        <w:t>更</w:t>
      </w:r>
      <w:r>
        <w:rPr>
          <w:rFonts w:hint="eastAsia" w:ascii="仿宋" w:hAnsi="仿宋" w:eastAsia="仿宋" w:cs="仿宋"/>
          <w:color w:val="auto"/>
          <w:sz w:val="24"/>
          <w:szCs w:val="24"/>
          <w:highlight w:val="none"/>
          <w:shd w:val="clear" w:color="auto" w:fill="FFFFFF"/>
        </w:rPr>
        <w:t xml:space="preserve">换图书应在7日内完成。 </w:t>
      </w:r>
    </w:p>
    <w:p w14:paraId="0AD71226">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10</w:t>
      </w:r>
      <w:r>
        <w:rPr>
          <w:rFonts w:hint="eastAsia" w:ascii="仿宋" w:hAnsi="仿宋" w:eastAsia="仿宋" w:cs="仿宋"/>
          <w:color w:val="auto"/>
          <w:sz w:val="24"/>
          <w:szCs w:val="24"/>
          <w:highlight w:val="none"/>
          <w:shd w:val="clear" w:color="auto" w:fill="FFFFFF"/>
        </w:rPr>
        <w:t>）对采购人委托采购但因不再出版或其他原因确实无法订购的教材，在接到订单后一个工作日内必须</w:t>
      </w:r>
      <w:r>
        <w:rPr>
          <w:rFonts w:hint="eastAsia" w:ascii="仿宋" w:hAnsi="仿宋" w:eastAsia="仿宋" w:cs="仿宋"/>
          <w:color w:val="auto"/>
          <w:sz w:val="24"/>
          <w:szCs w:val="24"/>
          <w:highlight w:val="none"/>
          <w:shd w:val="clear" w:color="auto" w:fill="FFFFFF"/>
          <w:lang w:val="en-US" w:eastAsia="zh-CN"/>
        </w:rPr>
        <w:t>反馈</w:t>
      </w:r>
      <w:r>
        <w:rPr>
          <w:rFonts w:hint="eastAsia" w:ascii="仿宋" w:hAnsi="仿宋" w:eastAsia="仿宋" w:cs="仿宋"/>
          <w:color w:val="auto"/>
          <w:sz w:val="24"/>
          <w:szCs w:val="24"/>
          <w:highlight w:val="none"/>
          <w:shd w:val="clear" w:color="auto" w:fill="FFFFFF"/>
        </w:rPr>
        <w:t>采购人，以便及时调换版本。</w:t>
      </w:r>
    </w:p>
    <w:p w14:paraId="7AAE8840">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11</w:t>
      </w:r>
      <w:r>
        <w:rPr>
          <w:rFonts w:hint="eastAsia" w:ascii="仿宋" w:hAnsi="仿宋" w:eastAsia="仿宋" w:cs="仿宋"/>
          <w:color w:val="auto"/>
          <w:sz w:val="24"/>
          <w:szCs w:val="24"/>
          <w:highlight w:val="none"/>
          <w:shd w:val="clear" w:color="auto" w:fill="FFFFFF"/>
        </w:rPr>
        <w:t>)根据学校发展和教师自身的提高需求，提供教材出版服务。</w:t>
      </w:r>
    </w:p>
    <w:p w14:paraId="2F618855">
      <w:pPr>
        <w:pStyle w:val="34"/>
        <w:keepNext w:val="0"/>
        <w:keepLines w:val="0"/>
        <w:pageBreakBefore w:val="0"/>
        <w:widowControl w:val="0"/>
        <w:kinsoku/>
        <w:wordWrap/>
        <w:overflowPunct/>
        <w:topLinePunct w:val="0"/>
        <w:autoSpaceDE/>
        <w:autoSpaceDN/>
        <w:bidi w:val="0"/>
        <w:adjustRightInd/>
        <w:snapToGrid/>
        <w:spacing w:line="360" w:lineRule="auto"/>
        <w:ind w:firstLine="522" w:firstLineChars="200"/>
        <w:textAlignment w:val="auto"/>
        <w:rPr>
          <w:rFonts w:hint="eastAsia"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color w:val="auto"/>
          <w:sz w:val="24"/>
          <w:szCs w:val="24"/>
          <w:highlight w:val="none"/>
        </w:rPr>
        <w:t>注：以上技术条款为最低指标，供应商必须全部响应(满足或优于技术要求)。</w:t>
      </w:r>
      <w:r>
        <w:rPr>
          <w:rFonts w:hint="eastAsia" w:ascii="仿宋" w:hAnsi="仿宋" w:eastAsia="仿宋" w:cs="仿宋"/>
          <w:b w:val="0"/>
          <w:bCs/>
          <w:color w:val="auto"/>
          <w:spacing w:val="-6"/>
          <w:highlight w:val="none"/>
          <w:lang w:val="en-US" w:eastAsia="zh-CN"/>
        </w:rPr>
        <w:t xml:space="preserve"> </w:t>
      </w:r>
    </w:p>
    <w:p w14:paraId="13E390B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snapToGrid w:val="0"/>
          <w:color w:val="auto"/>
          <w:kern w:val="0"/>
          <w:sz w:val="24"/>
          <w:szCs w:val="24"/>
          <w:highlight w:val="none"/>
          <w:lang w:val="en-US" w:eastAsia="zh-CN"/>
        </w:rPr>
        <w:t>3、年度考核指标体系与评分标准</w:t>
      </w:r>
    </w:p>
    <w:p w14:paraId="69DE3CA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snapToGrid w:val="0"/>
          <w:color w:val="auto"/>
          <w:kern w:val="0"/>
          <w:sz w:val="24"/>
          <w:szCs w:val="24"/>
          <w:highlight w:val="none"/>
          <w:lang w:val="en-US" w:eastAsia="zh-CN"/>
        </w:rPr>
        <w:t xml:space="preserve">1.考核由采购单位组织人员成立考核小组，负责对供货单位进行监督、检查、记录和考核评分，并通报考核结果。 </w:t>
      </w:r>
    </w:p>
    <w:p w14:paraId="68A50E5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snapToGrid w:val="0"/>
          <w:color w:val="auto"/>
          <w:kern w:val="0"/>
          <w:sz w:val="24"/>
          <w:szCs w:val="24"/>
          <w:highlight w:val="none"/>
          <w:lang w:val="en-US" w:eastAsia="zh-CN"/>
        </w:rPr>
        <w:t>2.按照年度综合考核，实行百分制扣分记录。</w:t>
      </w:r>
    </w:p>
    <w:p w14:paraId="1241A27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snapToGrid w:val="0"/>
          <w:color w:val="auto"/>
          <w:kern w:val="0"/>
          <w:sz w:val="24"/>
          <w:szCs w:val="24"/>
          <w:highlight w:val="none"/>
          <w:lang w:val="en-US" w:eastAsia="zh-CN"/>
        </w:rPr>
        <w:t>3.经采购人发现中标供应商存在考核内容中的行为且拒不整改的或考核得分低于90分(不含90分)的或单项得分为0分的或得分为负数，扣减货款30%，同时取消其中标资格并终止采购合同，采购人将重新组织招标活动。</w:t>
      </w:r>
    </w:p>
    <w:p w14:paraId="37FBACB8">
      <w:pPr>
        <w:pStyle w:val="2"/>
        <w:rPr>
          <w:rFonts w:hint="default"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snapToGrid w:val="0"/>
          <w:color w:val="auto"/>
          <w:kern w:val="0"/>
          <w:sz w:val="24"/>
          <w:szCs w:val="24"/>
          <w:highlight w:val="none"/>
          <w:lang w:val="en-US" w:eastAsia="zh-CN"/>
        </w:rPr>
        <w:t>4.中标供应商承诺所供教材100%为正版。若发现任何形式的盗版、侵权或非法出版物，采购人有权单方面解除本合同，并扣除全部履约保证金。中标供应商须在3日内免费足量更换正版书籍，并按该批次涉盗版书籍总码洋（或实际结算总价）的3倍支付违约金。盗版书籍由采购人移交文化执法等行政主管部门处理。由此产生的一切法律后果、行政处罚及对采购人造成的名誉、经济损失，均由中标供应商全额承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51"/>
        <w:gridCol w:w="801"/>
        <w:gridCol w:w="6436"/>
      </w:tblGrid>
      <w:tr w14:paraId="180C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tcBorders>
              <w:bottom w:val="single" w:color="auto" w:sz="4" w:space="0"/>
            </w:tcBorders>
            <w:tcMar>
              <w:left w:w="108" w:type="dxa"/>
              <w:right w:w="108" w:type="dxa"/>
            </w:tcMar>
            <w:vAlign w:val="center"/>
          </w:tcPr>
          <w:p w14:paraId="7E5384BD">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考核项目</w:t>
            </w:r>
          </w:p>
        </w:tc>
        <w:tc>
          <w:tcPr>
            <w:tcW w:w="431" w:type="pct"/>
            <w:tcBorders>
              <w:bottom w:val="single" w:color="auto" w:sz="4" w:space="0"/>
            </w:tcBorders>
            <w:tcMar>
              <w:left w:w="108" w:type="dxa"/>
              <w:right w:w="108" w:type="dxa"/>
            </w:tcMar>
            <w:vAlign w:val="center"/>
          </w:tcPr>
          <w:p w14:paraId="29DA31D6">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c>
          <w:tcPr>
            <w:tcW w:w="3463" w:type="pct"/>
            <w:tcBorders>
              <w:bottom w:val="single" w:color="auto" w:sz="4" w:space="0"/>
            </w:tcBorders>
            <w:tcMar>
              <w:left w:w="108" w:type="dxa"/>
              <w:right w:w="108" w:type="dxa"/>
            </w:tcMar>
            <w:vAlign w:val="center"/>
          </w:tcPr>
          <w:p w14:paraId="7F68CDD4">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考核内容与评分标准</w:t>
            </w:r>
          </w:p>
        </w:tc>
      </w:tr>
      <w:tr w14:paraId="6B41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1483464">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1.供货准确率</w:t>
            </w:r>
          </w:p>
        </w:tc>
        <w:tc>
          <w:tcPr>
            <w:tcW w:w="431"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A9B13AD">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分</w:t>
            </w:r>
          </w:p>
        </w:tc>
        <w:tc>
          <w:tcPr>
            <w:tcW w:w="3463"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D25B621">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品种准确（10分）：每发错1个品种（书名、版次不符），扣2分，扣完为止。</w:t>
            </w:r>
          </w:p>
        </w:tc>
      </w:tr>
      <w:tr w14:paraId="2F1B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F3CA1C0">
            <w:pPr>
              <w:spacing w:line="360" w:lineRule="auto"/>
              <w:jc w:val="center"/>
              <w:rPr>
                <w:rFonts w:hint="eastAsia" w:ascii="仿宋" w:hAnsi="仿宋" w:eastAsia="仿宋" w:cs="仿宋"/>
                <w:color w:val="auto"/>
                <w:sz w:val="24"/>
                <w:szCs w:val="24"/>
                <w:highlight w:val="none"/>
              </w:rPr>
            </w:pPr>
          </w:p>
        </w:tc>
        <w:tc>
          <w:tcPr>
            <w:tcW w:w="431"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8756A9">
            <w:pPr>
              <w:spacing w:line="360" w:lineRule="auto"/>
              <w:jc w:val="center"/>
              <w:rPr>
                <w:rFonts w:hint="eastAsia" w:ascii="仿宋" w:hAnsi="仿宋" w:eastAsia="仿宋" w:cs="仿宋"/>
                <w:color w:val="auto"/>
                <w:sz w:val="24"/>
                <w:szCs w:val="24"/>
                <w:highlight w:val="none"/>
              </w:rPr>
            </w:pPr>
          </w:p>
        </w:tc>
        <w:tc>
          <w:tcPr>
            <w:tcW w:w="3463"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6471AAE">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数量准确（10分）：每发生1个品种数量偏差（多/少）超过订单数量的±2%，扣2分，扣完为止。</w:t>
            </w:r>
          </w:p>
        </w:tc>
      </w:tr>
      <w:tr w14:paraId="31CD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A39165E">
            <w:pPr>
              <w:spacing w:line="360" w:lineRule="auto"/>
              <w:jc w:val="center"/>
              <w:rPr>
                <w:rFonts w:hint="eastAsia" w:ascii="仿宋" w:hAnsi="仿宋" w:eastAsia="仿宋" w:cs="仿宋"/>
                <w:color w:val="auto"/>
                <w:sz w:val="24"/>
                <w:szCs w:val="24"/>
                <w:highlight w:val="none"/>
              </w:rPr>
            </w:pPr>
          </w:p>
        </w:tc>
        <w:tc>
          <w:tcPr>
            <w:tcW w:w="431"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5760A96">
            <w:pPr>
              <w:spacing w:line="360" w:lineRule="auto"/>
              <w:jc w:val="center"/>
              <w:rPr>
                <w:rFonts w:hint="eastAsia" w:ascii="仿宋" w:hAnsi="仿宋" w:eastAsia="仿宋" w:cs="仿宋"/>
                <w:color w:val="auto"/>
                <w:sz w:val="24"/>
                <w:szCs w:val="24"/>
                <w:highlight w:val="none"/>
              </w:rPr>
            </w:pPr>
          </w:p>
        </w:tc>
        <w:tc>
          <w:tcPr>
            <w:tcW w:w="3463"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FB7AFE9">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配套资源（</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分）：教材配套的课件、二维码等资源提供不全，每次扣</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w:t>
            </w:r>
          </w:p>
        </w:tc>
      </w:tr>
      <w:tr w14:paraId="1C363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76EE76">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2.供货及时率</w:t>
            </w:r>
          </w:p>
        </w:tc>
        <w:tc>
          <w:tcPr>
            <w:tcW w:w="431"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0143A5E">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分</w:t>
            </w:r>
          </w:p>
        </w:tc>
        <w:tc>
          <w:tcPr>
            <w:tcW w:w="3463"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9BC84D6">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春秋两季主渠道（</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分）：在约定到货期内，每延迟1天扣2分；影响正常教学（开学后到书），每次扣10分，此项可扣为负分。</w:t>
            </w:r>
          </w:p>
        </w:tc>
      </w:tr>
      <w:tr w14:paraId="7512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DB9E4D8">
            <w:pPr>
              <w:spacing w:line="360" w:lineRule="auto"/>
              <w:jc w:val="center"/>
              <w:rPr>
                <w:rFonts w:hint="eastAsia" w:ascii="仿宋" w:hAnsi="仿宋" w:eastAsia="仿宋" w:cs="仿宋"/>
                <w:color w:val="auto"/>
                <w:sz w:val="24"/>
                <w:szCs w:val="24"/>
                <w:highlight w:val="none"/>
              </w:rPr>
            </w:pPr>
          </w:p>
        </w:tc>
        <w:tc>
          <w:tcPr>
            <w:tcW w:w="431"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6859E8C">
            <w:pPr>
              <w:spacing w:line="360" w:lineRule="auto"/>
              <w:jc w:val="center"/>
              <w:rPr>
                <w:rFonts w:hint="eastAsia" w:ascii="仿宋" w:hAnsi="仿宋" w:eastAsia="仿宋" w:cs="仿宋"/>
                <w:color w:val="auto"/>
                <w:sz w:val="24"/>
                <w:szCs w:val="24"/>
                <w:highlight w:val="none"/>
              </w:rPr>
            </w:pPr>
          </w:p>
        </w:tc>
        <w:tc>
          <w:tcPr>
            <w:tcW w:w="3463" w:type="pct"/>
            <w:tcBorders>
              <w:top w:val="single" w:color="auto" w:sz="4" w:space="0"/>
              <w:left w:val="single" w:color="auto" w:sz="4" w:space="0"/>
              <w:bottom w:val="single" w:color="auto" w:sz="4" w:space="0"/>
            </w:tcBorders>
            <w:tcMar>
              <w:left w:w="108" w:type="dxa"/>
              <w:right w:w="108" w:type="dxa"/>
            </w:tcMar>
            <w:vAlign w:val="center"/>
          </w:tcPr>
          <w:p w14:paraId="6217DC11">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零星补订与追加（</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分）：接到补订单后，未在约定时间内（通常7-15个工作日）送达，每次扣2分。</w:t>
            </w:r>
          </w:p>
        </w:tc>
      </w:tr>
      <w:tr w14:paraId="0D7B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restart"/>
            <w:tcBorders>
              <w:top w:val="single" w:color="auto" w:sz="4" w:space="0"/>
              <w:bottom w:val="single" w:color="auto" w:sz="4" w:space="0"/>
              <w:right w:val="single" w:color="auto" w:sz="4" w:space="0"/>
            </w:tcBorders>
            <w:tcMar>
              <w:left w:w="108" w:type="dxa"/>
              <w:right w:w="108" w:type="dxa"/>
            </w:tcMar>
            <w:vAlign w:val="center"/>
          </w:tcPr>
          <w:p w14:paraId="127655AF">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3.教材质量</w:t>
            </w:r>
          </w:p>
        </w:tc>
        <w:tc>
          <w:tcPr>
            <w:tcW w:w="431"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2A3516">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分</w:t>
            </w:r>
          </w:p>
        </w:tc>
        <w:tc>
          <w:tcPr>
            <w:tcW w:w="3463" w:type="pct"/>
            <w:tcBorders>
              <w:top w:val="single" w:color="auto" w:sz="4" w:space="0"/>
              <w:left w:val="single" w:color="auto" w:sz="4" w:space="0"/>
              <w:bottom w:val="single" w:color="auto" w:sz="4" w:space="0"/>
            </w:tcBorders>
            <w:tcMar>
              <w:left w:w="108" w:type="dxa"/>
              <w:right w:w="108" w:type="dxa"/>
            </w:tcMar>
            <w:vAlign w:val="center"/>
          </w:tcPr>
          <w:p w14:paraId="111A7303">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印装质量（10分）：出现倒装、缺页、白页、污损等质量问题，经核实为供应商责任的，每次扣2分。</w:t>
            </w:r>
          </w:p>
        </w:tc>
      </w:tr>
      <w:tr w14:paraId="5027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continue"/>
            <w:tcBorders>
              <w:top w:val="single" w:color="auto" w:sz="4" w:space="0"/>
              <w:bottom w:val="single" w:color="auto" w:sz="4" w:space="0"/>
              <w:right w:val="single" w:color="auto" w:sz="4" w:space="0"/>
            </w:tcBorders>
            <w:tcMar>
              <w:left w:w="108" w:type="dxa"/>
              <w:right w:w="108" w:type="dxa"/>
            </w:tcMar>
            <w:vAlign w:val="center"/>
          </w:tcPr>
          <w:p w14:paraId="21333EF1">
            <w:pPr>
              <w:spacing w:line="360" w:lineRule="auto"/>
              <w:jc w:val="center"/>
              <w:rPr>
                <w:rFonts w:hint="eastAsia" w:ascii="仿宋" w:hAnsi="仿宋" w:eastAsia="仿宋" w:cs="仿宋"/>
                <w:color w:val="auto"/>
                <w:sz w:val="24"/>
                <w:szCs w:val="24"/>
                <w:highlight w:val="none"/>
              </w:rPr>
            </w:pPr>
          </w:p>
        </w:tc>
        <w:tc>
          <w:tcPr>
            <w:tcW w:w="431"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AAA02AE">
            <w:pPr>
              <w:spacing w:line="360" w:lineRule="auto"/>
              <w:jc w:val="center"/>
              <w:rPr>
                <w:rFonts w:hint="eastAsia" w:ascii="仿宋" w:hAnsi="仿宋" w:eastAsia="仿宋" w:cs="仿宋"/>
                <w:color w:val="auto"/>
                <w:sz w:val="24"/>
                <w:szCs w:val="24"/>
                <w:highlight w:val="none"/>
              </w:rPr>
            </w:pPr>
          </w:p>
        </w:tc>
        <w:tc>
          <w:tcPr>
            <w:tcW w:w="3463" w:type="pct"/>
            <w:tcBorders>
              <w:top w:val="single" w:color="auto" w:sz="4" w:space="0"/>
              <w:left w:val="single" w:color="auto" w:sz="4" w:space="0"/>
              <w:bottom w:val="single" w:color="auto" w:sz="4" w:space="0"/>
            </w:tcBorders>
            <w:tcMar>
              <w:left w:w="108" w:type="dxa"/>
              <w:right w:w="108" w:type="dxa"/>
            </w:tcMar>
            <w:vAlign w:val="center"/>
          </w:tcPr>
          <w:p w14:paraId="6513DAA2">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正版保障（</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分）：提供盗版或非法出版物，此项得0分，并</w:t>
            </w:r>
            <w:r>
              <w:rPr>
                <w:rFonts w:hint="eastAsia" w:ascii="仿宋" w:hAnsi="仿宋" w:eastAsia="仿宋" w:cs="仿宋"/>
                <w:color w:val="auto"/>
                <w:sz w:val="24"/>
                <w:szCs w:val="24"/>
                <w:highlight w:val="none"/>
                <w:lang w:val="en-US" w:eastAsia="zh-CN"/>
              </w:rPr>
              <w:t>终止采购合同</w:t>
            </w:r>
            <w:r>
              <w:rPr>
                <w:rFonts w:hint="eastAsia" w:ascii="仿宋" w:hAnsi="仿宋" w:eastAsia="仿宋" w:cs="仿宋"/>
                <w:color w:val="auto"/>
                <w:sz w:val="24"/>
                <w:szCs w:val="24"/>
                <w:highlight w:val="none"/>
              </w:rPr>
              <w:t>。</w:t>
            </w:r>
          </w:p>
        </w:tc>
      </w:tr>
      <w:tr w14:paraId="069D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restart"/>
            <w:tcBorders>
              <w:top w:val="single" w:color="auto" w:sz="4" w:space="0"/>
              <w:bottom w:val="single" w:color="auto" w:sz="4" w:space="0"/>
              <w:right w:val="single" w:color="auto" w:sz="4" w:space="0"/>
            </w:tcBorders>
            <w:tcMar>
              <w:left w:w="108" w:type="dxa"/>
              <w:right w:w="108" w:type="dxa"/>
            </w:tcMar>
            <w:vAlign w:val="center"/>
          </w:tcPr>
          <w:p w14:paraId="77843C21">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4.售后服务</w:t>
            </w:r>
          </w:p>
        </w:tc>
        <w:tc>
          <w:tcPr>
            <w:tcW w:w="431"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81803E7">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分</w:t>
            </w:r>
          </w:p>
        </w:tc>
        <w:tc>
          <w:tcPr>
            <w:tcW w:w="3463" w:type="pct"/>
            <w:tcBorders>
              <w:top w:val="single" w:color="auto" w:sz="4" w:space="0"/>
              <w:left w:val="single" w:color="auto" w:sz="4" w:space="0"/>
              <w:bottom w:val="single" w:color="auto" w:sz="4" w:space="0"/>
            </w:tcBorders>
            <w:tcMar>
              <w:left w:w="108" w:type="dxa"/>
              <w:right w:w="108" w:type="dxa"/>
            </w:tcMar>
            <w:vAlign w:val="center"/>
          </w:tcPr>
          <w:p w14:paraId="380FD74A">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退换货处理（10分）：对确需退换货（质量问题、调剂等）的教材，响应不及时或拒绝合规退换，每次扣</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w:t>
            </w:r>
          </w:p>
        </w:tc>
      </w:tr>
      <w:tr w14:paraId="3D36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continue"/>
            <w:tcBorders>
              <w:top w:val="single" w:color="auto" w:sz="4" w:space="0"/>
              <w:bottom w:val="single" w:color="auto" w:sz="4" w:space="0"/>
              <w:right w:val="single" w:color="auto" w:sz="4" w:space="0"/>
            </w:tcBorders>
            <w:tcMar>
              <w:left w:w="108" w:type="dxa"/>
              <w:right w:w="108" w:type="dxa"/>
            </w:tcMar>
            <w:vAlign w:val="center"/>
          </w:tcPr>
          <w:p w14:paraId="781AA9E5">
            <w:pPr>
              <w:spacing w:line="360" w:lineRule="auto"/>
              <w:jc w:val="center"/>
              <w:rPr>
                <w:rFonts w:hint="eastAsia" w:ascii="仿宋" w:hAnsi="仿宋" w:eastAsia="仿宋" w:cs="仿宋"/>
                <w:color w:val="auto"/>
                <w:sz w:val="24"/>
                <w:szCs w:val="24"/>
                <w:highlight w:val="none"/>
              </w:rPr>
            </w:pPr>
          </w:p>
        </w:tc>
        <w:tc>
          <w:tcPr>
            <w:tcW w:w="431"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E9581D7">
            <w:pPr>
              <w:spacing w:line="360" w:lineRule="auto"/>
              <w:jc w:val="center"/>
              <w:rPr>
                <w:rFonts w:hint="eastAsia" w:ascii="仿宋" w:hAnsi="仿宋" w:eastAsia="仿宋" w:cs="仿宋"/>
                <w:color w:val="auto"/>
                <w:sz w:val="24"/>
                <w:szCs w:val="24"/>
                <w:highlight w:val="none"/>
              </w:rPr>
            </w:pPr>
          </w:p>
        </w:tc>
        <w:tc>
          <w:tcPr>
            <w:tcW w:w="3463" w:type="pct"/>
            <w:tcBorders>
              <w:top w:val="single" w:color="auto" w:sz="4" w:space="0"/>
              <w:left w:val="single" w:color="auto" w:sz="4" w:space="0"/>
            </w:tcBorders>
            <w:tcMar>
              <w:left w:w="108" w:type="dxa"/>
              <w:right w:w="108" w:type="dxa"/>
            </w:tcMar>
            <w:vAlign w:val="center"/>
          </w:tcPr>
          <w:p w14:paraId="38137512">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沟通与报表（</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分）：未按要求提供库存报表、到货明细、对账单据等，或沟通响应迟缓，每次扣</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w:t>
            </w:r>
          </w:p>
        </w:tc>
      </w:tr>
    </w:tbl>
    <w:p w14:paraId="0113DEC6">
      <w:pPr>
        <w:keepNext w:val="0"/>
        <w:keepLines w:val="0"/>
        <w:pageBreakBefore w:val="0"/>
        <w:widowControl w:val="0"/>
        <w:kinsoku/>
        <w:wordWrap/>
        <w:overflowPunct/>
        <w:topLinePunct w:val="0"/>
        <w:autoSpaceDE/>
        <w:autoSpaceDN/>
        <w:bidi w:val="0"/>
        <w:spacing w:line="324" w:lineRule="auto"/>
        <w:ind w:firstLine="480" w:firstLineChars="200"/>
        <w:textAlignment w:val="auto"/>
        <w:rPr>
          <w:rFonts w:hint="eastAsia" w:ascii="仿宋" w:hAnsi="仿宋" w:eastAsia="仿宋" w:cs="仿宋"/>
          <w:color w:val="auto"/>
          <w:szCs w:val="24"/>
          <w:highlight w:val="none"/>
        </w:rPr>
      </w:pPr>
    </w:p>
    <w:p w14:paraId="6DAD901E">
      <w:pPr>
        <w:keepNext w:val="0"/>
        <w:keepLines w:val="0"/>
        <w:pageBreakBefore w:val="0"/>
        <w:widowControl w:val="0"/>
        <w:kinsoku/>
        <w:wordWrap/>
        <w:overflowPunct/>
        <w:topLinePunct w:val="0"/>
        <w:autoSpaceDE/>
        <w:autoSpaceDN/>
        <w:bidi w:val="0"/>
        <w:adjustRightInd/>
        <w:snapToGrid/>
        <w:spacing w:after="156" w:afterLines="50" w:line="324" w:lineRule="auto"/>
        <w:ind w:firstLine="480" w:firstLineChars="200"/>
        <w:textAlignment w:val="auto"/>
        <w:rPr>
          <w:rFonts w:hint="eastAsia" w:ascii="仿宋" w:hAnsi="仿宋" w:eastAsia="仿宋" w:cs="仿宋"/>
          <w:b/>
          <w:color w:val="auto"/>
          <w:szCs w:val="21"/>
          <w:highlight w:val="none"/>
          <w:u w:val="single"/>
          <w:lang w:eastAsia="zh-CN"/>
        </w:rPr>
      </w:pPr>
      <w:r>
        <w:rPr>
          <w:rFonts w:hint="eastAsia" w:ascii="仿宋" w:hAnsi="仿宋" w:eastAsia="仿宋" w:cs="仿宋"/>
          <w:color w:val="auto"/>
          <w:szCs w:val="24"/>
          <w:highlight w:val="none"/>
        </w:rPr>
        <w:t>本人作为投标人法人代表，清楚知晓我单位参与（开标时间）</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年</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月</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日，本项目（项目名称</w:t>
      </w:r>
      <w:r>
        <w:rPr>
          <w:rFonts w:hint="eastAsia" w:ascii="仿宋" w:hAnsi="仿宋" w:eastAsia="仿宋" w:cs="仿宋"/>
          <w:color w:val="auto"/>
          <w:szCs w:val="24"/>
          <w:highlight w:val="none"/>
          <w:lang w:eastAsia="zh-CN"/>
        </w:rPr>
        <w:t>、</w:t>
      </w:r>
      <w:r>
        <w:rPr>
          <w:rFonts w:hint="eastAsia" w:ascii="仿宋" w:hAnsi="仿宋" w:eastAsia="仿宋" w:cs="仿宋"/>
          <w:color w:val="auto"/>
          <w:szCs w:val="24"/>
          <w:highlight w:val="none"/>
          <w:lang w:val="en-US" w:eastAsia="zh-CN"/>
        </w:rPr>
        <w:t>项目编号</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的投标活动，对以</w:t>
      </w:r>
      <w:r>
        <w:rPr>
          <w:rFonts w:hint="eastAsia" w:ascii="仿宋" w:hAnsi="仿宋" w:eastAsia="仿宋" w:cs="仿宋"/>
          <w:color w:val="auto"/>
          <w:szCs w:val="24"/>
          <w:highlight w:val="none"/>
          <w:lang w:eastAsia="zh-CN"/>
        </w:rPr>
        <w:t>上</w:t>
      </w:r>
      <w:r>
        <w:rPr>
          <w:rFonts w:hint="eastAsia" w:ascii="仿宋" w:hAnsi="仿宋" w:eastAsia="仿宋" w:cs="仿宋"/>
          <w:color w:val="auto"/>
          <w:szCs w:val="24"/>
          <w:highlight w:val="none"/>
        </w:rPr>
        <w:t>事项作出承诺：</w:t>
      </w:r>
    </w:p>
    <w:p w14:paraId="609BCFA9">
      <w:pPr>
        <w:keepNext w:val="0"/>
        <w:keepLines w:val="0"/>
        <w:pageBreakBefore w:val="0"/>
        <w:widowControl w:val="0"/>
        <w:kinsoku/>
        <w:wordWrap/>
        <w:overflowPunct/>
        <w:topLinePunct w:val="0"/>
        <w:autoSpaceDE/>
        <w:autoSpaceDN/>
        <w:bidi w:val="0"/>
        <w:spacing w:line="324" w:lineRule="auto"/>
        <w:ind w:firstLine="480" w:firstLineChars="20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我单位响应以上所有技术需求并遵循公开、公平、公正、诚实守信的原则，依法依规参与本项目的投标。</w:t>
      </w:r>
    </w:p>
    <w:p w14:paraId="1ADB8DB0">
      <w:pPr>
        <w:keepNext w:val="0"/>
        <w:keepLines w:val="0"/>
        <w:pageBreakBefore w:val="0"/>
        <w:widowControl w:val="0"/>
        <w:kinsoku/>
        <w:wordWrap/>
        <w:overflowPunct/>
        <w:topLinePunct w:val="0"/>
        <w:autoSpaceDE/>
        <w:autoSpaceDN/>
        <w:bidi w:val="0"/>
        <w:spacing w:line="324" w:lineRule="auto"/>
        <w:jc w:val="center"/>
        <w:textAlignment w:val="auto"/>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lang w:eastAsia="zh-CN"/>
        </w:rPr>
        <w:t>法定代表人（或授权委托人）签字或章</w:t>
      </w:r>
      <w:r>
        <w:rPr>
          <w:rFonts w:hint="eastAsia" w:ascii="仿宋" w:hAnsi="仿宋" w:eastAsia="仿宋" w:cs="仿宋"/>
          <w:color w:val="auto"/>
          <w:szCs w:val="24"/>
          <w:highlight w:val="none"/>
        </w:rPr>
        <w:t>：</w:t>
      </w:r>
    </w:p>
    <w:p w14:paraId="44D40D2B">
      <w:pPr>
        <w:keepNext w:val="0"/>
        <w:keepLines w:val="0"/>
        <w:pageBreakBefore w:val="0"/>
        <w:widowControl w:val="0"/>
        <w:kinsoku/>
        <w:wordWrap/>
        <w:overflowPunct/>
        <w:topLinePunct w:val="0"/>
        <w:autoSpaceDE/>
        <w:autoSpaceDN/>
        <w:bidi w:val="0"/>
        <w:adjustRightInd/>
        <w:snapToGrid/>
        <w:spacing w:after="156" w:afterLines="50" w:line="324" w:lineRule="auto"/>
        <w:ind w:firstLine="480" w:firstLineChars="200"/>
        <w:jc w:val="center"/>
        <w:textAlignment w:val="auto"/>
        <w:rPr>
          <w:rFonts w:hint="eastAsia" w:ascii="仿宋" w:hAnsi="仿宋" w:eastAsia="仿宋" w:cs="仿宋"/>
          <w:color w:val="auto"/>
          <w:sz w:val="24"/>
          <w:highlight w:val="none"/>
          <w:u w:val="single"/>
        </w:rPr>
      </w:pP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rPr>
        <w:t>投标单位（盖章）：</w:t>
      </w:r>
    </w:p>
    <w:p w14:paraId="424AF0DD">
      <w:pPr>
        <w:pageBreakBefore w:val="0"/>
        <w:widowControl w:val="0"/>
        <w:kinsoku/>
        <w:wordWrap/>
        <w:overflowPunct/>
        <w:topLinePunct w:val="0"/>
        <w:autoSpaceDE/>
        <w:autoSpaceDN/>
        <w:bidi w:val="0"/>
        <w:spacing w:line="324" w:lineRule="auto"/>
        <w:textAlignment w:val="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br w:type="page"/>
      </w:r>
    </w:p>
    <w:p w14:paraId="749F2708">
      <w:pPr>
        <w:pStyle w:val="4"/>
        <w:pageBreakBefore w:val="0"/>
        <w:widowControl w:val="0"/>
        <w:kinsoku/>
        <w:wordWrap/>
        <w:overflowPunct/>
        <w:topLinePunct w:val="0"/>
        <w:autoSpaceDE/>
        <w:autoSpaceDN/>
        <w:bidi w:val="0"/>
        <w:spacing w:line="324" w:lineRule="auto"/>
        <w:jc w:val="center"/>
        <w:textAlignment w:val="auto"/>
        <w:rPr>
          <w:rFonts w:hint="eastAsia" w:ascii="仿宋" w:hAnsi="仿宋" w:eastAsia="仿宋" w:cs="仿宋"/>
          <w:color w:val="auto"/>
          <w:highlight w:val="none"/>
        </w:rPr>
      </w:pPr>
      <w:bookmarkStart w:id="343" w:name="_Toc474492114"/>
      <w:bookmarkStart w:id="344" w:name="_Toc494114901"/>
      <w:bookmarkStart w:id="345" w:name="_Toc11004"/>
      <w:bookmarkStart w:id="346" w:name="_Toc10985"/>
      <w:bookmarkStart w:id="347" w:name="_Toc5341"/>
      <w:bookmarkStart w:id="348" w:name="_Toc14758"/>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.商务条件响应</w:t>
      </w:r>
      <w:bookmarkEnd w:id="343"/>
      <w:bookmarkEnd w:id="344"/>
      <w:bookmarkEnd w:id="345"/>
      <w:bookmarkEnd w:id="346"/>
      <w:bookmarkEnd w:id="347"/>
      <w:r>
        <w:rPr>
          <w:rFonts w:hint="eastAsia" w:ascii="仿宋" w:hAnsi="仿宋" w:eastAsia="仿宋" w:cs="仿宋"/>
          <w:color w:val="auto"/>
          <w:highlight w:val="none"/>
          <w:lang w:val="en-US" w:eastAsia="zh-CN"/>
        </w:rPr>
        <w:t>承诺函</w:t>
      </w:r>
      <w:bookmarkEnd w:id="348"/>
    </w:p>
    <w:p w14:paraId="19207AE6">
      <w:pPr>
        <w:pageBreakBefore w:val="0"/>
        <w:widowControl w:val="0"/>
        <w:kinsoku/>
        <w:wordWrap/>
        <w:overflowPunct/>
        <w:topLinePunct w:val="0"/>
        <w:autoSpaceDE/>
        <w:autoSpaceDN/>
        <w:bidi w:val="0"/>
        <w:spacing w:line="324" w:lineRule="auto"/>
        <w:textAlignment w:val="auto"/>
        <w:rPr>
          <w:rFonts w:hint="eastAsia" w:ascii="仿宋" w:hAnsi="仿宋" w:eastAsia="仿宋" w:cs="仿宋"/>
          <w:color w:val="auto"/>
          <w:sz w:val="24"/>
          <w:highlight w:val="none"/>
          <w:u w:val="single"/>
        </w:rPr>
      </w:pPr>
    </w:p>
    <w:p w14:paraId="16A6606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lang w:val="en-US" w:eastAsia="zh-CN"/>
        </w:rPr>
        <w:t>二</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rPr>
        <w:t>商务条件</w:t>
      </w:r>
    </w:p>
    <w:p w14:paraId="301898F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1、技术培训服务要求：</w:t>
      </w:r>
    </w:p>
    <w:p w14:paraId="3741F65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人对采购的书籍教材进行分类、编目、分发整理的过程中，</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人必须同时为采购人配备1名书籍服务人员</w:t>
      </w:r>
    </w:p>
    <w:p w14:paraId="73DDF06B">
      <w:pPr>
        <w:pStyle w:val="12"/>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交货</w:t>
      </w:r>
      <w:r>
        <w:rPr>
          <w:rFonts w:hint="eastAsia" w:ascii="仿宋" w:hAnsi="仿宋" w:eastAsia="仿宋" w:cs="仿宋"/>
          <w:color w:val="auto"/>
          <w:sz w:val="24"/>
          <w:szCs w:val="24"/>
          <w:highlight w:val="none"/>
        </w:rPr>
        <w:t>期限：</w:t>
      </w:r>
      <w:r>
        <w:rPr>
          <w:rFonts w:hint="eastAsia" w:ascii="仿宋" w:hAnsi="仿宋" w:eastAsia="仿宋" w:cs="仿宋"/>
          <w:b w:val="0"/>
          <w:bCs w:val="0"/>
          <w:color w:val="auto"/>
          <w:sz w:val="24"/>
          <w:szCs w:val="24"/>
          <w:highlight w:val="none"/>
          <w:lang w:val="en-US" w:eastAsia="zh-CN"/>
        </w:rPr>
        <w:t>签订合同之日起3年，合同一年一签，一年届满，经采购人考核合格后可续签下一年度合同。</w:t>
      </w:r>
    </w:p>
    <w:p w14:paraId="41A9E6F3">
      <w:pPr>
        <w:pStyle w:val="12"/>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按采购人要求时间供货（春季学期须于开学前7个自然日到货，秋季学期须于开学前15个自然日到货）。</w:t>
      </w:r>
    </w:p>
    <w:p w14:paraId="35C41363">
      <w:pPr>
        <w:spacing w:line="360" w:lineRule="auto"/>
        <w:ind w:firstLine="480" w:firstLineChars="200"/>
        <w:rPr>
          <w:rFonts w:hint="eastAsia" w:ascii="仿宋" w:hAnsi="仿宋" w:eastAsia="仿宋" w:cs="仿宋"/>
          <w:strike w:val="0"/>
          <w:dstrike w:val="0"/>
          <w:color w:val="auto"/>
          <w:sz w:val="24"/>
          <w:szCs w:val="24"/>
          <w:highlight w:val="none"/>
        </w:rPr>
      </w:pPr>
      <w:r>
        <w:rPr>
          <w:rFonts w:hint="eastAsia" w:ascii="仿宋" w:hAnsi="仿宋" w:eastAsia="仿宋" w:cs="仿宋"/>
          <w:strike w:val="0"/>
          <w:dstrike w:val="0"/>
          <w:color w:val="auto"/>
          <w:sz w:val="24"/>
          <w:szCs w:val="24"/>
          <w:highlight w:val="none"/>
        </w:rPr>
        <w:t>3、付款方式：</w:t>
      </w:r>
    </w:p>
    <w:p w14:paraId="0B0FAD5E">
      <w:pPr>
        <w:spacing w:line="360" w:lineRule="auto"/>
        <w:ind w:firstLine="480" w:firstLineChars="200"/>
        <w:rPr>
          <w:rFonts w:hint="eastAsia" w:ascii="仿宋" w:hAnsi="仿宋" w:eastAsia="仿宋" w:cs="仿宋"/>
          <w:strike w:val="0"/>
          <w:dstrike w:val="0"/>
          <w:color w:val="auto"/>
          <w:sz w:val="24"/>
          <w:szCs w:val="24"/>
          <w:highlight w:val="none"/>
        </w:rPr>
      </w:pPr>
      <w:r>
        <w:rPr>
          <w:rFonts w:hint="eastAsia" w:ascii="仿宋" w:hAnsi="仿宋" w:eastAsia="仿宋" w:cs="仿宋"/>
          <w:strike w:val="0"/>
          <w:dstrike w:val="0"/>
          <w:color w:val="auto"/>
          <w:sz w:val="24"/>
          <w:szCs w:val="24"/>
          <w:highlight w:val="none"/>
        </w:rPr>
        <w:t>（1）以教材定价作为计算书款的依据。按教材码洋×</w:t>
      </w:r>
      <w:r>
        <w:rPr>
          <w:rFonts w:hint="eastAsia" w:ascii="仿宋" w:hAnsi="仿宋" w:eastAsia="仿宋" w:cs="仿宋"/>
          <w:strike w:val="0"/>
          <w:dstrike w:val="0"/>
          <w:color w:val="auto"/>
          <w:sz w:val="24"/>
          <w:szCs w:val="24"/>
          <w:highlight w:val="none"/>
          <w:lang w:val="en-US" w:eastAsia="zh-CN"/>
        </w:rPr>
        <w:t>统一</w:t>
      </w:r>
      <w:r>
        <w:rPr>
          <w:rFonts w:hint="eastAsia" w:ascii="仿宋" w:hAnsi="仿宋" w:eastAsia="仿宋" w:cs="仿宋"/>
          <w:strike w:val="0"/>
          <w:dstrike w:val="0"/>
          <w:color w:val="auto"/>
          <w:sz w:val="24"/>
          <w:szCs w:val="24"/>
          <w:highlight w:val="none"/>
        </w:rPr>
        <w:t xml:space="preserve">折扣进行结算； </w:t>
      </w:r>
    </w:p>
    <w:p w14:paraId="0C43CCFC">
      <w:pPr>
        <w:spacing w:line="360" w:lineRule="auto"/>
        <w:ind w:firstLine="480" w:firstLineChars="200"/>
        <w:rPr>
          <w:rFonts w:hint="eastAsia" w:ascii="仿宋" w:hAnsi="仿宋" w:eastAsia="仿宋" w:cs="仿宋"/>
          <w:strike w:val="0"/>
          <w:dstrike w:val="0"/>
          <w:color w:val="auto"/>
          <w:sz w:val="24"/>
          <w:szCs w:val="24"/>
          <w:highlight w:val="none"/>
        </w:rPr>
      </w:pPr>
      <w:r>
        <w:rPr>
          <w:rFonts w:hint="eastAsia" w:ascii="仿宋" w:hAnsi="仿宋" w:eastAsia="仿宋" w:cs="仿宋"/>
          <w:strike w:val="0"/>
          <w:dstrike w:val="0"/>
          <w:color w:val="auto"/>
          <w:sz w:val="24"/>
          <w:szCs w:val="24"/>
          <w:highlight w:val="none"/>
        </w:rPr>
        <w:t xml:space="preserve">（2）验收时教材定价如与发货单不符，按照实际图书定价核算。 </w:t>
      </w:r>
    </w:p>
    <w:p w14:paraId="2EBED7DE">
      <w:pPr>
        <w:spacing w:line="360" w:lineRule="auto"/>
        <w:ind w:firstLine="480" w:firstLineChars="200"/>
        <w:rPr>
          <w:rFonts w:hint="eastAsia" w:ascii="仿宋" w:hAnsi="仿宋" w:eastAsia="仿宋" w:cs="仿宋"/>
          <w:strike w:val="0"/>
          <w:dstrike w:val="0"/>
          <w:color w:val="auto"/>
          <w:sz w:val="24"/>
          <w:szCs w:val="24"/>
          <w:highlight w:val="none"/>
        </w:rPr>
      </w:pPr>
      <w:r>
        <w:rPr>
          <w:rFonts w:hint="eastAsia" w:ascii="仿宋" w:hAnsi="仿宋" w:eastAsia="仿宋" w:cs="仿宋"/>
          <w:strike w:val="0"/>
          <w:dstrike w:val="0"/>
          <w:color w:val="auto"/>
          <w:sz w:val="24"/>
          <w:szCs w:val="24"/>
          <w:highlight w:val="none"/>
        </w:rPr>
        <w:t>（3）</w:t>
      </w:r>
      <w:r>
        <w:rPr>
          <w:rFonts w:hint="eastAsia" w:ascii="仿宋" w:hAnsi="仿宋" w:eastAsia="仿宋" w:cs="仿宋"/>
          <w:strike w:val="0"/>
          <w:dstrike w:val="0"/>
          <w:color w:val="auto"/>
          <w:sz w:val="24"/>
          <w:szCs w:val="24"/>
          <w:highlight w:val="none"/>
          <w:lang w:eastAsia="zh-CN"/>
        </w:rPr>
        <w:t>中标供应商</w:t>
      </w:r>
      <w:r>
        <w:rPr>
          <w:rFonts w:hint="eastAsia" w:ascii="仿宋" w:hAnsi="仿宋" w:eastAsia="仿宋" w:cs="仿宋"/>
          <w:strike w:val="0"/>
          <w:dstrike w:val="0"/>
          <w:color w:val="auto"/>
          <w:sz w:val="24"/>
          <w:szCs w:val="24"/>
          <w:highlight w:val="none"/>
        </w:rPr>
        <w:t>必须开具包括教材码洋、折扣、实洋等内容的正式购书发票，并加盖</w:t>
      </w:r>
      <w:r>
        <w:rPr>
          <w:rFonts w:hint="eastAsia" w:ascii="仿宋" w:hAnsi="仿宋" w:eastAsia="仿宋" w:cs="仿宋"/>
          <w:strike w:val="0"/>
          <w:dstrike w:val="0"/>
          <w:color w:val="auto"/>
          <w:sz w:val="24"/>
          <w:szCs w:val="24"/>
          <w:highlight w:val="none"/>
          <w:lang w:eastAsia="zh-CN"/>
        </w:rPr>
        <w:t>中标供应商</w:t>
      </w:r>
      <w:r>
        <w:rPr>
          <w:rFonts w:hint="eastAsia" w:ascii="仿宋" w:hAnsi="仿宋" w:eastAsia="仿宋" w:cs="仿宋"/>
          <w:strike w:val="0"/>
          <w:dstrike w:val="0"/>
          <w:color w:val="auto"/>
          <w:sz w:val="24"/>
          <w:szCs w:val="24"/>
          <w:highlight w:val="none"/>
        </w:rPr>
        <w:t xml:space="preserve">单位公章。 </w:t>
      </w:r>
    </w:p>
    <w:p w14:paraId="1DEF17DB">
      <w:pPr>
        <w:spacing w:line="360" w:lineRule="auto"/>
        <w:ind w:firstLine="480" w:firstLineChars="200"/>
        <w:rPr>
          <w:rFonts w:hint="eastAsia" w:ascii="仿宋" w:hAnsi="仿宋" w:eastAsia="仿宋" w:cs="仿宋"/>
          <w:strike w:val="0"/>
          <w:dstrike w:val="0"/>
          <w:color w:val="auto"/>
          <w:sz w:val="24"/>
          <w:szCs w:val="24"/>
          <w:highlight w:val="none"/>
        </w:rPr>
      </w:pPr>
      <w:r>
        <w:rPr>
          <w:rFonts w:hint="eastAsia" w:ascii="仿宋" w:hAnsi="仿宋" w:eastAsia="仿宋" w:cs="仿宋"/>
          <w:strike w:val="0"/>
          <w:dstrike w:val="0"/>
          <w:color w:val="auto"/>
          <w:sz w:val="24"/>
          <w:szCs w:val="24"/>
          <w:highlight w:val="none"/>
        </w:rPr>
        <w:t>（4）教材采购费用</w:t>
      </w:r>
      <w:r>
        <w:rPr>
          <w:rFonts w:hint="eastAsia" w:ascii="仿宋" w:hAnsi="仿宋" w:eastAsia="仿宋" w:cs="仿宋"/>
          <w:b w:val="0"/>
          <w:bCs w:val="0"/>
          <w:strike w:val="0"/>
          <w:dstrike w:val="0"/>
          <w:color w:val="auto"/>
          <w:sz w:val="24"/>
          <w:szCs w:val="24"/>
          <w:highlight w:val="none"/>
          <w:lang w:val="en-US" w:eastAsia="zh-CN"/>
        </w:rPr>
        <w:t>结合招标文件考核办法</w:t>
      </w:r>
      <w:r>
        <w:rPr>
          <w:rFonts w:hint="eastAsia" w:ascii="仿宋" w:hAnsi="仿宋" w:eastAsia="仿宋" w:cs="仿宋"/>
          <w:strike w:val="0"/>
          <w:dstrike w:val="0"/>
          <w:color w:val="auto"/>
          <w:sz w:val="24"/>
          <w:szCs w:val="24"/>
          <w:highlight w:val="none"/>
        </w:rPr>
        <w:t>每年结算方式进行，但如出现因实际招生人数未达到原计划招生数而产生的教材多出部分的，供应商应无条件退费。</w:t>
      </w:r>
    </w:p>
    <w:p w14:paraId="5C2B9CCC">
      <w:pPr>
        <w:pStyle w:val="2"/>
        <w:rPr>
          <w:rFonts w:hint="default" w:eastAsia="仿宋"/>
          <w:color w:val="auto"/>
          <w:highlight w:val="none"/>
          <w:lang w:val="en-US" w:eastAsia="zh-CN"/>
        </w:rPr>
      </w:pPr>
      <w:r>
        <w:rPr>
          <w:rFonts w:hint="eastAsia" w:ascii="仿宋" w:hAnsi="仿宋" w:eastAsia="仿宋" w:cs="仿宋"/>
          <w:strike w:val="0"/>
          <w:dstrike w:val="0"/>
          <w:color w:val="auto"/>
          <w:sz w:val="24"/>
          <w:szCs w:val="24"/>
          <w:highlight w:val="none"/>
          <w:lang w:eastAsia="zh-CN"/>
        </w:rPr>
        <w:t>（</w:t>
      </w:r>
      <w:r>
        <w:rPr>
          <w:rFonts w:hint="eastAsia" w:ascii="仿宋" w:hAnsi="仿宋" w:eastAsia="仿宋" w:cs="仿宋"/>
          <w:strike w:val="0"/>
          <w:dstrike w:val="0"/>
          <w:color w:val="auto"/>
          <w:sz w:val="24"/>
          <w:szCs w:val="24"/>
          <w:highlight w:val="none"/>
          <w:lang w:val="en-US" w:eastAsia="zh-CN"/>
        </w:rPr>
        <w:t>5）教材费按实际发放至学生手中的教材数量及合同约定折扣进行结算。因学生学籍异动退回的教材，须从结算总数中据实扣除。最终结算金额以采购人审核确认的书面结算单据为准。</w:t>
      </w:r>
    </w:p>
    <w:p w14:paraId="66B4C18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4、交货时间及地点：</w:t>
      </w:r>
    </w:p>
    <w:p w14:paraId="560CD11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w:t>
      </w:r>
      <w:r>
        <w:rPr>
          <w:rFonts w:hint="eastAsia" w:ascii="仿宋" w:hAnsi="仿宋" w:eastAsia="仿宋" w:cs="仿宋"/>
          <w:color w:val="auto"/>
          <w:sz w:val="24"/>
          <w:szCs w:val="24"/>
          <w:highlight w:val="none"/>
          <w:lang w:val="en-US" w:eastAsia="zh-CN"/>
        </w:rPr>
        <w:t>吉安市中等专业学校新校区内指定地点</w:t>
      </w:r>
      <w:r>
        <w:rPr>
          <w:rFonts w:hint="eastAsia" w:ascii="仿宋" w:hAnsi="仿宋" w:eastAsia="仿宋" w:cs="仿宋"/>
          <w:color w:val="auto"/>
          <w:sz w:val="24"/>
          <w:szCs w:val="24"/>
          <w:highlight w:val="none"/>
        </w:rPr>
        <w:t>；</w:t>
      </w:r>
    </w:p>
    <w:p w14:paraId="0D448A4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（2）随书提供标准格式的纸质配送目录清单和电子格式清单以及接收单到采购人指定的地点。 </w:t>
      </w:r>
    </w:p>
    <w:p w14:paraId="52823F8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5、质保期售后：</w:t>
      </w:r>
    </w:p>
    <w:p w14:paraId="62D8A5A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（1）质量保证期：本项目质保期为验收合格之日起</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2个月。</w:t>
      </w:r>
    </w:p>
    <w:p w14:paraId="0145F80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（2）在质保期内，所有教材书籍均需提供无条件退换等售后服务，一旦发生质量问题，</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人需24 小时内响应。承诺及时到现场进行修理或更换书籍。</w:t>
      </w:r>
    </w:p>
    <w:p w14:paraId="08B34D2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中标人</w:t>
      </w:r>
      <w:r>
        <w:rPr>
          <w:rFonts w:hint="eastAsia" w:ascii="仿宋" w:hAnsi="仿宋" w:eastAsia="仿宋" w:cs="仿宋"/>
          <w:color w:val="auto"/>
          <w:sz w:val="24"/>
          <w:szCs w:val="24"/>
          <w:highlight w:val="none"/>
        </w:rPr>
        <w:t>在项目实施或服务过程中发生的重大人员、产品质量事故，或因</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人管理不善等原因造成的人员伤亡等责任事故均由</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人负责，采购人不承担任何法律及经济责任。</w:t>
      </w:r>
    </w:p>
    <w:p w14:paraId="456D338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（4）未经采购人许可，不得更改书目。</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必须按照采购人订购的教材品种、数量及时供货，到货准确率及到货时间完全达到合同要求。除出版社取消出版、推迟出版或发生影响合同履行的不可抗力事件以外，若不能按时供货的教材品种数超过该批订单订购数的2%，将从</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方的货款中扣除10000元人民币作为违约赔偿金。超过该批订单订购数的3%，即视为</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为不具备供货条件，采购人有权要求终止合同，终止合同所造成的损失由</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 xml:space="preserve">承担。 </w:t>
      </w:r>
    </w:p>
    <w:p w14:paraId="678A011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（5）如采购人在项目的实施过程中对采购货物的需求如数量等有变化，按学生个人领书签字确认表计量，</w:t>
      </w:r>
      <w:r>
        <w:rPr>
          <w:rFonts w:hint="eastAsia" w:ascii="仿宋" w:hAnsi="仿宋" w:eastAsia="仿宋" w:cs="仿宋"/>
          <w:color w:val="auto"/>
          <w:sz w:val="24"/>
          <w:szCs w:val="24"/>
          <w:highlight w:val="none"/>
          <w:lang w:eastAsia="zh-CN"/>
        </w:rPr>
        <w:t>折扣</w:t>
      </w:r>
      <w:r>
        <w:rPr>
          <w:rFonts w:hint="eastAsia" w:ascii="仿宋" w:hAnsi="仿宋" w:eastAsia="仿宋" w:cs="仿宋"/>
          <w:color w:val="auto"/>
          <w:sz w:val="24"/>
          <w:szCs w:val="24"/>
          <w:highlight w:val="none"/>
        </w:rPr>
        <w:t>按</w:t>
      </w:r>
      <w:r>
        <w:rPr>
          <w:rFonts w:hint="eastAsia" w:ascii="仿宋" w:hAnsi="仿宋" w:eastAsia="仿宋" w:cs="仿宋"/>
          <w:color w:val="auto"/>
          <w:sz w:val="24"/>
          <w:szCs w:val="24"/>
          <w:highlight w:val="none"/>
          <w:lang w:eastAsia="zh-CN"/>
        </w:rPr>
        <w:t>中标折扣</w:t>
      </w:r>
      <w:r>
        <w:rPr>
          <w:rFonts w:hint="eastAsia" w:ascii="仿宋" w:hAnsi="仿宋" w:eastAsia="仿宋" w:cs="仿宋"/>
          <w:color w:val="auto"/>
          <w:sz w:val="24"/>
          <w:szCs w:val="24"/>
          <w:highlight w:val="none"/>
        </w:rPr>
        <w:t>计算。</w:t>
      </w:r>
    </w:p>
    <w:p w14:paraId="63200AA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到货签收</w:t>
      </w:r>
      <w:r>
        <w:rPr>
          <w:rFonts w:hint="eastAsia" w:ascii="仿宋" w:hAnsi="仿宋" w:eastAsia="仿宋" w:cs="仿宋"/>
          <w:color w:val="auto"/>
          <w:sz w:val="24"/>
          <w:szCs w:val="24"/>
          <w:highlight w:val="none"/>
        </w:rPr>
        <w:t>：</w:t>
      </w:r>
    </w:p>
    <w:p w14:paraId="1E72D89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人货物经过双方认可后，签署</w:t>
      </w:r>
      <w:r>
        <w:rPr>
          <w:rFonts w:hint="eastAsia" w:ascii="仿宋" w:hAnsi="仿宋" w:eastAsia="仿宋" w:cs="仿宋"/>
          <w:color w:val="auto"/>
          <w:sz w:val="24"/>
          <w:szCs w:val="24"/>
          <w:highlight w:val="none"/>
          <w:lang w:val="en-US" w:eastAsia="zh-CN"/>
        </w:rPr>
        <w:t>到货签收单</w:t>
      </w:r>
      <w:r>
        <w:rPr>
          <w:rFonts w:hint="eastAsia" w:ascii="仿宋" w:hAnsi="仿宋" w:eastAsia="仿宋" w:cs="仿宋"/>
          <w:color w:val="auto"/>
          <w:sz w:val="24"/>
          <w:szCs w:val="24"/>
          <w:highlight w:val="none"/>
        </w:rPr>
        <w:t xml:space="preserve">。 </w:t>
      </w:r>
    </w:p>
    <w:p w14:paraId="76AF232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（2）当满足以下条件时，采购人才向</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人签发</w:t>
      </w:r>
      <w:r>
        <w:rPr>
          <w:rFonts w:hint="eastAsia" w:ascii="仿宋" w:hAnsi="仿宋" w:eastAsia="仿宋" w:cs="仿宋"/>
          <w:color w:val="auto"/>
          <w:sz w:val="24"/>
          <w:szCs w:val="24"/>
          <w:highlight w:val="none"/>
          <w:lang w:val="en-US" w:eastAsia="zh-CN"/>
        </w:rPr>
        <w:t>到货签收单</w:t>
      </w:r>
      <w:r>
        <w:rPr>
          <w:rFonts w:hint="eastAsia" w:ascii="仿宋" w:hAnsi="仿宋" w:eastAsia="仿宋" w:cs="仿宋"/>
          <w:color w:val="auto"/>
          <w:sz w:val="24"/>
          <w:szCs w:val="24"/>
          <w:highlight w:val="none"/>
        </w:rPr>
        <w:t>：</w:t>
      </w:r>
    </w:p>
    <w:p w14:paraId="6B53C8C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人已按照合同规定提供了全部教材书籍并按提供全部书籍清单。</w:t>
      </w:r>
    </w:p>
    <w:p w14:paraId="31909B0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2）书籍包装表面须注明</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人名称、批次号、包号，包内纸质教材码放整齐，同种纸质教材须放在一起，顺序与书籍清单一致。</w:t>
      </w:r>
    </w:p>
    <w:p w14:paraId="2E7370D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（3）交付验收标准：依次序对照适用标准为：</w:t>
      </w:r>
    </w:p>
    <w:p w14:paraId="335FD03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1）符合中华人民共和国国家相关行业标准。</w:t>
      </w:r>
    </w:p>
    <w:p w14:paraId="1ACAF11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2）符合</w:t>
      </w:r>
      <w:r>
        <w:rPr>
          <w:rFonts w:hint="eastAsia" w:ascii="仿宋" w:hAnsi="仿宋" w:eastAsia="仿宋" w:cs="仿宋"/>
          <w:color w:val="auto"/>
          <w:sz w:val="24"/>
          <w:szCs w:val="24"/>
          <w:highlight w:val="none"/>
          <w:lang w:val="en-US" w:eastAsia="zh-CN"/>
        </w:rPr>
        <w:t>招标</w:t>
      </w:r>
      <w:r>
        <w:rPr>
          <w:rFonts w:hint="eastAsia" w:ascii="仿宋" w:hAnsi="仿宋" w:eastAsia="仿宋" w:cs="仿宋"/>
          <w:color w:val="auto"/>
          <w:sz w:val="24"/>
          <w:szCs w:val="24"/>
          <w:highlight w:val="none"/>
        </w:rPr>
        <w:t>文件和响应承诺中采购人认可的合理最佳配置、参数及各项要求。</w:t>
      </w:r>
    </w:p>
    <w:p w14:paraId="0460D5D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3）上述标准必须是有关官方机构发布的最新版本的标准。</w:t>
      </w:r>
    </w:p>
    <w:p w14:paraId="70CAEB4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7、商品包装要求（如果所供产品具有包装）：根据《商品包装政府采购需求标准（试行）》，商品包装有7项环保要求：</w:t>
      </w:r>
    </w:p>
    <w:p w14:paraId="568940A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（1）商品包装层数不得超过3层，空隙率不大于40%；</w:t>
      </w:r>
    </w:p>
    <w:p w14:paraId="1AC9FF8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（2）商品包装尽可能使用单一 材质的包装材料，如因功能需求必需使用不同材质，不同材质间应便于分离；</w:t>
      </w:r>
    </w:p>
    <w:p w14:paraId="4DB31F5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（3）商品包装中铅、汞、镉、六价铬的总含量应不大于100mg/kg；</w:t>
      </w:r>
    </w:p>
    <w:p w14:paraId="08F9C2D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（4）商品包装 印刷使用的油墨中挥发性有机化合物(VOCs)含量应不大于5%（以重量计）；</w:t>
      </w:r>
    </w:p>
    <w:p w14:paraId="7926830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（5）塑料材质商品包装上呈现的印刷颜色不得超过6色；</w:t>
      </w:r>
    </w:p>
    <w:p w14:paraId="2D588F1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（6）纸质商品包装应使用 75%以上的可再生纤维原料生产；</w:t>
      </w:r>
    </w:p>
    <w:p w14:paraId="1EF26B8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（7）木质商品包装的原料应来源于可持续性森林。</w:t>
      </w:r>
    </w:p>
    <w:p w14:paraId="051E821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8.价格条件</w:t>
      </w:r>
    </w:p>
    <w:p w14:paraId="4C33523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各种教材价格不高于出版社码洋价的8</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w:t>
      </w:r>
    </w:p>
    <w:p w14:paraId="038D40C7">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9.知识产权</w:t>
      </w:r>
    </w:p>
    <w:p w14:paraId="01BB9AED">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中标供应商应保证采购人在使用教材时不受任何关于侵犯所有权和工业产权、著作权（版权）等知识产权的指控。如果任何第三方提出侵权指控，中标供应商承担一切与之有关的责任。</w:t>
      </w:r>
    </w:p>
    <w:p w14:paraId="2572A926">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10、本项目不接受合同分包</w:t>
      </w:r>
    </w:p>
    <w:p w14:paraId="50D7440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、其他未尽事宜，请与采购人联系。</w:t>
      </w:r>
    </w:p>
    <w:p w14:paraId="386C0500">
      <w:pPr>
        <w:keepNext w:val="0"/>
        <w:keepLines w:val="0"/>
        <w:pageBreakBefore w:val="0"/>
        <w:widowControl w:val="0"/>
        <w:kinsoku/>
        <w:wordWrap/>
        <w:overflowPunct/>
        <w:topLinePunct w:val="0"/>
        <w:autoSpaceDE/>
        <w:autoSpaceDN/>
        <w:bidi w:val="0"/>
        <w:adjustRightInd/>
        <w:snapToGrid/>
        <w:spacing w:after="156" w:afterLines="50" w:line="312" w:lineRule="auto"/>
        <w:ind w:firstLine="482"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b/>
          <w:bCs/>
          <w:color w:val="auto"/>
          <w:sz w:val="24"/>
          <w:szCs w:val="24"/>
          <w:highlight w:val="none"/>
        </w:rPr>
        <w:t>注：以上商务条款为最低指标，供应商必须全部响应(满足或优于商务要求)</w:t>
      </w:r>
      <w:r>
        <w:rPr>
          <w:rFonts w:hint="eastAsia" w:ascii="仿宋" w:hAnsi="仿宋" w:eastAsia="仿宋" w:cs="仿宋"/>
          <w:b/>
          <w:bCs/>
          <w:color w:val="auto"/>
          <w:sz w:val="24"/>
          <w:szCs w:val="24"/>
          <w:highlight w:val="none"/>
          <w:lang w:eastAsia="zh-CN"/>
        </w:rPr>
        <w:t>。</w:t>
      </w:r>
    </w:p>
    <w:p w14:paraId="04DDE724">
      <w:pPr>
        <w:keepNext w:val="0"/>
        <w:keepLines w:val="0"/>
        <w:pageBreakBefore w:val="0"/>
        <w:widowControl w:val="0"/>
        <w:kinsoku/>
        <w:wordWrap/>
        <w:overflowPunct/>
        <w:topLinePunct w:val="0"/>
        <w:autoSpaceDE/>
        <w:autoSpaceDN/>
        <w:bidi w:val="0"/>
        <w:adjustRightInd/>
        <w:snapToGrid/>
        <w:spacing w:after="156" w:afterLines="50" w:line="312" w:lineRule="auto"/>
        <w:ind w:firstLine="480" w:firstLineChars="200"/>
        <w:textAlignment w:val="auto"/>
        <w:rPr>
          <w:rFonts w:hint="eastAsia" w:ascii="仿宋" w:hAnsi="仿宋" w:eastAsia="仿宋" w:cs="仿宋"/>
          <w:b/>
          <w:color w:val="auto"/>
          <w:szCs w:val="21"/>
          <w:highlight w:val="none"/>
          <w:u w:val="single"/>
          <w:lang w:eastAsia="zh-CN"/>
        </w:rPr>
      </w:pPr>
      <w:r>
        <w:rPr>
          <w:rFonts w:hint="eastAsia" w:ascii="仿宋" w:hAnsi="仿宋" w:eastAsia="仿宋" w:cs="仿宋"/>
          <w:color w:val="auto"/>
          <w:szCs w:val="24"/>
          <w:highlight w:val="none"/>
        </w:rPr>
        <w:t>本人作为投标人法人代表，清楚知晓我单位参与（开标时间）</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年</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月</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日，本项目（项目名称</w:t>
      </w:r>
      <w:r>
        <w:rPr>
          <w:rFonts w:hint="eastAsia" w:ascii="仿宋" w:hAnsi="仿宋" w:eastAsia="仿宋" w:cs="仿宋"/>
          <w:color w:val="auto"/>
          <w:szCs w:val="24"/>
          <w:highlight w:val="none"/>
          <w:lang w:eastAsia="zh-CN"/>
        </w:rPr>
        <w:t>、</w:t>
      </w:r>
      <w:r>
        <w:rPr>
          <w:rFonts w:hint="eastAsia" w:ascii="仿宋" w:hAnsi="仿宋" w:eastAsia="仿宋" w:cs="仿宋"/>
          <w:color w:val="auto"/>
          <w:szCs w:val="24"/>
          <w:highlight w:val="none"/>
          <w:lang w:val="en-US" w:eastAsia="zh-CN"/>
        </w:rPr>
        <w:t>项目编号</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的投标活动，对以</w:t>
      </w:r>
      <w:r>
        <w:rPr>
          <w:rFonts w:hint="eastAsia" w:ascii="仿宋" w:hAnsi="仿宋" w:eastAsia="仿宋" w:cs="仿宋"/>
          <w:color w:val="auto"/>
          <w:szCs w:val="24"/>
          <w:highlight w:val="none"/>
          <w:lang w:eastAsia="zh-CN"/>
        </w:rPr>
        <w:t>上</w:t>
      </w:r>
      <w:r>
        <w:rPr>
          <w:rFonts w:hint="eastAsia" w:ascii="仿宋" w:hAnsi="仿宋" w:eastAsia="仿宋" w:cs="仿宋"/>
          <w:color w:val="auto"/>
          <w:szCs w:val="24"/>
          <w:highlight w:val="none"/>
        </w:rPr>
        <w:t>事项作出承诺：</w:t>
      </w:r>
    </w:p>
    <w:p w14:paraId="07531D03">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我单位响应以上所有商务条件并遵循公开、公平、公正、诚实守信的原则，依法依规参与本项目的投标。</w:t>
      </w:r>
    </w:p>
    <w:p w14:paraId="0E31CE0A">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lang w:eastAsia="zh-CN"/>
        </w:rPr>
        <w:t>法定代表人（或授权委托人）签字或章</w:t>
      </w:r>
      <w:r>
        <w:rPr>
          <w:rFonts w:hint="eastAsia" w:ascii="仿宋" w:hAnsi="仿宋" w:eastAsia="仿宋" w:cs="仿宋"/>
          <w:color w:val="auto"/>
          <w:szCs w:val="24"/>
          <w:highlight w:val="none"/>
        </w:rPr>
        <w:t>：</w:t>
      </w:r>
    </w:p>
    <w:p w14:paraId="404A6462">
      <w:pPr>
        <w:keepNext w:val="0"/>
        <w:keepLines w:val="0"/>
        <w:pageBreakBefore w:val="0"/>
        <w:widowControl w:val="0"/>
        <w:kinsoku/>
        <w:wordWrap/>
        <w:overflowPunct/>
        <w:topLinePunct w:val="0"/>
        <w:autoSpaceDE/>
        <w:autoSpaceDN/>
        <w:bidi w:val="0"/>
        <w:adjustRightInd/>
        <w:snapToGrid/>
        <w:spacing w:after="156" w:afterLines="50" w:line="312" w:lineRule="auto"/>
        <w:ind w:firstLine="480" w:firstLineChars="200"/>
        <w:jc w:val="center"/>
        <w:textAlignment w:val="auto"/>
        <w:rPr>
          <w:rFonts w:hint="eastAsia" w:ascii="仿宋" w:hAnsi="仿宋" w:eastAsia="仿宋" w:cs="仿宋"/>
          <w:color w:val="auto"/>
          <w:sz w:val="24"/>
          <w:highlight w:val="none"/>
          <w:u w:val="single"/>
        </w:rPr>
      </w:pP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rPr>
        <w:t>投标单位（盖章）：</w:t>
      </w:r>
    </w:p>
    <w:p w14:paraId="7FB48D2C">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br w:type="page"/>
      </w:r>
    </w:p>
    <w:p w14:paraId="276709C3">
      <w:pPr>
        <w:pStyle w:val="4"/>
        <w:bidi w:val="0"/>
        <w:jc w:val="center"/>
        <w:rPr>
          <w:rFonts w:hint="eastAsia" w:ascii="仿宋" w:hAnsi="仿宋" w:eastAsia="仿宋" w:cs="仿宋"/>
          <w:color w:val="auto"/>
          <w:highlight w:val="none"/>
        </w:rPr>
      </w:pPr>
      <w:bookmarkStart w:id="349" w:name="_Toc2757"/>
      <w:bookmarkStart w:id="350" w:name="_Toc494114902"/>
      <w:bookmarkStart w:id="351" w:name="_Toc610"/>
      <w:bookmarkStart w:id="352" w:name="_Toc9758"/>
      <w:bookmarkStart w:id="353" w:name="_Toc32167"/>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投标人应当提交的资格、资信证明文件</w:t>
      </w:r>
      <w:bookmarkEnd w:id="349"/>
      <w:bookmarkEnd w:id="350"/>
      <w:bookmarkEnd w:id="351"/>
      <w:bookmarkEnd w:id="352"/>
      <w:bookmarkEnd w:id="353"/>
    </w:p>
    <w:p w14:paraId="0021EDFD">
      <w:pPr>
        <w:spacing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填写须知 </w:t>
      </w:r>
    </w:p>
    <w:p w14:paraId="5D317DB4">
      <w:pPr>
        <w:spacing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1）投标人应填写和提交下述规定的资格、资信证明文件（所有资格、资信证明文件应加盖投标人电子公章，未提交或不满足要求均视为无效投标）。 </w:t>
      </w:r>
    </w:p>
    <w:p w14:paraId="0FFE88AF">
      <w:pPr>
        <w:spacing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2）所附格式中要求填写的全部内容都必须如实填写。 </w:t>
      </w:r>
    </w:p>
    <w:p w14:paraId="7A8BADD3">
      <w:pPr>
        <w:spacing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 xml:space="preserve">3）本资格声明的签字人应保证全部声明和填写的内容是真实的和正确的。 </w:t>
      </w:r>
    </w:p>
    <w:p w14:paraId="4B8386D4">
      <w:pPr>
        <w:spacing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4）评标委员会将应用投标人提交的资料，根据自己的判断和考虑决定投标人履行合同的合格性及能力。</w:t>
      </w:r>
    </w:p>
    <w:p w14:paraId="49A5F5CF">
      <w:pPr>
        <w:spacing w:line="360" w:lineRule="auto"/>
        <w:ind w:firstLine="482" w:firstLineChars="200"/>
        <w:rPr>
          <w:rFonts w:hint="eastAsia" w:ascii="仿宋" w:hAnsi="仿宋" w:eastAsia="仿宋" w:cs="仿宋"/>
          <w:color w:val="auto"/>
          <w:szCs w:val="24"/>
          <w:highlight w:val="none"/>
        </w:rPr>
      </w:pPr>
      <w:r>
        <w:rPr>
          <w:rFonts w:hint="eastAsia" w:ascii="仿宋" w:hAnsi="仿宋" w:eastAsia="仿宋" w:cs="仿宋"/>
          <w:b/>
          <w:bCs/>
          <w:color w:val="auto"/>
          <w:szCs w:val="24"/>
          <w:highlight w:val="none"/>
        </w:rPr>
        <w:t>一、满足《中华人民共和国政府采购法》第二十二条规定：</w:t>
      </w:r>
    </w:p>
    <w:p w14:paraId="063F3101">
      <w:pPr>
        <w:spacing w:line="360" w:lineRule="auto"/>
        <w:ind w:firstLine="480" w:firstLineChars="200"/>
        <w:rPr>
          <w:rFonts w:hint="eastAsia" w:ascii="仿宋" w:hAnsi="仿宋" w:eastAsia="仿宋" w:cs="仿宋"/>
          <w:b/>
          <w:bCs/>
          <w:color w:val="auto"/>
          <w:szCs w:val="24"/>
          <w:highlight w:val="none"/>
        </w:rPr>
      </w:pP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.1具有独立承担民事责任的能力的资格证明文件</w:t>
      </w:r>
    </w:p>
    <w:p w14:paraId="78DF546E">
      <w:pPr>
        <w:spacing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.2具有良好的商业信誉和健全的财务会计制度的证明文件</w:t>
      </w:r>
    </w:p>
    <w:p w14:paraId="72E8BC9C">
      <w:pPr>
        <w:spacing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.3具有履行合同所必需的设备和专业技术能力的证明文件</w:t>
      </w:r>
    </w:p>
    <w:p w14:paraId="07188519">
      <w:pPr>
        <w:spacing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.4有依法缴纳税收和社会保障资金的良好记录的证明文件</w:t>
      </w:r>
    </w:p>
    <w:p w14:paraId="77F99EAE">
      <w:pPr>
        <w:spacing w:line="360" w:lineRule="auto"/>
        <w:ind w:firstLine="480" w:firstLineChars="200"/>
        <w:rPr>
          <w:rFonts w:hint="eastAsia" w:ascii="仿宋" w:hAnsi="仿宋" w:eastAsia="仿宋" w:cs="仿宋"/>
          <w:b/>
          <w:bCs/>
          <w:color w:val="auto"/>
          <w:szCs w:val="24"/>
          <w:highlight w:val="none"/>
        </w:rPr>
      </w:pP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.5参加政府采购前三年内，在经营活动中没有重大违法记录的证明文件</w:t>
      </w:r>
    </w:p>
    <w:p w14:paraId="34A20E77">
      <w:pPr>
        <w:spacing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.6其他法律要求</w:t>
      </w:r>
    </w:p>
    <w:p w14:paraId="18E65D7D">
      <w:pPr>
        <w:spacing w:line="360" w:lineRule="auto"/>
        <w:ind w:firstLine="482" w:firstLineChars="200"/>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u w:val="none"/>
        </w:rPr>
        <w:t>（以上</w:t>
      </w:r>
      <w:r>
        <w:rPr>
          <w:rFonts w:hint="eastAsia" w:ascii="仿宋" w:hAnsi="仿宋" w:eastAsia="仿宋" w:cs="仿宋"/>
          <w:b/>
          <w:bCs/>
          <w:color w:val="auto"/>
          <w:szCs w:val="24"/>
          <w:highlight w:val="none"/>
          <w:u w:val="none"/>
          <w:lang w:val="en-US" w:eastAsia="zh-CN"/>
        </w:rPr>
        <w:t>可</w:t>
      </w:r>
      <w:r>
        <w:rPr>
          <w:rFonts w:hint="eastAsia" w:ascii="仿宋" w:hAnsi="仿宋" w:eastAsia="仿宋" w:cs="仿宋"/>
          <w:b/>
          <w:bCs/>
          <w:color w:val="auto"/>
          <w:szCs w:val="24"/>
          <w:highlight w:val="none"/>
          <w:u w:val="none"/>
        </w:rPr>
        <w:t>提供江西省政府采购供应商资格信用承诺函加盖</w:t>
      </w:r>
      <w:r>
        <w:rPr>
          <w:rFonts w:hint="eastAsia" w:ascii="仿宋" w:hAnsi="仿宋" w:eastAsia="仿宋" w:cs="仿宋"/>
          <w:b/>
          <w:bCs/>
          <w:color w:val="auto"/>
          <w:szCs w:val="24"/>
          <w:highlight w:val="none"/>
          <w:u w:val="none"/>
          <w:lang w:val="en-US" w:eastAsia="zh-CN"/>
        </w:rPr>
        <w:t>投标</w:t>
      </w:r>
      <w:r>
        <w:rPr>
          <w:rFonts w:hint="eastAsia" w:ascii="仿宋" w:hAnsi="仿宋" w:eastAsia="仿宋" w:cs="仿宋"/>
          <w:b/>
          <w:bCs/>
          <w:color w:val="auto"/>
          <w:szCs w:val="24"/>
          <w:highlight w:val="none"/>
          <w:u w:val="none"/>
        </w:rPr>
        <w:t>人公章）</w:t>
      </w:r>
    </w:p>
    <w:p w14:paraId="5651BD78">
      <w:pPr>
        <w:spacing w:line="360" w:lineRule="auto"/>
        <w:ind w:firstLine="482" w:firstLineChars="200"/>
        <w:rPr>
          <w:rFonts w:hint="eastAsia" w:ascii="仿宋" w:hAnsi="仿宋" w:eastAsia="仿宋" w:cs="仿宋"/>
          <w:color w:val="auto"/>
          <w:szCs w:val="24"/>
          <w:highlight w:val="none"/>
        </w:rPr>
      </w:pPr>
      <w:r>
        <w:rPr>
          <w:rFonts w:hint="eastAsia" w:ascii="仿宋" w:hAnsi="仿宋" w:eastAsia="仿宋" w:cs="仿宋"/>
          <w:b/>
          <w:bCs/>
          <w:color w:val="auto"/>
          <w:szCs w:val="24"/>
          <w:highlight w:val="none"/>
        </w:rPr>
        <w:t>二、其他资格要求；</w:t>
      </w:r>
    </w:p>
    <w:p w14:paraId="1703595B">
      <w:pPr>
        <w:spacing w:line="360" w:lineRule="auto"/>
        <w:ind w:firstLine="480" w:firstLineChars="200"/>
        <w:rPr>
          <w:rFonts w:hint="eastAsia" w:ascii="仿宋" w:hAnsi="仿宋" w:eastAsia="仿宋" w:cs="仿宋"/>
          <w:b/>
          <w:bCs/>
          <w:color w:val="auto"/>
          <w:szCs w:val="24"/>
          <w:highlight w:val="none"/>
        </w:rPr>
      </w:pP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.7法定代表人（或经营者）授权书</w:t>
      </w:r>
      <w:r>
        <w:rPr>
          <w:rFonts w:hint="eastAsia" w:ascii="仿宋" w:hAnsi="仿宋" w:eastAsia="仿宋" w:cs="仿宋"/>
          <w:b/>
          <w:bCs/>
          <w:color w:val="auto"/>
          <w:szCs w:val="24"/>
          <w:highlight w:val="none"/>
        </w:rPr>
        <w:t>（详见格式</w:t>
      </w:r>
      <w:r>
        <w:rPr>
          <w:rFonts w:hint="eastAsia" w:ascii="仿宋" w:hAnsi="仿宋" w:eastAsia="仿宋" w:cs="仿宋"/>
          <w:b/>
          <w:bCs/>
          <w:color w:val="auto"/>
          <w:szCs w:val="24"/>
          <w:highlight w:val="none"/>
          <w:lang w:val="en-US" w:eastAsia="zh-CN"/>
        </w:rPr>
        <w:t>6</w:t>
      </w:r>
      <w:r>
        <w:rPr>
          <w:rFonts w:hint="eastAsia" w:ascii="仿宋" w:hAnsi="仿宋" w:eastAsia="仿宋" w:cs="仿宋"/>
          <w:b/>
          <w:bCs/>
          <w:color w:val="auto"/>
          <w:szCs w:val="24"/>
          <w:highlight w:val="none"/>
        </w:rPr>
        <w:t>-2法定代表人（或经营者）授权书）</w:t>
      </w:r>
    </w:p>
    <w:p w14:paraId="406D59C8">
      <w:pPr>
        <w:spacing w:line="360" w:lineRule="auto"/>
        <w:ind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6</w:t>
      </w:r>
      <w:r>
        <w:rPr>
          <w:rFonts w:hint="eastAsia" w:ascii="仿宋" w:hAnsi="仿宋" w:eastAsia="仿宋" w:cs="仿宋"/>
          <w:color w:val="auto"/>
          <w:szCs w:val="24"/>
          <w:highlight w:val="none"/>
        </w:rPr>
        <w:t>.8投标人的资格声明</w:t>
      </w:r>
      <w:r>
        <w:rPr>
          <w:rFonts w:hint="eastAsia" w:ascii="仿宋" w:hAnsi="仿宋" w:eastAsia="仿宋" w:cs="仿宋"/>
          <w:b w:val="0"/>
          <w:bCs w:val="0"/>
          <w:color w:val="auto"/>
          <w:szCs w:val="24"/>
          <w:highlight w:val="none"/>
        </w:rPr>
        <w:t>（详见格式</w:t>
      </w:r>
      <w:r>
        <w:rPr>
          <w:rFonts w:hint="eastAsia" w:ascii="仿宋" w:hAnsi="仿宋" w:eastAsia="仿宋" w:cs="仿宋"/>
          <w:b w:val="0"/>
          <w:bCs w:val="0"/>
          <w:color w:val="auto"/>
          <w:szCs w:val="24"/>
          <w:highlight w:val="none"/>
          <w:lang w:val="en-US" w:eastAsia="zh-CN"/>
        </w:rPr>
        <w:t>6</w:t>
      </w:r>
      <w:r>
        <w:rPr>
          <w:rFonts w:hint="eastAsia" w:ascii="仿宋" w:hAnsi="仿宋" w:eastAsia="仿宋" w:cs="仿宋"/>
          <w:b w:val="0"/>
          <w:bCs w:val="0"/>
          <w:color w:val="auto"/>
          <w:szCs w:val="24"/>
          <w:highlight w:val="none"/>
        </w:rPr>
        <w:t>-</w:t>
      </w:r>
      <w:r>
        <w:rPr>
          <w:rFonts w:hint="eastAsia" w:ascii="仿宋" w:hAnsi="仿宋" w:eastAsia="仿宋" w:cs="仿宋"/>
          <w:b w:val="0"/>
          <w:bCs w:val="0"/>
          <w:color w:val="auto"/>
          <w:szCs w:val="24"/>
          <w:highlight w:val="none"/>
          <w:lang w:val="en-US" w:eastAsia="zh-CN"/>
        </w:rPr>
        <w:t>3</w:t>
      </w:r>
      <w:r>
        <w:rPr>
          <w:rFonts w:hint="eastAsia" w:ascii="仿宋" w:hAnsi="仿宋" w:eastAsia="仿宋" w:cs="仿宋"/>
          <w:b w:val="0"/>
          <w:bCs w:val="0"/>
          <w:color w:val="auto"/>
          <w:szCs w:val="24"/>
          <w:highlight w:val="none"/>
        </w:rPr>
        <w:t>投标人的资格声明）</w:t>
      </w:r>
    </w:p>
    <w:p w14:paraId="4DE80B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6.9特定资格证明文件</w:t>
      </w:r>
      <w:r>
        <w:rPr>
          <w:rFonts w:hint="eastAsia" w:ascii="仿宋" w:hAnsi="仿宋" w:eastAsia="仿宋" w:cs="仿宋"/>
          <w:color w:val="auto"/>
          <w:sz w:val="24"/>
          <w:szCs w:val="24"/>
          <w:highlight w:val="none"/>
        </w:rPr>
        <w:br w:type="page"/>
      </w:r>
    </w:p>
    <w:p w14:paraId="10BD6EB0">
      <w:pPr>
        <w:pStyle w:val="4"/>
        <w:bidi w:val="0"/>
        <w:jc w:val="center"/>
        <w:rPr>
          <w:rFonts w:hint="eastAsia" w:ascii="仿宋" w:hAnsi="仿宋" w:eastAsia="仿宋" w:cs="仿宋"/>
          <w:color w:val="auto"/>
          <w:highlight w:val="none"/>
          <w:lang w:val="en-US" w:eastAsia="zh-CN"/>
        </w:rPr>
      </w:pPr>
      <w:bookmarkStart w:id="354" w:name="_Toc21606"/>
      <w:r>
        <w:rPr>
          <w:rFonts w:hint="eastAsia" w:ascii="仿宋" w:hAnsi="仿宋" w:eastAsia="仿宋" w:cs="仿宋"/>
          <w:color w:val="auto"/>
          <w:highlight w:val="none"/>
          <w:lang w:val="en-US" w:eastAsia="zh-CN"/>
        </w:rPr>
        <w:t>6-1江西省政府采购供应商资格信用承诺函</w:t>
      </w:r>
      <w:bookmarkEnd w:id="354"/>
    </w:p>
    <w:p w14:paraId="11F01041">
      <w:pPr>
        <w:bidi w:val="0"/>
        <w:spacing w:line="480" w:lineRule="auto"/>
        <w:rPr>
          <w:rFonts w:hint="eastAsia" w:ascii="仿宋" w:hAnsi="仿宋" w:eastAsia="仿宋" w:cs="仿宋"/>
          <w:color w:val="auto"/>
          <w:sz w:val="24"/>
          <w:szCs w:val="24"/>
          <w:highlight w:val="none"/>
          <w:lang w:val="en-US" w:eastAsia="zh-CN"/>
        </w:rPr>
      </w:pPr>
    </w:p>
    <w:p w14:paraId="7D8B245C">
      <w:pPr>
        <w:bidi w:val="0"/>
        <w:spacing w:line="48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致（采购人或政府采购代理机构）：</w:t>
      </w:r>
    </w:p>
    <w:p w14:paraId="0750233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单位名称（自然人姓名）：</w:t>
      </w:r>
    </w:p>
    <w:p w14:paraId="3125C0C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统一社会信用代码（身份证号码）：</w:t>
      </w:r>
    </w:p>
    <w:p w14:paraId="3822080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法定代表人（负责人）：</w:t>
      </w:r>
    </w:p>
    <w:p w14:paraId="09AC2C9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联系地址和电话：</w:t>
      </w:r>
    </w:p>
    <w:p w14:paraId="5F1EB449">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我单位（本人）自愿参加本次政府采购活动，严格遵守《中华人民共和国政府采购法》及相关法律法规，坚守公开、公平、公正和诚实信用等原则，依法诚信经营，并郑重承诺：</w:t>
      </w:r>
    </w:p>
    <w:p w14:paraId="61CCEE0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（一）我单位（本人）符合采购文件要求以及《中华人民共和国政府采购法》第二十二条规定的条件：</w:t>
      </w:r>
    </w:p>
    <w:p w14:paraId="2DFB606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1.具有独立承担民事责任的能力；</w:t>
      </w:r>
    </w:p>
    <w:p w14:paraId="50AD453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2.具有良好的商业信誉和健全的财务会计制度；</w:t>
      </w:r>
    </w:p>
    <w:p w14:paraId="30E428E7">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5B59DDE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4.有依法缴纳税收和社会保障资金的良好记录；</w:t>
      </w:r>
    </w:p>
    <w:p w14:paraId="45462A0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5.参加政府采购活动前三年内，在经营活动中没有重大违法记录；</w:t>
      </w:r>
    </w:p>
    <w:p w14:paraId="5BC469D2">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6.符合法律、行政法规规定的其他条件。</w:t>
      </w:r>
    </w:p>
    <w:p w14:paraId="5848B8AC">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（二）我单位（本人）未被列入严重失信主体名单、失信被执行人、税收违法黑名单、政府采购严重违法失信行为记录名单。</w:t>
      </w:r>
    </w:p>
    <w:p w14:paraId="6B7B5FEC">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15D73539">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p>
    <w:p w14:paraId="2E31DCF7">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供应商名称（单位公章）：</w:t>
      </w:r>
    </w:p>
    <w:p w14:paraId="7FCE2E6E">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或自然人（签字）：</w:t>
      </w:r>
    </w:p>
    <w:p w14:paraId="7B7597DE">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righ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年   月   日</w:t>
      </w:r>
    </w:p>
    <w:p w14:paraId="2A23C1A2">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p>
    <w:p w14:paraId="05C7674C">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 w:hAnsi="仿宋" w:eastAsia="仿宋" w:cs="仿宋"/>
          <w:color w:val="auto"/>
          <w:sz w:val="24"/>
          <w:szCs w:val="24"/>
          <w:highlight w:val="none"/>
          <w:lang w:val="en-US" w:eastAsia="zh-CN"/>
        </w:rPr>
      </w:pPr>
    </w:p>
    <w:p w14:paraId="2DAC0821">
      <w:pPr>
        <w:keepNext w:val="0"/>
        <w:keepLines w:val="0"/>
        <w:pageBreakBefore w:val="0"/>
        <w:widowControl w:val="0"/>
        <w:kinsoku/>
        <w:wordWrap/>
        <w:overflowPunct/>
        <w:topLinePunct w:val="0"/>
        <w:autoSpaceDE/>
        <w:autoSpaceDN/>
        <w:bidi w:val="0"/>
        <w:adjustRightInd/>
        <w:snapToGrid/>
        <w:spacing w:line="480" w:lineRule="auto"/>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注：1.我单位（本人）专指参加政府采购活动的供应商（含自然人）</w:t>
      </w:r>
    </w:p>
    <w:p w14:paraId="6B440853">
      <w:pPr>
        <w:keepNext w:val="0"/>
        <w:keepLines w:val="0"/>
        <w:pageBreakBefore w:val="0"/>
        <w:widowControl w:val="0"/>
        <w:kinsoku/>
        <w:wordWrap/>
        <w:overflowPunct/>
        <w:topLinePunct w:val="0"/>
        <w:autoSpaceDE/>
        <w:autoSpaceDN/>
        <w:bidi w:val="0"/>
        <w:adjustRightInd/>
        <w:snapToGrid/>
        <w:spacing w:line="480" w:lineRule="auto"/>
        <w:ind w:firstLine="482"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2.供应商须在投标（响应）文件中按此模板提供承诺函，否则，视为未实质性响应招标文件要求，按无效投标（响应）处理。</w:t>
      </w:r>
    </w:p>
    <w:p w14:paraId="025B3D55">
      <w:pP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br w:type="page"/>
      </w:r>
    </w:p>
    <w:p w14:paraId="142A6F69">
      <w:pPr>
        <w:spacing w:line="480" w:lineRule="auto"/>
        <w:rPr>
          <w:rFonts w:hint="eastAsia" w:ascii="仿宋" w:hAnsi="仿宋" w:eastAsia="仿宋" w:cs="仿宋"/>
          <w:color w:val="auto"/>
          <w:szCs w:val="24"/>
          <w:highlight w:val="none"/>
          <w:lang w:eastAsia="zh-CN"/>
        </w:rPr>
      </w:pPr>
      <w:r>
        <w:rPr>
          <w:rFonts w:hint="eastAsia" w:ascii="仿宋" w:hAnsi="仿宋" w:eastAsia="仿宋" w:cs="仿宋"/>
          <w:b/>
          <w:bCs/>
          <w:color w:val="auto"/>
          <w:szCs w:val="24"/>
          <w:highlight w:val="none"/>
          <w:lang w:eastAsia="zh-CN"/>
        </w:rPr>
        <w:t>说明：如供应商提供了《江西省政府采购供应商资格信用承诺函》的，视同提供了满足“《中华人民共和国政府采购法》第二十二条规定”的证明文件，未提供《江西省政府采购供应商资格信用承诺函》的，须提供下列项证明文件，证明其满足“《中华人民共和国政府采购法》第二十二条规定”。</w:t>
      </w:r>
    </w:p>
    <w:p w14:paraId="5C3A2393">
      <w:pPr>
        <w:spacing w:line="480" w:lineRule="auto"/>
        <w:rPr>
          <w:rFonts w:hint="eastAsia" w:ascii="仿宋" w:hAnsi="仿宋" w:eastAsia="仿宋" w:cs="仿宋"/>
          <w:b/>
          <w:bCs/>
          <w:color w:val="auto"/>
          <w:szCs w:val="24"/>
          <w:highlight w:val="none"/>
          <w:lang w:eastAsia="zh-CN"/>
        </w:rPr>
      </w:pPr>
      <w:r>
        <w:rPr>
          <w:rFonts w:hint="eastAsia" w:ascii="仿宋" w:hAnsi="仿宋" w:eastAsia="仿宋" w:cs="仿宋"/>
          <w:b/>
          <w:bCs/>
          <w:color w:val="auto"/>
          <w:szCs w:val="24"/>
          <w:highlight w:val="none"/>
          <w:lang w:eastAsia="zh-CN"/>
        </w:rPr>
        <w:t>1</w:t>
      </w:r>
      <w:r>
        <w:rPr>
          <w:rFonts w:hint="eastAsia" w:ascii="仿宋" w:hAnsi="仿宋" w:eastAsia="仿宋" w:cs="仿宋"/>
          <w:b/>
          <w:bCs/>
          <w:color w:val="auto"/>
          <w:szCs w:val="24"/>
          <w:highlight w:val="none"/>
          <w:lang w:val="en-US" w:eastAsia="zh-CN"/>
        </w:rPr>
        <w:t>.</w:t>
      </w:r>
      <w:r>
        <w:rPr>
          <w:rFonts w:hint="eastAsia" w:ascii="仿宋" w:hAnsi="仿宋" w:eastAsia="仿宋" w:cs="仿宋"/>
          <w:b/>
          <w:bCs/>
          <w:color w:val="auto"/>
          <w:szCs w:val="24"/>
          <w:highlight w:val="none"/>
          <w:lang w:eastAsia="zh-CN"/>
        </w:rPr>
        <w:t>具有独立承担民事责任的能力的资格证明文件</w:t>
      </w:r>
    </w:p>
    <w:p w14:paraId="43480F72">
      <w:pPr>
        <w:spacing w:line="480" w:lineRule="auto"/>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如投标人是企业的（包括合伙企业）应提供有效的“企业法人营业执照”或“营业执照”；如投标人是事业单位的应提供“事业单位法人证书”；如投标人是非企业专业服务机构的应提供执业许可证等证明文件；投标人是个体工商户的应提供有效的“个体工商户营业执照”、组织机构代码证证明文件（实行“统一社会信用代码”的不需单独提供组织机构代码证）；如投标人是自然人的，应提供有效的自然人的身份证明(中国公民)。</w:t>
      </w:r>
    </w:p>
    <w:p w14:paraId="2774A744">
      <w:pPr>
        <w:spacing w:line="480" w:lineRule="auto"/>
        <w:rPr>
          <w:rFonts w:hint="eastAsia" w:ascii="仿宋" w:hAnsi="仿宋" w:eastAsia="仿宋" w:cs="仿宋"/>
          <w:b/>
          <w:bCs/>
          <w:color w:val="auto"/>
          <w:szCs w:val="24"/>
          <w:highlight w:val="none"/>
          <w:lang w:eastAsia="zh-CN"/>
        </w:rPr>
      </w:pPr>
      <w:r>
        <w:rPr>
          <w:rFonts w:hint="eastAsia" w:ascii="仿宋" w:hAnsi="仿宋" w:eastAsia="仿宋" w:cs="仿宋"/>
          <w:b/>
          <w:bCs/>
          <w:color w:val="auto"/>
          <w:szCs w:val="24"/>
          <w:highlight w:val="none"/>
          <w:lang w:eastAsia="zh-CN"/>
        </w:rPr>
        <w:t>2</w:t>
      </w:r>
      <w:r>
        <w:rPr>
          <w:rFonts w:hint="eastAsia" w:ascii="仿宋" w:hAnsi="仿宋" w:eastAsia="仿宋" w:cs="仿宋"/>
          <w:b/>
          <w:bCs/>
          <w:color w:val="auto"/>
          <w:szCs w:val="24"/>
          <w:highlight w:val="none"/>
          <w:lang w:val="en-US" w:eastAsia="zh-CN"/>
        </w:rPr>
        <w:t>.</w:t>
      </w:r>
      <w:r>
        <w:rPr>
          <w:rFonts w:hint="eastAsia" w:ascii="仿宋" w:hAnsi="仿宋" w:eastAsia="仿宋" w:cs="仿宋"/>
          <w:b/>
          <w:bCs/>
          <w:color w:val="auto"/>
          <w:szCs w:val="24"/>
          <w:highlight w:val="none"/>
          <w:lang w:eastAsia="zh-CN"/>
        </w:rPr>
        <w:t>具有良好的商业信誉和健全的财务会计制度的证明文件</w:t>
      </w:r>
    </w:p>
    <w:p w14:paraId="22651FE7">
      <w:pPr>
        <w:spacing w:line="480" w:lineRule="auto"/>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投标人是法人的，提供开标前二个年度内任一年度经审计的财务状况报告</w:t>
      </w:r>
      <w:r>
        <w:rPr>
          <w:rFonts w:hint="eastAsia" w:ascii="仿宋" w:hAnsi="仿宋" w:eastAsia="仿宋" w:cs="仿宋"/>
          <w:b/>
          <w:bCs/>
          <w:color w:val="auto"/>
          <w:szCs w:val="24"/>
          <w:highlight w:val="none"/>
          <w:lang w:eastAsia="zh-CN"/>
        </w:rPr>
        <w:t>（至少含有资质的中介机构的营业执照、执业证书、两个签字注册会计师个人执业资格证书；资产负债表、损益表或利润表、现金流量表及简要报表附注；以上材料缺一不可）</w:t>
      </w:r>
      <w:r>
        <w:rPr>
          <w:rFonts w:hint="eastAsia" w:ascii="仿宋" w:hAnsi="仿宋" w:eastAsia="仿宋" w:cs="仿宋"/>
          <w:color w:val="auto"/>
          <w:szCs w:val="24"/>
          <w:highlight w:val="none"/>
          <w:lang w:eastAsia="zh-CN"/>
        </w:rPr>
        <w:t>或开标前六个月内任意一个月的财务报表</w:t>
      </w:r>
      <w:r>
        <w:rPr>
          <w:rFonts w:hint="eastAsia" w:ascii="仿宋" w:hAnsi="仿宋" w:eastAsia="仿宋" w:cs="仿宋"/>
          <w:b/>
          <w:bCs/>
          <w:color w:val="auto"/>
          <w:szCs w:val="24"/>
          <w:highlight w:val="none"/>
          <w:lang w:eastAsia="zh-CN"/>
        </w:rPr>
        <w:t>（至少含资产负债表、利润表或损益表、现金流量表）</w:t>
      </w:r>
      <w:r>
        <w:rPr>
          <w:rFonts w:hint="eastAsia" w:ascii="仿宋" w:hAnsi="仿宋" w:eastAsia="仿宋" w:cs="仿宋"/>
          <w:color w:val="auto"/>
          <w:szCs w:val="24"/>
          <w:highlight w:val="none"/>
          <w:lang w:eastAsia="zh-CN"/>
        </w:rPr>
        <w:t>，或在开标前三个月内其基本开户银行出具的资信证明；其他组织和自然人，没有经审计的财务报告，可以提供在开标前三个月内银行出具的资信证明；个体工商户提供开标前三个月中国人民银行征信中心开具个人信用报告。</w:t>
      </w:r>
    </w:p>
    <w:p w14:paraId="7E94C75E">
      <w:pPr>
        <w:spacing w:line="480" w:lineRule="auto"/>
        <w:rPr>
          <w:rFonts w:hint="eastAsia" w:ascii="仿宋" w:hAnsi="仿宋" w:eastAsia="仿宋" w:cs="仿宋"/>
          <w:color w:val="auto"/>
          <w:szCs w:val="24"/>
          <w:highlight w:val="none"/>
          <w:lang w:eastAsia="zh-CN"/>
        </w:rPr>
      </w:pPr>
      <w:r>
        <w:rPr>
          <w:rFonts w:hint="eastAsia" w:ascii="仿宋" w:hAnsi="仿宋" w:eastAsia="仿宋" w:cs="仿宋"/>
          <w:b/>
          <w:bCs/>
          <w:color w:val="auto"/>
          <w:szCs w:val="24"/>
          <w:highlight w:val="none"/>
          <w:lang w:eastAsia="zh-CN"/>
        </w:rPr>
        <w:t>3</w:t>
      </w:r>
      <w:r>
        <w:rPr>
          <w:rFonts w:hint="eastAsia" w:ascii="仿宋" w:hAnsi="仿宋" w:eastAsia="仿宋" w:cs="仿宋"/>
          <w:b/>
          <w:bCs/>
          <w:color w:val="auto"/>
          <w:szCs w:val="24"/>
          <w:highlight w:val="none"/>
          <w:lang w:val="en-US" w:eastAsia="zh-CN"/>
        </w:rPr>
        <w:t>.</w:t>
      </w:r>
      <w:r>
        <w:rPr>
          <w:rFonts w:hint="eastAsia" w:ascii="仿宋" w:hAnsi="仿宋" w:eastAsia="仿宋" w:cs="仿宋"/>
          <w:b/>
          <w:bCs/>
          <w:color w:val="auto"/>
          <w:szCs w:val="24"/>
          <w:highlight w:val="none"/>
          <w:lang w:eastAsia="zh-CN"/>
        </w:rPr>
        <w:t>具有履行合同所必需的设备和专业技术能力的证明文件</w:t>
      </w:r>
    </w:p>
    <w:p w14:paraId="37C6DAB8">
      <w:pPr>
        <w:spacing w:line="480" w:lineRule="auto"/>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投标人提供具有履行合同所必需的设备和专业技术能力的承诺函。</w:t>
      </w:r>
    </w:p>
    <w:p w14:paraId="2DE7E25F">
      <w:pPr>
        <w:spacing w:line="480" w:lineRule="auto"/>
        <w:rPr>
          <w:rFonts w:hint="eastAsia" w:ascii="仿宋" w:hAnsi="仿宋" w:eastAsia="仿宋" w:cs="仿宋"/>
          <w:color w:val="auto"/>
          <w:szCs w:val="24"/>
          <w:highlight w:val="none"/>
          <w:lang w:eastAsia="zh-CN"/>
        </w:rPr>
      </w:pPr>
      <w:r>
        <w:rPr>
          <w:rFonts w:hint="eastAsia" w:ascii="仿宋" w:hAnsi="仿宋" w:eastAsia="仿宋" w:cs="仿宋"/>
          <w:b/>
          <w:bCs/>
          <w:color w:val="auto"/>
          <w:szCs w:val="24"/>
          <w:highlight w:val="none"/>
          <w:lang w:eastAsia="zh-CN"/>
        </w:rPr>
        <w:t>4</w:t>
      </w:r>
      <w:r>
        <w:rPr>
          <w:rFonts w:hint="eastAsia" w:ascii="仿宋" w:hAnsi="仿宋" w:eastAsia="仿宋" w:cs="仿宋"/>
          <w:b/>
          <w:bCs/>
          <w:color w:val="auto"/>
          <w:szCs w:val="24"/>
          <w:highlight w:val="none"/>
          <w:lang w:val="en-US" w:eastAsia="zh-CN"/>
        </w:rPr>
        <w:t>.</w:t>
      </w:r>
      <w:r>
        <w:rPr>
          <w:rFonts w:hint="eastAsia" w:ascii="仿宋" w:hAnsi="仿宋" w:eastAsia="仿宋" w:cs="仿宋"/>
          <w:b/>
          <w:bCs/>
          <w:color w:val="auto"/>
          <w:szCs w:val="24"/>
          <w:highlight w:val="none"/>
          <w:lang w:eastAsia="zh-CN"/>
        </w:rPr>
        <w:t>有依法缴纳税收和社会保障资金的良好记录的证明文件</w:t>
      </w:r>
    </w:p>
    <w:p w14:paraId="225195BF">
      <w:pPr>
        <w:spacing w:line="480" w:lineRule="auto"/>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税务登记证（实行“统一社会信用代码”的不需单独提供）和开标前六个月内任意一个月的企业缴税凭证或证明；</w:t>
      </w:r>
      <w:r>
        <w:rPr>
          <w:rFonts w:hint="eastAsia" w:ascii="仿宋" w:hAnsi="仿宋" w:eastAsia="仿宋" w:cs="仿宋"/>
          <w:b/>
          <w:bCs/>
          <w:color w:val="auto"/>
          <w:szCs w:val="24"/>
          <w:highlight w:val="none"/>
          <w:lang w:eastAsia="zh-CN"/>
        </w:rPr>
        <w:t>（提供完税证明、涉税保密信息自查证明或其他有效证明，以上任意一种均可）</w:t>
      </w:r>
    </w:p>
    <w:p w14:paraId="31F20F6A">
      <w:pPr>
        <w:spacing w:line="480" w:lineRule="auto"/>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开标前六个月内任意一个月的缴纳社会保障资金的凭证或当地社会保障局出具的缴纳明细。依法免税或不需要缴纳社会保障资金的投标人，应当提供相关文件证明其依法免税或不需要缴纳社会保障资金。</w:t>
      </w:r>
      <w:r>
        <w:rPr>
          <w:rFonts w:hint="eastAsia" w:ascii="仿宋" w:hAnsi="仿宋" w:eastAsia="仿宋" w:cs="仿宋"/>
          <w:b/>
          <w:bCs/>
          <w:color w:val="auto"/>
          <w:szCs w:val="24"/>
          <w:highlight w:val="none"/>
          <w:lang w:eastAsia="zh-CN"/>
        </w:rPr>
        <w:t>（提供单位职工缴费信息、个人对账单、社保局开具的收据或其他有效证明，以上任意一种均可）</w:t>
      </w:r>
    </w:p>
    <w:p w14:paraId="457BAD44">
      <w:pPr>
        <w:spacing w:line="480" w:lineRule="auto"/>
        <w:rPr>
          <w:rFonts w:hint="eastAsia" w:ascii="仿宋" w:hAnsi="仿宋" w:eastAsia="仿宋" w:cs="仿宋"/>
          <w:color w:val="auto"/>
          <w:szCs w:val="24"/>
          <w:highlight w:val="none"/>
          <w:lang w:eastAsia="zh-CN"/>
        </w:rPr>
      </w:pPr>
      <w:r>
        <w:rPr>
          <w:rFonts w:hint="eastAsia" w:ascii="仿宋" w:hAnsi="仿宋" w:eastAsia="仿宋" w:cs="仿宋"/>
          <w:b/>
          <w:bCs/>
          <w:color w:val="auto"/>
          <w:szCs w:val="24"/>
          <w:highlight w:val="none"/>
          <w:lang w:eastAsia="zh-CN"/>
        </w:rPr>
        <w:t>5</w:t>
      </w:r>
      <w:r>
        <w:rPr>
          <w:rFonts w:hint="eastAsia" w:ascii="仿宋" w:hAnsi="仿宋" w:eastAsia="仿宋" w:cs="仿宋"/>
          <w:b/>
          <w:bCs/>
          <w:color w:val="auto"/>
          <w:szCs w:val="24"/>
          <w:highlight w:val="none"/>
          <w:lang w:val="en-US" w:eastAsia="zh-CN"/>
        </w:rPr>
        <w:t>.</w:t>
      </w:r>
      <w:r>
        <w:rPr>
          <w:rFonts w:hint="eastAsia" w:ascii="仿宋" w:hAnsi="仿宋" w:eastAsia="仿宋" w:cs="仿宋"/>
          <w:b/>
          <w:bCs/>
          <w:color w:val="auto"/>
          <w:szCs w:val="24"/>
          <w:highlight w:val="none"/>
          <w:lang w:eastAsia="zh-CN"/>
        </w:rPr>
        <w:t>参加政府采购活动前三年内，在经营活动中没有重大违法记录的证明文件</w:t>
      </w:r>
    </w:p>
    <w:p w14:paraId="7CDBD682">
      <w:pPr>
        <w:spacing w:line="480" w:lineRule="auto"/>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参加政府采购前三年内,在经营活动中没有重大违法记录承诺函；重大违法记录，是指投标人因违法经营受到刑事处罚或者责令停产停业、吊销许可证或者执照、较大罚款等行政处罚。</w:t>
      </w:r>
    </w:p>
    <w:p w14:paraId="1F3D98D7">
      <w:pPr>
        <w:spacing w:line="480" w:lineRule="auto"/>
        <w:rPr>
          <w:rFonts w:hint="eastAsia" w:ascii="仿宋" w:hAnsi="仿宋" w:eastAsia="仿宋" w:cs="仿宋"/>
          <w:color w:val="auto"/>
          <w:szCs w:val="24"/>
          <w:highlight w:val="none"/>
          <w:lang w:eastAsia="zh-CN"/>
        </w:rPr>
      </w:pPr>
      <w:r>
        <w:rPr>
          <w:rFonts w:hint="eastAsia" w:ascii="仿宋" w:hAnsi="仿宋" w:eastAsia="仿宋" w:cs="仿宋"/>
          <w:b/>
          <w:bCs/>
          <w:color w:val="auto"/>
          <w:szCs w:val="24"/>
          <w:highlight w:val="none"/>
          <w:lang w:eastAsia="zh-CN"/>
        </w:rPr>
        <w:t>6</w:t>
      </w:r>
      <w:r>
        <w:rPr>
          <w:rFonts w:hint="eastAsia" w:ascii="仿宋" w:hAnsi="仿宋" w:eastAsia="仿宋" w:cs="仿宋"/>
          <w:b/>
          <w:bCs/>
          <w:color w:val="auto"/>
          <w:szCs w:val="24"/>
          <w:highlight w:val="none"/>
          <w:lang w:val="en-US" w:eastAsia="zh-CN"/>
        </w:rPr>
        <w:t>.</w:t>
      </w:r>
      <w:r>
        <w:rPr>
          <w:rFonts w:hint="eastAsia" w:ascii="仿宋" w:hAnsi="仿宋" w:eastAsia="仿宋" w:cs="仿宋"/>
          <w:b/>
          <w:bCs/>
          <w:color w:val="auto"/>
          <w:szCs w:val="24"/>
          <w:highlight w:val="none"/>
          <w:lang w:eastAsia="zh-CN"/>
        </w:rPr>
        <w:t>法律、行政法规规定的其他条件的证明文件</w:t>
      </w:r>
    </w:p>
    <w:p w14:paraId="7D3B6968">
      <w:pPr>
        <w:spacing w:line="480" w:lineRule="auto"/>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lang w:eastAsia="zh-CN"/>
        </w:rPr>
        <w:t>提供材料说明：提供满足法律、行政法规规定的其他条件的承诺函（格式自拟）。</w:t>
      </w:r>
    </w:p>
    <w:p w14:paraId="290FA4DB">
      <w:pPr>
        <w:keepNext w:val="0"/>
        <w:keepLines w:val="0"/>
        <w:pageBreakBefore w:val="0"/>
        <w:widowControl w:val="0"/>
        <w:kinsoku/>
        <w:wordWrap/>
        <w:overflowPunct/>
        <w:topLinePunct w:val="0"/>
        <w:autoSpaceDE/>
        <w:autoSpaceDN/>
        <w:bidi w:val="0"/>
        <w:adjustRightInd/>
        <w:snapToGrid/>
        <w:spacing w:line="480" w:lineRule="auto"/>
        <w:ind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bCs/>
          <w:color w:val="auto"/>
          <w:szCs w:val="24"/>
          <w:highlight w:val="none"/>
          <w:lang w:eastAsia="zh-CN"/>
        </w:rPr>
        <w:t>备注：本项目对特定资格要求有规定并需要提供证明材料的，从其规定，与本条款不冲突。</w:t>
      </w:r>
      <w:r>
        <w:rPr>
          <w:rFonts w:hint="eastAsia" w:ascii="仿宋" w:hAnsi="仿宋" w:eastAsia="仿宋" w:cs="仿宋"/>
          <w:color w:val="auto"/>
          <w:sz w:val="24"/>
          <w:highlight w:val="none"/>
        </w:rPr>
        <w:br w:type="page"/>
      </w:r>
    </w:p>
    <w:p w14:paraId="70F3987C">
      <w:pPr>
        <w:pStyle w:val="4"/>
        <w:bidi w:val="0"/>
        <w:jc w:val="center"/>
        <w:rPr>
          <w:rFonts w:hint="eastAsia" w:ascii="仿宋" w:hAnsi="仿宋" w:eastAsia="仿宋" w:cs="仿宋"/>
          <w:color w:val="auto"/>
          <w:highlight w:val="none"/>
        </w:rPr>
      </w:pPr>
      <w:bookmarkStart w:id="355" w:name="_Toc18090"/>
      <w:bookmarkStart w:id="356" w:name="_Toc4377"/>
      <w:bookmarkStart w:id="357" w:name="_Toc6550"/>
      <w:bookmarkStart w:id="358" w:name="_Toc28295"/>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法定代表人</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或经营者）</w:t>
      </w:r>
      <w:r>
        <w:rPr>
          <w:rFonts w:hint="eastAsia" w:ascii="仿宋" w:hAnsi="仿宋" w:eastAsia="仿宋" w:cs="仿宋"/>
          <w:color w:val="auto"/>
          <w:highlight w:val="none"/>
        </w:rPr>
        <w:t>授权书</w:t>
      </w:r>
      <w:bookmarkEnd w:id="355"/>
      <w:bookmarkEnd w:id="356"/>
      <w:bookmarkEnd w:id="357"/>
      <w:bookmarkEnd w:id="358"/>
    </w:p>
    <w:p w14:paraId="7BDBF13C">
      <w:pPr>
        <w:spacing w:line="432" w:lineRule="auto"/>
        <w:rPr>
          <w:rFonts w:hint="eastAsia" w:ascii="仿宋" w:hAnsi="仿宋" w:eastAsia="仿宋" w:cs="仿宋"/>
          <w:color w:val="auto"/>
          <w:sz w:val="24"/>
          <w:highlight w:val="none"/>
        </w:rPr>
      </w:pPr>
    </w:p>
    <w:p w14:paraId="23CBE2FD">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8"/>
          <w:szCs w:val="28"/>
          <w:highlight w:val="none"/>
        </w:rPr>
        <w:t>致：</w:t>
      </w:r>
      <w:r>
        <w:rPr>
          <w:rFonts w:hint="eastAsia" w:ascii="仿宋" w:hAnsi="仿宋" w:eastAsia="仿宋" w:cs="仿宋"/>
          <w:color w:val="auto"/>
          <w:sz w:val="28"/>
          <w:szCs w:val="28"/>
          <w:highlight w:val="none"/>
          <w:lang w:eastAsia="zh-CN"/>
        </w:rPr>
        <w:t>江西企恒企业管理有限公司</w:t>
      </w:r>
    </w:p>
    <w:p w14:paraId="74CA30F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（投标人全称）法定代表人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或经营者）</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授权</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（全权代表姓名）为全权代表,参加贵处组织的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项目名称、项目编号</w:t>
      </w:r>
      <w:r>
        <w:rPr>
          <w:rFonts w:hint="eastAsia" w:ascii="仿宋" w:hAnsi="仿宋" w:eastAsia="仿宋" w:cs="仿宋"/>
          <w:color w:val="auto"/>
          <w:sz w:val="24"/>
          <w:highlight w:val="none"/>
        </w:rPr>
        <w:t>）项目招标活动，全权代表我方处理招标活动中的一切事宜。</w:t>
      </w:r>
    </w:p>
    <w:p w14:paraId="2F826F7E">
      <w:pPr>
        <w:spacing w:line="440" w:lineRule="exact"/>
        <w:rPr>
          <w:rFonts w:hint="eastAsia" w:ascii="仿宋" w:hAnsi="仿宋" w:eastAsia="仿宋" w:cs="仿宋"/>
          <w:color w:val="auto"/>
          <w:sz w:val="24"/>
          <w:highlight w:val="none"/>
        </w:rPr>
      </w:pPr>
    </w:p>
    <w:p w14:paraId="01909208">
      <w:pPr>
        <w:spacing w:line="440" w:lineRule="exact"/>
        <w:rPr>
          <w:rFonts w:hint="eastAsia" w:ascii="仿宋" w:hAnsi="仿宋" w:eastAsia="仿宋" w:cs="仿宋"/>
          <w:color w:val="auto"/>
          <w:sz w:val="24"/>
          <w:highlight w:val="none"/>
        </w:rPr>
      </w:pPr>
    </w:p>
    <w:p w14:paraId="4CF64D43">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法定代表人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或经营者）</w:t>
      </w:r>
      <w:r>
        <w:rPr>
          <w:rFonts w:hint="eastAsia" w:ascii="仿宋" w:hAnsi="仿宋" w:eastAsia="仿宋" w:cs="仿宋"/>
          <w:color w:val="auto"/>
          <w:sz w:val="24"/>
          <w:highlight w:val="none"/>
        </w:rPr>
        <w:t>签字或章：</w:t>
      </w:r>
    </w:p>
    <w:p w14:paraId="15AEC4B1">
      <w:pPr>
        <w:spacing w:line="440" w:lineRule="exact"/>
        <w:rPr>
          <w:rFonts w:hint="eastAsia" w:ascii="仿宋" w:hAnsi="仿宋" w:eastAsia="仿宋" w:cs="仿宋"/>
          <w:color w:val="auto"/>
          <w:sz w:val="24"/>
          <w:highlight w:val="none"/>
        </w:rPr>
      </w:pPr>
    </w:p>
    <w:p w14:paraId="48D3840B">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投标人</w:t>
      </w:r>
      <w:r>
        <w:rPr>
          <w:rFonts w:hint="eastAsia" w:ascii="仿宋" w:hAnsi="仿宋" w:eastAsia="仿宋" w:cs="仿宋"/>
          <w:color w:val="auto"/>
          <w:sz w:val="24"/>
          <w:highlight w:val="none"/>
          <w:lang w:val="en-US" w:eastAsia="zh-CN"/>
        </w:rPr>
        <w:t>公</w:t>
      </w:r>
      <w:r>
        <w:rPr>
          <w:rFonts w:hint="eastAsia" w:ascii="仿宋" w:hAnsi="仿宋" w:eastAsia="仿宋" w:cs="仿宋"/>
          <w:color w:val="auto"/>
          <w:sz w:val="24"/>
          <w:highlight w:val="none"/>
        </w:rPr>
        <w:t>章：</w:t>
      </w:r>
    </w:p>
    <w:p w14:paraId="666C12D3">
      <w:pPr>
        <w:spacing w:line="440" w:lineRule="exact"/>
        <w:rPr>
          <w:rFonts w:hint="eastAsia" w:ascii="仿宋" w:hAnsi="仿宋" w:eastAsia="仿宋" w:cs="仿宋"/>
          <w:color w:val="auto"/>
          <w:sz w:val="24"/>
          <w:highlight w:val="none"/>
        </w:rPr>
      </w:pPr>
    </w:p>
    <w:p w14:paraId="033F886D">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14:paraId="53CA9904">
      <w:pPr>
        <w:spacing w:line="440" w:lineRule="exact"/>
        <w:rPr>
          <w:rFonts w:hint="eastAsia" w:ascii="仿宋" w:hAnsi="仿宋" w:eastAsia="仿宋" w:cs="仿宋"/>
          <w:color w:val="auto"/>
          <w:sz w:val="24"/>
          <w:highlight w:val="none"/>
        </w:rPr>
      </w:pPr>
    </w:p>
    <w:p w14:paraId="2D877EC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附：</w:t>
      </w:r>
    </w:p>
    <w:p w14:paraId="0E4DD48E">
      <w:pPr>
        <w:spacing w:line="440" w:lineRule="exac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全权代表姓名：</w:t>
      </w:r>
      <w:r>
        <w:rPr>
          <w:rFonts w:hint="eastAsia" w:ascii="仿宋" w:hAnsi="仿宋" w:eastAsia="仿宋" w:cs="仿宋"/>
          <w:color w:val="auto"/>
          <w:sz w:val="24"/>
          <w:highlight w:val="none"/>
          <w:u w:val="single"/>
        </w:rPr>
        <w:t xml:space="preserve">                   </w:t>
      </w:r>
    </w:p>
    <w:p w14:paraId="304E73A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425C0B61">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电        话：</w:t>
      </w:r>
      <w:r>
        <w:rPr>
          <w:rFonts w:hint="eastAsia" w:ascii="仿宋" w:hAnsi="仿宋" w:eastAsia="仿宋" w:cs="仿宋"/>
          <w:color w:val="auto"/>
          <w:sz w:val="24"/>
          <w:highlight w:val="none"/>
          <w:u w:val="single"/>
        </w:rPr>
        <w:t xml:space="preserve">                   </w:t>
      </w:r>
    </w:p>
    <w:p w14:paraId="28B68EB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详细通讯地址：</w:t>
      </w:r>
      <w:r>
        <w:rPr>
          <w:rFonts w:hint="eastAsia" w:ascii="仿宋" w:hAnsi="仿宋" w:eastAsia="仿宋" w:cs="仿宋"/>
          <w:color w:val="auto"/>
          <w:sz w:val="24"/>
          <w:highlight w:val="none"/>
          <w:u w:val="single"/>
        </w:rPr>
        <w:t xml:space="preserve">                   </w:t>
      </w:r>
    </w:p>
    <w:p w14:paraId="36760A89">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邮 政 编 码 ：</w:t>
      </w:r>
      <w:r>
        <w:rPr>
          <w:rFonts w:hint="eastAsia" w:ascii="仿宋" w:hAnsi="仿宋" w:eastAsia="仿宋" w:cs="仿宋"/>
          <w:color w:val="auto"/>
          <w:sz w:val="24"/>
          <w:highlight w:val="none"/>
          <w:u w:val="single"/>
        </w:rPr>
        <w:t xml:space="preserve">                   </w:t>
      </w:r>
    </w:p>
    <w:p w14:paraId="2620A238">
      <w:pPr>
        <w:tabs>
          <w:tab w:val="left" w:pos="1470"/>
        </w:tabs>
        <w:spacing w:line="432" w:lineRule="auto"/>
        <w:rPr>
          <w:rFonts w:hint="eastAsia" w:ascii="仿宋" w:hAnsi="仿宋" w:eastAsia="仿宋" w:cs="仿宋"/>
          <w:b/>
          <w:color w:val="auto"/>
          <w:sz w:val="24"/>
          <w:highlight w:val="none"/>
        </w:rPr>
      </w:pPr>
    </w:p>
    <w:p w14:paraId="4F51B5E0">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w:t>
      </w:r>
      <w:r>
        <w:rPr>
          <w:rFonts w:hint="eastAsia" w:ascii="仿宋" w:hAnsi="仿宋" w:eastAsia="仿宋" w:cs="仿宋"/>
          <w:b/>
          <w:color w:val="auto"/>
          <w:sz w:val="24"/>
          <w:highlight w:val="none"/>
          <w:lang w:val="en-US" w:eastAsia="zh-CN"/>
        </w:rPr>
        <w:t>法定代表人及</w:t>
      </w:r>
      <w:r>
        <w:rPr>
          <w:rFonts w:hint="eastAsia" w:ascii="仿宋" w:hAnsi="仿宋" w:eastAsia="仿宋" w:cs="仿宋"/>
          <w:b/>
          <w:color w:val="auto"/>
          <w:sz w:val="24"/>
          <w:highlight w:val="none"/>
        </w:rPr>
        <w:t>全权代表身份证</w:t>
      </w:r>
      <w:r>
        <w:rPr>
          <w:rFonts w:hint="eastAsia" w:ascii="仿宋" w:hAnsi="仿宋" w:eastAsia="仿宋" w:cs="仿宋"/>
          <w:b/>
          <w:color w:val="auto"/>
          <w:sz w:val="24"/>
          <w:highlight w:val="none"/>
          <w:lang w:eastAsia="zh-CN"/>
        </w:rPr>
        <w:t>复印件</w:t>
      </w:r>
      <w:r>
        <w:rPr>
          <w:rFonts w:hint="eastAsia" w:ascii="仿宋" w:hAnsi="仿宋" w:eastAsia="仿宋" w:cs="仿宋"/>
          <w:b/>
          <w:color w:val="auto"/>
          <w:sz w:val="24"/>
          <w:highlight w:val="none"/>
          <w:lang w:val="en-US" w:eastAsia="zh-CN"/>
        </w:rPr>
        <w:t>正反面【</w:t>
      </w:r>
      <w:r>
        <w:rPr>
          <w:rFonts w:hint="eastAsia" w:ascii="仿宋" w:hAnsi="仿宋" w:eastAsia="仿宋" w:cs="仿宋"/>
          <w:b w:val="0"/>
          <w:bCs/>
          <w:color w:val="auto"/>
          <w:sz w:val="24"/>
          <w:szCs w:val="24"/>
          <w:highlight w:val="none"/>
        </w:rPr>
        <w:t>法定代表人</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或经营者）</w:t>
      </w:r>
      <w:r>
        <w:rPr>
          <w:rFonts w:hint="eastAsia" w:ascii="仿宋" w:hAnsi="仿宋" w:eastAsia="仿宋" w:cs="仿宋"/>
          <w:b w:val="0"/>
          <w:bCs/>
          <w:color w:val="auto"/>
          <w:sz w:val="24"/>
          <w:szCs w:val="24"/>
          <w:highlight w:val="none"/>
        </w:rPr>
        <w:t>参加采购，不用提供授权书</w:t>
      </w:r>
      <w:r>
        <w:rPr>
          <w:rFonts w:hint="eastAsia" w:ascii="仿宋" w:hAnsi="仿宋" w:eastAsia="仿宋" w:cs="仿宋"/>
          <w:b w:val="0"/>
          <w:bCs/>
          <w:color w:val="auto"/>
          <w:sz w:val="24"/>
          <w:szCs w:val="24"/>
          <w:highlight w:val="none"/>
          <w:lang w:eastAsia="zh-CN"/>
        </w:rPr>
        <w:t>】</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109F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trPr>
        <w:tc>
          <w:tcPr>
            <w:tcW w:w="9061" w:type="dxa"/>
            <w:noWrap w:val="0"/>
            <w:vAlign w:val="top"/>
          </w:tcPr>
          <w:p w14:paraId="4E09E508">
            <w:pPr>
              <w:tabs>
                <w:tab w:val="left" w:pos="1470"/>
              </w:tabs>
              <w:spacing w:line="432" w:lineRule="auto"/>
              <w:rPr>
                <w:rFonts w:hint="eastAsia" w:ascii="仿宋" w:hAnsi="仿宋" w:eastAsia="仿宋" w:cs="仿宋"/>
                <w:b/>
                <w:color w:val="auto"/>
                <w:sz w:val="24"/>
                <w:highlight w:val="none"/>
                <w:vertAlign w:val="baseline"/>
              </w:rPr>
            </w:pPr>
          </w:p>
        </w:tc>
      </w:tr>
    </w:tbl>
    <w:p w14:paraId="06FB8967">
      <w:pPr>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bookmarkEnd w:id="0"/>
    <w:bookmarkEnd w:id="1"/>
    <w:bookmarkEnd w:id="2"/>
    <w:bookmarkEnd w:id="3"/>
    <w:bookmarkEnd w:id="9"/>
    <w:p w14:paraId="2CCD6399">
      <w:pPr>
        <w:pStyle w:val="4"/>
        <w:jc w:val="center"/>
        <w:rPr>
          <w:rFonts w:hint="eastAsia" w:ascii="仿宋" w:hAnsi="仿宋" w:eastAsia="仿宋" w:cs="仿宋"/>
          <w:color w:val="auto"/>
          <w:highlight w:val="none"/>
        </w:rPr>
      </w:pPr>
      <w:bookmarkStart w:id="359" w:name="_Toc494114909"/>
      <w:bookmarkStart w:id="360" w:name="_Toc31245"/>
      <w:bookmarkStart w:id="361" w:name="_Toc6315"/>
      <w:bookmarkStart w:id="362" w:name="_Toc14649"/>
      <w:bookmarkStart w:id="363" w:name="_Toc18691"/>
      <w:bookmarkStart w:id="364" w:name="_Toc19156"/>
      <w:bookmarkStart w:id="365" w:name="_Toc5320"/>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投标人的资格声明</w:t>
      </w:r>
      <w:bookmarkEnd w:id="359"/>
      <w:bookmarkEnd w:id="360"/>
      <w:bookmarkEnd w:id="361"/>
      <w:bookmarkEnd w:id="362"/>
      <w:bookmarkEnd w:id="363"/>
      <w:bookmarkEnd w:id="364"/>
    </w:p>
    <w:p w14:paraId="5F5B685C">
      <w:pPr>
        <w:spacing w:after="312" w:afterLines="100" w:line="432" w:lineRule="auto"/>
        <w:jc w:val="center"/>
        <w:rPr>
          <w:rFonts w:hint="eastAsia" w:ascii="仿宋" w:hAnsi="仿宋" w:eastAsia="仿宋" w:cs="仿宋"/>
          <w:color w:val="auto"/>
          <w:highlight w:val="none"/>
        </w:rPr>
      </w:pPr>
      <w:r>
        <w:rPr>
          <w:rFonts w:hint="eastAsia" w:ascii="仿宋" w:hAnsi="仿宋" w:eastAsia="仿宋" w:cs="仿宋"/>
          <w:color w:val="auto"/>
          <w:highlight w:val="none"/>
        </w:rPr>
        <w:t>（参考格式）</w:t>
      </w:r>
    </w:p>
    <w:p w14:paraId="25FCC8DA">
      <w:pPr>
        <w:spacing w:line="440" w:lineRule="exact"/>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lang w:eastAsia="zh-CN"/>
        </w:rPr>
        <w:t>江西企恒企业管理有限公司</w:t>
      </w:r>
    </w:p>
    <w:p w14:paraId="2FDBDCFF">
      <w:pPr>
        <w:spacing w:line="560" w:lineRule="exact"/>
        <w:ind w:left="2" w:firstLine="476" w:firstLineChars="202"/>
        <w:rPr>
          <w:rFonts w:hint="eastAsia" w:ascii="仿宋" w:hAnsi="仿宋" w:eastAsia="仿宋" w:cs="仿宋"/>
          <w:color w:val="auto"/>
          <w:spacing w:val="-2"/>
          <w:highlight w:val="none"/>
        </w:rPr>
      </w:pPr>
    </w:p>
    <w:p w14:paraId="5B2D03B5">
      <w:pPr>
        <w:spacing w:line="560" w:lineRule="exact"/>
        <w:ind w:left="2" w:firstLine="476" w:firstLineChars="202"/>
        <w:rPr>
          <w:rFonts w:hint="eastAsia" w:ascii="仿宋" w:hAnsi="仿宋" w:eastAsia="仿宋" w:cs="仿宋"/>
          <w:color w:val="auto"/>
          <w:highlight w:val="none"/>
        </w:rPr>
      </w:pPr>
      <w:r>
        <w:rPr>
          <w:rFonts w:hint="eastAsia" w:ascii="仿宋" w:hAnsi="仿宋" w:eastAsia="仿宋" w:cs="仿宋"/>
          <w:color w:val="auto"/>
          <w:spacing w:val="-2"/>
          <w:highlight w:val="none"/>
        </w:rPr>
        <w:t>为响应贵方</w:t>
      </w:r>
      <w:r>
        <w:rPr>
          <w:rFonts w:hint="eastAsia" w:ascii="仿宋" w:hAnsi="仿宋" w:eastAsia="仿宋" w:cs="仿宋"/>
          <w:i/>
          <w:color w:val="auto"/>
          <w:spacing w:val="-2"/>
          <w:highlight w:val="none"/>
          <w:u w:val="single"/>
        </w:rPr>
        <w:t>（项目名称、项目编号）</w:t>
      </w:r>
      <w:r>
        <w:rPr>
          <w:rFonts w:hint="eastAsia" w:ascii="仿宋" w:hAnsi="仿宋" w:eastAsia="仿宋" w:cs="仿宋"/>
          <w:color w:val="auto"/>
          <w:spacing w:val="-2"/>
          <w:highlight w:val="none"/>
        </w:rPr>
        <w:t>投标邀请，下述签字人愿参与投标，提供采购需求一览表和技术规格</w:t>
      </w:r>
      <w:r>
        <w:rPr>
          <w:rFonts w:hint="eastAsia" w:ascii="仿宋" w:hAnsi="仿宋" w:eastAsia="仿宋" w:cs="仿宋"/>
          <w:color w:val="auto"/>
          <w:szCs w:val="24"/>
          <w:highlight w:val="none"/>
        </w:rPr>
        <w:t>规定的货物和有关服务</w:t>
      </w:r>
      <w:r>
        <w:rPr>
          <w:rFonts w:hint="eastAsia" w:ascii="仿宋" w:hAnsi="仿宋" w:eastAsia="仿宋" w:cs="仿宋"/>
          <w:color w:val="auto"/>
          <w:spacing w:val="-2"/>
          <w:highlight w:val="none"/>
        </w:rPr>
        <w:t>，提交下述文件并声明全</w:t>
      </w:r>
      <w:r>
        <w:rPr>
          <w:rFonts w:hint="eastAsia" w:ascii="仿宋" w:hAnsi="仿宋" w:eastAsia="仿宋" w:cs="仿宋"/>
          <w:color w:val="auto"/>
          <w:highlight w:val="none"/>
        </w:rPr>
        <w:t>部说明是真实的和正确的。</w:t>
      </w:r>
    </w:p>
    <w:p w14:paraId="5748F166">
      <w:pPr>
        <w:spacing w:line="560" w:lineRule="exact"/>
        <w:rPr>
          <w:rFonts w:hint="eastAsia" w:ascii="仿宋" w:hAnsi="仿宋" w:eastAsia="仿宋" w:cs="仿宋"/>
          <w:color w:val="auto"/>
          <w:highlight w:val="none"/>
        </w:rPr>
      </w:pPr>
      <w:r>
        <w:rPr>
          <w:rFonts w:hint="eastAsia" w:ascii="仿宋" w:hAnsi="仿宋" w:eastAsia="仿宋" w:cs="仿宋"/>
          <w:color w:val="auto"/>
          <w:highlight w:val="none"/>
        </w:rPr>
        <w:t xml:space="preserve">    1、</w:t>
      </w:r>
      <w:r>
        <w:rPr>
          <w:rFonts w:hint="eastAsia" w:ascii="仿宋" w:hAnsi="仿宋" w:eastAsia="仿宋" w:cs="仿宋"/>
          <w:color w:val="auto"/>
          <w:szCs w:val="24"/>
          <w:highlight w:val="none"/>
        </w:rPr>
        <w:t>我方的资格声明正本一份，</w:t>
      </w:r>
    </w:p>
    <w:p w14:paraId="34ABA1CE">
      <w:pPr>
        <w:spacing w:line="560" w:lineRule="exact"/>
        <w:ind w:left="960" w:hanging="960" w:hangingChars="400"/>
        <w:rPr>
          <w:rFonts w:hint="eastAsia" w:ascii="仿宋" w:hAnsi="仿宋" w:eastAsia="仿宋" w:cs="仿宋"/>
          <w:color w:val="auto"/>
          <w:highlight w:val="none"/>
        </w:rPr>
      </w:pPr>
      <w:r>
        <w:rPr>
          <w:rFonts w:hint="eastAsia" w:ascii="仿宋" w:hAnsi="仿宋" w:eastAsia="仿宋" w:cs="仿宋"/>
          <w:color w:val="auto"/>
          <w:highlight w:val="none"/>
        </w:rPr>
        <w:t xml:space="preserve">    2、下述签字人在资格声明中证明本资格文件中的内容是真实和正确的。</w:t>
      </w:r>
    </w:p>
    <w:p w14:paraId="7A4B610B">
      <w:pPr>
        <w:spacing w:line="432" w:lineRule="auto"/>
        <w:rPr>
          <w:rFonts w:hint="eastAsia" w:ascii="仿宋" w:hAnsi="仿宋" w:eastAsia="仿宋" w:cs="仿宋"/>
          <w:color w:val="auto"/>
          <w:highlight w:val="none"/>
        </w:rPr>
      </w:pPr>
    </w:p>
    <w:p w14:paraId="7B5735E6">
      <w:pPr>
        <w:spacing w:line="432" w:lineRule="auto"/>
        <w:rPr>
          <w:rFonts w:hint="eastAsia" w:ascii="仿宋" w:hAnsi="仿宋" w:eastAsia="仿宋" w:cs="仿宋"/>
          <w:color w:val="auto"/>
          <w:highlight w:val="none"/>
        </w:rPr>
      </w:pPr>
    </w:p>
    <w:p w14:paraId="4C009619">
      <w:pPr>
        <w:spacing w:line="432" w:lineRule="auto"/>
        <w:rPr>
          <w:rFonts w:hint="eastAsia" w:ascii="仿宋" w:hAnsi="仿宋" w:eastAsia="仿宋" w:cs="仿宋"/>
          <w:color w:val="auto"/>
          <w:highlight w:val="none"/>
        </w:rPr>
      </w:pPr>
      <w:r>
        <w:rPr>
          <w:rFonts w:hint="eastAsia" w:ascii="仿宋" w:hAnsi="仿宋" w:eastAsia="仿宋" w:cs="仿宋"/>
          <w:color w:val="auto"/>
          <w:highlight w:val="none"/>
        </w:rPr>
        <w:t>法定代表人（或经营者）或投标人代表签字或章</w:t>
      </w:r>
      <w:r>
        <w:rPr>
          <w:rFonts w:hint="eastAsia" w:ascii="仿宋" w:hAnsi="仿宋" w:eastAsia="仿宋" w:cs="仿宋"/>
          <w:color w:val="auto"/>
          <w:highlight w:val="none"/>
          <w:u w:val="single"/>
        </w:rPr>
        <w:t xml:space="preserve">                             </w:t>
      </w:r>
    </w:p>
    <w:p w14:paraId="3CD6CA54">
      <w:pPr>
        <w:spacing w:line="432" w:lineRule="auto"/>
        <w:rPr>
          <w:rFonts w:hint="eastAsia" w:ascii="仿宋" w:hAnsi="仿宋" w:eastAsia="仿宋" w:cs="仿宋"/>
          <w:color w:val="auto"/>
          <w:highlight w:val="none"/>
          <w:u w:val="single"/>
        </w:rPr>
      </w:pPr>
      <w:r>
        <w:rPr>
          <w:rFonts w:hint="eastAsia" w:ascii="仿宋" w:hAnsi="仿宋" w:eastAsia="仿宋" w:cs="仿宋"/>
          <w:color w:val="auto"/>
          <w:highlight w:val="none"/>
        </w:rPr>
        <w:t>投标人公章</w:t>
      </w:r>
      <w:r>
        <w:rPr>
          <w:rFonts w:hint="eastAsia" w:ascii="仿宋" w:hAnsi="仿宋" w:eastAsia="仿宋" w:cs="仿宋"/>
          <w:color w:val="auto"/>
          <w:highlight w:val="none"/>
          <w:u w:val="single"/>
        </w:rPr>
        <w:t xml:space="preserve">                                 </w:t>
      </w:r>
    </w:p>
    <w:p w14:paraId="6183B627">
      <w:pPr>
        <w:rPr>
          <w:rFonts w:hint="eastAsia" w:ascii="仿宋" w:hAnsi="仿宋" w:eastAsia="仿宋" w:cs="仿宋"/>
          <w:color w:val="auto"/>
          <w:highlight w:val="none"/>
          <w:u w:val="singl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p>
    <w:p w14:paraId="0F396FCF">
      <w:pPr>
        <w:rPr>
          <w:rFonts w:hint="eastAsia" w:ascii="仿宋" w:hAnsi="仿宋" w:eastAsia="仿宋" w:cs="仿宋"/>
          <w:color w:val="auto"/>
          <w:highlight w:val="none"/>
          <w:u w:val="single"/>
        </w:rPr>
      </w:pPr>
      <w:r>
        <w:rPr>
          <w:rFonts w:hint="eastAsia" w:ascii="仿宋" w:hAnsi="仿宋" w:eastAsia="仿宋" w:cs="仿宋"/>
          <w:color w:val="auto"/>
          <w:highlight w:val="none"/>
          <w:u w:val="single"/>
        </w:rPr>
        <w:br w:type="page"/>
      </w:r>
    </w:p>
    <w:bookmarkEnd w:id="365"/>
    <w:p w14:paraId="29AC1E33">
      <w:pPr>
        <w:pStyle w:val="4"/>
        <w:bidi w:val="0"/>
        <w:jc w:val="center"/>
        <w:rPr>
          <w:rFonts w:hint="eastAsia" w:ascii="仿宋" w:hAnsi="仿宋" w:eastAsia="仿宋" w:cs="仿宋"/>
          <w:color w:val="auto"/>
          <w:highlight w:val="none"/>
        </w:rPr>
      </w:pPr>
      <w:bookmarkStart w:id="366" w:name="_Toc28331"/>
      <w:bookmarkStart w:id="367" w:name="_Toc16666"/>
      <w:r>
        <w:rPr>
          <w:rFonts w:hint="eastAsia" w:ascii="仿宋" w:hAnsi="仿宋" w:eastAsia="仿宋" w:cs="仿宋"/>
          <w:color w:val="auto"/>
          <w:highlight w:val="none"/>
          <w:lang w:val="en-US" w:eastAsia="zh-CN"/>
        </w:rPr>
        <w:t>格式6- 4特定</w:t>
      </w:r>
      <w:r>
        <w:rPr>
          <w:rFonts w:hint="eastAsia" w:ascii="仿宋" w:hAnsi="仿宋" w:eastAsia="仿宋" w:cs="仿宋"/>
          <w:color w:val="auto"/>
          <w:highlight w:val="none"/>
        </w:rPr>
        <w:t>资格证明文件</w:t>
      </w:r>
      <w:bookmarkEnd w:id="366"/>
    </w:p>
    <w:p w14:paraId="4F70FA3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 w:val="24"/>
          <w:szCs w:val="24"/>
          <w:highlight w:val="none"/>
          <w:lang w:val="en-US" w:eastAsia="zh-CN"/>
        </w:rPr>
      </w:pPr>
    </w:p>
    <w:p w14:paraId="28B501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投标人须具备有效的《出版物经营许可证》，提供证书原件扫描件加盖投标人公章（原件中标后备查）。</w:t>
      </w:r>
    </w:p>
    <w:p w14:paraId="2E0828CB">
      <w:pPr>
        <w:pStyle w:val="4"/>
        <w:bidi w:val="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bookmarkEnd w:id="367"/>
    <w:p w14:paraId="5FEB2B70">
      <w:pPr>
        <w:pageBreakBefore w:val="0"/>
        <w:widowControl w:val="0"/>
        <w:kinsoku/>
        <w:wordWrap/>
        <w:overflowPunct/>
        <w:topLinePunct w:val="0"/>
        <w:autoSpaceDE/>
        <w:autoSpaceDN/>
        <w:bidi w:val="0"/>
        <w:adjustRightInd/>
        <w:snapToGrid/>
        <w:jc w:val="center"/>
        <w:textAlignment w:val="auto"/>
        <w:outlineLvl w:val="1"/>
        <w:rPr>
          <w:rFonts w:hint="eastAsia" w:ascii="仿宋" w:hAnsi="仿宋" w:eastAsia="仿宋" w:cs="仿宋"/>
          <w:b/>
          <w:bCs w:val="0"/>
          <w:color w:val="auto"/>
          <w:sz w:val="28"/>
          <w:szCs w:val="21"/>
          <w:highlight w:val="none"/>
        </w:rPr>
      </w:pPr>
      <w:bookmarkStart w:id="368" w:name="_Toc30049"/>
      <w:r>
        <w:rPr>
          <w:rFonts w:hint="eastAsia" w:ascii="仿宋" w:hAnsi="仿宋" w:eastAsia="仿宋" w:cs="仿宋"/>
          <w:b/>
          <w:bCs w:val="0"/>
          <w:color w:val="auto"/>
          <w:sz w:val="28"/>
          <w:szCs w:val="21"/>
          <w:highlight w:val="none"/>
          <w:lang w:val="en-US" w:eastAsia="zh-CN"/>
        </w:rPr>
        <w:t>7.</w:t>
      </w:r>
      <w:r>
        <w:rPr>
          <w:rFonts w:hint="eastAsia" w:ascii="仿宋" w:hAnsi="仿宋" w:eastAsia="仿宋" w:cs="仿宋"/>
          <w:b/>
          <w:bCs w:val="0"/>
          <w:color w:val="auto"/>
          <w:sz w:val="28"/>
          <w:szCs w:val="21"/>
          <w:highlight w:val="none"/>
        </w:rPr>
        <w:t>为落实政府采购政策投标人须提供的证明材料</w:t>
      </w:r>
      <w:bookmarkEnd w:id="368"/>
    </w:p>
    <w:p w14:paraId="2FAD5B45">
      <w:pPr>
        <w:pStyle w:val="4"/>
        <w:pageBreakBefore w:val="0"/>
        <w:widowControl w:val="0"/>
        <w:kinsoku/>
        <w:wordWrap/>
        <w:overflowPunct/>
        <w:topLinePunct w:val="0"/>
        <w:autoSpaceDE/>
        <w:autoSpaceDN/>
        <w:bidi w:val="0"/>
        <w:adjustRightInd/>
        <w:snapToGrid/>
        <w:jc w:val="center"/>
        <w:textAlignment w:val="auto"/>
        <w:outlineLvl w:val="1"/>
        <w:rPr>
          <w:rFonts w:hint="eastAsia" w:ascii="仿宋" w:hAnsi="仿宋" w:eastAsia="仿宋" w:cs="仿宋"/>
          <w:color w:val="auto"/>
          <w:sz w:val="28"/>
          <w:szCs w:val="28"/>
          <w:highlight w:val="none"/>
        </w:rPr>
      </w:pPr>
      <w:bookmarkStart w:id="369" w:name="_Toc32715"/>
      <w:bookmarkStart w:id="370" w:name="_Toc2119"/>
      <w:bookmarkStart w:id="371" w:name="_Toc20031"/>
      <w:bookmarkStart w:id="372" w:name="_Toc7259"/>
      <w:bookmarkStart w:id="373" w:name="_Toc9461"/>
      <w:bookmarkStart w:id="374" w:name="_Toc31602"/>
      <w:bookmarkStart w:id="375" w:name="_Toc494114915"/>
      <w:r>
        <w:rPr>
          <w:rFonts w:hint="eastAsia" w:ascii="仿宋" w:hAnsi="仿宋" w:eastAsia="仿宋" w:cs="仿宋"/>
          <w:color w:val="auto"/>
          <w:sz w:val="28"/>
          <w:szCs w:val="28"/>
          <w:highlight w:val="none"/>
        </w:rPr>
        <w:t>格式</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-1中小企业声明</w:t>
      </w:r>
      <w:bookmarkEnd w:id="369"/>
      <w:bookmarkEnd w:id="370"/>
      <w:bookmarkEnd w:id="371"/>
      <w:bookmarkEnd w:id="372"/>
      <w:bookmarkEnd w:id="373"/>
      <w:bookmarkEnd w:id="374"/>
      <w:bookmarkEnd w:id="375"/>
    </w:p>
    <w:p w14:paraId="4C09EA9D">
      <w:pPr>
        <w:pStyle w:val="28"/>
        <w:autoSpaceDE/>
        <w:autoSpaceDN/>
        <w:adjustRightInd/>
        <w:spacing w:line="520" w:lineRule="exact"/>
        <w:ind w:firstLine="960" w:firstLineChars="400"/>
        <w:jc w:val="center"/>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val="en-US" w:eastAsia="zh-CN"/>
        </w:rPr>
        <w:t>中小企业声明（货物）</w:t>
      </w:r>
    </w:p>
    <w:p w14:paraId="5863B027">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674F9EEE">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1.（标的名称），属于（采购文件中明确的所属行业）行业，制造商为（企业名称），从业人员   人，营业收入为   万元，资产总额为   万元，属于（中型企业、小型企业、微型企业）；</w:t>
      </w:r>
    </w:p>
    <w:p w14:paraId="396F1072">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2.（标的名称），属于（采购文件中明确的所属行业）行业，制造商为（企业名称），从业人员   人，营业收入为   万元，资产总额为   万元，属于（中型企业、小型企业、微型企业）；</w:t>
      </w:r>
    </w:p>
    <w:p w14:paraId="6FDF74CA">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lang w:eastAsia="zh-CN"/>
        </w:rPr>
      </w:pPr>
    </w:p>
    <w:p w14:paraId="1B64C077">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w:t>
      </w:r>
    </w:p>
    <w:p w14:paraId="409E7842">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以上企业，不属于大型企业的分支机构，不存在控股股东为大企业的情形，也不存在与大企业的负责人为同一人的情形。</w:t>
      </w:r>
    </w:p>
    <w:p w14:paraId="00788145">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本公司对上述声明</w:t>
      </w:r>
      <w:r>
        <w:rPr>
          <w:rFonts w:hint="eastAsia" w:ascii="仿宋" w:hAnsi="仿宋" w:eastAsia="仿宋" w:cs="仿宋"/>
          <w:b w:val="0"/>
          <w:bCs/>
          <w:color w:val="auto"/>
          <w:sz w:val="24"/>
          <w:szCs w:val="24"/>
          <w:highlight w:val="none"/>
          <w:lang w:eastAsia="zh-CN"/>
        </w:rPr>
        <w:t>内容</w:t>
      </w:r>
      <w:r>
        <w:rPr>
          <w:rFonts w:hint="eastAsia" w:ascii="仿宋" w:hAnsi="仿宋" w:eastAsia="仿宋" w:cs="仿宋"/>
          <w:b w:val="0"/>
          <w:bCs/>
          <w:color w:val="auto"/>
          <w:sz w:val="24"/>
          <w:szCs w:val="24"/>
          <w:highlight w:val="none"/>
        </w:rPr>
        <w:t>的真实性负责。如有虚假，将依法承担相应责任。</w:t>
      </w:r>
    </w:p>
    <w:p w14:paraId="2D850273">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企业</w:t>
      </w:r>
      <w:r>
        <w:rPr>
          <w:rFonts w:hint="eastAsia" w:ascii="仿宋" w:hAnsi="仿宋" w:eastAsia="仿宋" w:cs="仿宋"/>
          <w:b w:val="0"/>
          <w:bCs/>
          <w:color w:val="auto"/>
          <w:sz w:val="24"/>
          <w:szCs w:val="24"/>
          <w:highlight w:val="none"/>
          <w:lang w:val="en-US" w:eastAsia="zh-CN"/>
        </w:rPr>
        <w:t>名称（盖章）</w:t>
      </w:r>
      <w:r>
        <w:rPr>
          <w:rFonts w:hint="eastAsia" w:ascii="仿宋" w:hAnsi="仿宋" w:eastAsia="仿宋" w:cs="仿宋"/>
          <w:b w:val="0"/>
          <w:bCs/>
          <w:color w:val="auto"/>
          <w:sz w:val="24"/>
          <w:szCs w:val="24"/>
          <w:highlight w:val="none"/>
        </w:rPr>
        <w:t>：</w:t>
      </w:r>
    </w:p>
    <w:p w14:paraId="526C590D">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日期：</w:t>
      </w:r>
    </w:p>
    <w:p w14:paraId="6EC75A8D">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 xml:space="preserve">  </w:t>
      </w:r>
    </w:p>
    <w:p w14:paraId="19E77A72">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1、从业人员、营业收入、资产总额填报上一年度数据，无上一年度数据的新成立企业可不填报以上数据。</w:t>
      </w:r>
    </w:p>
    <w:p w14:paraId="6035DAE5">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2、落款的企业名称为投标人。</w:t>
      </w:r>
    </w:p>
    <w:p w14:paraId="3F98E475">
      <w:pPr>
        <w:pStyle w:val="28"/>
        <w:autoSpaceDE/>
        <w:autoSpaceDN/>
        <w:adjustRightInd/>
        <w:spacing w:line="360" w:lineRule="auto"/>
        <w:ind w:firstLine="960" w:firstLineChars="40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3、标的名称是指采购清单中的货物名称。</w:t>
      </w:r>
    </w:p>
    <w:p w14:paraId="3D804227">
      <w:pPr>
        <w:pStyle w:val="28"/>
        <w:autoSpaceDE/>
        <w:autoSpaceDN/>
        <w:adjustRightInd/>
        <w:spacing w:line="360" w:lineRule="auto"/>
        <w:ind w:firstLine="960" w:firstLineChars="400"/>
        <w:rPr>
          <w:rFonts w:hint="eastAsia" w:ascii="仿宋" w:hAnsi="仿宋" w:eastAsia="仿宋" w:cs="仿宋"/>
          <w:b/>
          <w:bCs/>
          <w:color w:val="auto"/>
          <w:kern w:val="2"/>
          <w:szCs w:val="22"/>
          <w:highlight w:val="none"/>
          <w:lang w:val="en-US" w:eastAsia="zh-CN"/>
        </w:rPr>
      </w:pPr>
      <w:r>
        <w:rPr>
          <w:rFonts w:hint="eastAsia" w:ascii="仿宋" w:hAnsi="仿宋" w:eastAsia="仿宋" w:cs="仿宋"/>
          <w:b w:val="0"/>
          <w:bCs/>
          <w:color w:val="auto"/>
          <w:sz w:val="24"/>
          <w:szCs w:val="24"/>
          <w:highlight w:val="none"/>
          <w:lang w:val="en-US" w:eastAsia="zh-CN"/>
        </w:rPr>
        <w:t>4、采购标的所属行业为工业。</w:t>
      </w:r>
    </w:p>
    <w:p w14:paraId="1CCCE85E">
      <w:pPr>
        <w:rPr>
          <w:rFonts w:hint="eastAsia" w:ascii="仿宋" w:hAnsi="仿宋" w:eastAsia="仿宋" w:cs="仿宋"/>
          <w:b/>
          <w:bCs/>
          <w:color w:val="auto"/>
          <w:kern w:val="2"/>
          <w:szCs w:val="22"/>
          <w:highlight w:val="none"/>
          <w:lang w:val="en-US" w:eastAsia="zh-CN"/>
        </w:rPr>
      </w:pPr>
      <w:r>
        <w:rPr>
          <w:rFonts w:hint="eastAsia" w:ascii="仿宋" w:hAnsi="仿宋" w:eastAsia="仿宋" w:cs="仿宋"/>
          <w:b/>
          <w:bCs/>
          <w:color w:val="auto"/>
          <w:kern w:val="2"/>
          <w:szCs w:val="22"/>
          <w:highlight w:val="none"/>
          <w:lang w:val="en-US" w:eastAsia="zh-CN"/>
        </w:rPr>
        <w:br w:type="page"/>
      </w:r>
    </w:p>
    <w:p w14:paraId="32BB338A">
      <w:pPr>
        <w:keepNext w:val="0"/>
        <w:keepLines w:val="0"/>
        <w:pageBreakBefore w:val="0"/>
        <w:wordWrap/>
        <w:overflowPunct/>
        <w:topLinePunct w:val="0"/>
        <w:bidi w:val="0"/>
        <w:spacing w:line="440" w:lineRule="exact"/>
        <w:rPr>
          <w:rFonts w:hint="eastAsia"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《中小企业声明函》填写指引及风险提示：</w:t>
      </w:r>
    </w:p>
    <w:p w14:paraId="0F06F098">
      <w:pPr>
        <w:keepNext w:val="0"/>
        <w:keepLines w:val="0"/>
        <w:pageBreakBefore w:val="0"/>
        <w:widowControl/>
        <w:kinsoku w:val="0"/>
        <w:wordWrap/>
        <w:overflowPunct/>
        <w:topLinePunct w:val="0"/>
        <w:autoSpaceDE w:val="0"/>
        <w:autoSpaceDN w:val="0"/>
        <w:bidi w:val="0"/>
        <w:adjustRightInd w:val="0"/>
        <w:snapToGrid w:val="0"/>
        <w:spacing w:line="440" w:lineRule="exact"/>
        <w:ind w:firstLine="482" w:firstLineChars="200"/>
        <w:jc w:val="both"/>
        <w:textAlignment w:val="baseline"/>
        <w:rPr>
          <w:rFonts w:hint="eastAsia" w:ascii="仿宋" w:hAnsi="仿宋" w:eastAsia="仿宋" w:cs="仿宋"/>
          <w:b/>
          <w:bCs/>
          <w:color w:val="auto"/>
          <w:spacing w:val="0"/>
          <w:w w:val="100"/>
          <w:kern w:val="0"/>
          <w:position w:val="0"/>
          <w:sz w:val="24"/>
          <w:szCs w:val="24"/>
          <w:highlight w:val="none"/>
          <w:lang w:val="en-US" w:eastAsia="zh-CN"/>
        </w:rPr>
      </w:pPr>
      <w:r>
        <w:rPr>
          <w:rFonts w:hint="eastAsia" w:ascii="仿宋" w:hAnsi="仿宋" w:eastAsia="仿宋" w:cs="仿宋"/>
          <w:b/>
          <w:bCs/>
          <w:color w:val="auto"/>
          <w:spacing w:val="0"/>
          <w:w w:val="100"/>
          <w:kern w:val="0"/>
          <w:position w:val="0"/>
          <w:sz w:val="24"/>
          <w:szCs w:val="24"/>
          <w:highlight w:val="none"/>
          <w:lang w:val="en-US" w:eastAsia="zh-CN"/>
        </w:rPr>
        <w:t>（一）填写指引：</w:t>
      </w:r>
    </w:p>
    <w:p w14:paraId="3D1951C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b w:val="0"/>
          <w:bCs w:val="0"/>
          <w:color w:val="auto"/>
          <w:spacing w:val="0"/>
          <w:w w:val="100"/>
          <w:kern w:val="0"/>
          <w:position w:val="0"/>
          <w:sz w:val="24"/>
          <w:szCs w:val="24"/>
          <w:highlight w:val="none"/>
          <w:lang w:val="en-US" w:eastAsia="zh-CN"/>
        </w:rPr>
      </w:pPr>
      <w:r>
        <w:rPr>
          <w:rFonts w:hint="eastAsia" w:ascii="仿宋" w:hAnsi="仿宋" w:eastAsia="仿宋" w:cs="仿宋"/>
          <w:b w:val="0"/>
          <w:bCs w:val="0"/>
          <w:color w:val="auto"/>
          <w:spacing w:val="0"/>
          <w:w w:val="100"/>
          <w:kern w:val="0"/>
          <w:position w:val="0"/>
          <w:sz w:val="24"/>
          <w:szCs w:val="24"/>
          <w:highlight w:val="none"/>
          <w:lang w:val="en-US" w:eastAsia="zh-CN"/>
        </w:rPr>
        <w:t>1.投标人在填写时请依照招标文件提供的格式和内容填写，</w:t>
      </w:r>
      <w:r>
        <w:rPr>
          <w:rFonts w:hint="eastAsia" w:ascii="仿宋" w:hAnsi="仿宋" w:eastAsia="仿宋" w:cs="仿宋"/>
          <w:color w:val="auto"/>
          <w:spacing w:val="0"/>
          <w:w w:val="100"/>
          <w:position w:val="0"/>
          <w:sz w:val="24"/>
          <w:szCs w:val="24"/>
          <w:highlight w:val="none"/>
          <w:lang w:val="en-US" w:eastAsia="zh-CN"/>
          <w14:textOutline w14:w="4356" w14:cap="sq" w14:cmpd="sng" w14:algn="ctr">
            <w14:solidFill>
              <w14:srgbClr w14:val="000000"/>
            </w14:solidFill>
            <w14:prstDash w14:val="solid"/>
            <w14:bevel/>
          </w14:textOutline>
        </w:rPr>
        <w:t>不得随意变更格式</w:t>
      </w:r>
      <w:r>
        <w:rPr>
          <w:rFonts w:hint="eastAsia" w:ascii="仿宋" w:hAnsi="仿宋" w:eastAsia="仿宋" w:cs="仿宋"/>
          <w:b w:val="0"/>
          <w:bCs w:val="0"/>
          <w:color w:val="auto"/>
          <w:spacing w:val="0"/>
          <w:w w:val="100"/>
          <w:kern w:val="0"/>
          <w:position w:val="0"/>
          <w:sz w:val="24"/>
          <w:szCs w:val="24"/>
          <w:highlight w:val="none"/>
          <w:lang w:val="en-US" w:eastAsia="zh-CN"/>
        </w:rPr>
        <w:t>。</w:t>
      </w:r>
    </w:p>
    <w:p w14:paraId="1FB8025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b w:val="0"/>
          <w:bCs w:val="0"/>
          <w:color w:val="auto"/>
          <w:spacing w:val="0"/>
          <w:w w:val="100"/>
          <w:kern w:val="0"/>
          <w:position w:val="0"/>
          <w:sz w:val="24"/>
          <w:szCs w:val="24"/>
          <w:highlight w:val="none"/>
          <w:lang w:val="en-US" w:eastAsia="zh-CN"/>
        </w:rPr>
      </w:pPr>
      <w:r>
        <w:rPr>
          <w:rFonts w:hint="eastAsia" w:ascii="仿宋" w:hAnsi="仿宋" w:eastAsia="仿宋" w:cs="仿宋"/>
          <w:b w:val="0"/>
          <w:bCs w:val="0"/>
          <w:color w:val="auto"/>
          <w:spacing w:val="0"/>
          <w:w w:val="100"/>
          <w:kern w:val="0"/>
          <w:position w:val="0"/>
          <w:sz w:val="24"/>
          <w:szCs w:val="24"/>
          <w:highlight w:val="none"/>
          <w:lang w:val="en-US" w:eastAsia="zh-CN"/>
        </w:rPr>
        <w:t>2.《中小企业声明函》由投标人根据所提供货物的制造商实际情况填写，不符合要求的投标人可以不填写或直接删除本格式。</w:t>
      </w:r>
    </w:p>
    <w:p w14:paraId="686DCA2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b w:val="0"/>
          <w:bCs w:val="0"/>
          <w:color w:val="auto"/>
          <w:spacing w:val="0"/>
          <w:w w:val="100"/>
          <w:kern w:val="0"/>
          <w:position w:val="0"/>
          <w:sz w:val="24"/>
          <w:szCs w:val="24"/>
          <w:highlight w:val="none"/>
          <w:lang w:val="en-US" w:eastAsia="zh-CN"/>
        </w:rPr>
      </w:pPr>
      <w:r>
        <w:rPr>
          <w:rFonts w:hint="eastAsia" w:ascii="仿宋" w:hAnsi="仿宋" w:eastAsia="仿宋" w:cs="仿宋"/>
          <w:b w:val="0"/>
          <w:bCs w:val="0"/>
          <w:color w:val="auto"/>
          <w:spacing w:val="0"/>
          <w:w w:val="100"/>
          <w:kern w:val="0"/>
          <w:position w:val="0"/>
          <w:sz w:val="24"/>
          <w:szCs w:val="24"/>
          <w:highlight w:val="none"/>
          <w:lang w:val="en-US" w:eastAsia="zh-CN"/>
        </w:rPr>
        <w:t>3.填写需参考的相关文件：（1）《政府采购促进中小企业发展管理办法》（财库【2020】46号）、《关于中小企业划型标准规定的通知》（工信部联企业【2011】300号文，详见下述附表）</w:t>
      </w:r>
    </w:p>
    <w:p w14:paraId="6CB663C1">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b w:val="0"/>
          <w:bCs w:val="0"/>
          <w:color w:val="auto"/>
          <w:spacing w:val="0"/>
          <w:w w:val="100"/>
          <w:kern w:val="0"/>
          <w:position w:val="0"/>
          <w:sz w:val="24"/>
          <w:szCs w:val="24"/>
          <w:highlight w:val="none"/>
          <w:lang w:val="en-US" w:eastAsia="zh-CN"/>
        </w:rPr>
      </w:pPr>
      <w:r>
        <w:rPr>
          <w:rFonts w:hint="eastAsia" w:ascii="仿宋" w:hAnsi="仿宋" w:eastAsia="仿宋" w:cs="仿宋"/>
          <w:b w:val="0"/>
          <w:bCs w:val="0"/>
          <w:color w:val="auto"/>
          <w:spacing w:val="0"/>
          <w:w w:val="100"/>
          <w:kern w:val="0"/>
          <w:position w:val="0"/>
          <w:sz w:val="24"/>
          <w:szCs w:val="24"/>
          <w:highlight w:val="none"/>
          <w:lang w:val="en-US" w:eastAsia="zh-CN"/>
        </w:rPr>
        <w:t>4.具体要求：</w:t>
      </w:r>
    </w:p>
    <w:p w14:paraId="356A606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b w:val="0"/>
          <w:bCs w:val="0"/>
          <w:color w:val="auto"/>
          <w:spacing w:val="0"/>
          <w:w w:val="100"/>
          <w:kern w:val="0"/>
          <w:position w:val="0"/>
          <w:sz w:val="24"/>
          <w:szCs w:val="24"/>
          <w:highlight w:val="none"/>
          <w:lang w:val="en-US" w:eastAsia="zh-CN"/>
        </w:rPr>
      </w:pPr>
      <w:r>
        <w:rPr>
          <w:rFonts w:hint="eastAsia" w:ascii="仿宋" w:hAnsi="仿宋" w:eastAsia="仿宋" w:cs="仿宋"/>
          <w:b w:val="0"/>
          <w:bCs w:val="0"/>
          <w:color w:val="auto"/>
          <w:spacing w:val="0"/>
          <w:w w:val="100"/>
          <w:kern w:val="0"/>
          <w:position w:val="0"/>
          <w:sz w:val="24"/>
          <w:szCs w:val="24"/>
          <w:highlight w:val="none"/>
          <w:lang w:val="en-US" w:eastAsia="zh-CN"/>
        </w:rPr>
        <w:t>（1）第一处，在“单位名称”“项目名称”下划线处填写本采购项目的采购人名称和项目名称。</w:t>
      </w:r>
    </w:p>
    <w:p w14:paraId="009A3F96">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b w:val="0"/>
          <w:bCs w:val="0"/>
          <w:color w:val="auto"/>
          <w:spacing w:val="0"/>
          <w:w w:val="100"/>
          <w:kern w:val="0"/>
          <w:position w:val="0"/>
          <w:sz w:val="24"/>
          <w:szCs w:val="24"/>
          <w:highlight w:val="none"/>
          <w:lang w:val="en-US" w:eastAsia="zh-CN"/>
        </w:rPr>
      </w:pPr>
      <w:r>
        <w:rPr>
          <w:rFonts w:hint="eastAsia" w:ascii="仿宋" w:hAnsi="仿宋" w:eastAsia="仿宋" w:cs="仿宋"/>
          <w:b w:val="0"/>
          <w:bCs w:val="0"/>
          <w:color w:val="auto"/>
          <w:spacing w:val="0"/>
          <w:w w:val="100"/>
          <w:kern w:val="0"/>
          <w:position w:val="0"/>
          <w:sz w:val="24"/>
          <w:szCs w:val="24"/>
          <w:highlight w:val="none"/>
          <w:lang w:val="en-US" w:eastAsia="zh-CN"/>
        </w:rPr>
        <w:t>（2）第二处，在“标的名称”下划线处填写本项目采购具体品目的名称，如是单品目，直接填写项目名称或品目名称。在“采购文件中明确的所属行业”中填写本招标文件第一章“投标邀请”中列明的行业，一定要按照招标文件明确的内容进行填写。</w:t>
      </w:r>
    </w:p>
    <w:p w14:paraId="437E56ED">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b w:val="0"/>
          <w:bCs w:val="0"/>
          <w:color w:val="auto"/>
          <w:spacing w:val="0"/>
          <w:w w:val="100"/>
          <w:kern w:val="0"/>
          <w:position w:val="0"/>
          <w:sz w:val="24"/>
          <w:szCs w:val="24"/>
          <w:highlight w:val="none"/>
          <w:lang w:val="en-US" w:eastAsia="zh-CN"/>
        </w:rPr>
      </w:pPr>
      <w:r>
        <w:rPr>
          <w:rFonts w:hint="eastAsia" w:ascii="仿宋" w:hAnsi="仿宋" w:eastAsia="仿宋" w:cs="仿宋"/>
          <w:b w:val="0"/>
          <w:bCs w:val="0"/>
          <w:color w:val="auto"/>
          <w:spacing w:val="0"/>
          <w:w w:val="100"/>
          <w:kern w:val="0"/>
          <w:position w:val="0"/>
          <w:sz w:val="24"/>
          <w:szCs w:val="24"/>
          <w:highlight w:val="none"/>
          <w:lang w:val="en-US" w:eastAsia="zh-CN"/>
        </w:rPr>
        <w:t>（3）第三处，在“企业名称”下划线处如实填写制造商名称，在“从业人员”“营业收入”“资产总额”下划线处如实填写制造商的相关信息，数据务必向制造商进行核实；如是多品目，须填写每一品目的制造商信息。</w:t>
      </w:r>
    </w:p>
    <w:p w14:paraId="58EED5F3">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b w:val="0"/>
          <w:bCs w:val="0"/>
          <w:color w:val="auto"/>
          <w:spacing w:val="0"/>
          <w:w w:val="100"/>
          <w:kern w:val="0"/>
          <w:position w:val="0"/>
          <w:sz w:val="24"/>
          <w:szCs w:val="24"/>
          <w:highlight w:val="none"/>
          <w:lang w:val="en-US" w:eastAsia="zh-CN"/>
        </w:rPr>
      </w:pPr>
      <w:r>
        <w:rPr>
          <w:rFonts w:hint="eastAsia" w:ascii="仿宋" w:hAnsi="仿宋" w:eastAsia="仿宋" w:cs="仿宋"/>
          <w:b w:val="0"/>
          <w:bCs w:val="0"/>
          <w:color w:val="auto"/>
          <w:spacing w:val="0"/>
          <w:w w:val="100"/>
          <w:kern w:val="0"/>
          <w:position w:val="0"/>
          <w:sz w:val="24"/>
          <w:szCs w:val="24"/>
          <w:highlight w:val="none"/>
          <w:lang w:val="en-US" w:eastAsia="zh-CN"/>
        </w:rPr>
        <w:t>（4）第四处在“中型企业、小型企业、微型企业”下划线处如实依照300号文确定企业类型并填写制造商所属的类型。</w:t>
      </w:r>
    </w:p>
    <w:p w14:paraId="1B133571">
      <w:pPr>
        <w:keepNext w:val="0"/>
        <w:keepLines w:val="0"/>
        <w:pageBreakBefore w:val="0"/>
        <w:widowControl/>
        <w:kinsoku w:val="0"/>
        <w:wordWrap/>
        <w:overflowPunct/>
        <w:topLinePunct w:val="0"/>
        <w:autoSpaceDE w:val="0"/>
        <w:autoSpaceDN w:val="0"/>
        <w:bidi w:val="0"/>
        <w:adjustRightInd w:val="0"/>
        <w:snapToGrid w:val="0"/>
        <w:spacing w:line="440" w:lineRule="exact"/>
        <w:ind w:firstLine="482" w:firstLineChars="200"/>
        <w:jc w:val="both"/>
        <w:textAlignment w:val="baseline"/>
        <w:rPr>
          <w:rFonts w:hint="eastAsia" w:ascii="仿宋" w:hAnsi="仿宋" w:eastAsia="仿宋" w:cs="仿宋"/>
          <w:b/>
          <w:bCs/>
          <w:color w:val="auto"/>
          <w:spacing w:val="0"/>
          <w:w w:val="100"/>
          <w:kern w:val="0"/>
          <w:position w:val="0"/>
          <w:sz w:val="24"/>
          <w:szCs w:val="24"/>
          <w:highlight w:val="none"/>
          <w:lang w:val="en-US" w:eastAsia="zh-CN"/>
        </w:rPr>
      </w:pPr>
      <w:r>
        <w:rPr>
          <w:rFonts w:hint="eastAsia" w:ascii="仿宋" w:hAnsi="仿宋" w:eastAsia="仿宋" w:cs="仿宋"/>
          <w:b/>
          <w:bCs/>
          <w:color w:val="auto"/>
          <w:spacing w:val="0"/>
          <w:w w:val="100"/>
          <w:kern w:val="0"/>
          <w:position w:val="0"/>
          <w:sz w:val="24"/>
          <w:szCs w:val="24"/>
          <w:highlight w:val="none"/>
          <w:lang w:val="en-US" w:eastAsia="zh-CN"/>
        </w:rPr>
        <w:t>（二）风险提示</w:t>
      </w:r>
    </w:p>
    <w:p w14:paraId="24FD41D2">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b w:val="0"/>
          <w:bCs w:val="0"/>
          <w:color w:val="auto"/>
          <w:spacing w:val="0"/>
          <w:w w:val="100"/>
          <w:kern w:val="0"/>
          <w:position w:val="0"/>
          <w:sz w:val="24"/>
          <w:szCs w:val="24"/>
          <w:highlight w:val="none"/>
          <w:lang w:val="en-US" w:eastAsia="zh-CN"/>
        </w:rPr>
      </w:pPr>
      <w:r>
        <w:rPr>
          <w:rFonts w:hint="eastAsia" w:ascii="仿宋" w:hAnsi="仿宋" w:eastAsia="仿宋" w:cs="仿宋"/>
          <w:b w:val="0"/>
          <w:bCs w:val="0"/>
          <w:color w:val="auto"/>
          <w:spacing w:val="0"/>
          <w:w w:val="100"/>
          <w:kern w:val="0"/>
          <w:position w:val="0"/>
          <w:sz w:val="24"/>
          <w:szCs w:val="24"/>
          <w:highlight w:val="none"/>
          <w:lang w:val="en-US" w:eastAsia="zh-CN"/>
        </w:rPr>
        <w:t>1.投标人填写《中小企业声明函》的，必须如实填报，中标人享受了招标文件规定的中小企业扶持政策的，《中小企业声明函》随中标结果公开，接受社会监督。</w:t>
      </w:r>
    </w:p>
    <w:p w14:paraId="58F04009">
      <w:pPr>
        <w:keepNext w:val="0"/>
        <w:keepLines w:val="0"/>
        <w:pageBreakBefore w:val="0"/>
        <w:widowControl w:val="0"/>
        <w:kinsoku/>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b w:val="0"/>
          <w:bCs w:val="0"/>
          <w:color w:val="auto"/>
          <w:spacing w:val="0"/>
          <w:w w:val="100"/>
          <w:kern w:val="0"/>
          <w:position w:val="0"/>
          <w:sz w:val="24"/>
          <w:szCs w:val="24"/>
          <w:highlight w:val="none"/>
          <w:lang w:val="en-US" w:eastAsia="zh-CN"/>
        </w:rPr>
      </w:pPr>
      <w:r>
        <w:rPr>
          <w:rFonts w:hint="eastAsia" w:ascii="仿宋" w:hAnsi="仿宋" w:eastAsia="仿宋" w:cs="仿宋"/>
          <w:b w:val="0"/>
          <w:bCs w:val="0"/>
          <w:color w:val="auto"/>
          <w:spacing w:val="0"/>
          <w:w w:val="100"/>
          <w:kern w:val="0"/>
          <w:position w:val="0"/>
          <w:sz w:val="24"/>
          <w:szCs w:val="24"/>
          <w:highlight w:val="none"/>
          <w:lang w:val="en-US" w:eastAsia="zh-CN"/>
        </w:rPr>
        <w:t>2.投标人提供的货物制造商本身为中小企业，但存在属于大企业的分支机构或控股股东为大企业或与大企业的负责人为同一人的情形，也不享受招标文件规定的中小企业扶持政策。</w:t>
      </w:r>
    </w:p>
    <w:p w14:paraId="4EB1CE8E">
      <w:pPr>
        <w:keepNext w:val="0"/>
        <w:keepLines w:val="0"/>
        <w:pageBreakBefore w:val="0"/>
        <w:widowControl/>
        <w:kinsoku w:val="0"/>
        <w:wordWrap/>
        <w:overflowPunct/>
        <w:topLinePunct w:val="0"/>
        <w:autoSpaceDE w:val="0"/>
        <w:autoSpaceDN w:val="0"/>
        <w:bidi w:val="0"/>
        <w:adjustRightInd w:val="0"/>
        <w:snapToGrid w:val="0"/>
        <w:spacing w:line="440" w:lineRule="exact"/>
        <w:ind w:firstLine="480" w:firstLineChars="200"/>
        <w:jc w:val="both"/>
        <w:textAlignment w:val="baseline"/>
        <w:rPr>
          <w:rFonts w:hint="eastAsia" w:ascii="仿宋" w:hAnsi="仿宋" w:eastAsia="仿宋" w:cs="仿宋"/>
          <w:b w:val="0"/>
          <w:bCs w:val="0"/>
          <w:color w:val="auto"/>
          <w:spacing w:val="0"/>
          <w:w w:val="100"/>
          <w:kern w:val="0"/>
          <w:position w:val="0"/>
          <w:sz w:val="24"/>
          <w:szCs w:val="24"/>
          <w:highlight w:val="none"/>
          <w:lang w:val="en-US" w:eastAsia="zh-CN"/>
        </w:rPr>
      </w:pPr>
      <w:r>
        <w:rPr>
          <w:rFonts w:hint="eastAsia" w:ascii="仿宋" w:hAnsi="仿宋" w:eastAsia="仿宋" w:cs="仿宋"/>
          <w:b w:val="0"/>
          <w:bCs w:val="0"/>
          <w:color w:val="auto"/>
          <w:spacing w:val="0"/>
          <w:w w:val="100"/>
          <w:kern w:val="0"/>
          <w:position w:val="0"/>
          <w:sz w:val="24"/>
          <w:szCs w:val="24"/>
          <w:highlight w:val="none"/>
          <w:lang w:val="en-US" w:eastAsia="zh-CN"/>
        </w:rPr>
        <w:t>3.投标人提供的货物既有中小企业制造货物，也有大型企业制造货物的，不享受招标文件规定的中小企业扶持政策。</w:t>
      </w:r>
    </w:p>
    <w:p w14:paraId="6B33DEF1">
      <w:pPr>
        <w:pStyle w:val="28"/>
        <w:keepNext w:val="0"/>
        <w:keepLines w:val="0"/>
        <w:pageBreakBefore w:val="0"/>
        <w:wordWrap/>
        <w:overflowPunct/>
        <w:topLinePunct w:val="0"/>
        <w:autoSpaceDE/>
        <w:autoSpaceDN/>
        <w:bidi w:val="0"/>
        <w:adjustRightInd/>
        <w:spacing w:line="440" w:lineRule="exact"/>
        <w:ind w:left="0" w:leftChars="0" w:firstLine="480" w:firstLineChars="200"/>
        <w:rPr>
          <w:rFonts w:hint="eastAsia" w:ascii="仿宋" w:hAnsi="仿宋" w:eastAsia="仿宋" w:cs="仿宋"/>
          <w:color w:val="auto"/>
          <w:spacing w:val="0"/>
          <w:w w:val="100"/>
          <w:position w:val="0"/>
          <w:sz w:val="24"/>
          <w:szCs w:val="24"/>
          <w:highlight w:val="none"/>
          <w:lang w:val="en-US" w:eastAsia="zh-CN"/>
          <w14:textOutline w14:w="4356" w14:cap="sq" w14:cmpd="sng" w14:algn="ctr">
            <w14:solidFill>
              <w14:srgbClr w14:val="000000"/>
            </w14:solidFill>
            <w14:prstDash w14:val="solid"/>
            <w14:bevel/>
          </w14:textOutline>
        </w:rPr>
      </w:pPr>
      <w:r>
        <w:rPr>
          <w:rFonts w:hint="eastAsia" w:ascii="仿宋" w:hAnsi="仿宋" w:eastAsia="仿宋" w:cs="仿宋"/>
          <w:color w:val="auto"/>
          <w:spacing w:val="0"/>
          <w:w w:val="100"/>
          <w:position w:val="0"/>
          <w:sz w:val="24"/>
          <w:szCs w:val="24"/>
          <w:highlight w:val="none"/>
          <w:lang w:val="en-US" w:eastAsia="zh-CN"/>
          <w14:textOutline w14:w="4356" w14:cap="sq" w14:cmpd="sng" w14:algn="ctr">
            <w14:solidFill>
              <w14:srgbClr w14:val="000000"/>
            </w14:solidFill>
            <w14:prstDash w14:val="solid"/>
            <w14:bevel/>
          </w14:textOutline>
        </w:rPr>
        <w:t>4.投标人提供声明函内容不实的，属于提供虚假材料谋取中标，依照《中华人民共和国政府采购法》等国家有关规定追究相应责任。</w:t>
      </w:r>
    </w:p>
    <w:p w14:paraId="2A1D5DA9">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b/>
          <w:bCs/>
          <w:color w:val="auto"/>
          <w:spacing w:val="0"/>
          <w:w w:val="100"/>
          <w:kern w:val="0"/>
          <w:position w:val="0"/>
          <w:sz w:val="24"/>
          <w:szCs w:val="24"/>
          <w:highlight w:val="none"/>
        </w:rPr>
      </w:pPr>
      <w:r>
        <w:rPr>
          <w:rFonts w:hint="eastAsia" w:ascii="仿宋" w:hAnsi="仿宋" w:eastAsia="仿宋" w:cs="仿宋"/>
          <w:b/>
          <w:bCs/>
          <w:color w:val="auto"/>
          <w:spacing w:val="0"/>
          <w:w w:val="100"/>
          <w:kern w:val="0"/>
          <w:position w:val="0"/>
          <w:sz w:val="24"/>
          <w:szCs w:val="24"/>
          <w:highlight w:val="none"/>
        </w:rPr>
        <w:t>附表</w:t>
      </w:r>
    </w:p>
    <w:p w14:paraId="2734935D">
      <w:pPr>
        <w:pStyle w:val="26"/>
        <w:pageBreakBefore w:val="0"/>
        <w:widowControl w:val="0"/>
        <w:wordWrap/>
        <w:overflowPunct/>
        <w:topLinePunct w:val="0"/>
        <w:bidi w:val="0"/>
        <w:spacing w:before="0" w:beforeAutospacing="0" w:after="0" w:afterAutospacing="0" w:line="350" w:lineRule="exact"/>
        <w:jc w:val="center"/>
        <w:rPr>
          <w:rFonts w:hint="eastAsia" w:ascii="仿宋" w:hAnsi="仿宋" w:eastAsia="仿宋" w:cs="仿宋"/>
          <w:snapToGrid w:val="0"/>
          <w:color w:val="auto"/>
          <w:spacing w:val="0"/>
          <w:w w:val="100"/>
          <w:kern w:val="0"/>
          <w:position w:val="0"/>
          <w:sz w:val="24"/>
          <w:szCs w:val="24"/>
          <w:highlight w:val="none"/>
          <w:lang w:val="en-US" w:eastAsia="zh-CN" w:bidi="ar-SA"/>
          <w14:textOutline w14:w="4356" w14:cap="sq" w14:cmpd="sng" w14:algn="ctr">
            <w14:solidFill>
              <w14:srgbClr w14:val="000000"/>
            </w14:solidFill>
            <w14:prstDash w14:val="solid"/>
            <w14:bevel/>
          </w14:textOutline>
        </w:rPr>
      </w:pPr>
      <w:r>
        <w:rPr>
          <w:rFonts w:hint="eastAsia" w:ascii="仿宋" w:hAnsi="仿宋" w:eastAsia="仿宋" w:cs="仿宋"/>
          <w:snapToGrid w:val="0"/>
          <w:color w:val="auto"/>
          <w:spacing w:val="0"/>
          <w:w w:val="100"/>
          <w:kern w:val="0"/>
          <w:position w:val="0"/>
          <w:sz w:val="24"/>
          <w:szCs w:val="24"/>
          <w:highlight w:val="none"/>
          <w:lang w:val="en-US" w:eastAsia="zh-CN" w:bidi="ar-SA"/>
          <w14:textOutline w14:w="4356" w14:cap="sq" w14:cmpd="sng" w14:algn="ctr">
            <w14:solidFill>
              <w14:srgbClr w14:val="000000"/>
            </w14:solidFill>
            <w14:prstDash w14:val="solid"/>
            <w14:bevel/>
          </w14:textOutline>
        </w:rPr>
        <w:t>中小企业划型标准规定</w:t>
      </w:r>
    </w:p>
    <w:p w14:paraId="7FE11AC3">
      <w:pPr>
        <w:pStyle w:val="26"/>
        <w:pageBreakBefore w:val="0"/>
        <w:widowControl w:val="0"/>
        <w:wordWrap/>
        <w:overflowPunct/>
        <w:topLinePunct w:val="0"/>
        <w:bidi w:val="0"/>
        <w:spacing w:before="0" w:beforeAutospacing="0" w:after="0" w:afterAutospacing="0" w:line="350" w:lineRule="exact"/>
        <w:jc w:val="center"/>
        <w:rPr>
          <w:rFonts w:hint="eastAsia" w:ascii="仿宋" w:hAnsi="仿宋" w:eastAsia="仿宋" w:cs="仿宋"/>
          <w:b/>
          <w:bCs/>
          <w:color w:val="auto"/>
          <w:spacing w:val="0"/>
          <w:w w:val="100"/>
          <w:position w:val="0"/>
          <w:sz w:val="24"/>
          <w:szCs w:val="24"/>
          <w:highlight w:val="none"/>
        </w:rPr>
      </w:pPr>
      <w:r>
        <w:rPr>
          <w:rFonts w:hint="eastAsia" w:ascii="仿宋" w:hAnsi="仿宋" w:eastAsia="仿宋" w:cs="仿宋"/>
          <w:b/>
          <w:bCs/>
          <w:color w:val="auto"/>
          <w:spacing w:val="0"/>
          <w:w w:val="100"/>
          <w:position w:val="0"/>
          <w:sz w:val="24"/>
          <w:szCs w:val="24"/>
          <w:highlight w:val="none"/>
        </w:rPr>
        <w:t>（</w:t>
      </w:r>
      <w:r>
        <w:rPr>
          <w:rFonts w:hint="eastAsia" w:ascii="仿宋" w:hAnsi="仿宋" w:eastAsia="仿宋" w:cs="仿宋"/>
          <w:color w:val="auto"/>
          <w:spacing w:val="0"/>
          <w:w w:val="100"/>
          <w:position w:val="0"/>
          <w:sz w:val="24"/>
          <w:szCs w:val="24"/>
          <w:highlight w:val="none"/>
        </w:rPr>
        <w:t>工信部联企业〔2011〕300号</w:t>
      </w:r>
      <w:r>
        <w:rPr>
          <w:rFonts w:hint="eastAsia" w:ascii="仿宋" w:hAnsi="仿宋" w:eastAsia="仿宋" w:cs="仿宋"/>
          <w:b/>
          <w:bCs/>
          <w:color w:val="auto"/>
          <w:spacing w:val="0"/>
          <w:w w:val="100"/>
          <w:position w:val="0"/>
          <w:sz w:val="24"/>
          <w:szCs w:val="24"/>
          <w:highlight w:val="none"/>
        </w:rPr>
        <w:t>）</w:t>
      </w:r>
    </w:p>
    <w:p w14:paraId="5BE3DF79">
      <w:pPr>
        <w:pStyle w:val="26"/>
        <w:pageBreakBefore w:val="0"/>
        <w:widowControl w:val="0"/>
        <w:wordWrap/>
        <w:overflowPunct/>
        <w:topLinePunct w:val="0"/>
        <w:bidi w:val="0"/>
        <w:spacing w:before="0" w:beforeAutospacing="0" w:after="0" w:afterAutospacing="0" w:line="350" w:lineRule="exact"/>
        <w:jc w:val="right"/>
        <w:rPr>
          <w:rFonts w:hint="eastAsia" w:ascii="仿宋" w:hAnsi="仿宋" w:eastAsia="仿宋" w:cs="仿宋"/>
          <w:b/>
          <w:bCs/>
          <w:color w:val="auto"/>
          <w:spacing w:val="0"/>
          <w:w w:val="100"/>
          <w:position w:val="0"/>
          <w:sz w:val="24"/>
          <w:szCs w:val="24"/>
          <w:highlight w:val="none"/>
        </w:rPr>
      </w:pPr>
      <w:r>
        <w:rPr>
          <w:rFonts w:hint="eastAsia" w:ascii="仿宋" w:hAnsi="仿宋" w:eastAsia="仿宋" w:cs="仿宋"/>
          <w:b/>
          <w:bCs/>
          <w:color w:val="auto"/>
          <w:spacing w:val="0"/>
          <w:w w:val="100"/>
          <w:position w:val="0"/>
          <w:sz w:val="24"/>
          <w:szCs w:val="24"/>
          <w:highlight w:val="none"/>
        </w:rPr>
        <w:t>---（摘要）</w:t>
      </w:r>
    </w:p>
    <w:p w14:paraId="673EAD93">
      <w:pPr>
        <w:pStyle w:val="26"/>
        <w:pageBreakBefore w:val="0"/>
        <w:widowControl w:val="0"/>
        <w:numPr>
          <w:ilvl w:val="0"/>
          <w:numId w:val="2"/>
        </w:numPr>
        <w:kinsoku w:val="0"/>
        <w:wordWrap/>
        <w:overflowPunct/>
        <w:topLinePunct w:val="0"/>
        <w:autoSpaceDE w:val="0"/>
        <w:autoSpaceDN w:val="0"/>
        <w:bidi w:val="0"/>
        <w:adjustRightInd w:val="0"/>
        <w:snapToGrid w:val="0"/>
        <w:spacing w:before="0" w:beforeAutospacing="0" w:after="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本规定适用的行业包括：</w:t>
      </w:r>
    </w:p>
    <w:p w14:paraId="1485D19C">
      <w:pPr>
        <w:pageBreakBefore w:val="0"/>
        <w:widowControl w:val="0"/>
        <w:kinsoku w:val="0"/>
        <w:wordWrap/>
        <w:overflowPunct/>
        <w:topLinePunct w:val="0"/>
        <w:autoSpaceDE w:val="0"/>
        <w:autoSpaceDN w:val="0"/>
        <w:bidi w:val="0"/>
        <w:adjustRightInd w:val="0"/>
        <w:snapToGrid w:val="0"/>
        <w:spacing w:before="0" w:beforeLines="25" w:beforeAutospacing="0" w:afterAutospacing="0" w:line="360" w:lineRule="auto"/>
        <w:ind w:firstLine="480" w:firstLineChars="200"/>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A761260">
      <w:pPr>
        <w:pageBreakBefore w:val="0"/>
        <w:widowControl w:val="0"/>
        <w:kinsoku w:val="0"/>
        <w:wordWrap/>
        <w:overflowPunct/>
        <w:topLinePunct w:val="0"/>
        <w:autoSpaceDE w:val="0"/>
        <w:autoSpaceDN w:val="0"/>
        <w:bidi w:val="0"/>
        <w:adjustRightInd w:val="0"/>
        <w:snapToGrid w:val="0"/>
        <w:spacing w:before="0" w:beforeLines="25"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二、各行业划型标准为：</w:t>
      </w:r>
    </w:p>
    <w:p w14:paraId="23B656F4">
      <w:pPr>
        <w:pageBreakBefore w:val="0"/>
        <w:widowControl w:val="0"/>
        <w:kinsoku w:val="0"/>
        <w:wordWrap/>
        <w:overflowPunct/>
        <w:topLinePunct w:val="0"/>
        <w:autoSpaceDE w:val="0"/>
        <w:autoSpaceDN w:val="0"/>
        <w:bidi w:val="0"/>
        <w:adjustRightInd w:val="0"/>
        <w:snapToGrid w:val="0"/>
        <w:spacing w:before="0" w:beforeLines="25"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（一）农、林、牧、渔业。</w:t>
      </w:r>
      <w:r>
        <w:rPr>
          <w:rFonts w:hint="eastAsia" w:ascii="仿宋" w:hAnsi="仿宋" w:eastAsia="仿宋" w:cs="仿宋"/>
          <w:color w:val="auto"/>
          <w:spacing w:val="0"/>
          <w:w w:val="100"/>
          <w:position w:val="0"/>
          <w:sz w:val="24"/>
          <w:szCs w:val="24"/>
          <w:highlight w:val="none"/>
        </w:rPr>
        <w:t>营业收入20000万元以下的为中小微型企业。其中，营业收入500万元及以上的为中型企业，营业收入50万元及以上的为小型企业，营业收入50万元以下的为微型企业。</w:t>
      </w:r>
    </w:p>
    <w:p w14:paraId="08544C4B">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　（二）工业。</w:t>
      </w:r>
      <w:r>
        <w:rPr>
          <w:rFonts w:hint="eastAsia" w:ascii="仿宋" w:hAnsi="仿宋" w:eastAsia="仿宋" w:cs="仿宋"/>
          <w:color w:val="auto"/>
          <w:spacing w:val="0"/>
          <w:w w:val="100"/>
          <w:position w:val="0"/>
          <w:sz w:val="24"/>
          <w:szCs w:val="24"/>
          <w:highlight w:val="none"/>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5CE91E2">
      <w:pPr>
        <w:pageBreakBefore w:val="0"/>
        <w:widowControl w:val="0"/>
        <w:kinsoku w:val="0"/>
        <w:wordWrap/>
        <w:overflowPunct/>
        <w:topLinePunct w:val="0"/>
        <w:autoSpaceDE w:val="0"/>
        <w:autoSpaceDN w:val="0"/>
        <w:bidi w:val="0"/>
        <w:adjustRightInd w:val="0"/>
        <w:snapToGrid w:val="0"/>
        <w:spacing w:before="0" w:beforeLines="33"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（三）建筑业。</w:t>
      </w:r>
      <w:r>
        <w:rPr>
          <w:rFonts w:hint="eastAsia" w:ascii="仿宋" w:hAnsi="仿宋" w:eastAsia="仿宋" w:cs="仿宋"/>
          <w:color w:val="auto"/>
          <w:spacing w:val="0"/>
          <w:w w:val="100"/>
          <w:position w:val="0"/>
          <w:sz w:val="24"/>
          <w:szCs w:val="24"/>
          <w:highlight w:val="none"/>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A526C73">
      <w:pPr>
        <w:pageBreakBefore w:val="0"/>
        <w:widowControl w:val="0"/>
        <w:kinsoku w:val="0"/>
        <w:wordWrap/>
        <w:overflowPunct/>
        <w:topLinePunct w:val="0"/>
        <w:autoSpaceDE w:val="0"/>
        <w:autoSpaceDN w:val="0"/>
        <w:bidi w:val="0"/>
        <w:adjustRightInd w:val="0"/>
        <w:snapToGrid w:val="0"/>
        <w:spacing w:before="0" w:beforeLines="32"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（四）批发业。</w:t>
      </w:r>
      <w:r>
        <w:rPr>
          <w:rFonts w:hint="eastAsia" w:ascii="仿宋" w:hAnsi="仿宋" w:eastAsia="仿宋" w:cs="仿宋"/>
          <w:color w:val="auto"/>
          <w:spacing w:val="0"/>
          <w:w w:val="100"/>
          <w:position w:val="0"/>
          <w:sz w:val="24"/>
          <w:szCs w:val="24"/>
          <w:highlight w:val="none"/>
        </w:rPr>
        <w:t>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5A2FB5C">
      <w:pPr>
        <w:pageBreakBefore w:val="0"/>
        <w:widowControl w:val="0"/>
        <w:kinsoku w:val="0"/>
        <w:wordWrap/>
        <w:overflowPunct/>
        <w:topLinePunct w:val="0"/>
        <w:autoSpaceDE w:val="0"/>
        <w:autoSpaceDN w:val="0"/>
        <w:bidi w:val="0"/>
        <w:adjustRightInd w:val="0"/>
        <w:snapToGrid w:val="0"/>
        <w:spacing w:before="0" w:beforeLines="50" w:before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　（五）零售业。</w:t>
      </w:r>
      <w:r>
        <w:rPr>
          <w:rFonts w:hint="eastAsia" w:ascii="仿宋" w:hAnsi="仿宋" w:eastAsia="仿宋" w:cs="仿宋"/>
          <w:color w:val="auto"/>
          <w:spacing w:val="0"/>
          <w:w w:val="100"/>
          <w:position w:val="0"/>
          <w:sz w:val="24"/>
          <w:szCs w:val="24"/>
          <w:highlight w:val="none"/>
        </w:rPr>
        <w:t>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5055F3B1">
      <w:pPr>
        <w:pageBreakBefore w:val="0"/>
        <w:widowControl w:val="0"/>
        <w:kinsoku w:val="0"/>
        <w:wordWrap/>
        <w:overflowPunct/>
        <w:topLinePunct w:val="0"/>
        <w:autoSpaceDE w:val="0"/>
        <w:autoSpaceDN w:val="0"/>
        <w:bidi w:val="0"/>
        <w:adjustRightInd w:val="0"/>
        <w:snapToGrid w:val="0"/>
        <w:spacing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　（六）交通运输业。</w:t>
      </w:r>
      <w:r>
        <w:rPr>
          <w:rFonts w:hint="eastAsia" w:ascii="仿宋" w:hAnsi="仿宋" w:eastAsia="仿宋" w:cs="仿宋"/>
          <w:color w:val="auto"/>
          <w:spacing w:val="0"/>
          <w:w w:val="100"/>
          <w:position w:val="0"/>
          <w:sz w:val="24"/>
          <w:szCs w:val="24"/>
          <w:highlight w:val="none"/>
        </w:rPr>
        <w:t>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0A359DC">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　（七）仓储业。</w:t>
      </w:r>
      <w:r>
        <w:rPr>
          <w:rFonts w:hint="eastAsia" w:ascii="仿宋" w:hAnsi="仿宋" w:eastAsia="仿宋" w:cs="仿宋"/>
          <w:color w:val="auto"/>
          <w:spacing w:val="0"/>
          <w:w w:val="100"/>
          <w:position w:val="0"/>
          <w:sz w:val="24"/>
          <w:szCs w:val="24"/>
          <w:highlight w:val="none"/>
        </w:rPr>
        <w:t>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EBB9510">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（八）邮政业。</w:t>
      </w:r>
      <w:r>
        <w:rPr>
          <w:rFonts w:hint="eastAsia" w:ascii="仿宋" w:hAnsi="仿宋" w:eastAsia="仿宋" w:cs="仿宋"/>
          <w:color w:val="auto"/>
          <w:spacing w:val="0"/>
          <w:w w:val="100"/>
          <w:position w:val="0"/>
          <w:sz w:val="24"/>
          <w:szCs w:val="24"/>
          <w:highlight w:val="none"/>
        </w:rPr>
        <w:t>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BA3BFFC">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　（九）住宿业。</w:t>
      </w:r>
      <w:r>
        <w:rPr>
          <w:rFonts w:hint="eastAsia" w:ascii="仿宋" w:hAnsi="仿宋" w:eastAsia="仿宋" w:cs="仿宋"/>
          <w:color w:val="auto"/>
          <w:spacing w:val="0"/>
          <w:w w:val="100"/>
          <w:position w:val="0"/>
          <w:sz w:val="24"/>
          <w:szCs w:val="24"/>
          <w:highlight w:val="none"/>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F426DFD">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（十）餐饮业。</w:t>
      </w:r>
      <w:r>
        <w:rPr>
          <w:rFonts w:hint="eastAsia" w:ascii="仿宋" w:hAnsi="仿宋" w:eastAsia="仿宋" w:cs="仿宋"/>
          <w:color w:val="auto"/>
          <w:spacing w:val="0"/>
          <w:w w:val="100"/>
          <w:position w:val="0"/>
          <w:sz w:val="24"/>
          <w:szCs w:val="24"/>
          <w:highlight w:val="none"/>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C5EF388">
      <w:pPr>
        <w:pageBreakBefore w:val="0"/>
        <w:widowControl w:val="0"/>
        <w:kinsoku w:val="0"/>
        <w:wordWrap/>
        <w:overflowPunct/>
        <w:topLinePunct w:val="0"/>
        <w:autoSpaceDE w:val="0"/>
        <w:autoSpaceDN w:val="0"/>
        <w:bidi w:val="0"/>
        <w:adjustRightInd w:val="0"/>
        <w:snapToGrid w:val="0"/>
        <w:spacing w:before="0" w:beforeLines="19"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（十一）信息传输业。</w:t>
      </w:r>
      <w:r>
        <w:rPr>
          <w:rFonts w:hint="eastAsia" w:ascii="仿宋" w:hAnsi="仿宋" w:eastAsia="仿宋" w:cs="仿宋"/>
          <w:color w:val="auto"/>
          <w:spacing w:val="0"/>
          <w:w w:val="100"/>
          <w:position w:val="0"/>
          <w:sz w:val="24"/>
          <w:szCs w:val="24"/>
          <w:highlight w:val="none"/>
        </w:rPr>
        <w:t>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96F6D33">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（十二）软件和信息技术服务业。</w:t>
      </w:r>
      <w:r>
        <w:rPr>
          <w:rFonts w:hint="eastAsia" w:ascii="仿宋" w:hAnsi="仿宋" w:eastAsia="仿宋" w:cs="仿宋"/>
          <w:color w:val="auto"/>
          <w:spacing w:val="0"/>
          <w:w w:val="100"/>
          <w:position w:val="0"/>
          <w:sz w:val="24"/>
          <w:szCs w:val="24"/>
          <w:highlight w:val="none"/>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0E3DC5A1">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　（十三）房地产开发经营。</w:t>
      </w:r>
      <w:r>
        <w:rPr>
          <w:rFonts w:hint="eastAsia" w:ascii="仿宋" w:hAnsi="仿宋" w:eastAsia="仿宋" w:cs="仿宋"/>
          <w:color w:val="auto"/>
          <w:spacing w:val="0"/>
          <w:w w:val="100"/>
          <w:position w:val="0"/>
          <w:sz w:val="24"/>
          <w:szCs w:val="24"/>
          <w:highlight w:val="none"/>
        </w:rPr>
        <w:t>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4CD7141">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（十四）物业管理。</w:t>
      </w:r>
      <w:r>
        <w:rPr>
          <w:rFonts w:hint="eastAsia" w:ascii="仿宋" w:hAnsi="仿宋" w:eastAsia="仿宋" w:cs="仿宋"/>
          <w:color w:val="auto"/>
          <w:spacing w:val="0"/>
          <w:w w:val="100"/>
          <w:position w:val="0"/>
          <w:sz w:val="24"/>
          <w:szCs w:val="24"/>
          <w:highlight w:val="none"/>
        </w:rPr>
        <w:t>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3180EF0">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（十五）租赁和商务服务业。</w:t>
      </w:r>
      <w:r>
        <w:rPr>
          <w:rFonts w:hint="eastAsia" w:ascii="仿宋" w:hAnsi="仿宋" w:eastAsia="仿宋" w:cs="仿宋"/>
          <w:color w:val="auto"/>
          <w:spacing w:val="0"/>
          <w:w w:val="100"/>
          <w:position w:val="0"/>
          <w:sz w:val="24"/>
          <w:szCs w:val="24"/>
          <w:highlight w:val="none"/>
        </w:rPr>
        <w:t>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6AC554D">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　</w:t>
      </w:r>
      <w:r>
        <w:rPr>
          <w:rFonts w:hint="eastAsia" w:ascii="仿宋" w:hAnsi="仿宋" w:eastAsia="仿宋" w:cs="仿宋"/>
          <w:b/>
          <w:bCs/>
          <w:color w:val="auto"/>
          <w:spacing w:val="0"/>
          <w:w w:val="100"/>
          <w:position w:val="0"/>
          <w:sz w:val="24"/>
          <w:szCs w:val="24"/>
          <w:highlight w:val="none"/>
        </w:rPr>
        <w:t>　（十六）其他未列明行业。</w:t>
      </w:r>
      <w:r>
        <w:rPr>
          <w:rFonts w:hint="eastAsia" w:ascii="仿宋" w:hAnsi="仿宋" w:eastAsia="仿宋" w:cs="仿宋"/>
          <w:color w:val="auto"/>
          <w:spacing w:val="0"/>
          <w:w w:val="100"/>
          <w:position w:val="0"/>
          <w:sz w:val="24"/>
          <w:szCs w:val="24"/>
          <w:highlight w:val="none"/>
        </w:rPr>
        <w:t>从业人员300人以下的为中小微型企业。其中，从业人员100人及以上的为中型企业；从业人员10人及以上的为小型企业；从业人员10人以下的为微型企业。</w:t>
      </w:r>
    </w:p>
    <w:p w14:paraId="4547F355">
      <w:pPr>
        <w:pageBreakBefore w:val="0"/>
        <w:widowControl w:val="0"/>
        <w:kinsoku w:val="0"/>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pacing w:val="0"/>
          <w:w w:val="100"/>
          <w:position w:val="0"/>
          <w:sz w:val="24"/>
          <w:szCs w:val="24"/>
          <w:highlight w:val="none"/>
        </w:rPr>
      </w:pPr>
      <w:r>
        <w:rPr>
          <w:rFonts w:hint="eastAsia" w:ascii="仿宋" w:hAnsi="仿宋" w:eastAsia="仿宋" w:cs="仿宋"/>
          <w:color w:val="auto"/>
          <w:spacing w:val="0"/>
          <w:w w:val="100"/>
          <w:position w:val="0"/>
          <w:sz w:val="24"/>
          <w:szCs w:val="24"/>
          <w:highlight w:val="none"/>
        </w:rPr>
        <w:t>三、本规定适用于在中华人民共和国境内依法设立的各类所有制和各种组织形式的企业。个体工商户和本规定以外的行业，参照本规定进行划型。</w:t>
      </w:r>
    </w:p>
    <w:p w14:paraId="340F3E5D">
      <w:pPr>
        <w:pStyle w:val="28"/>
        <w:autoSpaceDE/>
        <w:autoSpaceDN/>
        <w:adjustRightInd/>
        <w:spacing w:line="520" w:lineRule="exact"/>
        <w:ind w:left="0" w:leftChars="0" w:firstLine="0" w:firstLineChars="0"/>
        <w:rPr>
          <w:rFonts w:hint="eastAsia" w:ascii="仿宋" w:hAnsi="仿宋" w:eastAsia="仿宋" w:cs="仿宋"/>
          <w:b/>
          <w:color w:val="auto"/>
          <w:sz w:val="24"/>
          <w:highlight w:val="none"/>
        </w:rPr>
      </w:pPr>
      <w:r>
        <w:rPr>
          <w:rFonts w:hint="eastAsia" w:ascii="仿宋" w:hAnsi="仿宋" w:eastAsia="仿宋" w:cs="仿宋"/>
          <w:color w:val="auto"/>
          <w:spacing w:val="0"/>
          <w:w w:val="100"/>
          <w:position w:val="0"/>
          <w:sz w:val="24"/>
          <w:szCs w:val="24"/>
          <w:highlight w:val="none"/>
        </w:rPr>
        <w:t>四、本规定的中型企业标准上限即为大型企业标准的下限，国家统计部门据此制定大中小微型企业的统计分类。国务院有关部门据此进行相关数据分析，不得制定与本规定不一致的企业划型标准。</w:t>
      </w:r>
      <w:r>
        <w:rPr>
          <w:rFonts w:hint="eastAsia" w:ascii="仿宋" w:hAnsi="仿宋" w:eastAsia="仿宋" w:cs="仿宋"/>
          <w:b/>
          <w:color w:val="auto"/>
          <w:sz w:val="24"/>
          <w:highlight w:val="none"/>
        </w:rPr>
        <w:br w:type="page"/>
      </w:r>
    </w:p>
    <w:p w14:paraId="13E8601E">
      <w:pPr>
        <w:pStyle w:val="4"/>
        <w:bidi w:val="0"/>
        <w:jc w:val="center"/>
        <w:rPr>
          <w:rFonts w:hint="eastAsia" w:ascii="仿宋" w:hAnsi="仿宋" w:eastAsia="仿宋" w:cs="仿宋"/>
          <w:color w:val="auto"/>
          <w:sz w:val="28"/>
          <w:szCs w:val="28"/>
          <w:highlight w:val="none"/>
        </w:rPr>
      </w:pPr>
      <w:bookmarkStart w:id="376" w:name="_Toc6872"/>
      <w:bookmarkStart w:id="377" w:name="_Toc26789"/>
      <w:bookmarkStart w:id="378" w:name="_Toc7979"/>
      <w:r>
        <w:rPr>
          <w:rFonts w:hint="eastAsia" w:ascii="仿宋" w:hAnsi="仿宋" w:eastAsia="仿宋" w:cs="仿宋"/>
          <w:color w:val="auto"/>
          <w:sz w:val="28"/>
          <w:szCs w:val="28"/>
          <w:highlight w:val="none"/>
        </w:rPr>
        <w:t>格式</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-2省级以上监狱管理局、戒毒管理局（含新疆生产建设兵团）出具的属于监狱企业证明文件</w:t>
      </w:r>
      <w:bookmarkEnd w:id="376"/>
      <w:bookmarkEnd w:id="377"/>
      <w:bookmarkEnd w:id="378"/>
    </w:p>
    <w:p w14:paraId="0EBFE85A">
      <w:pPr>
        <w:rPr>
          <w:rFonts w:hint="eastAsia" w:ascii="仿宋" w:hAnsi="仿宋" w:eastAsia="仿宋" w:cs="仿宋"/>
          <w:color w:val="auto"/>
          <w:sz w:val="28"/>
          <w:szCs w:val="28"/>
          <w:highlight w:val="none"/>
        </w:rPr>
      </w:pPr>
    </w:p>
    <w:p w14:paraId="5B7BAE73">
      <w:pPr>
        <w:pStyle w:val="15"/>
        <w:rPr>
          <w:rFonts w:hint="eastAsia" w:ascii="仿宋" w:hAnsi="仿宋" w:eastAsia="仿宋" w:cs="仿宋"/>
          <w:color w:val="auto"/>
          <w:sz w:val="28"/>
          <w:szCs w:val="28"/>
          <w:highlight w:val="none"/>
        </w:rPr>
      </w:pPr>
    </w:p>
    <w:p w14:paraId="2F892582">
      <w:pPr>
        <w:rPr>
          <w:rFonts w:hint="eastAsia" w:ascii="仿宋" w:hAnsi="仿宋" w:eastAsia="仿宋" w:cs="仿宋"/>
          <w:color w:val="auto"/>
          <w:sz w:val="28"/>
          <w:szCs w:val="28"/>
          <w:highlight w:val="none"/>
        </w:rPr>
      </w:pPr>
    </w:p>
    <w:p w14:paraId="58BFA5F1">
      <w:pPr>
        <w:pStyle w:val="15"/>
        <w:rPr>
          <w:rFonts w:hint="eastAsia" w:ascii="仿宋" w:hAnsi="仿宋" w:eastAsia="仿宋" w:cs="仿宋"/>
          <w:color w:val="auto"/>
          <w:sz w:val="28"/>
          <w:szCs w:val="28"/>
          <w:highlight w:val="none"/>
        </w:rPr>
      </w:pPr>
    </w:p>
    <w:p w14:paraId="187E9424">
      <w:pPr>
        <w:spacing w:line="432" w:lineRule="auto"/>
        <w:ind w:firstLine="482" w:firstLineChars="200"/>
        <w:rPr>
          <w:rFonts w:hint="eastAsia" w:ascii="仿宋" w:hAnsi="仿宋" w:eastAsia="仿宋" w:cs="仿宋"/>
          <w:b w:val="0"/>
          <w:bCs/>
          <w:color w:val="auto"/>
          <w:sz w:val="24"/>
          <w:highlight w:val="none"/>
        </w:rPr>
      </w:pPr>
      <w:r>
        <w:rPr>
          <w:rFonts w:hint="eastAsia" w:ascii="仿宋" w:hAnsi="仿宋" w:eastAsia="仿宋" w:cs="仿宋"/>
          <w:b/>
          <w:color w:val="auto"/>
          <w:sz w:val="24"/>
          <w:highlight w:val="none"/>
        </w:rPr>
        <w:t>注：</w:t>
      </w:r>
      <w:r>
        <w:rPr>
          <w:rFonts w:hint="eastAsia" w:ascii="仿宋" w:hAnsi="仿宋" w:eastAsia="仿宋" w:cs="仿宋"/>
          <w:b w:val="0"/>
          <w:bCs/>
          <w:color w:val="auto"/>
          <w:sz w:val="24"/>
          <w:highlight w:val="none"/>
        </w:rPr>
        <w:t>1</w:t>
      </w:r>
      <w:r>
        <w:rPr>
          <w:rFonts w:hint="eastAsia" w:ascii="仿宋" w:hAnsi="仿宋" w:eastAsia="仿宋" w:cs="仿宋"/>
          <w:b w:val="0"/>
          <w:bCs/>
          <w:color w:val="auto"/>
          <w:sz w:val="24"/>
          <w:highlight w:val="none"/>
          <w:lang w:val="en-US" w:eastAsia="zh-CN"/>
        </w:rPr>
        <w:t>.</w:t>
      </w:r>
      <w:r>
        <w:rPr>
          <w:rFonts w:hint="eastAsia" w:ascii="仿宋" w:hAnsi="仿宋" w:eastAsia="仿宋" w:cs="仿宋"/>
          <w:b w:val="0"/>
          <w:bCs/>
          <w:color w:val="auto"/>
          <w:sz w:val="24"/>
          <w:highlight w:val="none"/>
        </w:rPr>
        <w:t>省级以上监狱管理局、戒毒管理局（含新疆生产建设兵团）出具的属于监狱企业证明文件格式由出具单位提供；</w:t>
      </w:r>
    </w:p>
    <w:p w14:paraId="3686FEB4">
      <w:pPr>
        <w:ind w:firstLine="480" w:firstLineChars="200"/>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w:t>
      </w:r>
      <w:r>
        <w:rPr>
          <w:rFonts w:hint="eastAsia" w:ascii="仿宋" w:hAnsi="仿宋" w:eastAsia="仿宋" w:cs="仿宋"/>
          <w:b w:val="0"/>
          <w:bCs/>
          <w:color w:val="auto"/>
          <w:sz w:val="24"/>
          <w:szCs w:val="24"/>
          <w:highlight w:val="none"/>
        </w:rPr>
        <w:t>不属于监狱企业的不需提供</w:t>
      </w:r>
      <w:r>
        <w:rPr>
          <w:rFonts w:hint="eastAsia" w:ascii="仿宋" w:hAnsi="仿宋" w:eastAsia="仿宋" w:cs="仿宋"/>
          <w:b w:val="0"/>
          <w:bCs/>
          <w:color w:val="auto"/>
          <w:sz w:val="24"/>
          <w:highlight w:val="none"/>
        </w:rPr>
        <w:t>。</w:t>
      </w:r>
    </w:p>
    <w:p w14:paraId="3076A663">
      <w:pP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br w:type="page"/>
      </w:r>
    </w:p>
    <w:p w14:paraId="1AF6F8F4">
      <w:pPr>
        <w:pStyle w:val="4"/>
        <w:bidi w:val="0"/>
        <w:jc w:val="center"/>
        <w:rPr>
          <w:rFonts w:hint="eastAsia" w:ascii="仿宋" w:hAnsi="仿宋" w:eastAsia="仿宋" w:cs="仿宋"/>
          <w:color w:val="auto"/>
          <w:sz w:val="28"/>
          <w:szCs w:val="36"/>
          <w:highlight w:val="none"/>
        </w:rPr>
      </w:pPr>
      <w:bookmarkStart w:id="379" w:name="_Toc15176"/>
      <w:bookmarkStart w:id="380" w:name="_Toc6403"/>
      <w:bookmarkStart w:id="381" w:name="_Toc19632"/>
      <w:bookmarkStart w:id="382" w:name="_Toc26609"/>
      <w:bookmarkStart w:id="383" w:name="_Toc17283"/>
      <w:bookmarkStart w:id="384" w:name="_Toc494114917"/>
      <w:r>
        <w:rPr>
          <w:rFonts w:hint="eastAsia" w:ascii="仿宋" w:hAnsi="仿宋" w:eastAsia="仿宋" w:cs="仿宋"/>
          <w:color w:val="auto"/>
          <w:sz w:val="28"/>
          <w:szCs w:val="36"/>
          <w:highlight w:val="none"/>
        </w:rPr>
        <w:t>格式</w:t>
      </w:r>
      <w:r>
        <w:rPr>
          <w:rFonts w:hint="eastAsia" w:ascii="仿宋" w:hAnsi="仿宋" w:eastAsia="仿宋" w:cs="仿宋"/>
          <w:color w:val="auto"/>
          <w:sz w:val="28"/>
          <w:szCs w:val="36"/>
          <w:highlight w:val="none"/>
          <w:lang w:val="en-US" w:eastAsia="zh-CN"/>
        </w:rPr>
        <w:t>7</w:t>
      </w:r>
      <w:r>
        <w:rPr>
          <w:rFonts w:hint="eastAsia" w:ascii="仿宋" w:hAnsi="仿宋" w:eastAsia="仿宋" w:cs="仿宋"/>
          <w:color w:val="auto"/>
          <w:sz w:val="28"/>
          <w:szCs w:val="36"/>
          <w:highlight w:val="none"/>
        </w:rPr>
        <w:t>-3残疾人福利性单位声明函</w:t>
      </w:r>
      <w:bookmarkEnd w:id="379"/>
      <w:bookmarkEnd w:id="380"/>
      <w:bookmarkEnd w:id="381"/>
      <w:bookmarkEnd w:id="382"/>
      <w:bookmarkEnd w:id="383"/>
      <w:bookmarkEnd w:id="384"/>
    </w:p>
    <w:p w14:paraId="70248A48">
      <w:pPr>
        <w:rPr>
          <w:rFonts w:hint="eastAsia" w:ascii="仿宋" w:hAnsi="仿宋" w:eastAsia="仿宋" w:cs="仿宋"/>
          <w:color w:val="auto"/>
          <w:highlight w:val="none"/>
        </w:rPr>
      </w:pPr>
    </w:p>
    <w:p w14:paraId="6C11458C">
      <w:pPr>
        <w:spacing w:line="588" w:lineRule="exact"/>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p w14:paraId="729887C1">
      <w:pPr>
        <w:spacing w:line="588" w:lineRule="exact"/>
        <w:rPr>
          <w:rFonts w:hint="eastAsia" w:ascii="仿宋" w:hAnsi="仿宋" w:eastAsia="仿宋" w:cs="仿宋"/>
          <w:b/>
          <w:color w:val="auto"/>
          <w:spacing w:val="6"/>
          <w:sz w:val="24"/>
          <w:szCs w:val="24"/>
          <w:highlight w:val="none"/>
        </w:rPr>
      </w:pPr>
    </w:p>
    <w:p w14:paraId="29205952">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i w:val="0"/>
          <w:iCs w:val="0"/>
          <w:color w:val="auto"/>
          <w:sz w:val="24"/>
          <w:szCs w:val="22"/>
          <w:highlight w:val="none"/>
          <w:u w:val="none"/>
          <w:lang w:eastAsia="zh-CN"/>
        </w:rPr>
      </w:pPr>
      <w:r>
        <w:rPr>
          <w:rFonts w:hint="eastAsia" w:ascii="仿宋" w:hAnsi="仿宋" w:eastAsia="仿宋" w:cs="仿宋"/>
          <w:i w:val="0"/>
          <w:iCs w:val="0"/>
          <w:color w:val="auto"/>
          <w:sz w:val="24"/>
          <w:szCs w:val="22"/>
          <w:highlight w:val="none"/>
          <w:u w:val="none"/>
          <w:lang w:eastAsia="zh-CN"/>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服务/提供服务），或者提供其他残疾人福利性单位制造的货物（不包括使用非残疾人福利性单位注册商标的货物）。</w:t>
      </w:r>
    </w:p>
    <w:p w14:paraId="463E86F1">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i w:val="0"/>
          <w:iCs w:val="0"/>
          <w:color w:val="auto"/>
          <w:sz w:val="24"/>
          <w:szCs w:val="22"/>
          <w:highlight w:val="none"/>
          <w:u w:val="none"/>
          <w:lang w:eastAsia="zh-CN"/>
        </w:rPr>
      </w:pPr>
      <w:r>
        <w:rPr>
          <w:rFonts w:hint="eastAsia" w:ascii="仿宋" w:hAnsi="仿宋" w:eastAsia="仿宋" w:cs="仿宋"/>
          <w:i w:val="0"/>
          <w:iCs w:val="0"/>
          <w:color w:val="auto"/>
          <w:sz w:val="24"/>
          <w:szCs w:val="22"/>
          <w:highlight w:val="none"/>
          <w:u w:val="none"/>
          <w:lang w:eastAsia="zh-CN"/>
        </w:rPr>
        <w:t>本单位对上述声明的真实性负责。如有虚假，将依法承担相应责任。</w:t>
      </w:r>
    </w:p>
    <w:p w14:paraId="1B0441EA">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i w:val="0"/>
          <w:iCs w:val="0"/>
          <w:color w:val="auto"/>
          <w:sz w:val="24"/>
          <w:szCs w:val="22"/>
          <w:highlight w:val="none"/>
          <w:u w:val="none"/>
          <w:lang w:eastAsia="zh-CN"/>
        </w:rPr>
      </w:pPr>
    </w:p>
    <w:p w14:paraId="612584BC">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仿宋" w:hAnsi="仿宋" w:eastAsia="仿宋" w:cs="仿宋"/>
          <w:i w:val="0"/>
          <w:iCs w:val="0"/>
          <w:color w:val="auto"/>
          <w:sz w:val="24"/>
          <w:szCs w:val="22"/>
          <w:highlight w:val="none"/>
          <w:u w:val="none"/>
          <w:lang w:eastAsia="zh-CN"/>
        </w:rPr>
      </w:pPr>
    </w:p>
    <w:p w14:paraId="3D29B01F">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i w:val="0"/>
          <w:iCs w:val="0"/>
          <w:color w:val="auto"/>
          <w:sz w:val="24"/>
          <w:szCs w:val="22"/>
          <w:highlight w:val="none"/>
          <w:u w:val="none"/>
          <w:lang w:eastAsia="zh-CN"/>
        </w:rPr>
      </w:pPr>
      <w:r>
        <w:rPr>
          <w:rFonts w:hint="eastAsia" w:ascii="仿宋" w:hAnsi="仿宋" w:eastAsia="仿宋" w:cs="仿宋"/>
          <w:i w:val="0"/>
          <w:iCs w:val="0"/>
          <w:color w:val="auto"/>
          <w:sz w:val="24"/>
          <w:szCs w:val="22"/>
          <w:highlight w:val="none"/>
          <w:u w:val="none"/>
          <w:lang w:eastAsia="zh-CN"/>
        </w:rPr>
        <w:t>单位名称（盖章）：</w:t>
      </w:r>
    </w:p>
    <w:p w14:paraId="5EFC94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i w:val="0"/>
          <w:iCs w:val="0"/>
          <w:color w:val="auto"/>
          <w:sz w:val="24"/>
          <w:szCs w:val="22"/>
          <w:highlight w:val="none"/>
          <w:u w:val="none"/>
          <w:lang w:eastAsia="zh-CN"/>
        </w:rPr>
      </w:pPr>
      <w:r>
        <w:rPr>
          <w:rFonts w:hint="eastAsia" w:ascii="仿宋" w:hAnsi="仿宋" w:eastAsia="仿宋" w:cs="仿宋"/>
          <w:i w:val="0"/>
          <w:iCs w:val="0"/>
          <w:color w:val="auto"/>
          <w:sz w:val="24"/>
          <w:szCs w:val="22"/>
          <w:highlight w:val="none"/>
          <w:u w:val="none"/>
          <w:lang w:eastAsia="zh-CN"/>
        </w:rPr>
        <w:t>日  期：</w:t>
      </w:r>
    </w:p>
    <w:p w14:paraId="00A6FA5B">
      <w:pPr>
        <w:rPr>
          <w:rFonts w:hint="eastAsia" w:ascii="仿宋" w:hAnsi="仿宋" w:eastAsia="仿宋" w:cs="仿宋"/>
          <w:i w:val="0"/>
          <w:iCs w:val="0"/>
          <w:color w:val="auto"/>
          <w:sz w:val="24"/>
          <w:szCs w:val="22"/>
          <w:highlight w:val="none"/>
          <w:u w:val="none"/>
          <w:lang w:eastAsia="zh-CN"/>
        </w:rPr>
      </w:pPr>
      <w:r>
        <w:rPr>
          <w:rFonts w:hint="eastAsia" w:ascii="仿宋" w:hAnsi="仿宋" w:eastAsia="仿宋" w:cs="仿宋"/>
          <w:i w:val="0"/>
          <w:iCs w:val="0"/>
          <w:color w:val="auto"/>
          <w:sz w:val="24"/>
          <w:szCs w:val="22"/>
          <w:highlight w:val="none"/>
          <w:u w:val="none"/>
          <w:lang w:eastAsia="zh-CN"/>
        </w:rPr>
        <w:br w:type="page"/>
      </w:r>
    </w:p>
    <w:p w14:paraId="375497D0">
      <w:pPr>
        <w:pStyle w:val="4"/>
        <w:bidi w:val="0"/>
        <w:jc w:val="center"/>
        <w:rPr>
          <w:rFonts w:hint="eastAsia" w:ascii="仿宋" w:hAnsi="仿宋" w:eastAsia="仿宋" w:cs="仿宋"/>
          <w:color w:val="auto"/>
          <w:highlight w:val="none"/>
        </w:rPr>
      </w:pPr>
      <w:bookmarkStart w:id="385" w:name="_Toc30202"/>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-4采购的产品如属于政府强制采购节能产品的，投标文件中必须提供认证证书扫描件或</w:t>
      </w:r>
      <w:r>
        <w:rPr>
          <w:rFonts w:hint="eastAsia" w:ascii="仿宋" w:hAnsi="仿宋" w:eastAsia="仿宋" w:cs="仿宋"/>
          <w:color w:val="auto"/>
          <w:highlight w:val="none"/>
          <w:lang w:val="en-US" w:eastAsia="zh-CN"/>
        </w:rPr>
        <w:t>中国政府采购网</w:t>
      </w:r>
      <w:r>
        <w:rPr>
          <w:rFonts w:hint="eastAsia" w:ascii="仿宋" w:hAnsi="仿宋" w:eastAsia="仿宋" w:cs="仿宋"/>
          <w:color w:val="auto"/>
          <w:highlight w:val="none"/>
        </w:rPr>
        <w:t>截图</w:t>
      </w:r>
      <w:bookmarkEnd w:id="385"/>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5"/>
        <w:gridCol w:w="1750"/>
        <w:gridCol w:w="1750"/>
        <w:gridCol w:w="1920"/>
        <w:gridCol w:w="3339"/>
      </w:tblGrid>
      <w:tr w14:paraId="21213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1" w:hRule="atLeast"/>
          <w:jc w:val="center"/>
        </w:trPr>
        <w:tc>
          <w:tcPr>
            <w:tcW w:w="356" w:type="pct"/>
            <w:noWrap w:val="0"/>
            <w:vAlign w:val="center"/>
          </w:tcPr>
          <w:p w14:paraId="2B9167C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序号</w:t>
            </w:r>
          </w:p>
        </w:tc>
        <w:tc>
          <w:tcPr>
            <w:tcW w:w="2772" w:type="pct"/>
            <w:gridSpan w:val="3"/>
            <w:noWrap w:val="0"/>
            <w:vAlign w:val="center"/>
          </w:tcPr>
          <w:p w14:paraId="54F399E7">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名称</w:t>
            </w:r>
          </w:p>
        </w:tc>
        <w:tc>
          <w:tcPr>
            <w:tcW w:w="1870" w:type="pct"/>
            <w:noWrap w:val="0"/>
            <w:vAlign w:val="center"/>
          </w:tcPr>
          <w:p w14:paraId="4A122A9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依据的标准</w:t>
            </w:r>
          </w:p>
        </w:tc>
      </w:tr>
      <w:tr w14:paraId="135C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56" w:type="pct"/>
            <w:vMerge w:val="restart"/>
            <w:noWrap w:val="0"/>
            <w:vAlign w:val="center"/>
          </w:tcPr>
          <w:p w14:paraId="7AF58BFB">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lang w:val="en-US" w:eastAsia="zh-CN"/>
              </w:rPr>
            </w:pPr>
            <w:r>
              <w:rPr>
                <w:rFonts w:hint="eastAsia" w:ascii="仿宋" w:hAnsi="仿宋" w:eastAsia="仿宋" w:cs="仿宋"/>
                <w:i w:val="0"/>
                <w:iCs w:val="0"/>
                <w:color w:val="auto"/>
                <w:spacing w:val="-2"/>
                <w:sz w:val="24"/>
                <w:szCs w:val="24"/>
                <w:highlight w:val="none"/>
                <w:lang w:val="en-US" w:eastAsia="zh-CN"/>
              </w:rPr>
              <w:t>1</w:t>
            </w:r>
          </w:p>
        </w:tc>
        <w:tc>
          <w:tcPr>
            <w:tcW w:w="776" w:type="pct"/>
            <w:vMerge w:val="restart"/>
            <w:noWrap w:val="0"/>
            <w:vAlign w:val="center"/>
          </w:tcPr>
          <w:p w14:paraId="4D4F9B6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A020101计算机设备</w:t>
            </w:r>
          </w:p>
        </w:tc>
        <w:tc>
          <w:tcPr>
            <w:tcW w:w="889" w:type="pct"/>
            <w:vMerge w:val="restart"/>
            <w:noWrap w:val="0"/>
            <w:vAlign w:val="center"/>
          </w:tcPr>
          <w:p w14:paraId="1E97F0D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★A02010104 台式计算机</w:t>
            </w:r>
          </w:p>
        </w:tc>
        <w:tc>
          <w:tcPr>
            <w:tcW w:w="1106" w:type="pct"/>
            <w:vMerge w:val="restart"/>
            <w:noWrap w:val="0"/>
            <w:vAlign w:val="center"/>
          </w:tcPr>
          <w:p w14:paraId="604166F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vMerge w:val="restart"/>
            <w:noWrap w:val="0"/>
            <w:vAlign w:val="center"/>
          </w:tcPr>
          <w:p w14:paraId="74FF267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《微型计算机能效限定值及能效 等级》(GB28380)</w:t>
            </w:r>
          </w:p>
        </w:tc>
      </w:tr>
      <w:tr w14:paraId="03E1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356" w:type="pct"/>
            <w:vMerge w:val="continue"/>
            <w:noWrap w:val="0"/>
            <w:vAlign w:val="center"/>
          </w:tcPr>
          <w:p w14:paraId="604ABE9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731D02C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59F4261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vMerge w:val="continue"/>
            <w:noWrap w:val="0"/>
            <w:vAlign w:val="center"/>
          </w:tcPr>
          <w:p w14:paraId="3986FC2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vMerge w:val="continue"/>
            <w:noWrap w:val="0"/>
            <w:vAlign w:val="center"/>
          </w:tcPr>
          <w:p w14:paraId="7CAF34F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r>
      <w:tr w14:paraId="2815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56" w:type="pct"/>
            <w:vMerge w:val="continue"/>
            <w:noWrap w:val="0"/>
            <w:vAlign w:val="center"/>
          </w:tcPr>
          <w:p w14:paraId="4CE5EA4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19833F0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restart"/>
            <w:noWrap w:val="0"/>
            <w:vAlign w:val="center"/>
          </w:tcPr>
          <w:p w14:paraId="0092129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★A02010105 便携式计算机</w:t>
            </w:r>
          </w:p>
        </w:tc>
        <w:tc>
          <w:tcPr>
            <w:tcW w:w="1106" w:type="pct"/>
            <w:vMerge w:val="restart"/>
            <w:noWrap w:val="0"/>
            <w:vAlign w:val="center"/>
          </w:tcPr>
          <w:p w14:paraId="21355C7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vMerge w:val="restart"/>
            <w:noWrap w:val="0"/>
            <w:vAlign w:val="center"/>
          </w:tcPr>
          <w:p w14:paraId="08CF6127">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《微型计算机能效限定值及能效 等级》(GB28380)</w:t>
            </w:r>
          </w:p>
        </w:tc>
      </w:tr>
      <w:tr w14:paraId="1C7B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356" w:type="pct"/>
            <w:vMerge w:val="continue"/>
            <w:noWrap w:val="0"/>
            <w:vAlign w:val="center"/>
          </w:tcPr>
          <w:p w14:paraId="4E353F7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4637D52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3CE22ACB">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vMerge w:val="continue"/>
            <w:noWrap w:val="0"/>
            <w:vAlign w:val="center"/>
          </w:tcPr>
          <w:p w14:paraId="4723AD1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vMerge w:val="continue"/>
            <w:noWrap w:val="0"/>
            <w:vAlign w:val="center"/>
          </w:tcPr>
          <w:p w14:paraId="6DA64FA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r>
      <w:tr w14:paraId="1129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56" w:type="pct"/>
            <w:vMerge w:val="continue"/>
            <w:noWrap w:val="0"/>
            <w:vAlign w:val="center"/>
          </w:tcPr>
          <w:p w14:paraId="708CC86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5736100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restart"/>
            <w:noWrap w:val="0"/>
            <w:vAlign w:val="center"/>
          </w:tcPr>
          <w:p w14:paraId="649A8AE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★A02010107 平板式微型计算机</w:t>
            </w:r>
          </w:p>
        </w:tc>
        <w:tc>
          <w:tcPr>
            <w:tcW w:w="1106" w:type="pct"/>
            <w:vMerge w:val="restart"/>
            <w:noWrap w:val="0"/>
            <w:vAlign w:val="center"/>
          </w:tcPr>
          <w:p w14:paraId="29C02CF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vMerge w:val="restart"/>
            <w:noWrap w:val="0"/>
            <w:vAlign w:val="center"/>
          </w:tcPr>
          <w:p w14:paraId="55A284D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《微型计算机能效限定值及能效 等级》(GB28380)</w:t>
            </w:r>
          </w:p>
        </w:tc>
      </w:tr>
      <w:tr w14:paraId="3180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356" w:type="pct"/>
            <w:vMerge w:val="continue"/>
            <w:noWrap w:val="0"/>
            <w:vAlign w:val="center"/>
          </w:tcPr>
          <w:p w14:paraId="6A22611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308EF7B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7BFA7E2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vMerge w:val="continue"/>
            <w:noWrap w:val="0"/>
            <w:vAlign w:val="center"/>
          </w:tcPr>
          <w:p w14:paraId="2ED1678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vMerge w:val="continue"/>
            <w:noWrap w:val="0"/>
            <w:vAlign w:val="center"/>
          </w:tcPr>
          <w:p w14:paraId="6D0070AB">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r>
      <w:tr w14:paraId="3A7C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vMerge w:val="restart"/>
            <w:noWrap w:val="0"/>
            <w:vAlign w:val="center"/>
          </w:tcPr>
          <w:p w14:paraId="5407DD0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2</w:t>
            </w:r>
          </w:p>
        </w:tc>
        <w:tc>
          <w:tcPr>
            <w:tcW w:w="776" w:type="pct"/>
            <w:vMerge w:val="restart"/>
            <w:noWrap w:val="0"/>
            <w:vAlign w:val="center"/>
          </w:tcPr>
          <w:p w14:paraId="447635A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A020106输入输出设备</w:t>
            </w:r>
          </w:p>
        </w:tc>
        <w:tc>
          <w:tcPr>
            <w:tcW w:w="889" w:type="pct"/>
            <w:vMerge w:val="restart"/>
            <w:noWrap w:val="0"/>
            <w:vAlign w:val="center"/>
          </w:tcPr>
          <w:p w14:paraId="13AD175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A02010601打印设备</w:t>
            </w:r>
          </w:p>
        </w:tc>
        <w:tc>
          <w:tcPr>
            <w:tcW w:w="1106" w:type="pct"/>
            <w:noWrap w:val="0"/>
            <w:vAlign w:val="center"/>
          </w:tcPr>
          <w:p w14:paraId="0DE0234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A0201060101喷墨打印机</w:t>
            </w:r>
          </w:p>
        </w:tc>
        <w:tc>
          <w:tcPr>
            <w:tcW w:w="1870" w:type="pct"/>
            <w:noWrap w:val="0"/>
            <w:vAlign w:val="center"/>
          </w:tcPr>
          <w:p w14:paraId="64EB1E5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《复印机、打印机和传真机能效限 定值及能效等级》(GB21521)</w:t>
            </w:r>
          </w:p>
        </w:tc>
      </w:tr>
      <w:tr w14:paraId="6F10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vMerge w:val="continue"/>
            <w:noWrap w:val="0"/>
            <w:vAlign w:val="center"/>
          </w:tcPr>
          <w:p w14:paraId="149B5F3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225DCB1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1C0F753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3E1C71C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★A0201060102激光打印机</w:t>
            </w:r>
          </w:p>
        </w:tc>
        <w:tc>
          <w:tcPr>
            <w:tcW w:w="1870" w:type="pct"/>
            <w:noWrap w:val="0"/>
            <w:vAlign w:val="center"/>
          </w:tcPr>
          <w:p w14:paraId="7FBDFBB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《复印机、打印机和传真机能效限 定值及能效等级》(GB21521)</w:t>
            </w:r>
          </w:p>
        </w:tc>
      </w:tr>
      <w:tr w14:paraId="78DF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vMerge w:val="continue"/>
            <w:noWrap w:val="0"/>
            <w:vAlign w:val="center"/>
          </w:tcPr>
          <w:p w14:paraId="4D268E3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6EE07B3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21CC5C3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432C59A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★A0201060104针式打印机</w:t>
            </w:r>
          </w:p>
        </w:tc>
        <w:tc>
          <w:tcPr>
            <w:tcW w:w="1870" w:type="pct"/>
            <w:noWrap w:val="0"/>
            <w:vAlign w:val="center"/>
          </w:tcPr>
          <w:p w14:paraId="1521C34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《复印机、打印机和传真机能效限 定值及能效等级》(GB21521)</w:t>
            </w:r>
          </w:p>
        </w:tc>
      </w:tr>
      <w:tr w14:paraId="38DA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vMerge w:val="continue"/>
            <w:noWrap w:val="0"/>
            <w:vAlign w:val="center"/>
          </w:tcPr>
          <w:p w14:paraId="1DFD766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42C6C9D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noWrap w:val="0"/>
            <w:vAlign w:val="center"/>
          </w:tcPr>
          <w:p w14:paraId="11C9557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A02010604 显示设备</w:t>
            </w:r>
          </w:p>
        </w:tc>
        <w:tc>
          <w:tcPr>
            <w:tcW w:w="1106" w:type="pct"/>
            <w:noWrap w:val="0"/>
            <w:vAlign w:val="center"/>
          </w:tcPr>
          <w:p w14:paraId="0333380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★A0201060401液晶显示器</w:t>
            </w:r>
          </w:p>
        </w:tc>
        <w:tc>
          <w:tcPr>
            <w:tcW w:w="1870" w:type="pct"/>
            <w:noWrap w:val="0"/>
            <w:vAlign w:val="center"/>
          </w:tcPr>
          <w:p w14:paraId="63CFAB3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《计算机显示器能效限定值及能 效等级》(GB21520)</w:t>
            </w:r>
          </w:p>
        </w:tc>
      </w:tr>
      <w:tr w14:paraId="41E4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356" w:type="pct"/>
            <w:vMerge w:val="continue"/>
            <w:noWrap w:val="0"/>
            <w:vAlign w:val="center"/>
          </w:tcPr>
          <w:p w14:paraId="4C8CDCA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0430675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noWrap w:val="0"/>
            <w:vAlign w:val="center"/>
          </w:tcPr>
          <w:p w14:paraId="2DFE3A97">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A02010609图形图像输入设备</w:t>
            </w:r>
          </w:p>
        </w:tc>
        <w:tc>
          <w:tcPr>
            <w:tcW w:w="1106" w:type="pct"/>
            <w:noWrap w:val="0"/>
            <w:vAlign w:val="center"/>
          </w:tcPr>
          <w:p w14:paraId="4CC52C6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A0201060901扫描仪</w:t>
            </w:r>
          </w:p>
        </w:tc>
        <w:tc>
          <w:tcPr>
            <w:tcW w:w="1870" w:type="pct"/>
            <w:noWrap w:val="0"/>
            <w:vAlign w:val="center"/>
          </w:tcPr>
          <w:p w14:paraId="601D091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参照《复印机、打印机和传真机能 效限定值及能效等级》(GB21521) 中打印速度为15页/分的针式打印机相关要求</w:t>
            </w:r>
          </w:p>
        </w:tc>
      </w:tr>
      <w:tr w14:paraId="7373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noWrap w:val="0"/>
            <w:vAlign w:val="center"/>
          </w:tcPr>
          <w:p w14:paraId="67E2064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3</w:t>
            </w:r>
          </w:p>
        </w:tc>
        <w:tc>
          <w:tcPr>
            <w:tcW w:w="776" w:type="pct"/>
            <w:noWrap w:val="0"/>
            <w:vAlign w:val="center"/>
          </w:tcPr>
          <w:p w14:paraId="35529B9B">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A020202投影仪</w:t>
            </w:r>
          </w:p>
        </w:tc>
        <w:tc>
          <w:tcPr>
            <w:tcW w:w="889" w:type="pct"/>
            <w:noWrap w:val="0"/>
            <w:vAlign w:val="center"/>
          </w:tcPr>
          <w:p w14:paraId="165595B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140341D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0B634BB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《投影机能效限定值及能效等级》 (GB32028)</w:t>
            </w:r>
          </w:p>
        </w:tc>
      </w:tr>
      <w:tr w14:paraId="0CBE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56" w:type="pct"/>
            <w:noWrap w:val="0"/>
            <w:vAlign w:val="center"/>
          </w:tcPr>
          <w:p w14:paraId="6ABF317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6F1A7C8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4</w:t>
            </w:r>
          </w:p>
        </w:tc>
        <w:tc>
          <w:tcPr>
            <w:tcW w:w="776" w:type="pct"/>
            <w:noWrap w:val="0"/>
            <w:vAlign w:val="center"/>
          </w:tcPr>
          <w:p w14:paraId="2C91FD4B">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A020204多功能一体机</w:t>
            </w:r>
          </w:p>
        </w:tc>
        <w:tc>
          <w:tcPr>
            <w:tcW w:w="889" w:type="pct"/>
            <w:noWrap w:val="0"/>
            <w:vAlign w:val="center"/>
          </w:tcPr>
          <w:p w14:paraId="12D0C6C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2B14791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1DAA6BE7">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《复印机、打印机和传真机能效限 定值及能效等级》(GB21521)</w:t>
            </w:r>
          </w:p>
        </w:tc>
      </w:tr>
      <w:tr w14:paraId="6409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noWrap w:val="0"/>
            <w:vAlign w:val="center"/>
          </w:tcPr>
          <w:p w14:paraId="5F4A54F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5</w:t>
            </w:r>
          </w:p>
        </w:tc>
        <w:tc>
          <w:tcPr>
            <w:tcW w:w="776" w:type="pct"/>
            <w:noWrap w:val="0"/>
            <w:vAlign w:val="center"/>
          </w:tcPr>
          <w:p w14:paraId="22B5B19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A020519泵</w:t>
            </w:r>
          </w:p>
        </w:tc>
        <w:tc>
          <w:tcPr>
            <w:tcW w:w="889" w:type="pct"/>
            <w:noWrap w:val="0"/>
            <w:vAlign w:val="center"/>
          </w:tcPr>
          <w:p w14:paraId="131E2FC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A02051901离心泵</w:t>
            </w:r>
          </w:p>
        </w:tc>
        <w:tc>
          <w:tcPr>
            <w:tcW w:w="1106" w:type="pct"/>
            <w:noWrap w:val="0"/>
            <w:vAlign w:val="center"/>
          </w:tcPr>
          <w:p w14:paraId="6E52247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3A795987">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《清水离心泵能效限定值及节能 评价值》(GB19762)</w:t>
            </w:r>
          </w:p>
        </w:tc>
      </w:tr>
      <w:tr w14:paraId="4D89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356" w:type="pct"/>
            <w:vMerge w:val="restart"/>
            <w:noWrap w:val="0"/>
            <w:vAlign w:val="center"/>
          </w:tcPr>
          <w:p w14:paraId="00541F5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lang w:val="en-US" w:eastAsia="zh-CN"/>
              </w:rPr>
            </w:pPr>
            <w:r>
              <w:rPr>
                <w:rFonts w:hint="eastAsia" w:ascii="仿宋" w:hAnsi="仿宋" w:eastAsia="仿宋" w:cs="仿宋"/>
                <w:i w:val="0"/>
                <w:iCs w:val="0"/>
                <w:color w:val="auto"/>
                <w:spacing w:val="-2"/>
                <w:sz w:val="24"/>
                <w:szCs w:val="24"/>
                <w:highlight w:val="none"/>
                <w:lang w:val="en-US" w:eastAsia="zh-CN"/>
              </w:rPr>
              <w:t>6</w:t>
            </w:r>
          </w:p>
        </w:tc>
        <w:tc>
          <w:tcPr>
            <w:tcW w:w="776" w:type="pct"/>
            <w:vMerge w:val="restart"/>
            <w:noWrap w:val="0"/>
            <w:vAlign w:val="center"/>
          </w:tcPr>
          <w:p w14:paraId="0B911DF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A020523制冷空调设备</w:t>
            </w:r>
          </w:p>
        </w:tc>
        <w:tc>
          <w:tcPr>
            <w:tcW w:w="889" w:type="pct"/>
            <w:vMerge w:val="restart"/>
            <w:noWrap w:val="0"/>
            <w:vAlign w:val="center"/>
          </w:tcPr>
          <w:p w14:paraId="4B17CD9B">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★A02052301制冷压缩机</w:t>
            </w:r>
          </w:p>
        </w:tc>
        <w:tc>
          <w:tcPr>
            <w:tcW w:w="1106" w:type="pct"/>
            <w:noWrap w:val="0"/>
            <w:vAlign w:val="center"/>
          </w:tcPr>
          <w:p w14:paraId="1E4F1A1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冷水机组</w:t>
            </w:r>
          </w:p>
        </w:tc>
        <w:tc>
          <w:tcPr>
            <w:tcW w:w="1870" w:type="pct"/>
            <w:noWrap w:val="0"/>
            <w:vAlign w:val="center"/>
          </w:tcPr>
          <w:p w14:paraId="4675F39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《冷水机组能效限定值及能效等 级》(GB19577)，《低环境温度空气源热泵(冷水)机组能效限定值及能效等级》(GB37480)</w:t>
            </w:r>
          </w:p>
        </w:tc>
      </w:tr>
      <w:tr w14:paraId="62F0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vMerge w:val="continue"/>
            <w:noWrap w:val="0"/>
            <w:vAlign w:val="center"/>
          </w:tcPr>
          <w:p w14:paraId="3A45ACA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7D89F00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73CCB6C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1FCC41BB">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水源热泵机组</w:t>
            </w:r>
          </w:p>
        </w:tc>
        <w:tc>
          <w:tcPr>
            <w:tcW w:w="1870" w:type="pct"/>
            <w:noWrap w:val="0"/>
            <w:vAlign w:val="center"/>
          </w:tcPr>
          <w:p w14:paraId="416E012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《水(地)源热泵机组能效限定值 及能效等级》(GB30721)</w:t>
            </w:r>
          </w:p>
        </w:tc>
      </w:tr>
      <w:tr w14:paraId="42F9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vMerge w:val="continue"/>
            <w:noWrap w:val="0"/>
            <w:vAlign w:val="center"/>
          </w:tcPr>
          <w:p w14:paraId="57265A4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744FD25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4D0B985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377469A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溴化锂吸收式冷水机组</w:t>
            </w:r>
          </w:p>
        </w:tc>
        <w:tc>
          <w:tcPr>
            <w:tcW w:w="1870" w:type="pct"/>
            <w:noWrap w:val="0"/>
            <w:vAlign w:val="center"/>
          </w:tcPr>
          <w:p w14:paraId="71F7AF0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《溴化锂吸收式冷水机组能效限 定值及能效等级》(GB29540)</w:t>
            </w:r>
          </w:p>
        </w:tc>
      </w:tr>
      <w:tr w14:paraId="1EE2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356" w:type="pct"/>
            <w:vMerge w:val="continue"/>
            <w:noWrap w:val="0"/>
            <w:vAlign w:val="center"/>
          </w:tcPr>
          <w:p w14:paraId="245E4C5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restart"/>
            <w:noWrap w:val="0"/>
            <w:vAlign w:val="center"/>
          </w:tcPr>
          <w:p w14:paraId="5C089AA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★A02052305 空调机组</w:t>
            </w:r>
          </w:p>
        </w:tc>
        <w:tc>
          <w:tcPr>
            <w:tcW w:w="889" w:type="pct"/>
            <w:noWrap w:val="0"/>
            <w:vAlign w:val="center"/>
          </w:tcPr>
          <w:p w14:paraId="76EC3AD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多联式空调(热泵)机组(制冷量&gt;14000W)</w:t>
            </w:r>
          </w:p>
        </w:tc>
        <w:tc>
          <w:tcPr>
            <w:tcW w:w="1106" w:type="pct"/>
            <w:noWrap w:val="0"/>
            <w:vAlign w:val="center"/>
          </w:tcPr>
          <w:p w14:paraId="5944301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《多联式空调 (热泵) 机组能效限 定值及能源效率等级》(GB 21454)</w:t>
            </w:r>
          </w:p>
        </w:tc>
        <w:tc>
          <w:tcPr>
            <w:tcW w:w="1870" w:type="pct"/>
            <w:vMerge w:val="restart"/>
            <w:noWrap w:val="0"/>
            <w:vAlign w:val="center"/>
          </w:tcPr>
          <w:p w14:paraId="2207A3C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★A02052305空调机组</w:t>
            </w:r>
          </w:p>
        </w:tc>
      </w:tr>
      <w:tr w14:paraId="419B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jc w:val="center"/>
        </w:trPr>
        <w:tc>
          <w:tcPr>
            <w:tcW w:w="356" w:type="pct"/>
            <w:vMerge w:val="continue"/>
            <w:noWrap w:val="0"/>
            <w:vAlign w:val="center"/>
          </w:tcPr>
          <w:p w14:paraId="0304A7E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077EB6F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noWrap w:val="0"/>
            <w:vAlign w:val="center"/>
          </w:tcPr>
          <w:p w14:paraId="2D58ED4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单元式空气调节机(制冷量&gt;14000W)</w:t>
            </w:r>
          </w:p>
        </w:tc>
        <w:tc>
          <w:tcPr>
            <w:tcW w:w="1106" w:type="pct"/>
            <w:noWrap w:val="0"/>
            <w:vAlign w:val="center"/>
          </w:tcPr>
          <w:p w14:paraId="0878983B">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《单元式空气调节机能效限定值 及能效等级》(GB 19576)  《风管 送风式空调机组能效限定值及能 效等级》(GB 37479)</w:t>
            </w:r>
          </w:p>
        </w:tc>
        <w:tc>
          <w:tcPr>
            <w:tcW w:w="1870" w:type="pct"/>
            <w:vMerge w:val="continue"/>
            <w:noWrap w:val="0"/>
            <w:vAlign w:val="center"/>
          </w:tcPr>
          <w:p w14:paraId="514D8FF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r>
      <w:tr w14:paraId="3894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356" w:type="pct"/>
            <w:vMerge w:val="continue"/>
            <w:noWrap w:val="0"/>
            <w:vAlign w:val="center"/>
          </w:tcPr>
          <w:p w14:paraId="6706B2C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noWrap w:val="0"/>
            <w:vAlign w:val="center"/>
          </w:tcPr>
          <w:p w14:paraId="0576690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★A02052309 专用制冷、空调设备</w:t>
            </w:r>
          </w:p>
        </w:tc>
        <w:tc>
          <w:tcPr>
            <w:tcW w:w="889" w:type="pct"/>
            <w:noWrap w:val="0"/>
            <w:vAlign w:val="center"/>
          </w:tcPr>
          <w:p w14:paraId="23762BD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机房空调</w:t>
            </w:r>
          </w:p>
        </w:tc>
        <w:tc>
          <w:tcPr>
            <w:tcW w:w="1106" w:type="pct"/>
            <w:noWrap w:val="0"/>
            <w:vAlign w:val="center"/>
          </w:tcPr>
          <w:p w14:paraId="7D075BD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《单元式空气调节机能效限定值 及能效等级》(GB 19576)</w:t>
            </w:r>
          </w:p>
        </w:tc>
        <w:tc>
          <w:tcPr>
            <w:tcW w:w="1870" w:type="pct"/>
            <w:noWrap w:val="0"/>
            <w:vAlign w:val="center"/>
          </w:tcPr>
          <w:p w14:paraId="02E6EA0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★A02052309专用制冷、空调设备</w:t>
            </w:r>
          </w:p>
        </w:tc>
      </w:tr>
      <w:tr w14:paraId="4B25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jc w:val="center"/>
        </w:trPr>
        <w:tc>
          <w:tcPr>
            <w:tcW w:w="356" w:type="pct"/>
            <w:vMerge w:val="continue"/>
            <w:noWrap w:val="0"/>
            <w:vAlign w:val="center"/>
          </w:tcPr>
          <w:p w14:paraId="0EDE5F2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noWrap w:val="0"/>
            <w:vAlign w:val="center"/>
          </w:tcPr>
          <w:p w14:paraId="4C4131B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A02052399 其他制冷空调设备</w:t>
            </w:r>
          </w:p>
        </w:tc>
        <w:tc>
          <w:tcPr>
            <w:tcW w:w="889" w:type="pct"/>
            <w:noWrap w:val="0"/>
            <w:vAlign w:val="center"/>
          </w:tcPr>
          <w:p w14:paraId="2D29DD6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冷却塔</w:t>
            </w:r>
          </w:p>
        </w:tc>
        <w:tc>
          <w:tcPr>
            <w:tcW w:w="1106" w:type="pct"/>
            <w:noWrap w:val="0"/>
            <w:vAlign w:val="center"/>
          </w:tcPr>
          <w:p w14:paraId="0987153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《机械通风冷却塔 第1部分：中小型开式冷却塔》(GB/T7190.1)；《机械通风冷却塔第2部分：大型开式冷却塔》(GB /T7190.2)</w:t>
            </w:r>
          </w:p>
        </w:tc>
        <w:tc>
          <w:tcPr>
            <w:tcW w:w="1870" w:type="pct"/>
            <w:noWrap w:val="0"/>
            <w:vAlign w:val="center"/>
          </w:tcPr>
          <w:p w14:paraId="2D25686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A02052399其他制冷空调设备</w:t>
            </w:r>
          </w:p>
        </w:tc>
      </w:tr>
      <w:tr w14:paraId="707D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56" w:type="pct"/>
            <w:noWrap w:val="0"/>
            <w:vAlign w:val="center"/>
          </w:tcPr>
          <w:p w14:paraId="633C49A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4CCCF6F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7</w:t>
            </w:r>
          </w:p>
        </w:tc>
        <w:tc>
          <w:tcPr>
            <w:tcW w:w="776" w:type="pct"/>
            <w:noWrap w:val="0"/>
            <w:vAlign w:val="center"/>
          </w:tcPr>
          <w:p w14:paraId="1FB4185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A020601电机</w:t>
            </w:r>
          </w:p>
        </w:tc>
        <w:tc>
          <w:tcPr>
            <w:tcW w:w="889" w:type="pct"/>
            <w:noWrap w:val="0"/>
            <w:vAlign w:val="center"/>
          </w:tcPr>
          <w:p w14:paraId="69C2D37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0B5ACFF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6B4C87F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《中小型三相异步电动机能效限定值及能效等级》(GB18613)</w:t>
            </w:r>
          </w:p>
        </w:tc>
      </w:tr>
      <w:tr w14:paraId="3E57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noWrap w:val="0"/>
            <w:vAlign w:val="center"/>
          </w:tcPr>
          <w:p w14:paraId="155AD01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8</w:t>
            </w:r>
          </w:p>
        </w:tc>
        <w:tc>
          <w:tcPr>
            <w:tcW w:w="776" w:type="pct"/>
            <w:noWrap w:val="0"/>
            <w:vAlign w:val="center"/>
          </w:tcPr>
          <w:p w14:paraId="37BABF5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A020602变压器</w:t>
            </w:r>
          </w:p>
        </w:tc>
        <w:tc>
          <w:tcPr>
            <w:tcW w:w="889" w:type="pct"/>
            <w:noWrap w:val="0"/>
            <w:vAlign w:val="center"/>
          </w:tcPr>
          <w:p w14:paraId="5ACD7A9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配电变压器</w:t>
            </w:r>
          </w:p>
        </w:tc>
        <w:tc>
          <w:tcPr>
            <w:tcW w:w="1106" w:type="pct"/>
            <w:noWrap w:val="0"/>
            <w:vAlign w:val="center"/>
          </w:tcPr>
          <w:p w14:paraId="4E584337">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1A9480C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《三相配电变压器能效限定值及能效等级》(GB20052)</w:t>
            </w:r>
          </w:p>
        </w:tc>
      </w:tr>
      <w:tr w14:paraId="2351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56" w:type="pct"/>
            <w:noWrap w:val="0"/>
            <w:vAlign w:val="center"/>
          </w:tcPr>
          <w:p w14:paraId="1B11317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55611A3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9</w:t>
            </w:r>
          </w:p>
        </w:tc>
        <w:tc>
          <w:tcPr>
            <w:tcW w:w="776" w:type="pct"/>
            <w:noWrap w:val="0"/>
            <w:vAlign w:val="center"/>
          </w:tcPr>
          <w:p w14:paraId="52A368F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★A020609 镇流器</w:t>
            </w:r>
          </w:p>
        </w:tc>
        <w:tc>
          <w:tcPr>
            <w:tcW w:w="889" w:type="pct"/>
            <w:noWrap w:val="0"/>
            <w:vAlign w:val="center"/>
          </w:tcPr>
          <w:p w14:paraId="517D7B7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管型荧光灯镇流器</w:t>
            </w:r>
          </w:p>
        </w:tc>
        <w:tc>
          <w:tcPr>
            <w:tcW w:w="1106" w:type="pct"/>
            <w:noWrap w:val="0"/>
            <w:vAlign w:val="center"/>
          </w:tcPr>
          <w:p w14:paraId="39A2DDF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4481E88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《管形荧光灯镇流器能效限定值 及能效等级》(GB17896)</w:t>
            </w:r>
          </w:p>
        </w:tc>
      </w:tr>
      <w:tr w14:paraId="17EF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356" w:type="pct"/>
            <w:vMerge w:val="restart"/>
            <w:noWrap w:val="0"/>
            <w:vAlign w:val="center"/>
          </w:tcPr>
          <w:p w14:paraId="42D4BE1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10</w:t>
            </w:r>
          </w:p>
        </w:tc>
        <w:tc>
          <w:tcPr>
            <w:tcW w:w="776" w:type="pct"/>
            <w:vMerge w:val="restart"/>
            <w:noWrap w:val="0"/>
            <w:vAlign w:val="center"/>
          </w:tcPr>
          <w:p w14:paraId="2BE1B25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A0206180101电冰箱★A0206180203空调机</w:t>
            </w:r>
          </w:p>
        </w:tc>
        <w:tc>
          <w:tcPr>
            <w:tcW w:w="889" w:type="pct"/>
            <w:noWrap w:val="0"/>
            <w:vAlign w:val="center"/>
          </w:tcPr>
          <w:p w14:paraId="075F6F7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A020618010</w:t>
            </w:r>
            <w:r>
              <w:rPr>
                <w:rFonts w:hint="eastAsia" w:ascii="仿宋" w:hAnsi="仿宋" w:eastAsia="仿宋" w:cs="仿宋"/>
                <w:i w:val="0"/>
                <w:iCs w:val="0"/>
                <w:color w:val="auto"/>
                <w:spacing w:val="-2"/>
                <w:sz w:val="24"/>
                <w:szCs w:val="24"/>
                <w:highlight w:val="none"/>
                <w:lang w:val="en-US" w:eastAsia="zh-CN"/>
              </w:rPr>
              <w:t>1</w:t>
            </w:r>
            <w:r>
              <w:rPr>
                <w:rFonts w:hint="eastAsia" w:ascii="仿宋" w:hAnsi="仿宋" w:eastAsia="仿宋" w:cs="仿宋"/>
                <w:i w:val="0"/>
                <w:iCs w:val="0"/>
                <w:color w:val="auto"/>
                <w:spacing w:val="-2"/>
                <w:sz w:val="24"/>
                <w:szCs w:val="24"/>
                <w:highlight w:val="none"/>
              </w:rPr>
              <w:t>电冰箱</w:t>
            </w:r>
          </w:p>
        </w:tc>
        <w:tc>
          <w:tcPr>
            <w:tcW w:w="1106" w:type="pct"/>
            <w:noWrap w:val="0"/>
            <w:vAlign w:val="center"/>
          </w:tcPr>
          <w:p w14:paraId="01E2C0EB">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652736A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《家用电冰箱耗电量限定值及能效等级》(G12021.2)(GB21455-2019) 实施</w:t>
            </w:r>
          </w:p>
        </w:tc>
      </w:tr>
      <w:tr w14:paraId="32D7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jc w:val="center"/>
        </w:trPr>
        <w:tc>
          <w:tcPr>
            <w:tcW w:w="356" w:type="pct"/>
            <w:vMerge w:val="continue"/>
            <w:noWrap w:val="0"/>
            <w:vAlign w:val="center"/>
          </w:tcPr>
          <w:p w14:paraId="1341348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2CBD956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restart"/>
            <w:noWrap w:val="0"/>
            <w:vAlign w:val="center"/>
          </w:tcPr>
          <w:p w14:paraId="05A300D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★A0206180203 空调机</w:t>
            </w:r>
          </w:p>
        </w:tc>
        <w:tc>
          <w:tcPr>
            <w:tcW w:w="1106" w:type="pct"/>
            <w:noWrap w:val="0"/>
            <w:vAlign w:val="center"/>
          </w:tcPr>
          <w:p w14:paraId="75A0599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房间空气调节器</w:t>
            </w:r>
          </w:p>
        </w:tc>
        <w:tc>
          <w:tcPr>
            <w:tcW w:w="1870" w:type="pct"/>
            <w:noWrap w:val="0"/>
            <w:vAlign w:val="center"/>
          </w:tcPr>
          <w:p w14:paraId="1B03DD0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《转速可控型房间空气调节器能 效限定值及能效等级》( GB21455-2013) ，待2019年修订发布后，按《房间空气调节器能效限定值及能效等级》(GB21455-2019)实施。</w:t>
            </w:r>
          </w:p>
        </w:tc>
      </w:tr>
      <w:tr w14:paraId="173B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356" w:type="pct"/>
            <w:vMerge w:val="continue"/>
            <w:noWrap w:val="0"/>
            <w:vAlign w:val="center"/>
          </w:tcPr>
          <w:p w14:paraId="5B445D9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10EB053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74CE7B8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09E0BE1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多联式空(热泵)机组(制冷量≤14000W)</w:t>
            </w:r>
          </w:p>
        </w:tc>
        <w:tc>
          <w:tcPr>
            <w:tcW w:w="1870" w:type="pct"/>
            <w:noWrap w:val="0"/>
            <w:vAlign w:val="center"/>
          </w:tcPr>
          <w:p w14:paraId="73325777">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《多联式空调(热泵)机组能效限定值及能源效率等级》(GB 21454)</w:t>
            </w:r>
          </w:p>
        </w:tc>
      </w:tr>
      <w:tr w14:paraId="3612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356" w:type="pct"/>
            <w:vMerge w:val="continue"/>
            <w:noWrap w:val="0"/>
            <w:vAlign w:val="center"/>
          </w:tcPr>
          <w:p w14:paraId="1ABF798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676AB41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77D9796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3758325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单元式空气调节机(制冷量≤14000W)</w:t>
            </w:r>
          </w:p>
        </w:tc>
        <w:tc>
          <w:tcPr>
            <w:tcW w:w="1870" w:type="pct"/>
            <w:noWrap w:val="0"/>
            <w:vAlign w:val="center"/>
          </w:tcPr>
          <w:p w14:paraId="5D64E9D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《单元式空气调节机能效限定值 及能源效率等级》(GB19576)《风 管送风式空调机组能效限定值及 能效等级》(GB37479)</w:t>
            </w:r>
          </w:p>
        </w:tc>
      </w:tr>
      <w:tr w14:paraId="7651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vMerge w:val="continue"/>
            <w:noWrap w:val="0"/>
            <w:vAlign w:val="center"/>
          </w:tcPr>
          <w:p w14:paraId="2B4D684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1D082A6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noWrap w:val="0"/>
            <w:vAlign w:val="center"/>
          </w:tcPr>
          <w:p w14:paraId="7A003EF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A0206180301洗衣机</w:t>
            </w:r>
          </w:p>
        </w:tc>
        <w:tc>
          <w:tcPr>
            <w:tcW w:w="1106" w:type="pct"/>
            <w:noWrap w:val="0"/>
            <w:vAlign w:val="center"/>
          </w:tcPr>
          <w:p w14:paraId="1672DFF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6D79B1F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《电动洗衣机能效水效限定值及等级》(GB12021.4)</w:t>
            </w:r>
          </w:p>
        </w:tc>
      </w:tr>
      <w:tr w14:paraId="6B65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vMerge w:val="continue"/>
            <w:noWrap w:val="0"/>
            <w:vAlign w:val="center"/>
          </w:tcPr>
          <w:p w14:paraId="110D556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0220E34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restart"/>
            <w:noWrap w:val="0"/>
            <w:vAlign w:val="center"/>
          </w:tcPr>
          <w:p w14:paraId="321900E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A02061808热水器</w:t>
            </w:r>
          </w:p>
        </w:tc>
        <w:tc>
          <w:tcPr>
            <w:tcW w:w="1106" w:type="pct"/>
            <w:noWrap w:val="0"/>
            <w:vAlign w:val="center"/>
          </w:tcPr>
          <w:p w14:paraId="5B29946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★电热水器</w:t>
            </w:r>
          </w:p>
        </w:tc>
        <w:tc>
          <w:tcPr>
            <w:tcW w:w="1870" w:type="pct"/>
            <w:noWrap w:val="0"/>
            <w:vAlign w:val="center"/>
          </w:tcPr>
          <w:p w14:paraId="692230A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《储水式电热水器能效限定值及能效等级》(GB21519)</w:t>
            </w:r>
          </w:p>
        </w:tc>
      </w:tr>
      <w:tr w14:paraId="7D0D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356" w:type="pct"/>
            <w:vMerge w:val="continue"/>
            <w:noWrap w:val="0"/>
            <w:vAlign w:val="center"/>
          </w:tcPr>
          <w:p w14:paraId="39264F77">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2D62C5B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7229513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7ED6393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燃气热水器</w:t>
            </w:r>
          </w:p>
        </w:tc>
        <w:tc>
          <w:tcPr>
            <w:tcW w:w="1870" w:type="pct"/>
            <w:noWrap w:val="0"/>
            <w:vAlign w:val="center"/>
          </w:tcPr>
          <w:p w14:paraId="7C80A8B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《家用燃气快速热水器和燃气采暖热水炉能效限定值及能效等级》 (GB20665)</w:t>
            </w:r>
          </w:p>
        </w:tc>
      </w:tr>
      <w:tr w14:paraId="2658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vMerge w:val="continue"/>
            <w:noWrap w:val="0"/>
            <w:vAlign w:val="center"/>
          </w:tcPr>
          <w:p w14:paraId="7CD38E0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56C7BFD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2142370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7ED3943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热泵热水器</w:t>
            </w:r>
          </w:p>
        </w:tc>
        <w:tc>
          <w:tcPr>
            <w:tcW w:w="1870" w:type="pct"/>
            <w:noWrap w:val="0"/>
            <w:vAlign w:val="center"/>
          </w:tcPr>
          <w:p w14:paraId="5FF8084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《热泵热水机 (器) 能效限定值及 能效等级》(GB29541)</w:t>
            </w:r>
          </w:p>
        </w:tc>
      </w:tr>
      <w:tr w14:paraId="3021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vMerge w:val="continue"/>
            <w:noWrap w:val="0"/>
            <w:vAlign w:val="center"/>
          </w:tcPr>
          <w:p w14:paraId="7615F40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5CB473B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vMerge w:val="continue"/>
            <w:noWrap w:val="0"/>
            <w:vAlign w:val="center"/>
          </w:tcPr>
          <w:p w14:paraId="3E2493A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7A80962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太阳能热水系统</w:t>
            </w:r>
          </w:p>
        </w:tc>
        <w:tc>
          <w:tcPr>
            <w:tcW w:w="1870" w:type="pct"/>
            <w:noWrap w:val="0"/>
            <w:vAlign w:val="center"/>
          </w:tcPr>
          <w:p w14:paraId="5122A00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《家用太阳能热水系统能效限定 值及能效等级》(GB26969)</w:t>
            </w:r>
          </w:p>
        </w:tc>
      </w:tr>
      <w:tr w14:paraId="61B6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356" w:type="pct"/>
            <w:vMerge w:val="restart"/>
            <w:noWrap w:val="0"/>
            <w:vAlign w:val="center"/>
          </w:tcPr>
          <w:p w14:paraId="28884FA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6DF8D3A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312AEE4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39DD926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12E91F1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67E0212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2DEA604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11</w:t>
            </w:r>
          </w:p>
        </w:tc>
        <w:tc>
          <w:tcPr>
            <w:tcW w:w="776" w:type="pct"/>
            <w:vMerge w:val="restart"/>
            <w:noWrap w:val="0"/>
            <w:vAlign w:val="center"/>
          </w:tcPr>
          <w:p w14:paraId="7291FEF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p w14:paraId="1D6A572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p w14:paraId="00CBD5D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p w14:paraId="51AC9B0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p w14:paraId="2E14DF7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p w14:paraId="083285F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p w14:paraId="2EE5714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A020619照明设备</w:t>
            </w:r>
          </w:p>
        </w:tc>
        <w:tc>
          <w:tcPr>
            <w:tcW w:w="889" w:type="pct"/>
            <w:noWrap w:val="0"/>
            <w:vAlign w:val="center"/>
          </w:tcPr>
          <w:p w14:paraId="3D1D49E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 普通照明用双端荧光灯</w:t>
            </w:r>
          </w:p>
        </w:tc>
        <w:tc>
          <w:tcPr>
            <w:tcW w:w="1106" w:type="pct"/>
            <w:noWrap w:val="0"/>
            <w:vAlign w:val="center"/>
          </w:tcPr>
          <w:p w14:paraId="682EDDA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6777104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《普通照明用双端荧光灯能效限 定值及能效等级》(GB19043)</w:t>
            </w:r>
          </w:p>
        </w:tc>
      </w:tr>
      <w:tr w14:paraId="0155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56" w:type="pct"/>
            <w:vMerge w:val="continue"/>
            <w:noWrap w:val="0"/>
            <w:vAlign w:val="center"/>
          </w:tcPr>
          <w:p w14:paraId="08C83A2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0A3A787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noWrap w:val="0"/>
            <w:vAlign w:val="center"/>
          </w:tcPr>
          <w:p w14:paraId="2A68D39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LED道路/隧道照明产品</w:t>
            </w:r>
          </w:p>
        </w:tc>
        <w:tc>
          <w:tcPr>
            <w:tcW w:w="1106" w:type="pct"/>
            <w:noWrap w:val="0"/>
            <w:vAlign w:val="center"/>
          </w:tcPr>
          <w:p w14:paraId="73594D3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2B96430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《道路和隧道照明用 LED 灯具能 效限定值及能效等级》(GB37478)</w:t>
            </w:r>
          </w:p>
        </w:tc>
      </w:tr>
      <w:tr w14:paraId="450D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356" w:type="pct"/>
            <w:vMerge w:val="continue"/>
            <w:noWrap w:val="0"/>
            <w:vAlign w:val="center"/>
          </w:tcPr>
          <w:p w14:paraId="14A75077">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196AA5C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noWrap w:val="0"/>
            <w:vAlign w:val="center"/>
          </w:tcPr>
          <w:p w14:paraId="7EBBAC6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LED筒灯</w:t>
            </w:r>
          </w:p>
        </w:tc>
        <w:tc>
          <w:tcPr>
            <w:tcW w:w="1106" w:type="pct"/>
            <w:noWrap w:val="0"/>
            <w:vAlign w:val="center"/>
          </w:tcPr>
          <w:p w14:paraId="029C5BB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7D28C97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《室内照明用 LED 产品能效限定 值及能效等级》(GB 30255)</w:t>
            </w:r>
          </w:p>
        </w:tc>
      </w:tr>
      <w:tr w14:paraId="0E63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356" w:type="pct"/>
            <w:vMerge w:val="continue"/>
            <w:noWrap w:val="0"/>
            <w:vAlign w:val="center"/>
          </w:tcPr>
          <w:p w14:paraId="5541956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4A6CF429">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noWrap w:val="0"/>
            <w:vAlign w:val="center"/>
          </w:tcPr>
          <w:p w14:paraId="6B9E165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普通照明用非定向自镇流LED灯</w:t>
            </w:r>
          </w:p>
        </w:tc>
        <w:tc>
          <w:tcPr>
            <w:tcW w:w="1106" w:type="pct"/>
            <w:noWrap w:val="0"/>
            <w:vAlign w:val="center"/>
          </w:tcPr>
          <w:p w14:paraId="3F04792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07E1A7D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《室内照明用 LED 产品能效限定 值及能效等级》(GB30255)</w:t>
            </w:r>
          </w:p>
        </w:tc>
      </w:tr>
      <w:tr w14:paraId="6199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356" w:type="pct"/>
            <w:noWrap w:val="0"/>
            <w:vAlign w:val="center"/>
          </w:tcPr>
          <w:p w14:paraId="686AAE1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0B996CE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12</w:t>
            </w:r>
          </w:p>
        </w:tc>
        <w:tc>
          <w:tcPr>
            <w:tcW w:w="776" w:type="pct"/>
            <w:noWrap w:val="0"/>
            <w:vAlign w:val="center"/>
          </w:tcPr>
          <w:p w14:paraId="0DA9C8C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★A020910 电视设备</w:t>
            </w:r>
          </w:p>
        </w:tc>
        <w:tc>
          <w:tcPr>
            <w:tcW w:w="889" w:type="pct"/>
            <w:noWrap w:val="0"/>
            <w:vAlign w:val="center"/>
          </w:tcPr>
          <w:p w14:paraId="45FA734B">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A02091001普通电视设备(电视机)</w:t>
            </w:r>
          </w:p>
        </w:tc>
        <w:tc>
          <w:tcPr>
            <w:tcW w:w="1106" w:type="pct"/>
            <w:noWrap w:val="0"/>
            <w:vAlign w:val="center"/>
          </w:tcPr>
          <w:p w14:paraId="0CD0DCA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6493787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《平板电视能效限定值及能效等 级》(GB24850)</w:t>
            </w:r>
          </w:p>
        </w:tc>
      </w:tr>
      <w:tr w14:paraId="3A98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356" w:type="pct"/>
            <w:noWrap w:val="0"/>
            <w:vAlign w:val="center"/>
          </w:tcPr>
          <w:p w14:paraId="3BDD906C">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066C11B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151E6D4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0861FAE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13</w:t>
            </w:r>
          </w:p>
        </w:tc>
        <w:tc>
          <w:tcPr>
            <w:tcW w:w="776" w:type="pct"/>
            <w:noWrap w:val="0"/>
            <w:vAlign w:val="center"/>
          </w:tcPr>
          <w:p w14:paraId="38BF1D0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★A020911 视频设备</w:t>
            </w:r>
          </w:p>
        </w:tc>
        <w:tc>
          <w:tcPr>
            <w:tcW w:w="889" w:type="pct"/>
            <w:noWrap w:val="0"/>
            <w:vAlign w:val="center"/>
          </w:tcPr>
          <w:p w14:paraId="0DF6613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A02091107 视频监控设备</w:t>
            </w:r>
          </w:p>
        </w:tc>
        <w:tc>
          <w:tcPr>
            <w:tcW w:w="1106" w:type="pct"/>
            <w:noWrap w:val="0"/>
            <w:vAlign w:val="center"/>
          </w:tcPr>
          <w:p w14:paraId="271F72C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监视器</w:t>
            </w:r>
          </w:p>
        </w:tc>
        <w:tc>
          <w:tcPr>
            <w:tcW w:w="1870" w:type="pct"/>
            <w:noWrap w:val="0"/>
            <w:vAlign w:val="center"/>
          </w:tcPr>
          <w:p w14:paraId="33E33FC7">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以射频信号为主要信号输入的监 视器应符合《平板电视能效限定值 及能效等级》(GB 24850) ，</w:t>
            </w:r>
          </w:p>
          <w:p w14:paraId="07942C1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以数字信号为主要信号输入的监 视器应符合《计算机显示器能效限 定值及能效等级》(GB21520)</w:t>
            </w:r>
          </w:p>
        </w:tc>
      </w:tr>
      <w:tr w14:paraId="0A7A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56" w:type="pct"/>
            <w:noWrap w:val="0"/>
            <w:vAlign w:val="center"/>
          </w:tcPr>
          <w:p w14:paraId="2755587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11F513E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14</w:t>
            </w:r>
          </w:p>
        </w:tc>
        <w:tc>
          <w:tcPr>
            <w:tcW w:w="776" w:type="pct"/>
            <w:noWrap w:val="0"/>
            <w:vAlign w:val="center"/>
          </w:tcPr>
          <w:p w14:paraId="386C621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A031210饮食炊事机械</w:t>
            </w:r>
          </w:p>
        </w:tc>
        <w:tc>
          <w:tcPr>
            <w:tcW w:w="889" w:type="pct"/>
            <w:noWrap w:val="0"/>
            <w:vAlign w:val="center"/>
          </w:tcPr>
          <w:p w14:paraId="2EF9581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商用燃气灶具</w:t>
            </w:r>
          </w:p>
        </w:tc>
        <w:tc>
          <w:tcPr>
            <w:tcW w:w="1106" w:type="pct"/>
            <w:noWrap w:val="0"/>
            <w:vAlign w:val="center"/>
          </w:tcPr>
          <w:p w14:paraId="590C09D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4FEF415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《商用燃气灶具能效限定值及能 效等级》(GB 30531)</w:t>
            </w:r>
          </w:p>
        </w:tc>
      </w:tr>
      <w:tr w14:paraId="2E4A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56" w:type="pct"/>
            <w:vMerge w:val="restart"/>
            <w:noWrap w:val="0"/>
            <w:vAlign w:val="center"/>
          </w:tcPr>
          <w:p w14:paraId="47E0B76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4AE483BB">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743FA8D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2DA3AA5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3AEF48E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15</w:t>
            </w:r>
          </w:p>
        </w:tc>
        <w:tc>
          <w:tcPr>
            <w:tcW w:w="776" w:type="pct"/>
            <w:vMerge w:val="restart"/>
            <w:noWrap w:val="0"/>
            <w:vAlign w:val="center"/>
          </w:tcPr>
          <w:p w14:paraId="084610D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★A060805 便器</w:t>
            </w:r>
          </w:p>
        </w:tc>
        <w:tc>
          <w:tcPr>
            <w:tcW w:w="889" w:type="pct"/>
            <w:noWrap w:val="0"/>
            <w:vAlign w:val="center"/>
          </w:tcPr>
          <w:p w14:paraId="200FAB6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p w14:paraId="1393A44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坐便器</w:t>
            </w:r>
          </w:p>
        </w:tc>
        <w:tc>
          <w:tcPr>
            <w:tcW w:w="1106" w:type="pct"/>
            <w:noWrap w:val="0"/>
            <w:vAlign w:val="center"/>
          </w:tcPr>
          <w:p w14:paraId="394C035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7239E45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《坐便器水效限定值及水效等级》 (GB25502)</w:t>
            </w:r>
          </w:p>
        </w:tc>
      </w:tr>
      <w:tr w14:paraId="68AF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56" w:type="pct"/>
            <w:vMerge w:val="continue"/>
            <w:noWrap w:val="0"/>
            <w:vAlign w:val="center"/>
          </w:tcPr>
          <w:p w14:paraId="5209646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70F05AC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noWrap w:val="0"/>
            <w:vAlign w:val="center"/>
          </w:tcPr>
          <w:p w14:paraId="7445A70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p w14:paraId="7F23A6D8">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蹲便器</w:t>
            </w:r>
          </w:p>
        </w:tc>
        <w:tc>
          <w:tcPr>
            <w:tcW w:w="1106" w:type="pct"/>
            <w:noWrap w:val="0"/>
            <w:vAlign w:val="center"/>
          </w:tcPr>
          <w:p w14:paraId="53D3AAF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62566D4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《蹲便器用水效率限定值及用水 效率等级》(GB30717)</w:t>
            </w:r>
          </w:p>
        </w:tc>
      </w:tr>
      <w:tr w14:paraId="2172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56" w:type="pct"/>
            <w:vMerge w:val="continue"/>
            <w:noWrap w:val="0"/>
            <w:vAlign w:val="center"/>
          </w:tcPr>
          <w:p w14:paraId="46AD2FC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tc>
        <w:tc>
          <w:tcPr>
            <w:tcW w:w="776" w:type="pct"/>
            <w:vMerge w:val="continue"/>
            <w:noWrap w:val="0"/>
            <w:vAlign w:val="center"/>
          </w:tcPr>
          <w:p w14:paraId="0446D06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889" w:type="pct"/>
            <w:noWrap w:val="0"/>
            <w:vAlign w:val="center"/>
          </w:tcPr>
          <w:p w14:paraId="568DA346">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p w14:paraId="1B0ACDD3">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小便器</w:t>
            </w:r>
          </w:p>
        </w:tc>
        <w:tc>
          <w:tcPr>
            <w:tcW w:w="1106" w:type="pct"/>
            <w:noWrap w:val="0"/>
            <w:vAlign w:val="center"/>
          </w:tcPr>
          <w:p w14:paraId="0A77F2C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3A0D9AF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《小便器用水效率限定值及用水 效率等级》(GB28377)</w:t>
            </w:r>
          </w:p>
        </w:tc>
      </w:tr>
      <w:tr w14:paraId="079D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56" w:type="pct"/>
            <w:noWrap w:val="0"/>
            <w:vAlign w:val="center"/>
          </w:tcPr>
          <w:p w14:paraId="6127E59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12FFB3D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16</w:t>
            </w:r>
          </w:p>
        </w:tc>
        <w:tc>
          <w:tcPr>
            <w:tcW w:w="776" w:type="pct"/>
            <w:noWrap w:val="0"/>
            <w:vAlign w:val="center"/>
          </w:tcPr>
          <w:p w14:paraId="27BC2F5E">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★A060806 水嘴</w:t>
            </w:r>
          </w:p>
        </w:tc>
        <w:tc>
          <w:tcPr>
            <w:tcW w:w="889" w:type="pct"/>
            <w:noWrap w:val="0"/>
            <w:vAlign w:val="center"/>
          </w:tcPr>
          <w:p w14:paraId="7722269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6117F054">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57EE951F">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《水嘴用水效率限定值及用水效 率等级》(GB25501)</w:t>
            </w:r>
          </w:p>
        </w:tc>
      </w:tr>
      <w:tr w14:paraId="3FB1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56" w:type="pct"/>
            <w:noWrap w:val="0"/>
            <w:vAlign w:val="center"/>
          </w:tcPr>
          <w:p w14:paraId="66D4188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51629BF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17</w:t>
            </w:r>
          </w:p>
        </w:tc>
        <w:tc>
          <w:tcPr>
            <w:tcW w:w="776" w:type="pct"/>
            <w:noWrap w:val="0"/>
            <w:vAlign w:val="center"/>
          </w:tcPr>
          <w:p w14:paraId="6EE727B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A060807便器冲洗阀</w:t>
            </w:r>
          </w:p>
        </w:tc>
        <w:tc>
          <w:tcPr>
            <w:tcW w:w="889" w:type="pct"/>
            <w:noWrap w:val="0"/>
            <w:vAlign w:val="center"/>
          </w:tcPr>
          <w:p w14:paraId="24CFA88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19299B61">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4381477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《便器冲洗阀用水效率限定值及 用水效率等级》(GB28379)</w:t>
            </w:r>
          </w:p>
        </w:tc>
      </w:tr>
      <w:tr w14:paraId="0DF6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56" w:type="pct"/>
            <w:noWrap w:val="0"/>
            <w:vAlign w:val="center"/>
          </w:tcPr>
          <w:p w14:paraId="0C43A4A5">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p>
          <w:p w14:paraId="2DA5E06A">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center"/>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18</w:t>
            </w:r>
          </w:p>
        </w:tc>
        <w:tc>
          <w:tcPr>
            <w:tcW w:w="776" w:type="pct"/>
            <w:noWrap w:val="0"/>
            <w:vAlign w:val="center"/>
          </w:tcPr>
          <w:p w14:paraId="18EEF730">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A060810淋浴器</w:t>
            </w:r>
          </w:p>
        </w:tc>
        <w:tc>
          <w:tcPr>
            <w:tcW w:w="889" w:type="pct"/>
            <w:noWrap w:val="0"/>
            <w:vAlign w:val="center"/>
          </w:tcPr>
          <w:p w14:paraId="31EC28D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106" w:type="pct"/>
            <w:noWrap w:val="0"/>
            <w:vAlign w:val="center"/>
          </w:tcPr>
          <w:p w14:paraId="555963ED">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p>
        </w:tc>
        <w:tc>
          <w:tcPr>
            <w:tcW w:w="1870" w:type="pct"/>
            <w:noWrap w:val="0"/>
            <w:vAlign w:val="center"/>
          </w:tcPr>
          <w:p w14:paraId="1E5E32D2">
            <w:pPr>
              <w:keepNext w:val="0"/>
              <w:keepLines w:val="0"/>
              <w:pageBreakBefore w:val="0"/>
              <w:widowControl w:val="0"/>
              <w:kinsoku w:val="0"/>
              <w:wordWrap/>
              <w:overflowPunct/>
              <w:topLinePunct w:val="0"/>
              <w:autoSpaceDE w:val="0"/>
              <w:autoSpaceDN w:val="0"/>
              <w:bidi w:val="0"/>
              <w:adjustRightInd w:val="0"/>
              <w:snapToGrid w:val="0"/>
              <w:spacing w:before="95" w:line="240" w:lineRule="auto"/>
              <w:jc w:val="left"/>
              <w:textAlignment w:val="baseline"/>
              <w:rPr>
                <w:rFonts w:hint="eastAsia" w:ascii="仿宋" w:hAnsi="仿宋" w:eastAsia="仿宋" w:cs="仿宋"/>
                <w:i w:val="0"/>
                <w:iCs w:val="0"/>
                <w:color w:val="auto"/>
                <w:spacing w:val="-2"/>
                <w:sz w:val="24"/>
                <w:szCs w:val="24"/>
                <w:highlight w:val="none"/>
              </w:rPr>
            </w:pPr>
            <w:r>
              <w:rPr>
                <w:rFonts w:hint="eastAsia" w:ascii="仿宋" w:hAnsi="仿宋" w:eastAsia="仿宋" w:cs="仿宋"/>
                <w:i w:val="0"/>
                <w:iCs w:val="0"/>
                <w:color w:val="auto"/>
                <w:spacing w:val="-2"/>
                <w:sz w:val="24"/>
                <w:szCs w:val="24"/>
                <w:highlight w:val="none"/>
              </w:rPr>
              <w:t>《淋浴器用水效率限定值及用水 效率等级》(GB28378)</w:t>
            </w:r>
          </w:p>
        </w:tc>
      </w:tr>
    </w:tbl>
    <w:p w14:paraId="649477E2">
      <w:pPr>
        <w:rPr>
          <w:rFonts w:hint="eastAsia" w:ascii="仿宋" w:hAnsi="仿宋" w:eastAsia="仿宋" w:cs="仿宋"/>
          <w:color w:val="auto"/>
          <w:sz w:val="28"/>
          <w:szCs w:val="36"/>
          <w:highlight w:val="none"/>
        </w:rPr>
      </w:pPr>
    </w:p>
    <w:p w14:paraId="23CDEF1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Cs w:val="24"/>
          <w:highlight w:val="none"/>
          <w:lang w:val="en-US" w:eastAsia="zh-CN"/>
        </w:rPr>
      </w:pPr>
      <w:r>
        <w:rPr>
          <w:rFonts w:hint="eastAsia" w:ascii="仿宋" w:hAnsi="仿宋" w:eastAsia="仿宋" w:cs="仿宋"/>
          <w:b/>
          <w:bCs/>
          <w:color w:val="auto"/>
          <w:szCs w:val="24"/>
          <w:highlight w:val="none"/>
          <w:lang w:val="en-US" w:eastAsia="zh-CN"/>
        </w:rPr>
        <w:t>注：1.节能产品认证应依据相关国家标准的最新版本，依据国家标准中二级能效 (水效)指标。</w:t>
      </w:r>
    </w:p>
    <w:p w14:paraId="36423D0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Cs w:val="24"/>
          <w:highlight w:val="none"/>
          <w:lang w:val="en-US" w:eastAsia="zh-CN"/>
        </w:rPr>
      </w:pPr>
      <w:r>
        <w:rPr>
          <w:rFonts w:hint="eastAsia" w:ascii="仿宋" w:hAnsi="仿宋" w:eastAsia="仿宋" w:cs="仿宋"/>
          <w:b/>
          <w:bCs/>
          <w:color w:val="auto"/>
          <w:szCs w:val="24"/>
          <w:highlight w:val="none"/>
          <w:lang w:val="en-US" w:eastAsia="zh-CN"/>
        </w:rPr>
        <w:t>2.上述产品中认证标准发生变更的，依据原认证标准获得的、仍在有效期内的认证证书可使用至2019年6月1日。</w:t>
      </w:r>
    </w:p>
    <w:p w14:paraId="4223E63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Cs w:val="24"/>
          <w:highlight w:val="none"/>
          <w:lang w:val="en-US" w:eastAsia="zh-CN"/>
        </w:rPr>
      </w:pPr>
      <w:r>
        <w:rPr>
          <w:rFonts w:hint="eastAsia" w:ascii="仿宋" w:hAnsi="仿宋" w:eastAsia="仿宋" w:cs="仿宋"/>
          <w:b/>
          <w:bCs/>
          <w:color w:val="auto"/>
          <w:szCs w:val="24"/>
          <w:highlight w:val="none"/>
          <w:lang w:val="en-US" w:eastAsia="zh-CN"/>
        </w:rPr>
        <w:t>3.以“★”标注的为政府强制采购产品。</w:t>
      </w:r>
    </w:p>
    <w:p w14:paraId="4F4518C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Cs w:val="24"/>
          <w:highlight w:val="none"/>
          <w:lang w:val="en-US" w:eastAsia="zh-CN"/>
        </w:rPr>
      </w:pPr>
      <w:r>
        <w:rPr>
          <w:rFonts w:hint="eastAsia" w:ascii="仿宋" w:hAnsi="仿宋" w:eastAsia="仿宋" w:cs="仿宋"/>
          <w:b/>
          <w:bCs/>
          <w:color w:val="auto"/>
          <w:szCs w:val="24"/>
          <w:highlight w:val="none"/>
          <w:lang w:val="en-US" w:eastAsia="zh-CN"/>
        </w:rPr>
        <w:t>4.属于政府强制采购的节能产品：计算机设备、打印设备（激光打印机、针式打印机）、液晶显示器、制冷空调设备（制冷压缩机、空调机组、专用制冷、空调设备）、镇流器、生活用电器（空调机、电热水器）、普通照明用双端荧光灯、电视设备、视频设备、便器、水嘴。</w:t>
      </w:r>
    </w:p>
    <w:p w14:paraId="7F71C2E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szCs w:val="24"/>
          <w:highlight w:val="none"/>
          <w:lang w:val="en-US" w:eastAsia="zh-CN"/>
        </w:rPr>
      </w:pPr>
      <w:r>
        <w:rPr>
          <w:rFonts w:hint="eastAsia" w:ascii="仿宋" w:hAnsi="仿宋" w:eastAsia="仿宋" w:cs="仿宋"/>
          <w:b/>
          <w:bCs/>
          <w:color w:val="auto"/>
          <w:szCs w:val="24"/>
          <w:highlight w:val="none"/>
          <w:lang w:val="en-US" w:eastAsia="zh-CN"/>
        </w:rPr>
        <w:t>5.上述产品必须提供认证证书扫描件或中国政府采购网截图，否则视为无效投标。</w:t>
      </w:r>
      <w:bookmarkStart w:id="386" w:name="_Toc13732"/>
      <w:bookmarkStart w:id="387" w:name="_Toc13871"/>
      <w:bookmarkStart w:id="388" w:name="_Toc9553"/>
      <w:bookmarkStart w:id="389" w:name="_Toc494114919"/>
      <w:bookmarkStart w:id="390" w:name="_Toc26956"/>
      <w:bookmarkStart w:id="391" w:name="_Toc3126"/>
      <w:bookmarkStart w:id="392" w:name="_Toc474492117"/>
    </w:p>
    <w:p w14:paraId="58899702">
      <w:pPr>
        <w:rPr>
          <w:rFonts w:hint="eastAsia" w:ascii="仿宋" w:hAnsi="仿宋" w:eastAsia="仿宋" w:cs="仿宋"/>
          <w:b/>
          <w:bCs/>
          <w:color w:val="auto"/>
          <w:szCs w:val="24"/>
          <w:highlight w:val="none"/>
          <w:lang w:val="en-US" w:eastAsia="zh-CN"/>
        </w:rPr>
      </w:pPr>
      <w:r>
        <w:rPr>
          <w:rFonts w:hint="eastAsia" w:ascii="仿宋" w:hAnsi="仿宋" w:eastAsia="仿宋" w:cs="仿宋"/>
          <w:b/>
          <w:bCs/>
          <w:color w:val="auto"/>
          <w:szCs w:val="24"/>
          <w:highlight w:val="none"/>
          <w:lang w:val="en-US" w:eastAsia="zh-CN"/>
        </w:rPr>
        <w:br w:type="page"/>
      </w:r>
    </w:p>
    <w:p w14:paraId="5C0D7FD0">
      <w:pPr>
        <w:pStyle w:val="4"/>
        <w:bidi w:val="0"/>
        <w:jc w:val="center"/>
        <w:rPr>
          <w:rFonts w:hint="eastAsia" w:ascii="仿宋" w:hAnsi="仿宋" w:eastAsia="仿宋" w:cs="仿宋"/>
          <w:color w:val="auto"/>
          <w:sz w:val="28"/>
          <w:szCs w:val="36"/>
          <w:highlight w:val="none"/>
        </w:rPr>
      </w:pPr>
      <w:bookmarkStart w:id="393" w:name="_Toc18526"/>
      <w:r>
        <w:rPr>
          <w:rFonts w:hint="eastAsia" w:ascii="仿宋" w:hAnsi="仿宋" w:eastAsia="仿宋" w:cs="仿宋"/>
          <w:color w:val="auto"/>
          <w:sz w:val="28"/>
          <w:szCs w:val="36"/>
          <w:highlight w:val="none"/>
          <w:lang w:val="en-US" w:eastAsia="zh-CN"/>
        </w:rPr>
        <w:t>8</w:t>
      </w:r>
      <w:r>
        <w:rPr>
          <w:rFonts w:hint="eastAsia" w:ascii="仿宋" w:hAnsi="仿宋" w:eastAsia="仿宋" w:cs="仿宋"/>
          <w:color w:val="auto"/>
          <w:sz w:val="28"/>
          <w:szCs w:val="36"/>
          <w:highlight w:val="none"/>
        </w:rPr>
        <w:t>.技术文件</w:t>
      </w:r>
      <w:bookmarkEnd w:id="386"/>
      <w:bookmarkEnd w:id="387"/>
      <w:bookmarkEnd w:id="388"/>
      <w:bookmarkEnd w:id="389"/>
      <w:bookmarkEnd w:id="390"/>
      <w:bookmarkEnd w:id="391"/>
      <w:bookmarkEnd w:id="392"/>
      <w:bookmarkEnd w:id="393"/>
    </w:p>
    <w:p w14:paraId="5421A82A">
      <w:pPr>
        <w:pStyle w:val="34"/>
        <w:keepNext w:val="0"/>
        <w:keepLines w:val="0"/>
        <w:pageBreakBefore w:val="0"/>
        <w:widowControl w:val="0"/>
        <w:kinsoku/>
        <w:wordWrap/>
        <w:overflowPunct/>
        <w:topLinePunct w:val="0"/>
        <w:autoSpaceDE/>
        <w:autoSpaceDN/>
        <w:bidi w:val="0"/>
        <w:adjustRightInd/>
        <w:snapToGrid/>
        <w:ind w:firstLine="520" w:firstLineChars="200"/>
        <w:textAlignment w:val="auto"/>
        <w:rPr>
          <w:rFonts w:hint="eastAsia" w:ascii="仿宋" w:hAnsi="仿宋" w:eastAsia="仿宋" w:cs="仿宋"/>
          <w:i w:val="0"/>
          <w:iCs w:val="0"/>
          <w:color w:val="auto"/>
          <w:sz w:val="24"/>
          <w:szCs w:val="22"/>
          <w:highlight w:val="none"/>
          <w:u w:val="none"/>
          <w:lang w:eastAsia="zh-CN"/>
        </w:rPr>
      </w:pPr>
      <w:r>
        <w:rPr>
          <w:rFonts w:hint="eastAsia" w:ascii="仿宋" w:hAnsi="仿宋" w:eastAsia="仿宋" w:cs="仿宋"/>
          <w:i w:val="0"/>
          <w:iCs w:val="0"/>
          <w:color w:val="auto"/>
          <w:sz w:val="24"/>
          <w:szCs w:val="22"/>
          <w:highlight w:val="none"/>
          <w:u w:val="none"/>
          <w:lang w:eastAsia="zh-CN"/>
        </w:rPr>
        <w:t>内容包括（投标人视需要自行编写）：</w:t>
      </w:r>
    </w:p>
    <w:p w14:paraId="1D850B7A">
      <w:pPr>
        <w:pStyle w:val="34"/>
        <w:keepNext w:val="0"/>
        <w:keepLines w:val="0"/>
        <w:pageBreakBefore w:val="0"/>
        <w:widowControl w:val="0"/>
        <w:kinsoku/>
        <w:wordWrap/>
        <w:overflowPunct/>
        <w:topLinePunct w:val="0"/>
        <w:autoSpaceDE/>
        <w:autoSpaceDN/>
        <w:bidi w:val="0"/>
        <w:adjustRightInd/>
        <w:snapToGrid/>
        <w:ind w:firstLine="520" w:firstLineChars="200"/>
        <w:textAlignment w:val="auto"/>
        <w:rPr>
          <w:rFonts w:hint="eastAsia" w:ascii="仿宋" w:hAnsi="仿宋" w:eastAsia="仿宋" w:cs="仿宋"/>
          <w:i w:val="0"/>
          <w:iCs w:val="0"/>
          <w:color w:val="auto"/>
          <w:sz w:val="24"/>
          <w:szCs w:val="22"/>
          <w:highlight w:val="none"/>
          <w:u w:val="none"/>
          <w:lang w:val="en-US" w:eastAsia="zh-CN"/>
        </w:rPr>
      </w:pPr>
      <w:r>
        <w:rPr>
          <w:rFonts w:hint="eastAsia" w:ascii="仿宋" w:hAnsi="仿宋" w:eastAsia="仿宋" w:cs="仿宋"/>
          <w:i w:val="0"/>
          <w:iCs w:val="0"/>
          <w:color w:val="auto"/>
          <w:sz w:val="24"/>
          <w:szCs w:val="22"/>
          <w:highlight w:val="none"/>
          <w:u w:val="none"/>
          <w:lang w:eastAsia="zh-CN"/>
        </w:rPr>
        <w:t>1、</w:t>
      </w:r>
      <w:r>
        <w:rPr>
          <w:rFonts w:hint="eastAsia" w:ascii="仿宋" w:hAnsi="仿宋" w:eastAsia="仿宋" w:cs="仿宋"/>
          <w:i w:val="0"/>
          <w:iCs w:val="0"/>
          <w:color w:val="auto"/>
          <w:sz w:val="24"/>
          <w:szCs w:val="22"/>
          <w:highlight w:val="none"/>
          <w:u w:val="none"/>
          <w:lang w:val="en-US" w:eastAsia="zh-CN"/>
        </w:rPr>
        <w:t>货物的技术规格与功能的详细说明</w:t>
      </w:r>
    </w:p>
    <w:p w14:paraId="1FF6305A">
      <w:pPr>
        <w:pStyle w:val="34"/>
        <w:keepNext w:val="0"/>
        <w:keepLines w:val="0"/>
        <w:pageBreakBefore w:val="0"/>
        <w:widowControl w:val="0"/>
        <w:kinsoku/>
        <w:wordWrap/>
        <w:overflowPunct/>
        <w:topLinePunct w:val="0"/>
        <w:autoSpaceDE/>
        <w:autoSpaceDN/>
        <w:bidi w:val="0"/>
        <w:adjustRightInd/>
        <w:snapToGrid/>
        <w:ind w:firstLine="520" w:firstLineChars="200"/>
        <w:textAlignment w:val="auto"/>
        <w:rPr>
          <w:rFonts w:hint="eastAsia" w:ascii="仿宋" w:hAnsi="仿宋" w:eastAsia="仿宋" w:cs="仿宋"/>
          <w:i w:val="0"/>
          <w:iCs w:val="0"/>
          <w:color w:val="auto"/>
          <w:sz w:val="24"/>
          <w:szCs w:val="22"/>
          <w:highlight w:val="none"/>
          <w:u w:val="none"/>
          <w:lang w:val="en-US" w:eastAsia="zh-CN"/>
        </w:rPr>
      </w:pPr>
      <w:r>
        <w:rPr>
          <w:rFonts w:hint="eastAsia" w:ascii="仿宋" w:hAnsi="仿宋" w:eastAsia="仿宋" w:cs="仿宋"/>
          <w:i w:val="0"/>
          <w:iCs w:val="0"/>
          <w:color w:val="auto"/>
          <w:sz w:val="24"/>
          <w:szCs w:val="22"/>
          <w:highlight w:val="none"/>
          <w:u w:val="none"/>
          <w:lang w:val="en-US" w:eastAsia="zh-CN"/>
        </w:rPr>
        <w:t>2</w:t>
      </w:r>
      <w:r>
        <w:rPr>
          <w:rFonts w:hint="eastAsia" w:ascii="仿宋" w:hAnsi="仿宋" w:eastAsia="仿宋" w:cs="仿宋"/>
          <w:i w:val="0"/>
          <w:iCs w:val="0"/>
          <w:color w:val="auto"/>
          <w:sz w:val="24"/>
          <w:szCs w:val="22"/>
          <w:highlight w:val="none"/>
          <w:u w:val="none"/>
          <w:lang w:eastAsia="zh-CN"/>
        </w:rPr>
        <w:t>、</w:t>
      </w:r>
      <w:r>
        <w:rPr>
          <w:rFonts w:hint="eastAsia" w:ascii="仿宋" w:hAnsi="仿宋" w:eastAsia="仿宋" w:cs="仿宋"/>
          <w:i w:val="0"/>
          <w:iCs w:val="0"/>
          <w:color w:val="auto"/>
          <w:sz w:val="24"/>
          <w:szCs w:val="22"/>
          <w:highlight w:val="none"/>
          <w:u w:val="none"/>
          <w:lang w:val="en-US" w:eastAsia="zh-CN"/>
        </w:rPr>
        <w:t>标准附件、备品备件和专用工具等</w:t>
      </w:r>
    </w:p>
    <w:p w14:paraId="7726BADB">
      <w:pPr>
        <w:pStyle w:val="34"/>
        <w:keepNext w:val="0"/>
        <w:keepLines w:val="0"/>
        <w:pageBreakBefore w:val="0"/>
        <w:widowControl w:val="0"/>
        <w:kinsoku/>
        <w:wordWrap/>
        <w:overflowPunct/>
        <w:topLinePunct w:val="0"/>
        <w:autoSpaceDE/>
        <w:autoSpaceDN/>
        <w:bidi w:val="0"/>
        <w:adjustRightInd/>
        <w:snapToGrid/>
        <w:ind w:firstLine="520" w:firstLineChars="200"/>
        <w:textAlignment w:val="auto"/>
        <w:rPr>
          <w:rFonts w:hint="eastAsia" w:ascii="仿宋" w:hAnsi="仿宋" w:eastAsia="仿宋" w:cs="仿宋"/>
          <w:i w:val="0"/>
          <w:iCs w:val="0"/>
          <w:color w:val="auto"/>
          <w:sz w:val="24"/>
          <w:szCs w:val="22"/>
          <w:highlight w:val="none"/>
          <w:u w:val="none"/>
          <w:lang w:val="en-US" w:eastAsia="zh-CN"/>
        </w:rPr>
      </w:pPr>
      <w:r>
        <w:rPr>
          <w:rFonts w:hint="eastAsia" w:ascii="仿宋" w:hAnsi="仿宋" w:eastAsia="仿宋" w:cs="仿宋"/>
          <w:i w:val="0"/>
          <w:iCs w:val="0"/>
          <w:color w:val="auto"/>
          <w:sz w:val="24"/>
          <w:szCs w:val="22"/>
          <w:highlight w:val="none"/>
          <w:u w:val="none"/>
          <w:lang w:val="en-US" w:eastAsia="zh-CN"/>
        </w:rPr>
        <w:t>3、拟投入本项目的人员清单</w:t>
      </w:r>
    </w:p>
    <w:p w14:paraId="4CD0B542">
      <w:pPr>
        <w:pStyle w:val="34"/>
        <w:keepNext w:val="0"/>
        <w:keepLines w:val="0"/>
        <w:pageBreakBefore w:val="0"/>
        <w:widowControl w:val="0"/>
        <w:kinsoku/>
        <w:wordWrap/>
        <w:overflowPunct/>
        <w:topLinePunct w:val="0"/>
        <w:autoSpaceDE/>
        <w:autoSpaceDN/>
        <w:bidi w:val="0"/>
        <w:adjustRightInd/>
        <w:snapToGrid/>
        <w:ind w:firstLine="520" w:firstLineChars="200"/>
        <w:textAlignment w:val="auto"/>
        <w:rPr>
          <w:rFonts w:hint="eastAsia" w:ascii="仿宋" w:hAnsi="仿宋" w:eastAsia="仿宋" w:cs="仿宋"/>
          <w:color w:val="auto"/>
          <w:sz w:val="24"/>
          <w:highlight w:val="none"/>
        </w:rPr>
      </w:pPr>
      <w:r>
        <w:rPr>
          <w:rFonts w:hint="eastAsia" w:ascii="仿宋" w:hAnsi="仿宋" w:eastAsia="仿宋" w:cs="仿宋"/>
          <w:i w:val="0"/>
          <w:iCs w:val="0"/>
          <w:color w:val="auto"/>
          <w:sz w:val="24"/>
          <w:szCs w:val="22"/>
          <w:highlight w:val="none"/>
          <w:u w:val="none"/>
          <w:lang w:val="en-US" w:eastAsia="zh-CN"/>
        </w:rPr>
        <w:t>4</w:t>
      </w:r>
      <w:r>
        <w:rPr>
          <w:rFonts w:hint="eastAsia" w:ascii="仿宋" w:hAnsi="仿宋" w:eastAsia="仿宋" w:cs="仿宋"/>
          <w:i w:val="0"/>
          <w:iCs w:val="0"/>
          <w:color w:val="auto"/>
          <w:sz w:val="24"/>
          <w:szCs w:val="22"/>
          <w:highlight w:val="none"/>
          <w:u w:val="none"/>
          <w:lang w:eastAsia="zh-CN"/>
        </w:rPr>
        <w:t>、投标人认为需要说明的其他内容</w:t>
      </w:r>
    </w:p>
    <w:p w14:paraId="28A8CA20">
      <w:pPr>
        <w:pStyle w:val="15"/>
        <w:rPr>
          <w:rFonts w:hint="eastAsia" w:ascii="仿宋" w:hAnsi="仿宋" w:eastAsia="仿宋" w:cs="仿宋"/>
          <w:color w:val="auto"/>
          <w:sz w:val="24"/>
          <w:highlight w:val="none"/>
        </w:rPr>
      </w:pPr>
    </w:p>
    <w:p w14:paraId="4108966C">
      <w:pPr>
        <w:rPr>
          <w:rFonts w:hint="eastAsia" w:ascii="仿宋" w:hAnsi="仿宋" w:eastAsia="仿宋" w:cs="仿宋"/>
          <w:color w:val="auto"/>
          <w:sz w:val="24"/>
          <w:highlight w:val="none"/>
        </w:rPr>
      </w:pPr>
    </w:p>
    <w:p w14:paraId="1D16DA6B">
      <w:pPr>
        <w:pStyle w:val="34"/>
        <w:rPr>
          <w:rFonts w:hint="eastAsia" w:ascii="仿宋" w:hAnsi="仿宋" w:eastAsia="仿宋" w:cs="仿宋"/>
          <w:color w:val="auto"/>
          <w:sz w:val="24"/>
          <w:highlight w:val="none"/>
        </w:rPr>
      </w:pPr>
    </w:p>
    <w:p w14:paraId="7DB45E04">
      <w:pPr>
        <w:pStyle w:val="15"/>
        <w:rPr>
          <w:rFonts w:hint="eastAsia" w:ascii="仿宋" w:hAnsi="仿宋" w:eastAsia="仿宋" w:cs="仿宋"/>
          <w:color w:val="auto"/>
          <w:sz w:val="24"/>
          <w:highlight w:val="none"/>
        </w:rPr>
      </w:pPr>
    </w:p>
    <w:p w14:paraId="7B39953B">
      <w:pPr>
        <w:rPr>
          <w:rFonts w:hint="eastAsia" w:ascii="仿宋" w:hAnsi="仿宋" w:eastAsia="仿宋" w:cs="仿宋"/>
          <w:color w:val="auto"/>
          <w:sz w:val="24"/>
          <w:highlight w:val="none"/>
        </w:rPr>
      </w:pPr>
    </w:p>
    <w:p w14:paraId="36CB8888">
      <w:pPr>
        <w:pStyle w:val="34"/>
        <w:rPr>
          <w:rFonts w:hint="eastAsia" w:ascii="仿宋" w:hAnsi="仿宋" w:eastAsia="仿宋" w:cs="仿宋"/>
          <w:color w:val="auto"/>
          <w:sz w:val="24"/>
          <w:highlight w:val="none"/>
        </w:rPr>
      </w:pPr>
    </w:p>
    <w:p w14:paraId="6DB543A2">
      <w:pPr>
        <w:pStyle w:val="15"/>
        <w:rPr>
          <w:rFonts w:hint="eastAsia" w:ascii="仿宋" w:hAnsi="仿宋" w:eastAsia="仿宋" w:cs="仿宋"/>
          <w:color w:val="auto"/>
          <w:sz w:val="24"/>
          <w:highlight w:val="none"/>
        </w:rPr>
      </w:pPr>
    </w:p>
    <w:p w14:paraId="422DA681">
      <w:pPr>
        <w:rPr>
          <w:rFonts w:hint="eastAsia" w:ascii="仿宋" w:hAnsi="仿宋" w:eastAsia="仿宋" w:cs="仿宋"/>
          <w:color w:val="auto"/>
          <w:sz w:val="24"/>
          <w:highlight w:val="none"/>
        </w:rPr>
      </w:pPr>
    </w:p>
    <w:p w14:paraId="60E3585A">
      <w:pPr>
        <w:pStyle w:val="34"/>
        <w:rPr>
          <w:rFonts w:hint="eastAsia" w:ascii="仿宋" w:hAnsi="仿宋" w:eastAsia="仿宋" w:cs="仿宋"/>
          <w:color w:val="auto"/>
          <w:sz w:val="24"/>
          <w:highlight w:val="none"/>
        </w:rPr>
      </w:pPr>
    </w:p>
    <w:p w14:paraId="45C430F6">
      <w:pPr>
        <w:pStyle w:val="15"/>
        <w:rPr>
          <w:rFonts w:hint="eastAsia" w:ascii="仿宋" w:hAnsi="仿宋" w:eastAsia="仿宋" w:cs="仿宋"/>
          <w:color w:val="auto"/>
          <w:sz w:val="24"/>
          <w:highlight w:val="none"/>
        </w:rPr>
      </w:pPr>
    </w:p>
    <w:p w14:paraId="00C34AD9">
      <w:pPr>
        <w:rPr>
          <w:rFonts w:hint="eastAsia" w:ascii="仿宋" w:hAnsi="仿宋" w:eastAsia="仿宋" w:cs="仿宋"/>
          <w:color w:val="auto"/>
          <w:sz w:val="24"/>
          <w:highlight w:val="none"/>
        </w:rPr>
      </w:pPr>
    </w:p>
    <w:p w14:paraId="2035B715">
      <w:pPr>
        <w:pStyle w:val="34"/>
        <w:rPr>
          <w:rFonts w:hint="eastAsia" w:ascii="仿宋" w:hAnsi="仿宋" w:eastAsia="仿宋" w:cs="仿宋"/>
          <w:color w:val="auto"/>
          <w:sz w:val="24"/>
          <w:highlight w:val="none"/>
        </w:rPr>
      </w:pPr>
    </w:p>
    <w:p w14:paraId="2B4DFD99">
      <w:pPr>
        <w:pStyle w:val="15"/>
        <w:rPr>
          <w:rFonts w:hint="eastAsia" w:ascii="仿宋" w:hAnsi="仿宋" w:eastAsia="仿宋" w:cs="仿宋"/>
          <w:color w:val="auto"/>
          <w:sz w:val="24"/>
          <w:highlight w:val="none"/>
        </w:rPr>
      </w:pPr>
    </w:p>
    <w:p w14:paraId="3E2C7E0E">
      <w:pPr>
        <w:rPr>
          <w:rFonts w:hint="eastAsia" w:ascii="仿宋" w:hAnsi="仿宋" w:eastAsia="仿宋" w:cs="仿宋"/>
          <w:color w:val="auto"/>
          <w:sz w:val="24"/>
          <w:highlight w:val="none"/>
        </w:rPr>
      </w:pPr>
    </w:p>
    <w:p w14:paraId="67E65729">
      <w:pPr>
        <w:pStyle w:val="34"/>
        <w:rPr>
          <w:rFonts w:hint="eastAsia" w:ascii="仿宋" w:hAnsi="仿宋" w:eastAsia="仿宋" w:cs="仿宋"/>
          <w:color w:val="auto"/>
          <w:sz w:val="24"/>
          <w:highlight w:val="none"/>
        </w:rPr>
      </w:pPr>
    </w:p>
    <w:p w14:paraId="682461EC">
      <w:pPr>
        <w:pStyle w:val="15"/>
        <w:rPr>
          <w:rFonts w:hint="eastAsia" w:ascii="仿宋" w:hAnsi="仿宋" w:eastAsia="仿宋" w:cs="仿宋"/>
          <w:color w:val="auto"/>
          <w:sz w:val="24"/>
          <w:highlight w:val="none"/>
        </w:rPr>
      </w:pPr>
    </w:p>
    <w:p w14:paraId="6295E13E">
      <w:pPr>
        <w:rPr>
          <w:rFonts w:hint="eastAsia" w:ascii="仿宋" w:hAnsi="仿宋" w:eastAsia="仿宋" w:cs="仿宋"/>
          <w:color w:val="auto"/>
          <w:sz w:val="24"/>
          <w:highlight w:val="none"/>
        </w:rPr>
      </w:pPr>
    </w:p>
    <w:p w14:paraId="4B756954">
      <w:pPr>
        <w:pStyle w:val="34"/>
        <w:rPr>
          <w:rFonts w:hint="eastAsia" w:ascii="仿宋" w:hAnsi="仿宋" w:eastAsia="仿宋" w:cs="仿宋"/>
          <w:color w:val="auto"/>
          <w:sz w:val="24"/>
          <w:highlight w:val="none"/>
        </w:rPr>
      </w:pPr>
    </w:p>
    <w:p w14:paraId="4F5BFE63">
      <w:pPr>
        <w:pStyle w:val="15"/>
        <w:rPr>
          <w:rFonts w:hint="eastAsia" w:ascii="仿宋" w:hAnsi="仿宋" w:eastAsia="仿宋" w:cs="仿宋"/>
          <w:color w:val="auto"/>
          <w:sz w:val="24"/>
          <w:highlight w:val="none"/>
        </w:rPr>
      </w:pPr>
    </w:p>
    <w:p w14:paraId="7904AD99">
      <w:pPr>
        <w:rPr>
          <w:rFonts w:hint="eastAsia" w:ascii="仿宋" w:hAnsi="仿宋" w:eastAsia="仿宋" w:cs="仿宋"/>
          <w:color w:val="auto"/>
          <w:sz w:val="24"/>
          <w:highlight w:val="none"/>
        </w:rPr>
      </w:pPr>
    </w:p>
    <w:p w14:paraId="14D3071D">
      <w:pPr>
        <w:pStyle w:val="34"/>
        <w:rPr>
          <w:rFonts w:hint="eastAsia" w:ascii="仿宋" w:hAnsi="仿宋" w:eastAsia="仿宋" w:cs="仿宋"/>
          <w:color w:val="auto"/>
          <w:sz w:val="24"/>
          <w:highlight w:val="none"/>
        </w:rPr>
      </w:pPr>
    </w:p>
    <w:p w14:paraId="79FD38E2">
      <w:pPr>
        <w:pStyle w:val="34"/>
        <w:rPr>
          <w:rFonts w:hint="eastAsia" w:ascii="仿宋" w:hAnsi="仿宋" w:eastAsia="仿宋" w:cs="仿宋"/>
          <w:color w:val="auto"/>
          <w:highlight w:val="none"/>
        </w:rPr>
      </w:pPr>
    </w:p>
    <w:p w14:paraId="354067A6">
      <w:pPr>
        <w:pStyle w:val="4"/>
        <w:bidi w:val="0"/>
        <w:jc w:val="center"/>
        <w:rPr>
          <w:rFonts w:hint="eastAsia" w:ascii="仿宋" w:hAnsi="仿宋" w:eastAsia="仿宋" w:cs="仿宋"/>
          <w:color w:val="auto"/>
          <w:highlight w:val="none"/>
          <w:lang w:val="en-US" w:eastAsia="zh-CN"/>
        </w:rPr>
      </w:pPr>
      <w:bookmarkStart w:id="394" w:name="_Toc27700"/>
      <w:bookmarkStart w:id="395" w:name="_Toc29583"/>
      <w:bookmarkStart w:id="396" w:name="_Toc494114920"/>
      <w:bookmarkStart w:id="397" w:name="_Toc474492119"/>
      <w:bookmarkStart w:id="398" w:name="_Toc1610"/>
      <w:bookmarkStart w:id="399" w:name="_Toc628"/>
      <w:bookmarkStart w:id="400" w:name="_Toc18234"/>
      <w:r>
        <w:rPr>
          <w:rFonts w:hint="eastAsia" w:ascii="仿宋" w:hAnsi="仿宋" w:eastAsia="仿宋" w:cs="仿宋"/>
          <w:color w:val="auto"/>
          <w:sz w:val="28"/>
          <w:szCs w:val="36"/>
          <w:highlight w:val="none"/>
          <w:lang w:val="en-US" w:eastAsia="zh-CN"/>
        </w:rPr>
        <w:t>9.</w:t>
      </w:r>
      <w:r>
        <w:rPr>
          <w:rFonts w:hint="eastAsia" w:ascii="仿宋" w:hAnsi="仿宋" w:eastAsia="仿宋" w:cs="仿宋"/>
          <w:color w:val="auto"/>
          <w:sz w:val="28"/>
          <w:szCs w:val="36"/>
          <w:highlight w:val="none"/>
        </w:rPr>
        <w:t>其他资料</w:t>
      </w:r>
      <w:bookmarkEnd w:id="394"/>
      <w:bookmarkEnd w:id="395"/>
      <w:bookmarkEnd w:id="396"/>
      <w:bookmarkEnd w:id="397"/>
      <w:bookmarkEnd w:id="398"/>
      <w:bookmarkEnd w:id="399"/>
      <w:bookmarkEnd w:id="400"/>
    </w:p>
    <w:p w14:paraId="6F163F34">
      <w:pPr>
        <w:pStyle w:val="4"/>
        <w:jc w:val="center"/>
        <w:rPr>
          <w:rFonts w:hint="eastAsia" w:ascii="仿宋" w:hAnsi="仿宋" w:eastAsia="仿宋" w:cs="仿宋"/>
          <w:color w:val="auto"/>
          <w:sz w:val="24"/>
          <w:szCs w:val="24"/>
          <w:highlight w:val="none"/>
        </w:rPr>
      </w:pPr>
      <w:bookmarkStart w:id="401" w:name="_Toc24815"/>
      <w:bookmarkStart w:id="402" w:name="_Toc494114921"/>
      <w:bookmarkStart w:id="403" w:name="_Toc11750"/>
      <w:bookmarkStart w:id="404" w:name="_Toc23457"/>
      <w:bookmarkStart w:id="405" w:name="_Toc6762"/>
      <w:bookmarkStart w:id="406" w:name="_Toc15909"/>
      <w:r>
        <w:rPr>
          <w:rFonts w:hint="eastAsia" w:ascii="仿宋" w:hAnsi="仿宋" w:eastAsia="仿宋" w:cs="仿宋"/>
          <w:color w:val="auto"/>
          <w:sz w:val="24"/>
          <w:szCs w:val="24"/>
          <w:highlight w:val="none"/>
        </w:rPr>
        <w:t>格式</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-1投标企业情况一览表</w:t>
      </w:r>
      <w:bookmarkEnd w:id="401"/>
      <w:bookmarkEnd w:id="402"/>
      <w:bookmarkEnd w:id="403"/>
      <w:bookmarkEnd w:id="404"/>
      <w:bookmarkEnd w:id="405"/>
      <w:bookmarkEnd w:id="406"/>
    </w:p>
    <w:tbl>
      <w:tblPr>
        <w:tblStyle w:val="29"/>
        <w:tblW w:w="0" w:type="auto"/>
        <w:tblInd w:w="-25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35"/>
        <w:gridCol w:w="1035"/>
        <w:gridCol w:w="1696"/>
        <w:gridCol w:w="696"/>
        <w:gridCol w:w="502"/>
        <w:gridCol w:w="1356"/>
        <w:gridCol w:w="876"/>
        <w:gridCol w:w="1324"/>
      </w:tblGrid>
      <w:tr w14:paraId="53087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noWrap w:val="0"/>
            <w:vAlign w:val="center"/>
          </w:tcPr>
          <w:p w14:paraId="260B695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w:t>
            </w:r>
          </w:p>
        </w:tc>
        <w:tc>
          <w:tcPr>
            <w:tcW w:w="7485" w:type="dxa"/>
            <w:gridSpan w:val="7"/>
            <w:noWrap w:val="0"/>
            <w:vAlign w:val="center"/>
          </w:tcPr>
          <w:p w14:paraId="0AA86E04">
            <w:pPr>
              <w:jc w:val="center"/>
              <w:rPr>
                <w:rFonts w:hint="eastAsia" w:ascii="仿宋" w:hAnsi="仿宋" w:eastAsia="仿宋" w:cs="仿宋"/>
                <w:color w:val="auto"/>
                <w:sz w:val="24"/>
                <w:highlight w:val="none"/>
              </w:rPr>
            </w:pPr>
          </w:p>
        </w:tc>
      </w:tr>
      <w:tr w14:paraId="73BCE6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noWrap w:val="0"/>
            <w:vAlign w:val="center"/>
          </w:tcPr>
          <w:p w14:paraId="59D00F5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注册地址</w:t>
            </w:r>
          </w:p>
        </w:tc>
        <w:tc>
          <w:tcPr>
            <w:tcW w:w="3929" w:type="dxa"/>
            <w:gridSpan w:val="4"/>
            <w:noWrap w:val="0"/>
            <w:vAlign w:val="center"/>
          </w:tcPr>
          <w:p w14:paraId="57403976">
            <w:pPr>
              <w:jc w:val="center"/>
              <w:rPr>
                <w:rFonts w:hint="eastAsia" w:ascii="仿宋" w:hAnsi="仿宋" w:eastAsia="仿宋" w:cs="仿宋"/>
                <w:color w:val="auto"/>
                <w:sz w:val="24"/>
                <w:highlight w:val="none"/>
              </w:rPr>
            </w:pPr>
          </w:p>
        </w:tc>
        <w:tc>
          <w:tcPr>
            <w:tcW w:w="1356" w:type="dxa"/>
            <w:noWrap w:val="0"/>
            <w:vAlign w:val="center"/>
          </w:tcPr>
          <w:p w14:paraId="5D3CE49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邮政编码</w:t>
            </w:r>
          </w:p>
        </w:tc>
        <w:tc>
          <w:tcPr>
            <w:tcW w:w="2200" w:type="dxa"/>
            <w:gridSpan w:val="2"/>
            <w:noWrap w:val="0"/>
            <w:vAlign w:val="center"/>
          </w:tcPr>
          <w:p w14:paraId="4CC46D39">
            <w:pPr>
              <w:jc w:val="center"/>
              <w:rPr>
                <w:rFonts w:hint="eastAsia" w:ascii="仿宋" w:hAnsi="仿宋" w:eastAsia="仿宋" w:cs="仿宋"/>
                <w:color w:val="auto"/>
                <w:sz w:val="24"/>
                <w:highlight w:val="none"/>
              </w:rPr>
            </w:pPr>
          </w:p>
        </w:tc>
      </w:tr>
      <w:tr w14:paraId="33213E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vMerge w:val="restart"/>
            <w:noWrap w:val="0"/>
            <w:vAlign w:val="center"/>
          </w:tcPr>
          <w:p w14:paraId="4A8AAF8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联系方式</w:t>
            </w:r>
          </w:p>
        </w:tc>
        <w:tc>
          <w:tcPr>
            <w:tcW w:w="1035" w:type="dxa"/>
            <w:noWrap w:val="0"/>
            <w:vAlign w:val="center"/>
          </w:tcPr>
          <w:p w14:paraId="70140F3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p>
        </w:tc>
        <w:tc>
          <w:tcPr>
            <w:tcW w:w="2894" w:type="dxa"/>
            <w:gridSpan w:val="3"/>
            <w:noWrap w:val="0"/>
            <w:vAlign w:val="center"/>
          </w:tcPr>
          <w:p w14:paraId="622F7C5B">
            <w:pPr>
              <w:jc w:val="center"/>
              <w:rPr>
                <w:rFonts w:hint="eastAsia" w:ascii="仿宋" w:hAnsi="仿宋" w:eastAsia="仿宋" w:cs="仿宋"/>
                <w:color w:val="auto"/>
                <w:sz w:val="24"/>
                <w:highlight w:val="none"/>
              </w:rPr>
            </w:pPr>
          </w:p>
        </w:tc>
        <w:tc>
          <w:tcPr>
            <w:tcW w:w="1356" w:type="dxa"/>
            <w:noWrap w:val="0"/>
            <w:vAlign w:val="center"/>
          </w:tcPr>
          <w:p w14:paraId="6929448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2200" w:type="dxa"/>
            <w:gridSpan w:val="2"/>
            <w:noWrap w:val="0"/>
            <w:vAlign w:val="center"/>
          </w:tcPr>
          <w:p w14:paraId="25488D4B">
            <w:pPr>
              <w:jc w:val="center"/>
              <w:rPr>
                <w:rFonts w:hint="eastAsia" w:ascii="仿宋" w:hAnsi="仿宋" w:eastAsia="仿宋" w:cs="仿宋"/>
                <w:color w:val="auto"/>
                <w:sz w:val="24"/>
                <w:highlight w:val="none"/>
              </w:rPr>
            </w:pPr>
          </w:p>
        </w:tc>
      </w:tr>
      <w:tr w14:paraId="40A8AC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vMerge w:val="continue"/>
            <w:noWrap w:val="0"/>
            <w:vAlign w:val="center"/>
          </w:tcPr>
          <w:p w14:paraId="079AF7F7">
            <w:pPr>
              <w:jc w:val="center"/>
              <w:rPr>
                <w:rFonts w:hint="eastAsia" w:ascii="仿宋" w:hAnsi="仿宋" w:eastAsia="仿宋" w:cs="仿宋"/>
                <w:color w:val="auto"/>
                <w:sz w:val="24"/>
                <w:highlight w:val="none"/>
              </w:rPr>
            </w:pPr>
          </w:p>
        </w:tc>
        <w:tc>
          <w:tcPr>
            <w:tcW w:w="1035" w:type="dxa"/>
            <w:noWrap w:val="0"/>
            <w:vAlign w:val="center"/>
          </w:tcPr>
          <w:p w14:paraId="4D0AE0D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传  真</w:t>
            </w:r>
          </w:p>
        </w:tc>
        <w:tc>
          <w:tcPr>
            <w:tcW w:w="2894" w:type="dxa"/>
            <w:gridSpan w:val="3"/>
            <w:noWrap w:val="0"/>
            <w:vAlign w:val="center"/>
          </w:tcPr>
          <w:p w14:paraId="7C7448E6">
            <w:pPr>
              <w:jc w:val="center"/>
              <w:rPr>
                <w:rFonts w:hint="eastAsia" w:ascii="仿宋" w:hAnsi="仿宋" w:eastAsia="仿宋" w:cs="仿宋"/>
                <w:color w:val="auto"/>
                <w:sz w:val="24"/>
                <w:highlight w:val="none"/>
              </w:rPr>
            </w:pPr>
          </w:p>
        </w:tc>
        <w:tc>
          <w:tcPr>
            <w:tcW w:w="1356" w:type="dxa"/>
            <w:noWrap w:val="0"/>
            <w:vAlign w:val="center"/>
          </w:tcPr>
          <w:p w14:paraId="4259CC3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网址/邮箱</w:t>
            </w:r>
          </w:p>
        </w:tc>
        <w:tc>
          <w:tcPr>
            <w:tcW w:w="2200" w:type="dxa"/>
            <w:gridSpan w:val="2"/>
            <w:noWrap w:val="0"/>
            <w:vAlign w:val="center"/>
          </w:tcPr>
          <w:p w14:paraId="0E7D8B73">
            <w:pPr>
              <w:jc w:val="center"/>
              <w:rPr>
                <w:rFonts w:hint="eastAsia" w:ascii="仿宋" w:hAnsi="仿宋" w:eastAsia="仿宋" w:cs="仿宋"/>
                <w:color w:val="auto"/>
                <w:sz w:val="24"/>
                <w:highlight w:val="none"/>
              </w:rPr>
            </w:pPr>
          </w:p>
        </w:tc>
      </w:tr>
      <w:tr w14:paraId="1B90E3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noWrap w:val="0"/>
            <w:vAlign w:val="center"/>
          </w:tcPr>
          <w:p w14:paraId="4FE9175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企业性质</w:t>
            </w:r>
          </w:p>
        </w:tc>
        <w:tc>
          <w:tcPr>
            <w:tcW w:w="7485" w:type="dxa"/>
            <w:gridSpan w:val="7"/>
            <w:noWrap w:val="0"/>
            <w:vAlign w:val="center"/>
          </w:tcPr>
          <w:p w14:paraId="6A7D6305">
            <w:pPr>
              <w:jc w:val="center"/>
              <w:rPr>
                <w:rFonts w:hint="eastAsia" w:ascii="仿宋" w:hAnsi="仿宋" w:eastAsia="仿宋" w:cs="仿宋"/>
                <w:color w:val="auto"/>
                <w:sz w:val="24"/>
                <w:highlight w:val="none"/>
              </w:rPr>
            </w:pPr>
          </w:p>
        </w:tc>
      </w:tr>
      <w:tr w14:paraId="2F592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noWrap w:val="0"/>
            <w:vAlign w:val="center"/>
          </w:tcPr>
          <w:p w14:paraId="213F25B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p w14:paraId="6D871CD8">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或经营者）</w:t>
            </w:r>
          </w:p>
        </w:tc>
        <w:tc>
          <w:tcPr>
            <w:tcW w:w="1035" w:type="dxa"/>
            <w:noWrap w:val="0"/>
            <w:vAlign w:val="center"/>
          </w:tcPr>
          <w:p w14:paraId="416D0955">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696" w:type="dxa"/>
            <w:noWrap w:val="0"/>
            <w:vAlign w:val="center"/>
          </w:tcPr>
          <w:p w14:paraId="23D49188">
            <w:pPr>
              <w:jc w:val="center"/>
              <w:rPr>
                <w:rFonts w:hint="eastAsia" w:ascii="仿宋" w:hAnsi="仿宋" w:eastAsia="仿宋" w:cs="仿宋"/>
                <w:color w:val="auto"/>
                <w:sz w:val="24"/>
                <w:highlight w:val="none"/>
              </w:rPr>
            </w:pPr>
          </w:p>
        </w:tc>
        <w:tc>
          <w:tcPr>
            <w:tcW w:w="1198" w:type="dxa"/>
            <w:gridSpan w:val="2"/>
            <w:noWrap w:val="0"/>
            <w:vAlign w:val="center"/>
          </w:tcPr>
          <w:p w14:paraId="6FA9237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技术职称</w:t>
            </w:r>
          </w:p>
        </w:tc>
        <w:tc>
          <w:tcPr>
            <w:tcW w:w="1356" w:type="dxa"/>
            <w:noWrap w:val="0"/>
            <w:vAlign w:val="center"/>
          </w:tcPr>
          <w:p w14:paraId="3CC2B82E">
            <w:pPr>
              <w:jc w:val="center"/>
              <w:rPr>
                <w:rFonts w:hint="eastAsia" w:ascii="仿宋" w:hAnsi="仿宋" w:eastAsia="仿宋" w:cs="仿宋"/>
                <w:color w:val="auto"/>
                <w:sz w:val="24"/>
                <w:highlight w:val="none"/>
              </w:rPr>
            </w:pPr>
          </w:p>
        </w:tc>
        <w:tc>
          <w:tcPr>
            <w:tcW w:w="876" w:type="dxa"/>
            <w:noWrap w:val="0"/>
            <w:vAlign w:val="center"/>
          </w:tcPr>
          <w:p w14:paraId="23DA10A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电话</w:t>
            </w:r>
          </w:p>
        </w:tc>
        <w:tc>
          <w:tcPr>
            <w:tcW w:w="1324" w:type="dxa"/>
            <w:noWrap w:val="0"/>
            <w:vAlign w:val="center"/>
          </w:tcPr>
          <w:p w14:paraId="384A5BD1">
            <w:pPr>
              <w:jc w:val="center"/>
              <w:rPr>
                <w:rFonts w:hint="eastAsia" w:ascii="仿宋" w:hAnsi="仿宋" w:eastAsia="仿宋" w:cs="仿宋"/>
                <w:color w:val="auto"/>
                <w:sz w:val="24"/>
                <w:highlight w:val="none"/>
              </w:rPr>
            </w:pPr>
          </w:p>
        </w:tc>
      </w:tr>
      <w:tr w14:paraId="20100F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noWrap w:val="0"/>
            <w:vAlign w:val="center"/>
          </w:tcPr>
          <w:p w14:paraId="6CD192E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技术负责人</w:t>
            </w:r>
          </w:p>
        </w:tc>
        <w:tc>
          <w:tcPr>
            <w:tcW w:w="1035" w:type="dxa"/>
            <w:noWrap w:val="0"/>
            <w:vAlign w:val="center"/>
          </w:tcPr>
          <w:p w14:paraId="1EDF5FA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696" w:type="dxa"/>
            <w:noWrap w:val="0"/>
            <w:vAlign w:val="center"/>
          </w:tcPr>
          <w:p w14:paraId="0CE8F9AA">
            <w:pPr>
              <w:jc w:val="center"/>
              <w:rPr>
                <w:rFonts w:hint="eastAsia" w:ascii="仿宋" w:hAnsi="仿宋" w:eastAsia="仿宋" w:cs="仿宋"/>
                <w:color w:val="auto"/>
                <w:sz w:val="24"/>
                <w:highlight w:val="none"/>
              </w:rPr>
            </w:pPr>
          </w:p>
        </w:tc>
        <w:tc>
          <w:tcPr>
            <w:tcW w:w="1198" w:type="dxa"/>
            <w:gridSpan w:val="2"/>
            <w:noWrap w:val="0"/>
            <w:vAlign w:val="center"/>
          </w:tcPr>
          <w:p w14:paraId="67B239B7">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技术职称</w:t>
            </w:r>
          </w:p>
        </w:tc>
        <w:tc>
          <w:tcPr>
            <w:tcW w:w="1356" w:type="dxa"/>
            <w:noWrap w:val="0"/>
            <w:vAlign w:val="center"/>
          </w:tcPr>
          <w:p w14:paraId="2C6D8519">
            <w:pPr>
              <w:jc w:val="center"/>
              <w:rPr>
                <w:rFonts w:hint="eastAsia" w:ascii="仿宋" w:hAnsi="仿宋" w:eastAsia="仿宋" w:cs="仿宋"/>
                <w:color w:val="auto"/>
                <w:sz w:val="24"/>
                <w:highlight w:val="none"/>
              </w:rPr>
            </w:pPr>
          </w:p>
        </w:tc>
        <w:tc>
          <w:tcPr>
            <w:tcW w:w="876" w:type="dxa"/>
            <w:noWrap w:val="0"/>
            <w:vAlign w:val="center"/>
          </w:tcPr>
          <w:p w14:paraId="2C2086F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电话</w:t>
            </w:r>
          </w:p>
        </w:tc>
        <w:tc>
          <w:tcPr>
            <w:tcW w:w="1324" w:type="dxa"/>
            <w:noWrap w:val="0"/>
            <w:vAlign w:val="center"/>
          </w:tcPr>
          <w:p w14:paraId="41EEE012">
            <w:pPr>
              <w:jc w:val="center"/>
              <w:rPr>
                <w:rFonts w:hint="eastAsia" w:ascii="仿宋" w:hAnsi="仿宋" w:eastAsia="仿宋" w:cs="仿宋"/>
                <w:color w:val="auto"/>
                <w:sz w:val="24"/>
                <w:highlight w:val="none"/>
              </w:rPr>
            </w:pPr>
          </w:p>
        </w:tc>
      </w:tr>
      <w:tr w14:paraId="360126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235" w:type="dxa"/>
            <w:noWrap w:val="0"/>
            <w:vAlign w:val="center"/>
          </w:tcPr>
          <w:p w14:paraId="60F31CD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成立时间</w:t>
            </w:r>
          </w:p>
        </w:tc>
        <w:tc>
          <w:tcPr>
            <w:tcW w:w="2731" w:type="dxa"/>
            <w:gridSpan w:val="2"/>
            <w:noWrap w:val="0"/>
            <w:vAlign w:val="center"/>
          </w:tcPr>
          <w:p w14:paraId="5C09205A">
            <w:pPr>
              <w:jc w:val="center"/>
              <w:rPr>
                <w:rFonts w:hint="eastAsia" w:ascii="仿宋" w:hAnsi="仿宋" w:eastAsia="仿宋" w:cs="仿宋"/>
                <w:color w:val="auto"/>
                <w:sz w:val="24"/>
                <w:highlight w:val="none"/>
              </w:rPr>
            </w:pPr>
          </w:p>
        </w:tc>
        <w:tc>
          <w:tcPr>
            <w:tcW w:w="4754" w:type="dxa"/>
            <w:gridSpan w:val="5"/>
            <w:noWrap w:val="0"/>
            <w:vAlign w:val="center"/>
          </w:tcPr>
          <w:p w14:paraId="392DF214">
            <w:pPr>
              <w:rPr>
                <w:rFonts w:hint="eastAsia" w:ascii="仿宋" w:hAnsi="仿宋" w:eastAsia="仿宋" w:cs="仿宋"/>
                <w:color w:val="auto"/>
                <w:sz w:val="24"/>
                <w:highlight w:val="none"/>
              </w:rPr>
            </w:pPr>
            <w:r>
              <w:rPr>
                <w:rFonts w:hint="eastAsia" w:ascii="仿宋" w:hAnsi="仿宋" w:eastAsia="仿宋" w:cs="仿宋"/>
                <w:color w:val="auto"/>
                <w:sz w:val="24"/>
                <w:highlight w:val="none"/>
              </w:rPr>
              <w:t>员工总人数：</w:t>
            </w:r>
          </w:p>
        </w:tc>
      </w:tr>
      <w:tr w14:paraId="76C992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2235" w:type="dxa"/>
            <w:noWrap w:val="0"/>
            <w:vAlign w:val="center"/>
          </w:tcPr>
          <w:p w14:paraId="679607BD">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营业执照号</w:t>
            </w:r>
          </w:p>
        </w:tc>
        <w:tc>
          <w:tcPr>
            <w:tcW w:w="2731" w:type="dxa"/>
            <w:gridSpan w:val="2"/>
            <w:noWrap w:val="0"/>
            <w:vAlign w:val="center"/>
          </w:tcPr>
          <w:p w14:paraId="2C3C8CA1">
            <w:pPr>
              <w:jc w:val="center"/>
              <w:rPr>
                <w:rFonts w:hint="eastAsia" w:ascii="仿宋" w:hAnsi="仿宋" w:eastAsia="仿宋" w:cs="仿宋"/>
                <w:color w:val="auto"/>
                <w:sz w:val="24"/>
                <w:highlight w:val="none"/>
              </w:rPr>
            </w:pPr>
          </w:p>
        </w:tc>
        <w:tc>
          <w:tcPr>
            <w:tcW w:w="696" w:type="dxa"/>
            <w:vMerge w:val="restart"/>
            <w:noWrap w:val="0"/>
            <w:vAlign w:val="center"/>
          </w:tcPr>
          <w:p w14:paraId="232D0C1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其中</w:t>
            </w:r>
          </w:p>
        </w:tc>
        <w:tc>
          <w:tcPr>
            <w:tcW w:w="1858" w:type="dxa"/>
            <w:gridSpan w:val="2"/>
            <w:noWrap w:val="0"/>
            <w:vAlign w:val="center"/>
          </w:tcPr>
          <w:p w14:paraId="5F98033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高级职称人员</w:t>
            </w:r>
          </w:p>
        </w:tc>
        <w:tc>
          <w:tcPr>
            <w:tcW w:w="2200" w:type="dxa"/>
            <w:gridSpan w:val="2"/>
            <w:noWrap w:val="0"/>
            <w:vAlign w:val="center"/>
          </w:tcPr>
          <w:p w14:paraId="42110B45">
            <w:pPr>
              <w:jc w:val="center"/>
              <w:rPr>
                <w:rFonts w:hint="eastAsia" w:ascii="仿宋" w:hAnsi="仿宋" w:eastAsia="仿宋" w:cs="仿宋"/>
                <w:color w:val="auto"/>
                <w:sz w:val="24"/>
                <w:highlight w:val="none"/>
              </w:rPr>
            </w:pPr>
          </w:p>
        </w:tc>
      </w:tr>
      <w:tr w14:paraId="41728D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2235" w:type="dxa"/>
            <w:noWrap w:val="0"/>
            <w:vAlign w:val="center"/>
          </w:tcPr>
          <w:p w14:paraId="17D44B9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注册资金</w:t>
            </w:r>
          </w:p>
        </w:tc>
        <w:tc>
          <w:tcPr>
            <w:tcW w:w="2731" w:type="dxa"/>
            <w:gridSpan w:val="2"/>
            <w:noWrap w:val="0"/>
            <w:vAlign w:val="center"/>
          </w:tcPr>
          <w:p w14:paraId="1BB13D0A">
            <w:pPr>
              <w:jc w:val="center"/>
              <w:rPr>
                <w:rFonts w:hint="eastAsia" w:ascii="仿宋" w:hAnsi="仿宋" w:eastAsia="仿宋" w:cs="仿宋"/>
                <w:color w:val="auto"/>
                <w:sz w:val="24"/>
                <w:highlight w:val="none"/>
              </w:rPr>
            </w:pPr>
          </w:p>
        </w:tc>
        <w:tc>
          <w:tcPr>
            <w:tcW w:w="696" w:type="dxa"/>
            <w:vMerge w:val="continue"/>
            <w:noWrap w:val="0"/>
            <w:vAlign w:val="center"/>
          </w:tcPr>
          <w:p w14:paraId="2AE9A32A">
            <w:pPr>
              <w:jc w:val="center"/>
              <w:rPr>
                <w:rFonts w:hint="eastAsia" w:ascii="仿宋" w:hAnsi="仿宋" w:eastAsia="仿宋" w:cs="仿宋"/>
                <w:color w:val="auto"/>
                <w:sz w:val="24"/>
                <w:highlight w:val="none"/>
              </w:rPr>
            </w:pPr>
          </w:p>
        </w:tc>
        <w:tc>
          <w:tcPr>
            <w:tcW w:w="1858" w:type="dxa"/>
            <w:gridSpan w:val="2"/>
            <w:noWrap w:val="0"/>
            <w:vAlign w:val="center"/>
          </w:tcPr>
          <w:p w14:paraId="7ABDD5A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中级职称人员</w:t>
            </w:r>
          </w:p>
        </w:tc>
        <w:tc>
          <w:tcPr>
            <w:tcW w:w="2200" w:type="dxa"/>
            <w:gridSpan w:val="2"/>
            <w:noWrap w:val="0"/>
            <w:vAlign w:val="center"/>
          </w:tcPr>
          <w:p w14:paraId="6B38AE03">
            <w:pPr>
              <w:jc w:val="center"/>
              <w:rPr>
                <w:rFonts w:hint="eastAsia" w:ascii="仿宋" w:hAnsi="仿宋" w:eastAsia="仿宋" w:cs="仿宋"/>
                <w:color w:val="auto"/>
                <w:sz w:val="24"/>
                <w:highlight w:val="none"/>
              </w:rPr>
            </w:pPr>
          </w:p>
        </w:tc>
      </w:tr>
      <w:tr w14:paraId="6F43AE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2235" w:type="dxa"/>
            <w:noWrap w:val="0"/>
            <w:vAlign w:val="center"/>
          </w:tcPr>
          <w:p w14:paraId="062E9EB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p>
        </w:tc>
        <w:tc>
          <w:tcPr>
            <w:tcW w:w="2731" w:type="dxa"/>
            <w:gridSpan w:val="2"/>
            <w:noWrap w:val="0"/>
            <w:vAlign w:val="center"/>
          </w:tcPr>
          <w:p w14:paraId="467ED2FD">
            <w:pPr>
              <w:jc w:val="center"/>
              <w:rPr>
                <w:rFonts w:hint="eastAsia" w:ascii="仿宋" w:hAnsi="仿宋" w:eastAsia="仿宋" w:cs="仿宋"/>
                <w:color w:val="auto"/>
                <w:sz w:val="24"/>
                <w:highlight w:val="none"/>
              </w:rPr>
            </w:pPr>
          </w:p>
        </w:tc>
        <w:tc>
          <w:tcPr>
            <w:tcW w:w="696" w:type="dxa"/>
            <w:vMerge w:val="continue"/>
            <w:noWrap w:val="0"/>
            <w:vAlign w:val="center"/>
          </w:tcPr>
          <w:p w14:paraId="41B56B02">
            <w:pPr>
              <w:jc w:val="center"/>
              <w:rPr>
                <w:rFonts w:hint="eastAsia" w:ascii="仿宋" w:hAnsi="仿宋" w:eastAsia="仿宋" w:cs="仿宋"/>
                <w:color w:val="auto"/>
                <w:sz w:val="24"/>
                <w:highlight w:val="none"/>
              </w:rPr>
            </w:pPr>
          </w:p>
        </w:tc>
        <w:tc>
          <w:tcPr>
            <w:tcW w:w="1858" w:type="dxa"/>
            <w:gridSpan w:val="2"/>
            <w:noWrap w:val="0"/>
            <w:vAlign w:val="center"/>
          </w:tcPr>
          <w:p w14:paraId="4236E3B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初级职称人员</w:t>
            </w:r>
          </w:p>
        </w:tc>
        <w:tc>
          <w:tcPr>
            <w:tcW w:w="2200" w:type="dxa"/>
            <w:gridSpan w:val="2"/>
            <w:noWrap w:val="0"/>
            <w:vAlign w:val="center"/>
          </w:tcPr>
          <w:p w14:paraId="361066BF">
            <w:pPr>
              <w:jc w:val="center"/>
              <w:rPr>
                <w:rFonts w:hint="eastAsia" w:ascii="仿宋" w:hAnsi="仿宋" w:eastAsia="仿宋" w:cs="仿宋"/>
                <w:color w:val="auto"/>
                <w:sz w:val="24"/>
                <w:highlight w:val="none"/>
              </w:rPr>
            </w:pPr>
          </w:p>
        </w:tc>
      </w:tr>
      <w:tr w14:paraId="6BD2E0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2235" w:type="dxa"/>
            <w:noWrap w:val="0"/>
            <w:vAlign w:val="center"/>
          </w:tcPr>
          <w:p w14:paraId="48CA270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银行账号</w:t>
            </w:r>
          </w:p>
        </w:tc>
        <w:tc>
          <w:tcPr>
            <w:tcW w:w="2731" w:type="dxa"/>
            <w:gridSpan w:val="2"/>
            <w:noWrap w:val="0"/>
            <w:vAlign w:val="center"/>
          </w:tcPr>
          <w:p w14:paraId="45FCEAD8">
            <w:pPr>
              <w:jc w:val="center"/>
              <w:rPr>
                <w:rFonts w:hint="eastAsia" w:ascii="仿宋" w:hAnsi="仿宋" w:eastAsia="仿宋" w:cs="仿宋"/>
                <w:color w:val="auto"/>
                <w:sz w:val="24"/>
                <w:highlight w:val="none"/>
              </w:rPr>
            </w:pPr>
          </w:p>
        </w:tc>
        <w:tc>
          <w:tcPr>
            <w:tcW w:w="696" w:type="dxa"/>
            <w:vMerge w:val="continue"/>
            <w:noWrap w:val="0"/>
            <w:vAlign w:val="center"/>
          </w:tcPr>
          <w:p w14:paraId="079E2126">
            <w:pPr>
              <w:jc w:val="center"/>
              <w:rPr>
                <w:rFonts w:hint="eastAsia" w:ascii="仿宋" w:hAnsi="仿宋" w:eastAsia="仿宋" w:cs="仿宋"/>
                <w:color w:val="auto"/>
                <w:sz w:val="24"/>
                <w:highlight w:val="none"/>
              </w:rPr>
            </w:pPr>
          </w:p>
        </w:tc>
        <w:tc>
          <w:tcPr>
            <w:tcW w:w="1858" w:type="dxa"/>
            <w:gridSpan w:val="2"/>
            <w:noWrap w:val="0"/>
            <w:vAlign w:val="center"/>
          </w:tcPr>
          <w:p w14:paraId="77001013">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技工</w:t>
            </w:r>
          </w:p>
        </w:tc>
        <w:tc>
          <w:tcPr>
            <w:tcW w:w="2200" w:type="dxa"/>
            <w:gridSpan w:val="2"/>
            <w:noWrap w:val="0"/>
            <w:vAlign w:val="center"/>
          </w:tcPr>
          <w:p w14:paraId="5363C859">
            <w:pPr>
              <w:jc w:val="center"/>
              <w:rPr>
                <w:rFonts w:hint="eastAsia" w:ascii="仿宋" w:hAnsi="仿宋" w:eastAsia="仿宋" w:cs="仿宋"/>
                <w:color w:val="auto"/>
                <w:sz w:val="24"/>
                <w:highlight w:val="none"/>
              </w:rPr>
            </w:pPr>
          </w:p>
        </w:tc>
      </w:tr>
      <w:tr w14:paraId="76D424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62" w:hRule="atLeast"/>
        </w:trPr>
        <w:tc>
          <w:tcPr>
            <w:tcW w:w="2235" w:type="dxa"/>
            <w:noWrap w:val="0"/>
            <w:vAlign w:val="center"/>
          </w:tcPr>
          <w:p w14:paraId="1C0BC99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经营范围备注</w:t>
            </w:r>
          </w:p>
        </w:tc>
        <w:tc>
          <w:tcPr>
            <w:tcW w:w="7485" w:type="dxa"/>
            <w:gridSpan w:val="7"/>
            <w:noWrap w:val="0"/>
            <w:vAlign w:val="center"/>
          </w:tcPr>
          <w:p w14:paraId="204E1984">
            <w:pPr>
              <w:jc w:val="center"/>
              <w:rPr>
                <w:rFonts w:hint="eastAsia" w:ascii="仿宋" w:hAnsi="仿宋" w:eastAsia="仿宋" w:cs="仿宋"/>
                <w:color w:val="auto"/>
                <w:sz w:val="24"/>
                <w:highlight w:val="none"/>
              </w:rPr>
            </w:pPr>
          </w:p>
        </w:tc>
      </w:tr>
    </w:tbl>
    <w:p w14:paraId="7539E130">
      <w:pPr>
        <w:pStyle w:val="15"/>
        <w:rPr>
          <w:rFonts w:hint="eastAsia" w:ascii="仿宋" w:hAnsi="仿宋" w:eastAsia="仿宋" w:cs="仿宋"/>
          <w:color w:val="auto"/>
          <w:highlight w:val="none"/>
          <w:lang w:val="en-US" w:eastAsia="zh-CN"/>
        </w:rPr>
      </w:pPr>
    </w:p>
    <w:p w14:paraId="44A9903A">
      <w:pPr>
        <w:spacing w:line="440" w:lineRule="exact"/>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val="en-US" w:eastAsia="zh-CN"/>
        </w:rPr>
        <w:t>公</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u w:val="single"/>
        </w:rPr>
        <w:t xml:space="preserve">                                 </w:t>
      </w:r>
    </w:p>
    <w:p w14:paraId="170C4EFB">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br w:type="page"/>
      </w:r>
    </w:p>
    <w:p w14:paraId="021B1074">
      <w:pPr>
        <w:pStyle w:val="4"/>
        <w:bidi w:val="0"/>
        <w:jc w:val="center"/>
        <w:rPr>
          <w:rFonts w:hint="eastAsia" w:ascii="仿宋" w:hAnsi="仿宋" w:eastAsia="仿宋" w:cs="仿宋"/>
          <w:color w:val="auto"/>
          <w:highlight w:val="none"/>
        </w:rPr>
      </w:pPr>
      <w:bookmarkStart w:id="407" w:name="_Toc10429"/>
      <w:bookmarkStart w:id="408" w:name="_Toc494114922"/>
      <w:bookmarkStart w:id="409" w:name="_Toc32473"/>
      <w:bookmarkStart w:id="410" w:name="_Toc20570"/>
      <w:bookmarkStart w:id="411" w:name="_Toc15667"/>
      <w:bookmarkStart w:id="412" w:name="_Toc27858"/>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-2近年完成的类似项目情况表</w:t>
      </w:r>
      <w:bookmarkEnd w:id="407"/>
      <w:bookmarkEnd w:id="408"/>
      <w:bookmarkEnd w:id="409"/>
      <w:bookmarkEnd w:id="410"/>
      <w:bookmarkEnd w:id="411"/>
      <w:bookmarkEnd w:id="412"/>
    </w:p>
    <w:tbl>
      <w:tblPr>
        <w:tblStyle w:val="29"/>
        <w:tblW w:w="0" w:type="auto"/>
        <w:tblInd w:w="-25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556"/>
        <w:gridCol w:w="7092"/>
      </w:tblGrid>
      <w:tr w14:paraId="4E169B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556" w:type="dxa"/>
            <w:noWrap w:val="0"/>
            <w:vAlign w:val="center"/>
          </w:tcPr>
          <w:p w14:paraId="096533F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7092" w:type="dxa"/>
            <w:noWrap w:val="0"/>
            <w:vAlign w:val="center"/>
          </w:tcPr>
          <w:p w14:paraId="721E941B">
            <w:pPr>
              <w:jc w:val="center"/>
              <w:rPr>
                <w:rFonts w:hint="eastAsia" w:ascii="仿宋" w:hAnsi="仿宋" w:eastAsia="仿宋" w:cs="仿宋"/>
                <w:color w:val="auto"/>
                <w:sz w:val="24"/>
                <w:highlight w:val="none"/>
              </w:rPr>
            </w:pPr>
          </w:p>
        </w:tc>
      </w:tr>
      <w:tr w14:paraId="46AECF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556" w:type="dxa"/>
            <w:noWrap w:val="0"/>
            <w:vAlign w:val="center"/>
          </w:tcPr>
          <w:p w14:paraId="0CE38BF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项目所在地</w:t>
            </w:r>
          </w:p>
        </w:tc>
        <w:tc>
          <w:tcPr>
            <w:tcW w:w="7092" w:type="dxa"/>
            <w:noWrap w:val="0"/>
            <w:vAlign w:val="center"/>
          </w:tcPr>
          <w:p w14:paraId="50494B1B">
            <w:pPr>
              <w:jc w:val="center"/>
              <w:rPr>
                <w:rFonts w:hint="eastAsia" w:ascii="仿宋" w:hAnsi="仿宋" w:eastAsia="仿宋" w:cs="仿宋"/>
                <w:color w:val="auto"/>
                <w:sz w:val="24"/>
                <w:highlight w:val="none"/>
              </w:rPr>
            </w:pPr>
          </w:p>
        </w:tc>
      </w:tr>
      <w:tr w14:paraId="714E4F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556" w:type="dxa"/>
            <w:noWrap w:val="0"/>
            <w:vAlign w:val="center"/>
          </w:tcPr>
          <w:p w14:paraId="611C40E4">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p>
        </w:tc>
        <w:tc>
          <w:tcPr>
            <w:tcW w:w="7092" w:type="dxa"/>
            <w:noWrap w:val="0"/>
            <w:vAlign w:val="center"/>
          </w:tcPr>
          <w:p w14:paraId="6B79EDFC">
            <w:pPr>
              <w:jc w:val="center"/>
              <w:rPr>
                <w:rFonts w:hint="eastAsia" w:ascii="仿宋" w:hAnsi="仿宋" w:eastAsia="仿宋" w:cs="仿宋"/>
                <w:color w:val="auto"/>
                <w:sz w:val="24"/>
                <w:highlight w:val="none"/>
              </w:rPr>
            </w:pPr>
          </w:p>
        </w:tc>
      </w:tr>
      <w:tr w14:paraId="75354F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556" w:type="dxa"/>
            <w:noWrap w:val="0"/>
            <w:vAlign w:val="center"/>
          </w:tcPr>
          <w:p w14:paraId="2CED9AF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采购人地址</w:t>
            </w:r>
          </w:p>
        </w:tc>
        <w:tc>
          <w:tcPr>
            <w:tcW w:w="7092" w:type="dxa"/>
            <w:noWrap w:val="0"/>
            <w:vAlign w:val="center"/>
          </w:tcPr>
          <w:p w14:paraId="17BE992B">
            <w:pPr>
              <w:jc w:val="center"/>
              <w:rPr>
                <w:rFonts w:hint="eastAsia" w:ascii="仿宋" w:hAnsi="仿宋" w:eastAsia="仿宋" w:cs="仿宋"/>
                <w:color w:val="auto"/>
                <w:sz w:val="24"/>
                <w:highlight w:val="none"/>
              </w:rPr>
            </w:pPr>
          </w:p>
        </w:tc>
      </w:tr>
      <w:tr w14:paraId="6A923F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556" w:type="dxa"/>
            <w:noWrap w:val="0"/>
            <w:vAlign w:val="center"/>
          </w:tcPr>
          <w:p w14:paraId="3699E04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采购人电话</w:t>
            </w:r>
          </w:p>
        </w:tc>
        <w:tc>
          <w:tcPr>
            <w:tcW w:w="7092" w:type="dxa"/>
            <w:noWrap w:val="0"/>
            <w:vAlign w:val="center"/>
          </w:tcPr>
          <w:p w14:paraId="201B99EF">
            <w:pPr>
              <w:jc w:val="center"/>
              <w:rPr>
                <w:rFonts w:hint="eastAsia" w:ascii="仿宋" w:hAnsi="仿宋" w:eastAsia="仿宋" w:cs="仿宋"/>
                <w:color w:val="auto"/>
                <w:sz w:val="24"/>
                <w:highlight w:val="none"/>
              </w:rPr>
            </w:pPr>
          </w:p>
        </w:tc>
      </w:tr>
      <w:tr w14:paraId="437B58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556" w:type="dxa"/>
            <w:noWrap w:val="0"/>
            <w:vAlign w:val="center"/>
          </w:tcPr>
          <w:p w14:paraId="5007120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合同价格</w:t>
            </w:r>
          </w:p>
        </w:tc>
        <w:tc>
          <w:tcPr>
            <w:tcW w:w="7092" w:type="dxa"/>
            <w:noWrap w:val="0"/>
            <w:vAlign w:val="center"/>
          </w:tcPr>
          <w:p w14:paraId="250A29A3">
            <w:pPr>
              <w:jc w:val="center"/>
              <w:rPr>
                <w:rFonts w:hint="eastAsia" w:ascii="仿宋" w:hAnsi="仿宋" w:eastAsia="仿宋" w:cs="仿宋"/>
                <w:color w:val="auto"/>
                <w:sz w:val="24"/>
                <w:highlight w:val="none"/>
              </w:rPr>
            </w:pPr>
          </w:p>
        </w:tc>
      </w:tr>
      <w:tr w14:paraId="2DF048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556" w:type="dxa"/>
            <w:noWrap w:val="0"/>
            <w:vAlign w:val="center"/>
          </w:tcPr>
          <w:p w14:paraId="7E06647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交付日期</w:t>
            </w:r>
          </w:p>
        </w:tc>
        <w:tc>
          <w:tcPr>
            <w:tcW w:w="7092" w:type="dxa"/>
            <w:noWrap w:val="0"/>
            <w:vAlign w:val="center"/>
          </w:tcPr>
          <w:p w14:paraId="41C07697">
            <w:pPr>
              <w:jc w:val="center"/>
              <w:rPr>
                <w:rFonts w:hint="eastAsia" w:ascii="仿宋" w:hAnsi="仿宋" w:eastAsia="仿宋" w:cs="仿宋"/>
                <w:color w:val="auto"/>
                <w:sz w:val="24"/>
                <w:highlight w:val="none"/>
              </w:rPr>
            </w:pPr>
          </w:p>
        </w:tc>
      </w:tr>
      <w:tr w14:paraId="6856EC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556" w:type="dxa"/>
            <w:noWrap w:val="0"/>
            <w:vAlign w:val="center"/>
          </w:tcPr>
          <w:p w14:paraId="19527202">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技术负责人</w:t>
            </w:r>
          </w:p>
        </w:tc>
        <w:tc>
          <w:tcPr>
            <w:tcW w:w="7092" w:type="dxa"/>
            <w:noWrap w:val="0"/>
            <w:vAlign w:val="center"/>
          </w:tcPr>
          <w:p w14:paraId="7C07CDC2">
            <w:pPr>
              <w:jc w:val="center"/>
              <w:rPr>
                <w:rFonts w:hint="eastAsia" w:ascii="仿宋" w:hAnsi="仿宋" w:eastAsia="仿宋" w:cs="仿宋"/>
                <w:color w:val="auto"/>
                <w:sz w:val="24"/>
                <w:highlight w:val="none"/>
              </w:rPr>
            </w:pPr>
          </w:p>
        </w:tc>
      </w:tr>
      <w:tr w14:paraId="562523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03" w:hRule="atLeast"/>
        </w:trPr>
        <w:tc>
          <w:tcPr>
            <w:tcW w:w="2556" w:type="dxa"/>
            <w:noWrap w:val="0"/>
            <w:vAlign w:val="center"/>
          </w:tcPr>
          <w:p w14:paraId="5E841B2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项目描述</w:t>
            </w:r>
          </w:p>
        </w:tc>
        <w:tc>
          <w:tcPr>
            <w:tcW w:w="7092" w:type="dxa"/>
            <w:noWrap w:val="0"/>
            <w:vAlign w:val="center"/>
          </w:tcPr>
          <w:p w14:paraId="28278393">
            <w:pPr>
              <w:jc w:val="center"/>
              <w:rPr>
                <w:rFonts w:hint="eastAsia" w:ascii="仿宋" w:hAnsi="仿宋" w:eastAsia="仿宋" w:cs="仿宋"/>
                <w:color w:val="auto"/>
                <w:sz w:val="24"/>
                <w:highlight w:val="none"/>
              </w:rPr>
            </w:pPr>
          </w:p>
        </w:tc>
      </w:tr>
      <w:tr w14:paraId="33DAFB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6" w:hRule="atLeast"/>
        </w:trPr>
        <w:tc>
          <w:tcPr>
            <w:tcW w:w="2556" w:type="dxa"/>
            <w:noWrap w:val="0"/>
            <w:vAlign w:val="center"/>
          </w:tcPr>
          <w:p w14:paraId="2AFF56F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c>
          <w:tcPr>
            <w:tcW w:w="7092" w:type="dxa"/>
            <w:noWrap w:val="0"/>
            <w:vAlign w:val="center"/>
          </w:tcPr>
          <w:p w14:paraId="70A4ACA6">
            <w:pPr>
              <w:jc w:val="center"/>
              <w:rPr>
                <w:rFonts w:hint="eastAsia" w:ascii="仿宋" w:hAnsi="仿宋" w:eastAsia="仿宋" w:cs="仿宋"/>
                <w:color w:val="auto"/>
                <w:sz w:val="24"/>
                <w:highlight w:val="none"/>
              </w:rPr>
            </w:pPr>
          </w:p>
        </w:tc>
      </w:tr>
    </w:tbl>
    <w:p w14:paraId="4CF7386E">
      <w:pPr>
        <w:rPr>
          <w:rFonts w:hint="eastAsia" w:ascii="仿宋" w:hAnsi="仿宋" w:eastAsia="仿宋" w:cs="仿宋"/>
          <w:color w:val="auto"/>
          <w:highlight w:val="none"/>
          <w:lang w:val="en-US" w:eastAsia="zh-CN"/>
        </w:rPr>
      </w:pPr>
    </w:p>
    <w:p w14:paraId="4807832E">
      <w:pPr>
        <w:spacing w:line="432"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val="en-US" w:eastAsia="zh-CN"/>
        </w:rPr>
        <w:t>公</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u w:val="single"/>
        </w:rPr>
        <w:t xml:space="preserve">                                 </w:t>
      </w:r>
    </w:p>
    <w:p w14:paraId="6025E71C">
      <w:pPr>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rPr>
        <w:br w:type="page"/>
      </w:r>
    </w:p>
    <w:p w14:paraId="754532C4">
      <w:pPr>
        <w:pStyle w:val="4"/>
        <w:bidi w:val="0"/>
        <w:jc w:val="center"/>
        <w:rPr>
          <w:rFonts w:hint="eastAsia" w:ascii="仿宋" w:hAnsi="仿宋" w:eastAsia="仿宋" w:cs="仿宋"/>
          <w:color w:val="auto"/>
          <w:highlight w:val="none"/>
          <w:lang w:val="en-US" w:eastAsia="zh-CN"/>
        </w:rPr>
      </w:pPr>
      <w:bookmarkStart w:id="413" w:name="_Toc8183"/>
      <w:bookmarkStart w:id="414" w:name="_Toc16780"/>
      <w:r>
        <w:rPr>
          <w:rFonts w:hint="eastAsia" w:ascii="仿宋" w:hAnsi="仿宋" w:eastAsia="仿宋" w:cs="仿宋"/>
          <w:color w:val="auto"/>
          <w:highlight w:val="none"/>
          <w:lang w:eastAsia="zh-CN"/>
        </w:rPr>
        <w:t>格式</w:t>
      </w:r>
      <w:r>
        <w:rPr>
          <w:rFonts w:hint="eastAsia" w:ascii="仿宋" w:hAnsi="仿宋" w:eastAsia="仿宋" w:cs="仿宋"/>
          <w:color w:val="auto"/>
          <w:highlight w:val="none"/>
          <w:lang w:val="en-US" w:eastAsia="zh-CN"/>
        </w:rPr>
        <w:t>9-3关于及时交纳代理服务费及提供采购合同的承诺函</w:t>
      </w:r>
      <w:bookmarkEnd w:id="413"/>
      <w:bookmarkEnd w:id="414"/>
    </w:p>
    <w:p w14:paraId="3DB06398">
      <w:pPr>
        <w:rPr>
          <w:rFonts w:hint="eastAsia" w:ascii="仿宋" w:hAnsi="仿宋" w:eastAsia="仿宋" w:cs="仿宋"/>
          <w:color w:val="auto"/>
          <w:highlight w:val="none"/>
          <w:lang w:val="en-US" w:eastAsia="zh-CN"/>
        </w:rPr>
      </w:pPr>
    </w:p>
    <w:p w14:paraId="2BF5EB9B">
      <w:pPr>
        <w:spacing w:line="440" w:lineRule="exac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致：</w:t>
      </w:r>
      <w:r>
        <w:rPr>
          <w:rFonts w:hint="eastAsia" w:ascii="仿宋" w:hAnsi="仿宋" w:eastAsia="仿宋" w:cs="仿宋"/>
          <w:color w:val="auto"/>
          <w:sz w:val="28"/>
          <w:szCs w:val="28"/>
          <w:highlight w:val="none"/>
          <w:lang w:eastAsia="zh-CN"/>
        </w:rPr>
        <w:t>江西企恒企业管理有限公司</w:t>
      </w:r>
    </w:p>
    <w:p w14:paraId="26E7A8AD">
      <w:pPr>
        <w:jc w:val="both"/>
        <w:rPr>
          <w:rFonts w:hint="eastAsia" w:ascii="仿宋" w:hAnsi="仿宋" w:eastAsia="仿宋" w:cs="仿宋"/>
          <w:color w:val="auto"/>
          <w:highlight w:val="none"/>
        </w:rPr>
      </w:pPr>
    </w:p>
    <w:p w14:paraId="31A1F62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我</w:t>
      </w:r>
      <w:r>
        <w:rPr>
          <w:rFonts w:hint="eastAsia" w:ascii="仿宋" w:hAnsi="仿宋" w:eastAsia="仿宋" w:cs="仿宋"/>
          <w:color w:val="auto"/>
          <w:sz w:val="24"/>
          <w:szCs w:val="24"/>
          <w:highlight w:val="none"/>
          <w:lang w:val="en-US" w:eastAsia="zh-CN"/>
        </w:rPr>
        <w:t>方</w:t>
      </w:r>
      <w:r>
        <w:rPr>
          <w:rFonts w:hint="eastAsia" w:ascii="仿宋" w:hAnsi="仿宋" w:eastAsia="仿宋" w:cs="仿宋"/>
          <w:color w:val="auto"/>
          <w:sz w:val="24"/>
          <w:szCs w:val="24"/>
          <w:highlight w:val="none"/>
          <w:lang w:eastAsia="zh-CN"/>
        </w:rPr>
        <w:t>若有幸成为本项目的中标人，郑重作出以下承诺：</w:t>
      </w:r>
    </w:p>
    <w:p w14:paraId="448B37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将按照招标文件要求及时交纳采购代理服务费；</w:t>
      </w:r>
    </w:p>
    <w:p w14:paraId="003C17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在与采购人签订采购合同后的</w:t>
      </w:r>
      <w:r>
        <w:rPr>
          <w:rFonts w:hint="eastAsia" w:ascii="仿宋" w:hAnsi="仿宋" w:eastAsia="仿宋" w:cs="仿宋"/>
          <w:color w:val="auto"/>
          <w:sz w:val="24"/>
          <w:szCs w:val="24"/>
          <w:highlight w:val="none"/>
          <w:lang w:val="en-US" w:eastAsia="zh-CN"/>
        </w:rPr>
        <w:t>1个工作日内，向贵公司提供一份采购合同原件。</w:t>
      </w:r>
    </w:p>
    <w:p w14:paraId="640A1A7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auto"/>
          <w:sz w:val="24"/>
          <w:szCs w:val="24"/>
          <w:highlight w:val="none"/>
          <w:lang w:val="en-US" w:eastAsia="zh-CN"/>
        </w:rPr>
      </w:pPr>
    </w:p>
    <w:p w14:paraId="17C5A887">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auto"/>
          <w:sz w:val="24"/>
          <w:szCs w:val="24"/>
          <w:highlight w:val="none"/>
          <w:lang w:val="en-US" w:eastAsia="zh-CN"/>
        </w:rPr>
      </w:pPr>
    </w:p>
    <w:p w14:paraId="40A0603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auto"/>
          <w:sz w:val="24"/>
          <w:szCs w:val="24"/>
          <w:highlight w:val="none"/>
          <w:lang w:val="en-US" w:eastAsia="zh-CN"/>
        </w:rPr>
      </w:pPr>
    </w:p>
    <w:p w14:paraId="37BFA92B">
      <w:pPr>
        <w:spacing w:line="440" w:lineRule="exact"/>
        <w:jc w:val="left"/>
        <w:rPr>
          <w:rFonts w:hint="eastAsia" w:ascii="仿宋" w:hAnsi="仿宋" w:eastAsia="仿宋" w:cs="仿宋"/>
          <w:color w:val="auto"/>
          <w:highlight w:val="none"/>
        </w:rPr>
      </w:pP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或经营者）或投标人代表</w:t>
      </w:r>
      <w:r>
        <w:rPr>
          <w:rFonts w:hint="eastAsia" w:ascii="仿宋" w:hAnsi="仿宋" w:eastAsia="仿宋" w:cs="仿宋"/>
          <w:color w:val="auto"/>
          <w:sz w:val="24"/>
          <w:highlight w:val="none"/>
        </w:rPr>
        <w:t>签字或章：</w:t>
      </w:r>
    </w:p>
    <w:p w14:paraId="2DA17828">
      <w:pPr>
        <w:rPr>
          <w:rFonts w:hint="eastAsia" w:ascii="仿宋" w:hAnsi="仿宋" w:eastAsia="仿宋" w:cs="仿宋"/>
          <w:color w:val="auto"/>
          <w:highlight w:val="none"/>
        </w:rPr>
      </w:pPr>
    </w:p>
    <w:p w14:paraId="74D1E7D4">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w:t>
      </w:r>
      <w:r>
        <w:rPr>
          <w:rFonts w:hint="eastAsia" w:ascii="仿宋" w:hAnsi="仿宋" w:eastAsia="仿宋" w:cs="仿宋"/>
          <w:color w:val="auto"/>
          <w:sz w:val="24"/>
          <w:highlight w:val="none"/>
          <w:lang w:val="en-US" w:eastAsia="zh-CN"/>
        </w:rPr>
        <w:t>公</w:t>
      </w:r>
      <w:r>
        <w:rPr>
          <w:rFonts w:hint="eastAsia" w:ascii="仿宋" w:hAnsi="仿宋" w:eastAsia="仿宋" w:cs="仿宋"/>
          <w:color w:val="auto"/>
          <w:sz w:val="24"/>
          <w:highlight w:val="none"/>
        </w:rPr>
        <w:t>章：</w:t>
      </w:r>
    </w:p>
    <w:p w14:paraId="0FD5D66C">
      <w:pPr>
        <w:pStyle w:val="15"/>
        <w:rPr>
          <w:rFonts w:hint="eastAsia" w:ascii="仿宋" w:hAnsi="仿宋" w:eastAsia="仿宋" w:cs="仿宋"/>
          <w:color w:val="auto"/>
          <w:highlight w:val="none"/>
        </w:rPr>
      </w:pPr>
    </w:p>
    <w:p w14:paraId="208D4035">
      <w:pPr>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14:paraId="638D3EFC">
      <w:pPr>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2597948F">
      <w:pPr>
        <w:pStyle w:val="4"/>
        <w:bidi w:val="0"/>
        <w:jc w:val="center"/>
        <w:rPr>
          <w:rFonts w:hint="eastAsia" w:ascii="仿宋" w:hAnsi="仿宋" w:eastAsia="仿宋" w:cs="仿宋"/>
          <w:color w:val="auto"/>
          <w:highlight w:val="none"/>
        </w:rPr>
      </w:pPr>
      <w:bookmarkStart w:id="415" w:name="_Toc5668"/>
      <w:bookmarkStart w:id="416" w:name="_Toc19402"/>
      <w:bookmarkStart w:id="417" w:name="_Toc17244"/>
      <w:r>
        <w:rPr>
          <w:rFonts w:hint="eastAsia" w:ascii="仿宋" w:hAnsi="仿宋" w:eastAsia="仿宋" w:cs="仿宋"/>
          <w:color w:val="auto"/>
          <w:highlight w:val="none"/>
        </w:rPr>
        <w:t>格式</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与技术、商务等评审计分有关的资料</w:t>
      </w:r>
      <w:bookmarkEnd w:id="415"/>
      <w:bookmarkEnd w:id="416"/>
      <w:bookmarkEnd w:id="417"/>
    </w:p>
    <w:p w14:paraId="33F7D083">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5544DDE1">
      <w:pPr>
        <w:pStyle w:val="3"/>
        <w:bidi w:val="0"/>
        <w:jc w:val="center"/>
        <w:rPr>
          <w:rFonts w:hint="eastAsia" w:ascii="仿宋" w:hAnsi="仿宋" w:eastAsia="仿宋" w:cs="仿宋"/>
          <w:color w:val="auto"/>
          <w:highlight w:val="none"/>
        </w:rPr>
      </w:pPr>
      <w:bookmarkStart w:id="418" w:name="_Toc222"/>
      <w:bookmarkStart w:id="419" w:name="_Toc11999"/>
      <w:bookmarkStart w:id="420" w:name="_Toc5415"/>
      <w:bookmarkStart w:id="421" w:name="_Toc23010"/>
      <w:bookmarkStart w:id="422" w:name="_Toc494114924"/>
      <w:bookmarkStart w:id="423" w:name="_Toc9438"/>
      <w:r>
        <w:rPr>
          <w:rFonts w:hint="eastAsia" w:ascii="仿宋" w:hAnsi="仿宋" w:eastAsia="仿宋" w:cs="仿宋"/>
          <w:color w:val="auto"/>
          <w:highlight w:val="none"/>
        </w:rPr>
        <w:t>第五章　采购需求表及采购需求</w:t>
      </w:r>
      <w:bookmarkEnd w:id="418"/>
      <w:bookmarkEnd w:id="419"/>
      <w:bookmarkEnd w:id="420"/>
      <w:bookmarkEnd w:id="421"/>
      <w:bookmarkEnd w:id="422"/>
      <w:bookmarkEnd w:id="423"/>
    </w:p>
    <w:p w14:paraId="51C49623">
      <w:pPr>
        <w:pStyle w:val="4"/>
        <w:bidi w:val="0"/>
        <w:jc w:val="center"/>
        <w:rPr>
          <w:rFonts w:hint="eastAsia" w:ascii="仿宋" w:hAnsi="仿宋" w:eastAsia="仿宋" w:cs="仿宋"/>
          <w:color w:val="auto"/>
          <w:sz w:val="28"/>
          <w:szCs w:val="36"/>
          <w:highlight w:val="none"/>
        </w:rPr>
      </w:pPr>
      <w:bookmarkStart w:id="424" w:name="_Toc7898"/>
      <w:bookmarkStart w:id="425" w:name="_Toc4652"/>
      <w:bookmarkStart w:id="426" w:name="_Toc1715"/>
      <w:bookmarkStart w:id="427" w:name="_Toc9820"/>
      <w:bookmarkStart w:id="428" w:name="_Toc1825"/>
      <w:bookmarkStart w:id="429" w:name="_Toc494114925"/>
      <w:r>
        <w:rPr>
          <w:rFonts w:hint="eastAsia" w:ascii="仿宋" w:hAnsi="仿宋" w:eastAsia="仿宋" w:cs="仿宋"/>
          <w:color w:val="auto"/>
          <w:sz w:val="28"/>
          <w:szCs w:val="36"/>
          <w:highlight w:val="none"/>
        </w:rPr>
        <w:t>一、采购需求表</w:t>
      </w:r>
      <w:bookmarkEnd w:id="424"/>
      <w:bookmarkEnd w:id="425"/>
      <w:bookmarkEnd w:id="426"/>
      <w:bookmarkEnd w:id="427"/>
      <w:bookmarkEnd w:id="428"/>
      <w:bookmarkEnd w:id="429"/>
    </w:p>
    <w:tbl>
      <w:tblPr>
        <w:tblStyle w:val="29"/>
        <w:tblpPr w:leftFromText="180" w:rightFromText="180" w:vertAnchor="text" w:tblpY="1"/>
        <w:tblOverlap w:val="neve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5805"/>
      </w:tblGrid>
      <w:tr w14:paraId="086E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9" w:hRule="atLeast"/>
        </w:trPr>
        <w:tc>
          <w:tcPr>
            <w:tcW w:w="2835" w:type="dxa"/>
            <w:tcBorders>
              <w:top w:val="single" w:color="auto" w:sz="12" w:space="0"/>
              <w:left w:val="single" w:color="auto" w:sz="12" w:space="0"/>
            </w:tcBorders>
            <w:noWrap w:val="0"/>
            <w:vAlign w:val="top"/>
          </w:tcPr>
          <w:p w14:paraId="131702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mc:AlternateContent>
                <mc:Choice Requires="wpg">
                  <w:drawing>
                    <wp:anchor distT="0" distB="0" distL="114300" distR="114300" simplePos="0" relativeHeight="251659264" behindDoc="0" locked="0" layoutInCell="1" allowOverlap="1">
                      <wp:simplePos x="0" y="0"/>
                      <wp:positionH relativeFrom="column">
                        <wp:posOffset>-49530</wp:posOffset>
                      </wp:positionH>
                      <wp:positionV relativeFrom="paragraph">
                        <wp:posOffset>9525</wp:posOffset>
                      </wp:positionV>
                      <wp:extent cx="1781175" cy="1479550"/>
                      <wp:effectExtent l="3175" t="3810" r="6350" b="21590"/>
                      <wp:wrapNone/>
                      <wp:docPr id="10" name="组合 10"/>
                      <wp:cNvGraphicFramePr/>
                      <a:graphic xmlns:a="http://schemas.openxmlformats.org/drawingml/2006/main">
                        <a:graphicData uri="http://schemas.microsoft.com/office/word/2010/wordprocessingGroup">
                          <wpg:wgp>
                            <wpg:cNvGrpSpPr/>
                            <wpg:grpSpPr>
                              <a:xfrm>
                                <a:off x="0" y="0"/>
                                <a:ext cx="1781175" cy="1479550"/>
                                <a:chOff x="1716" y="3057"/>
                                <a:chExt cx="2805" cy="2330"/>
                              </a:xfrm>
                            </wpg:grpSpPr>
                            <wps:wsp>
                              <wps:cNvPr id="3" name="直接连接符 3"/>
                              <wps:cNvCnPr/>
                              <wps:spPr>
                                <a:xfrm>
                                  <a:off x="1716" y="3057"/>
                                  <a:ext cx="2805" cy="2330"/>
                                </a:xfrm>
                                <a:prstGeom prst="line">
                                  <a:avLst/>
                                </a:prstGeom>
                                <a:ln w="6350" cap="flat" cmpd="sng">
                                  <a:solidFill>
                                    <a:srgbClr val="000000"/>
                                  </a:solidFill>
                                  <a:prstDash val="solid"/>
                                  <a:headEnd type="none" w="med" len="med"/>
                                  <a:tailEnd type="none" w="med" len="med"/>
                                </a:ln>
                              </wps:spPr>
                              <wps:bodyPr upright="1"/>
                            </wps:wsp>
                            <wps:wsp>
                              <wps:cNvPr id="4" name="文本框 4"/>
                              <wps:cNvSpPr txBox="1"/>
                              <wps:spPr>
                                <a:xfrm>
                                  <a:off x="2769" y="3199"/>
                                  <a:ext cx="240" cy="463"/>
                                </a:xfrm>
                                <a:prstGeom prst="rect">
                                  <a:avLst/>
                                </a:prstGeom>
                                <a:noFill/>
                                <a:ln>
                                  <a:noFill/>
                                </a:ln>
                              </wps:spPr>
                              <wps:txbx>
                                <w:txbxContent>
                                  <w:p w14:paraId="1B956C83">
                                    <w:pPr>
                                      <w:snapToGrid w:val="0"/>
                                      <w:rPr>
                                        <w:rFonts w:hint="eastAsia" w:eastAsia="宋体"/>
                                        <w:sz w:val="24"/>
                                        <w:lang w:val="en-US" w:eastAsia="zh-CN"/>
                                      </w:rPr>
                                    </w:pPr>
                                    <w:r>
                                      <w:rPr>
                                        <w:rFonts w:hint="eastAsia"/>
                                        <w:sz w:val="24"/>
                                        <w:lang w:val="en-US" w:eastAsia="zh-CN"/>
                                      </w:rPr>
                                      <w:t>项</w:t>
                                    </w:r>
                                  </w:p>
                                </w:txbxContent>
                              </wps:txbx>
                              <wps:bodyPr wrap="square" lIns="0" tIns="0" rIns="0" bIns="0" upright="1"/>
                            </wps:wsp>
                            <wps:wsp>
                              <wps:cNvPr id="5" name="文本框 5"/>
                              <wps:cNvSpPr txBox="1"/>
                              <wps:spPr>
                                <a:xfrm>
                                  <a:off x="3184" y="3544"/>
                                  <a:ext cx="285" cy="494"/>
                                </a:xfrm>
                                <a:prstGeom prst="rect">
                                  <a:avLst/>
                                </a:prstGeom>
                                <a:noFill/>
                                <a:ln>
                                  <a:noFill/>
                                </a:ln>
                              </wps:spPr>
                              <wps:txbx>
                                <w:txbxContent>
                                  <w:p w14:paraId="0A263F8E">
                                    <w:pPr>
                                      <w:snapToGrid w:val="0"/>
                                      <w:rPr>
                                        <w:rFonts w:hint="eastAsia" w:eastAsia="宋体"/>
                                        <w:sz w:val="24"/>
                                        <w:lang w:val="en-US" w:eastAsia="zh-CN"/>
                                      </w:rPr>
                                    </w:pPr>
                                    <w:r>
                                      <w:rPr>
                                        <w:rFonts w:hint="eastAsia"/>
                                        <w:sz w:val="24"/>
                                        <w:lang w:val="en-US" w:eastAsia="zh-CN"/>
                                      </w:rPr>
                                      <w:t>目</w:t>
                                    </w:r>
                                  </w:p>
                                </w:txbxContent>
                              </wps:txbx>
                              <wps:bodyPr wrap="square" lIns="0" tIns="0" rIns="0" bIns="0" upright="1"/>
                            </wps:wsp>
                            <wps:wsp>
                              <wps:cNvPr id="6" name="文本框 6"/>
                              <wps:cNvSpPr txBox="1"/>
                              <wps:spPr>
                                <a:xfrm>
                                  <a:off x="3599" y="3888"/>
                                  <a:ext cx="300" cy="480"/>
                                </a:xfrm>
                                <a:prstGeom prst="rect">
                                  <a:avLst/>
                                </a:prstGeom>
                                <a:noFill/>
                                <a:ln>
                                  <a:noFill/>
                                </a:ln>
                              </wps:spPr>
                              <wps:txbx>
                                <w:txbxContent>
                                  <w:p w14:paraId="132BD9B9">
                                    <w:pPr>
                                      <w:snapToGrid w:val="0"/>
                                      <w:rPr>
                                        <w:sz w:val="24"/>
                                      </w:rPr>
                                    </w:pPr>
                                    <w:r>
                                      <w:rPr>
                                        <w:rFonts w:hint="eastAsia"/>
                                        <w:sz w:val="24"/>
                                      </w:rPr>
                                      <w:t>名</w:t>
                                    </w:r>
                                  </w:p>
                                </w:txbxContent>
                              </wps:txbx>
                              <wps:bodyPr wrap="square" lIns="0" tIns="0" rIns="0" bIns="0" upright="1"/>
                            </wps:wsp>
                            <wps:wsp>
                              <wps:cNvPr id="7" name="文本框 7"/>
                              <wps:cNvSpPr txBox="1"/>
                              <wps:spPr>
                                <a:xfrm>
                                  <a:off x="4014" y="4233"/>
                                  <a:ext cx="300" cy="494"/>
                                </a:xfrm>
                                <a:prstGeom prst="rect">
                                  <a:avLst/>
                                </a:prstGeom>
                                <a:noFill/>
                                <a:ln>
                                  <a:noFill/>
                                </a:ln>
                              </wps:spPr>
                              <wps:txbx>
                                <w:txbxContent>
                                  <w:p w14:paraId="06F85110">
                                    <w:pPr>
                                      <w:snapToGrid w:val="0"/>
                                      <w:rPr>
                                        <w:sz w:val="24"/>
                                      </w:rPr>
                                    </w:pPr>
                                    <w:r>
                                      <w:rPr>
                                        <w:rFonts w:hint="eastAsia"/>
                                        <w:sz w:val="24"/>
                                      </w:rPr>
                                      <w:t>称</w:t>
                                    </w:r>
                                  </w:p>
                                </w:txbxContent>
                              </wps:txbx>
                              <wps:bodyPr wrap="square" lIns="0" tIns="0" rIns="0" bIns="0" upright="1"/>
                            </wps:wsp>
                            <wps:wsp>
                              <wps:cNvPr id="8" name="文本框 8"/>
                              <wps:cNvSpPr txBox="1"/>
                              <wps:spPr>
                                <a:xfrm>
                                  <a:off x="2140" y="4061"/>
                                  <a:ext cx="315" cy="494"/>
                                </a:xfrm>
                                <a:prstGeom prst="rect">
                                  <a:avLst/>
                                </a:prstGeom>
                                <a:noFill/>
                                <a:ln>
                                  <a:noFill/>
                                </a:ln>
                              </wps:spPr>
                              <wps:txbx>
                                <w:txbxContent>
                                  <w:p w14:paraId="66DE6022">
                                    <w:pPr>
                                      <w:snapToGrid w:val="0"/>
                                      <w:rPr>
                                        <w:sz w:val="24"/>
                                      </w:rPr>
                                    </w:pPr>
                                    <w:r>
                                      <w:rPr>
                                        <w:rFonts w:hint="eastAsia"/>
                                        <w:sz w:val="24"/>
                                      </w:rPr>
                                      <w:t>内</w:t>
                                    </w:r>
                                  </w:p>
                                </w:txbxContent>
                              </wps:txbx>
                              <wps:bodyPr wrap="square" lIns="0" tIns="0" rIns="0" bIns="0" upright="1"/>
                            </wps:wsp>
                            <wps:wsp>
                              <wps:cNvPr id="9" name="文本框 9"/>
                              <wps:cNvSpPr txBox="1"/>
                              <wps:spPr>
                                <a:xfrm>
                                  <a:off x="2987" y="4765"/>
                                  <a:ext cx="360" cy="480"/>
                                </a:xfrm>
                                <a:prstGeom prst="rect">
                                  <a:avLst/>
                                </a:prstGeom>
                                <a:noFill/>
                                <a:ln>
                                  <a:noFill/>
                                </a:ln>
                              </wps:spPr>
                              <wps:txbx>
                                <w:txbxContent>
                                  <w:p w14:paraId="61E7908F">
                                    <w:pPr>
                                      <w:snapToGrid w:val="0"/>
                                      <w:rPr>
                                        <w:sz w:val="24"/>
                                      </w:rPr>
                                    </w:pPr>
                                    <w:r>
                                      <w:rPr>
                                        <w:rFonts w:hint="eastAsia"/>
                                        <w:sz w:val="24"/>
                                      </w:rPr>
                                      <w:t>容</w:t>
                                    </w:r>
                                  </w:p>
                                </w:txbxContent>
                              </wps:txbx>
                              <wps:bodyPr wrap="square" lIns="0" tIns="0" rIns="0" bIns="0" upright="1"/>
                            </wps:wsp>
                          </wpg:wgp>
                        </a:graphicData>
                      </a:graphic>
                    </wp:anchor>
                  </w:drawing>
                </mc:Choice>
                <mc:Fallback>
                  <w:pict>
                    <v:group id="_x0000_s1026" o:spid="_x0000_s1026" o:spt="203" style="position:absolute;left:0pt;margin-left:-3.9pt;margin-top:0.75pt;height:116.5pt;width:140.25pt;z-index:251659264;mso-width-relative:page;mso-height-relative:page;" coordorigin="1716,3057" coordsize="2805,2330" o:gfxdata="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G2CwV/ZAAAACAEAAA8AAAAAAAAAAQAgAAAAIgAAAGRycy9kb3ducmV2&#10;LnhtbFBLAQIUABQAAAAIAIdO4kDCX5HMigMAAOMOAAAOAAAAAAAAAAEAIAAAACgBAABkcnMvZTJv&#10;RG9jLnhtbFBLBQYAAAAABgAGAFkBAAAkBwAAAAA=&#10;">
                      <o:lock v:ext="edit" aspectratio="f"/>
                      <v:line id="_x0000_s1026" o:spid="_x0000_s1026" o:spt="20" style="position:absolute;left:1716;top:3057;height:2330;width:2805;" filled="f" stroked="t" coordsize="21600,21600" o:gfxdata="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JkzkbsAAADa&#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_x0000_s1026" o:spid="_x0000_s1026" o:spt="202" type="#_x0000_t202" style="position:absolute;left:2769;top:3199;height:463;width:240;"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B956C83">
                              <w:pPr>
                                <w:snapToGrid w:val="0"/>
                                <w:rPr>
                                  <w:rFonts w:hint="eastAsia" w:eastAsia="宋体"/>
                                  <w:sz w:val="24"/>
                                  <w:lang w:val="en-US" w:eastAsia="zh-CN"/>
                                </w:rPr>
                              </w:pPr>
                              <w:r>
                                <w:rPr>
                                  <w:rFonts w:hint="eastAsia"/>
                                  <w:sz w:val="24"/>
                                  <w:lang w:val="en-US" w:eastAsia="zh-CN"/>
                                </w:rPr>
                                <w:t>项</w:t>
                              </w:r>
                            </w:p>
                          </w:txbxContent>
                        </v:textbox>
                      </v:shape>
                      <v:shape id="_x0000_s1026" o:spid="_x0000_s1026" o:spt="202" type="#_x0000_t202" style="position:absolute;left:3184;top:3544;height:494;width:285;"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A263F8E">
                              <w:pPr>
                                <w:snapToGrid w:val="0"/>
                                <w:rPr>
                                  <w:rFonts w:hint="eastAsia" w:eastAsia="宋体"/>
                                  <w:sz w:val="24"/>
                                  <w:lang w:val="en-US" w:eastAsia="zh-CN"/>
                                </w:rPr>
                              </w:pPr>
                              <w:r>
                                <w:rPr>
                                  <w:rFonts w:hint="eastAsia"/>
                                  <w:sz w:val="24"/>
                                  <w:lang w:val="en-US" w:eastAsia="zh-CN"/>
                                </w:rPr>
                                <w:t>目</w:t>
                              </w:r>
                            </w:p>
                          </w:txbxContent>
                        </v:textbox>
                      </v:shape>
                      <v:shape id="_x0000_s1026" o:spid="_x0000_s1026" o:spt="202" type="#_x0000_t202" style="position:absolute;left:3599;top:3888;height:480;width:300;"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32BD9B9">
                              <w:pPr>
                                <w:snapToGrid w:val="0"/>
                                <w:rPr>
                                  <w:sz w:val="24"/>
                                </w:rPr>
                              </w:pPr>
                              <w:r>
                                <w:rPr>
                                  <w:rFonts w:hint="eastAsia"/>
                                  <w:sz w:val="24"/>
                                </w:rPr>
                                <w:t>名</w:t>
                              </w:r>
                            </w:p>
                          </w:txbxContent>
                        </v:textbox>
                      </v:shape>
                      <v:shape id="_x0000_s1026" o:spid="_x0000_s1026" o:spt="202" type="#_x0000_t202" style="position:absolute;left:4014;top:4233;height:494;width:300;"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6F85110">
                              <w:pPr>
                                <w:snapToGrid w:val="0"/>
                                <w:rPr>
                                  <w:sz w:val="24"/>
                                </w:rPr>
                              </w:pPr>
                              <w:r>
                                <w:rPr>
                                  <w:rFonts w:hint="eastAsia"/>
                                  <w:sz w:val="24"/>
                                </w:rPr>
                                <w:t>称</w:t>
                              </w:r>
                            </w:p>
                          </w:txbxContent>
                        </v:textbox>
                      </v:shape>
                      <v:shape id="_x0000_s1026" o:spid="_x0000_s1026" o:spt="202" type="#_x0000_t202" style="position:absolute;left:2140;top:4061;height:494;width:315;"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66DE6022">
                              <w:pPr>
                                <w:snapToGrid w:val="0"/>
                                <w:rPr>
                                  <w:sz w:val="24"/>
                                </w:rPr>
                              </w:pPr>
                              <w:r>
                                <w:rPr>
                                  <w:rFonts w:hint="eastAsia"/>
                                  <w:sz w:val="24"/>
                                </w:rPr>
                                <w:t>内</w:t>
                              </w:r>
                            </w:p>
                          </w:txbxContent>
                        </v:textbox>
                      </v:shape>
                      <v:shape id="_x0000_s1026" o:spid="_x0000_s1026" o:spt="202" type="#_x0000_t202" style="position:absolute;left:2987;top:4765;height:480;width:360;" filled="f" stroked="f" coordsize="21600,21600" o:gfxdata="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c95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1E7908F">
                              <w:pPr>
                                <w:snapToGrid w:val="0"/>
                                <w:rPr>
                                  <w:sz w:val="24"/>
                                </w:rPr>
                              </w:pPr>
                              <w:r>
                                <w:rPr>
                                  <w:rFonts w:hint="eastAsia"/>
                                  <w:sz w:val="24"/>
                                </w:rPr>
                                <w:t>容</w:t>
                              </w:r>
                            </w:p>
                          </w:txbxContent>
                        </v:textbox>
                      </v:shape>
                    </v:group>
                  </w:pict>
                </mc:Fallback>
              </mc:AlternateContent>
            </w:r>
          </w:p>
        </w:tc>
        <w:tc>
          <w:tcPr>
            <w:tcW w:w="5805" w:type="dxa"/>
            <w:tcBorders>
              <w:top w:val="single" w:color="auto" w:sz="12" w:space="0"/>
              <w:right w:val="single" w:color="auto" w:sz="12" w:space="0"/>
            </w:tcBorders>
            <w:noWrap w:val="0"/>
            <w:vAlign w:val="center"/>
          </w:tcPr>
          <w:p w14:paraId="394AE9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2026年吉安市中等专业学校教材采购项目</w:t>
            </w:r>
          </w:p>
        </w:tc>
      </w:tr>
      <w:tr w14:paraId="12BB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2835" w:type="dxa"/>
            <w:tcBorders>
              <w:left w:val="single" w:color="auto" w:sz="12" w:space="0"/>
            </w:tcBorders>
            <w:noWrap w:val="0"/>
            <w:vAlign w:val="center"/>
          </w:tcPr>
          <w:p w14:paraId="7F99B3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数量</w:t>
            </w:r>
          </w:p>
        </w:tc>
        <w:tc>
          <w:tcPr>
            <w:tcW w:w="5805" w:type="dxa"/>
            <w:tcBorders>
              <w:right w:val="single" w:color="auto" w:sz="12" w:space="0"/>
            </w:tcBorders>
            <w:noWrap w:val="0"/>
            <w:vAlign w:val="center"/>
          </w:tcPr>
          <w:p w14:paraId="4A4C41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1批</w:t>
            </w:r>
          </w:p>
        </w:tc>
      </w:tr>
      <w:tr w14:paraId="2189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2835" w:type="dxa"/>
            <w:tcBorders>
              <w:left w:val="single" w:color="auto" w:sz="12" w:space="0"/>
            </w:tcBorders>
            <w:noWrap w:val="0"/>
            <w:vAlign w:val="center"/>
          </w:tcPr>
          <w:p w14:paraId="2E8AE3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交货期限</w:t>
            </w:r>
          </w:p>
        </w:tc>
        <w:tc>
          <w:tcPr>
            <w:tcW w:w="5805" w:type="dxa"/>
            <w:tcBorders>
              <w:right w:val="single" w:color="auto" w:sz="12" w:space="0"/>
            </w:tcBorders>
            <w:noWrap w:val="0"/>
            <w:vAlign w:val="center"/>
          </w:tcPr>
          <w:p w14:paraId="170201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签订合同之日起3年，合同一年一签，一年届满，经采购人考核合格后可续签下一年度合同。</w:t>
            </w:r>
          </w:p>
          <w:p w14:paraId="5BBD3B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b w:val="0"/>
                <w:bCs w:val="0"/>
                <w:color w:val="auto"/>
                <w:sz w:val="24"/>
                <w:szCs w:val="24"/>
                <w:highlight w:val="none"/>
                <w:lang w:val="en-US" w:eastAsia="zh-CN"/>
              </w:rPr>
              <w:t>按采购人要求时间供货（春季学期须于开学前7个自然日到货，秋季学期须于开学前15个自然日到货）。</w:t>
            </w:r>
          </w:p>
        </w:tc>
      </w:tr>
      <w:tr w14:paraId="667B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2835" w:type="dxa"/>
            <w:tcBorders>
              <w:left w:val="single" w:color="auto" w:sz="12" w:space="0"/>
            </w:tcBorders>
            <w:noWrap w:val="0"/>
            <w:vAlign w:val="center"/>
          </w:tcPr>
          <w:p w14:paraId="094F83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交货</w:t>
            </w:r>
            <w:r>
              <w:rPr>
                <w:rFonts w:hint="eastAsia" w:ascii="仿宋" w:hAnsi="仿宋" w:eastAsia="仿宋" w:cs="仿宋"/>
                <w:color w:val="auto"/>
                <w:sz w:val="24"/>
                <w:highlight w:val="none"/>
              </w:rPr>
              <w:t>地点</w:t>
            </w:r>
          </w:p>
        </w:tc>
        <w:tc>
          <w:tcPr>
            <w:tcW w:w="5805" w:type="dxa"/>
            <w:tcBorders>
              <w:right w:val="single" w:color="auto" w:sz="12" w:space="0"/>
            </w:tcBorders>
            <w:noWrap w:val="0"/>
            <w:vAlign w:val="center"/>
          </w:tcPr>
          <w:p w14:paraId="68515B9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（1）吉安市中等专业学校新校区内指定地点；</w:t>
            </w:r>
          </w:p>
          <w:p w14:paraId="1CF5978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（2）随书提供标准格式的纸质配送目录清单和电子格式清单以及接收单到采购人指定的地点。</w:t>
            </w:r>
          </w:p>
        </w:tc>
      </w:tr>
      <w:tr w14:paraId="2E02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2835" w:type="dxa"/>
            <w:tcBorders>
              <w:left w:val="single" w:color="auto" w:sz="12" w:space="0"/>
            </w:tcBorders>
            <w:noWrap w:val="0"/>
            <w:vAlign w:val="center"/>
          </w:tcPr>
          <w:p w14:paraId="1E5C18B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c>
          <w:tcPr>
            <w:tcW w:w="5805" w:type="dxa"/>
            <w:tcBorders>
              <w:right w:val="single" w:color="auto" w:sz="12" w:space="0"/>
            </w:tcBorders>
            <w:noWrap w:val="0"/>
            <w:vAlign w:val="center"/>
          </w:tcPr>
          <w:p w14:paraId="4B1C06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w:t>
            </w:r>
          </w:p>
        </w:tc>
      </w:tr>
    </w:tbl>
    <w:p w14:paraId="23F9F8CE">
      <w:pPr>
        <w:rPr>
          <w:rFonts w:hint="eastAsia" w:ascii="仿宋" w:hAnsi="仿宋" w:eastAsia="仿宋" w:cs="仿宋"/>
          <w:color w:val="auto"/>
          <w:highlight w:val="none"/>
          <w:lang w:val="en-US" w:eastAsia="zh-CN"/>
        </w:rPr>
      </w:pPr>
    </w:p>
    <w:p w14:paraId="388DA941">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br w:type="page"/>
      </w:r>
    </w:p>
    <w:p w14:paraId="3C45A7E6">
      <w:pPr>
        <w:pStyle w:val="4"/>
        <w:bidi w:val="0"/>
        <w:jc w:val="center"/>
        <w:rPr>
          <w:rFonts w:hint="eastAsia" w:ascii="仿宋" w:hAnsi="仿宋" w:eastAsia="仿宋" w:cs="仿宋"/>
          <w:color w:val="auto"/>
          <w:sz w:val="28"/>
          <w:szCs w:val="36"/>
          <w:highlight w:val="none"/>
        </w:rPr>
        <w:sectPr>
          <w:pgSz w:w="11906" w:h="16838"/>
          <w:pgMar w:top="1247" w:right="1417" w:bottom="1701" w:left="1417" w:header="851" w:footer="992" w:gutter="0"/>
          <w:pgBorders>
            <w:top w:val="none" w:sz="0" w:space="0"/>
            <w:left w:val="none" w:sz="0" w:space="0"/>
            <w:bottom w:val="none" w:sz="0" w:space="0"/>
            <w:right w:val="none" w:sz="0" w:space="0"/>
          </w:pgBorders>
          <w:pgNumType w:fmt="decimal"/>
          <w:cols w:space="0" w:num="1"/>
          <w:rtlGutter w:val="0"/>
          <w:docGrid w:type="lines" w:linePitch="336" w:charSpace="0"/>
        </w:sectPr>
      </w:pPr>
      <w:bookmarkStart w:id="430" w:name="_Toc494114926"/>
      <w:bookmarkStart w:id="431" w:name="_Toc32208"/>
      <w:bookmarkStart w:id="432" w:name="_Toc26856"/>
      <w:bookmarkStart w:id="433" w:name="_Toc16162"/>
      <w:bookmarkStart w:id="434" w:name="_Toc9052"/>
    </w:p>
    <w:p w14:paraId="654F18B5">
      <w:pPr>
        <w:pStyle w:val="4"/>
        <w:bidi w:val="0"/>
        <w:jc w:val="center"/>
        <w:rPr>
          <w:rFonts w:hint="eastAsia" w:ascii="仿宋" w:hAnsi="仿宋" w:eastAsia="仿宋" w:cs="仿宋"/>
          <w:color w:val="auto"/>
          <w:sz w:val="28"/>
          <w:szCs w:val="36"/>
          <w:highlight w:val="none"/>
        </w:rPr>
      </w:pPr>
      <w:bookmarkStart w:id="435" w:name="_Toc7624"/>
      <w:r>
        <w:rPr>
          <w:rFonts w:hint="eastAsia" w:ascii="仿宋" w:hAnsi="仿宋" w:eastAsia="仿宋" w:cs="仿宋"/>
          <w:color w:val="auto"/>
          <w:sz w:val="28"/>
          <w:szCs w:val="36"/>
          <w:highlight w:val="none"/>
        </w:rPr>
        <w:t>二、采购需求</w:t>
      </w:r>
      <w:bookmarkEnd w:id="430"/>
      <w:bookmarkEnd w:id="431"/>
      <w:bookmarkEnd w:id="432"/>
      <w:bookmarkEnd w:id="433"/>
      <w:bookmarkEnd w:id="434"/>
      <w:bookmarkEnd w:id="435"/>
    </w:p>
    <w:p w14:paraId="17F5C1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highlight w:val="none"/>
          <w:lang w:val="en-US" w:eastAsia="zh-CN"/>
        </w:rPr>
      </w:pPr>
      <w:bookmarkStart w:id="436" w:name="_Toc17785"/>
      <w:r>
        <w:rPr>
          <w:rFonts w:hint="eastAsia" w:ascii="仿宋" w:hAnsi="仿宋" w:eastAsia="仿宋" w:cs="仿宋"/>
          <w:b/>
          <w:bCs/>
          <w:color w:val="auto"/>
          <w:highlight w:val="none"/>
        </w:rPr>
        <w:t>（一）技术需求</w:t>
      </w:r>
      <w:bookmarkEnd w:id="436"/>
    </w:p>
    <w:p w14:paraId="2E277CE9">
      <w:pPr>
        <w:spacing w:line="360" w:lineRule="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采购项目概况</w:t>
      </w:r>
    </w:p>
    <w:p w14:paraId="41AA42B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保障学校教育教学工作正常开展，根据财政局文件要求，学校纸质教材征订需采取公开招投标方式进行采购。所有课程教材需按照《职业院校教材管理办法》《教育部办公厅关于做好中等职业学校公共基础课程教材使用的通知》要求选用和采购。</w:t>
      </w:r>
    </w:p>
    <w:p w14:paraId="681DE695">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1、总体要求</w:t>
      </w:r>
    </w:p>
    <w:p w14:paraId="36CD5B8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（1）因为教材的意识形态属性较强，</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须对教材的重大思想政治内容重点把关，重点审查教材的政治立场、价值导向等。要把好教材政治关、理念关、科学关。如提供的教材有意识形态问题，</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需承担一切责任。</w:t>
      </w:r>
    </w:p>
    <w:p w14:paraId="48C300D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rPr>
        <w:t>（2）</w:t>
      </w:r>
      <w:r>
        <w:rPr>
          <w:rFonts w:hint="eastAsia" w:ascii="仿宋" w:hAnsi="仿宋" w:eastAsia="仿宋" w:cs="仿宋"/>
          <w:color w:val="auto"/>
          <w:sz w:val="24"/>
          <w:szCs w:val="24"/>
          <w:highlight w:val="none"/>
        </w:rPr>
        <w:t>吉安市中等专业学校专业设置情况、吉安市中等专业学校通识教育课程设置情况、吉安市中等专业学校各专业课程设置情况仅供参考，</w:t>
      </w:r>
      <w:r>
        <w:rPr>
          <w:rFonts w:hint="eastAsia" w:ascii="仿宋" w:hAnsi="仿宋" w:eastAsia="仿宋" w:cs="仿宋"/>
          <w:color w:val="auto"/>
          <w:sz w:val="24"/>
          <w:szCs w:val="24"/>
          <w:highlight w:val="none"/>
          <w:lang w:val="en-US" w:eastAsia="zh-CN"/>
        </w:rPr>
        <w:t>中标</w:t>
      </w:r>
      <w:r>
        <w:rPr>
          <w:rFonts w:hint="eastAsia" w:ascii="仿宋" w:hAnsi="仿宋" w:eastAsia="仿宋" w:cs="仿宋"/>
          <w:color w:val="auto"/>
          <w:sz w:val="24"/>
          <w:szCs w:val="24"/>
          <w:highlight w:val="none"/>
        </w:rPr>
        <w:t>人应按采购人实际需求进行教材配送。</w:t>
      </w:r>
    </w:p>
    <w:p w14:paraId="126DD76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）所有纸质教材采购必须是中等职业学校国家规划教材或省级规划教材。</w:t>
      </w:r>
    </w:p>
    <w:p w14:paraId="2BCA8062">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eastAsia="zh-CN"/>
        </w:rPr>
        <w:t>语文、历史、思政三科</w:t>
      </w:r>
      <w:r>
        <w:rPr>
          <w:rFonts w:hint="eastAsia" w:ascii="仿宋" w:hAnsi="仿宋" w:eastAsia="仿宋" w:cs="仿宋"/>
          <w:color w:val="auto"/>
          <w:sz w:val="24"/>
          <w:szCs w:val="24"/>
          <w:highlight w:val="none"/>
          <w:lang w:val="en-US" w:eastAsia="zh-CN"/>
        </w:rPr>
        <w:t>必须提供</w:t>
      </w:r>
      <w:r>
        <w:rPr>
          <w:rFonts w:hint="eastAsia" w:ascii="仿宋" w:hAnsi="仿宋" w:eastAsia="仿宋" w:cs="仿宋"/>
          <w:color w:val="auto"/>
          <w:sz w:val="24"/>
          <w:szCs w:val="24"/>
          <w:highlight w:val="none"/>
          <w:lang w:eastAsia="zh-CN"/>
        </w:rPr>
        <w:t>中等职业学校统编教材。</w:t>
      </w:r>
    </w:p>
    <w:p w14:paraId="0C903BD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）教材质量要求：供应的所有教材应保证印刷质量、包装良好，印刷质量执行《中华人民共和国产品质量法》及新闻出版总署公布的《图书质量管理规定》相关规定，包含不限于：</w:t>
      </w:r>
    </w:p>
    <w:p w14:paraId="3F18A68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GB/T788-1999 图书和杂志开本及其幅面尺寸</w:t>
      </w:r>
    </w:p>
    <w:p w14:paraId="54F2688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CY/T5-1999 平版印刷品质量要求及检验方法；</w:t>
      </w:r>
    </w:p>
    <w:p w14:paraId="039AC90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CY/T27-1999 装订质量要求及检验方法精装；</w:t>
      </w:r>
    </w:p>
    <w:p w14:paraId="1B9E5AE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CY/T28-1999 装订质量要求及检验方法平装；</w:t>
      </w:r>
    </w:p>
    <w:p w14:paraId="3102274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CY/T29-1999 装订质量要求及检验方法。</w:t>
      </w:r>
    </w:p>
    <w:p w14:paraId="5406D06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必须采购渠道正规合法，确保正规出版社出版，不得选用盗版、盗印教材，保证教材质量；要严格按照采购人所确认订单配备教材，不得擅自夹带盗版书、劣质书和非采购人预订书。所供教材必须为国家正式出版物（必须保证 ISBN 号的唯一性），无版权纠纷，无盗版书籍，无印刷和装订方面的问题。如有非法出版及低质量书籍，所带来的一切法律责任及赔偿等均由</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承担，同时该批教材一律不付款，并要求</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承担10万元违约金。</w:t>
      </w:r>
    </w:p>
    <w:p w14:paraId="7E596CFF">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2、服务要求</w:t>
      </w:r>
    </w:p>
    <w:p w14:paraId="47AB1CD8">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shd w:val="clear" w:color="auto" w:fill="FFFFFF"/>
        </w:rPr>
        <w:t>每批教材内应附一份详细纸质发货清单，清点时，如品种、数量与发货清单不符，校方在收货后通知供货商，供货商应按校方要求在半个月内供货。</w:t>
      </w:r>
    </w:p>
    <w:p w14:paraId="2DD0586E">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（2）教材结算时供货商须出具国家税务机关正规发票和已盖章的原始教材清单方能结算，结算按文件折扣价进行。</w:t>
      </w:r>
    </w:p>
    <w:p w14:paraId="4B2ECA3C">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（3）纸质教材到货验收时，若出现缺页、污损、图文不清倒装、倒页和缺附件等质量问题，一律退回。</w:t>
      </w:r>
      <w:r>
        <w:rPr>
          <w:rFonts w:hint="eastAsia" w:ascii="仿宋" w:hAnsi="仿宋" w:eastAsia="仿宋" w:cs="仿宋"/>
          <w:color w:val="auto"/>
          <w:sz w:val="24"/>
          <w:szCs w:val="24"/>
          <w:highlight w:val="none"/>
          <w:lang w:val="en-US" w:eastAsia="zh-CN"/>
        </w:rPr>
        <w:t>中标</w:t>
      </w:r>
      <w:r>
        <w:rPr>
          <w:rFonts w:hint="eastAsia" w:ascii="仿宋" w:hAnsi="仿宋" w:eastAsia="仿宋" w:cs="仿宋"/>
          <w:color w:val="auto"/>
          <w:sz w:val="24"/>
          <w:szCs w:val="24"/>
          <w:highlight w:val="none"/>
          <w:shd w:val="clear" w:color="auto" w:fill="FFFFFF"/>
        </w:rPr>
        <w:t>供货商送交的纸质教材若与订单不符，一律退回，</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shd w:val="clear" w:color="auto" w:fill="FFFFFF"/>
        </w:rPr>
        <w:t>供货商不能以任何理由拒绝由此造成的损失及费用由</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shd w:val="clear" w:color="auto" w:fill="FFFFFF"/>
        </w:rPr>
        <w:t>供货商承担。</w:t>
      </w:r>
    </w:p>
    <w:p w14:paraId="2CDA089A">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（4）</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shd w:val="clear" w:color="auto" w:fill="FFFFFF"/>
        </w:rPr>
        <w:t>人</w:t>
      </w:r>
      <w:r>
        <w:rPr>
          <w:rFonts w:hint="eastAsia" w:ascii="仿宋" w:hAnsi="仿宋" w:eastAsia="仿宋" w:cs="仿宋"/>
          <w:color w:val="auto"/>
          <w:sz w:val="24"/>
          <w:szCs w:val="24"/>
          <w:highlight w:val="none"/>
          <w:shd w:val="clear" w:color="auto" w:fill="FFFFFF"/>
          <w:lang w:val="en-US" w:eastAsia="zh-CN"/>
        </w:rPr>
        <w:t>在新目录出来后15天内</w:t>
      </w:r>
      <w:r>
        <w:rPr>
          <w:rFonts w:hint="eastAsia" w:ascii="仿宋" w:hAnsi="仿宋" w:eastAsia="仿宋" w:cs="仿宋"/>
          <w:color w:val="auto"/>
          <w:sz w:val="24"/>
          <w:szCs w:val="24"/>
          <w:highlight w:val="none"/>
          <w:shd w:val="clear" w:color="auto" w:fill="FFFFFF"/>
        </w:rPr>
        <w:t>，须向采购人提供电子版《全国大中专教学用书汇编订购目录》和其他所需出版社目录，以供查询、征订。</w:t>
      </w:r>
    </w:p>
    <w:p w14:paraId="3EB14FA2">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（5）拟采购的所有教材必须由中标供应商按照采购人</w:t>
      </w:r>
      <w:r>
        <w:rPr>
          <w:rFonts w:hint="eastAsia" w:ascii="仿宋" w:hAnsi="仿宋" w:eastAsia="仿宋" w:cs="仿宋"/>
          <w:color w:val="auto"/>
          <w:sz w:val="24"/>
          <w:szCs w:val="24"/>
          <w:highlight w:val="none"/>
          <w:shd w:val="clear" w:color="auto" w:fill="FFFFFF"/>
          <w:lang w:val="en-US" w:eastAsia="zh-CN"/>
        </w:rPr>
        <w:t>要求</w:t>
      </w:r>
      <w:r>
        <w:rPr>
          <w:rFonts w:hint="eastAsia" w:ascii="仿宋" w:hAnsi="仿宋" w:eastAsia="仿宋" w:cs="仿宋"/>
          <w:color w:val="auto"/>
          <w:sz w:val="24"/>
          <w:szCs w:val="24"/>
          <w:highlight w:val="none"/>
          <w:shd w:val="clear" w:color="auto" w:fill="FFFFFF"/>
        </w:rPr>
        <w:t>规定时间</w:t>
      </w:r>
      <w:r>
        <w:rPr>
          <w:rFonts w:hint="eastAsia" w:ascii="仿宋" w:hAnsi="仿宋" w:eastAsia="仿宋" w:cs="仿宋"/>
          <w:color w:val="auto"/>
          <w:sz w:val="24"/>
          <w:szCs w:val="24"/>
          <w:highlight w:val="none"/>
          <w:shd w:val="clear" w:color="auto" w:fill="FFFFFF"/>
          <w:lang w:val="en-US" w:eastAsia="zh-CN"/>
        </w:rPr>
        <w:t>供货</w:t>
      </w: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eastAsia="zh-CN"/>
        </w:rPr>
        <w:t>中标供应商</w:t>
      </w:r>
      <w:r>
        <w:rPr>
          <w:rFonts w:hint="eastAsia" w:ascii="仿宋" w:hAnsi="仿宋" w:eastAsia="仿宋" w:cs="仿宋"/>
          <w:color w:val="auto"/>
          <w:sz w:val="24"/>
          <w:szCs w:val="24"/>
          <w:highlight w:val="none"/>
          <w:shd w:val="clear" w:color="auto" w:fill="FFFFFF"/>
        </w:rPr>
        <w:t>需安排送货人员负责将教材配送至采购人指定的地点（吉安市中等专业学校</w:t>
      </w:r>
      <w:r>
        <w:rPr>
          <w:rFonts w:hint="eastAsia" w:ascii="仿宋" w:hAnsi="仿宋" w:eastAsia="仿宋" w:cs="仿宋"/>
          <w:color w:val="auto"/>
          <w:sz w:val="24"/>
          <w:szCs w:val="24"/>
          <w:highlight w:val="none"/>
          <w:shd w:val="clear" w:color="auto" w:fill="FFFFFF"/>
          <w:lang w:eastAsia="zh-CN"/>
        </w:rPr>
        <w:t>新校区</w:t>
      </w:r>
      <w:r>
        <w:rPr>
          <w:rFonts w:hint="eastAsia" w:ascii="仿宋" w:hAnsi="仿宋" w:eastAsia="仿宋" w:cs="仿宋"/>
          <w:color w:val="auto"/>
          <w:sz w:val="24"/>
          <w:szCs w:val="24"/>
          <w:highlight w:val="none"/>
          <w:shd w:val="clear" w:color="auto" w:fill="FFFFFF"/>
        </w:rPr>
        <w:t>）按校方要求摆放到位，并在正式上课前及时发放到学生手中，场地清理维修等一切费用由供应商承担。</w:t>
      </w:r>
    </w:p>
    <w:p w14:paraId="51196907">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（6）为了确保教材及时发放，</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shd w:val="clear" w:color="auto" w:fill="FFFFFF"/>
        </w:rPr>
        <w:t xml:space="preserve">人必须安排工作人员上门负责教材发放、清退、结算等工作，能够提供教材发放明细，包含《各学生教材发放明细单》《各班教材发放明细单》《学生个人领书签字确认表》《各专业各年级教材费用表》。 </w:t>
      </w:r>
    </w:p>
    <w:p w14:paraId="71C27232">
      <w:pPr>
        <w:spacing w:line="360" w:lineRule="auto"/>
        <w:ind w:firstLine="480" w:firstLineChars="200"/>
        <w:rPr>
          <w:rFonts w:hint="eastAsia" w:ascii="仿宋" w:hAnsi="仿宋" w:eastAsia="仿宋" w:cs="仿宋"/>
          <w:color w:val="auto"/>
          <w:sz w:val="24"/>
          <w:szCs w:val="24"/>
          <w:highlight w:val="none"/>
          <w:shd w:val="clear" w:color="auto" w:fill="FFFFFF"/>
          <w:lang w:eastAsia="zh-CN"/>
        </w:rPr>
      </w:pPr>
      <w:r>
        <w:rPr>
          <w:rFonts w:hint="eastAsia" w:ascii="仿宋" w:hAnsi="仿宋" w:eastAsia="仿宋" w:cs="仿宋"/>
          <w:color w:val="auto"/>
          <w:sz w:val="24"/>
          <w:szCs w:val="24"/>
          <w:highlight w:val="none"/>
          <w:shd w:val="clear" w:color="auto" w:fill="FFFFFF"/>
          <w:lang w:eastAsia="zh-CN"/>
        </w:rPr>
        <w:t>（7）配套教师用书：中标人须按采购人实际订购学生用书册数的3%，免费向采购人提供配套的纸质教师用书。单品种计算不足1册的，按1册配发。</w:t>
      </w:r>
    </w:p>
    <w:p w14:paraId="13923175">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8</w:t>
      </w:r>
      <w:r>
        <w:rPr>
          <w:rFonts w:hint="eastAsia" w:ascii="仿宋" w:hAnsi="仿宋" w:eastAsia="仿宋" w:cs="仿宋"/>
          <w:color w:val="auto"/>
          <w:sz w:val="24"/>
          <w:szCs w:val="24"/>
          <w:highlight w:val="none"/>
          <w:shd w:val="clear" w:color="auto" w:fill="FFFFFF"/>
        </w:rPr>
        <w:t xml:space="preserve">）送货 </w:t>
      </w:r>
    </w:p>
    <w:p w14:paraId="576F59E5">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 xml:space="preserve">①教材包装要求防潮、防破，运输和打包时要避免造成教材损坏。 </w:t>
      </w:r>
    </w:p>
    <w:p w14:paraId="022E97BB">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②每包教材要有分包清单，教材清单要求字迹清晰，并按流水号从小到大排列，清单表列内必须有：序号、包号、书名、ISBN 号、出版社、数量、单价、码洋、登录号、分类号等字段，清单必须 标明登录号起止号、制单时间、总册数、总码洋、折扣和总实洋按条码号顺序打包。要求包型方正，大小均匀，包内教材与清单顺序一致，以便于验收人员验收。</w:t>
      </w:r>
    </w:p>
    <w:p w14:paraId="38098993">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③及时受理学校相关部门送达的教材采购计划。</w:t>
      </w:r>
    </w:p>
    <w:p w14:paraId="32E1C95C">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④订单确认与回复：收到学校相关部门的教材采购计划，应在3天内确认收到采购计划。</w:t>
      </w:r>
    </w:p>
    <w:p w14:paraId="19D35E1A">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⑤学校专业设置是动态调整的，各专业学生人数也是动态变化的，因此，教材征订过程中出现文化课教材版本变更、专业课教材变更、新增专业产生的专业课程教材、学生人数改变等情况，以实际书目需求清单为准。</w:t>
      </w:r>
    </w:p>
    <w:p w14:paraId="2765A1B1">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⑥对因招生计划变更，教学计划调整等原因造成的教材增减及其它变更，教材供应商须</w:t>
      </w:r>
      <w:r>
        <w:rPr>
          <w:rFonts w:hint="eastAsia" w:ascii="仿宋" w:hAnsi="仿宋" w:eastAsia="仿宋" w:cs="仿宋"/>
          <w:color w:val="auto"/>
          <w:sz w:val="24"/>
          <w:szCs w:val="24"/>
          <w:highlight w:val="none"/>
          <w:shd w:val="clear" w:color="auto" w:fill="FFFFFF"/>
          <w:lang w:val="en-US" w:eastAsia="zh-CN"/>
        </w:rPr>
        <w:t>在5天内回复，并</w:t>
      </w:r>
      <w:r>
        <w:rPr>
          <w:rFonts w:hint="eastAsia" w:ascii="仿宋" w:hAnsi="仿宋" w:eastAsia="仿宋" w:cs="仿宋"/>
          <w:color w:val="auto"/>
          <w:sz w:val="24"/>
          <w:szCs w:val="24"/>
          <w:highlight w:val="none"/>
          <w:shd w:val="clear" w:color="auto" w:fill="FFFFFF"/>
        </w:rPr>
        <w:t>按校方要求增加供货、退货和调剂。</w:t>
      </w:r>
    </w:p>
    <w:p w14:paraId="15644BBC">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9</w:t>
      </w:r>
      <w:r>
        <w:rPr>
          <w:rFonts w:hint="eastAsia" w:ascii="仿宋" w:hAnsi="仿宋" w:eastAsia="仿宋" w:cs="仿宋"/>
          <w:color w:val="auto"/>
          <w:sz w:val="24"/>
          <w:szCs w:val="24"/>
          <w:highlight w:val="none"/>
          <w:shd w:val="clear" w:color="auto" w:fill="FFFFFF"/>
        </w:rPr>
        <w:t xml:space="preserve">）退换教材 </w:t>
      </w:r>
    </w:p>
    <w:p w14:paraId="2F01E2D0">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①对装订错误、缺页、破损、印刷不清、附件缺失等教材由</w:t>
      </w:r>
      <w:r>
        <w:rPr>
          <w:rFonts w:hint="eastAsia" w:ascii="仿宋" w:hAnsi="仿宋" w:eastAsia="仿宋" w:cs="仿宋"/>
          <w:color w:val="auto"/>
          <w:sz w:val="24"/>
          <w:szCs w:val="24"/>
          <w:highlight w:val="none"/>
          <w:shd w:val="clear" w:color="auto" w:fill="FFFFFF"/>
          <w:lang w:eastAsia="zh-CN"/>
        </w:rPr>
        <w:t>中标供应商</w:t>
      </w:r>
      <w:r>
        <w:rPr>
          <w:rFonts w:hint="eastAsia" w:ascii="仿宋" w:hAnsi="仿宋" w:eastAsia="仿宋" w:cs="仿宋"/>
          <w:color w:val="auto"/>
          <w:sz w:val="24"/>
          <w:szCs w:val="24"/>
          <w:highlight w:val="none"/>
          <w:shd w:val="clear" w:color="auto" w:fill="FFFFFF"/>
        </w:rPr>
        <w:t xml:space="preserve">无条件负责更换和补齐。 </w:t>
      </w:r>
    </w:p>
    <w:p w14:paraId="30991BF8">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 xml:space="preserve">②到货教材与订单不符的无条件退货。 </w:t>
      </w:r>
    </w:p>
    <w:p w14:paraId="0128442A">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③对采购人误订的教材</w:t>
      </w:r>
      <w:r>
        <w:rPr>
          <w:rFonts w:hint="eastAsia" w:ascii="仿宋" w:hAnsi="仿宋" w:eastAsia="仿宋" w:cs="仿宋"/>
          <w:color w:val="auto"/>
          <w:sz w:val="24"/>
          <w:szCs w:val="24"/>
          <w:highlight w:val="none"/>
          <w:shd w:val="clear" w:color="auto" w:fill="FFFFFF"/>
          <w:lang w:val="en-US" w:eastAsia="zh-CN"/>
        </w:rPr>
        <w:t>须退货</w:t>
      </w:r>
      <w:r>
        <w:rPr>
          <w:rFonts w:hint="eastAsia" w:ascii="仿宋" w:hAnsi="仿宋" w:eastAsia="仿宋" w:cs="仿宋"/>
          <w:color w:val="auto"/>
          <w:sz w:val="24"/>
          <w:szCs w:val="24"/>
          <w:highlight w:val="none"/>
          <w:shd w:val="clear" w:color="auto" w:fill="FFFFFF"/>
        </w:rPr>
        <w:t>处理。</w:t>
      </w:r>
    </w:p>
    <w:p w14:paraId="126B623D">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④凡</w:t>
      </w:r>
      <w:r>
        <w:rPr>
          <w:rFonts w:hint="eastAsia" w:ascii="仿宋" w:hAnsi="仿宋" w:eastAsia="仿宋" w:cs="仿宋"/>
          <w:color w:val="auto"/>
          <w:sz w:val="24"/>
          <w:szCs w:val="24"/>
          <w:highlight w:val="none"/>
          <w:shd w:val="clear" w:color="auto" w:fill="FFFFFF"/>
          <w:lang w:eastAsia="zh-CN"/>
        </w:rPr>
        <w:t>中标供应商</w:t>
      </w:r>
      <w:r>
        <w:rPr>
          <w:rFonts w:hint="eastAsia" w:ascii="仿宋" w:hAnsi="仿宋" w:eastAsia="仿宋" w:cs="仿宋"/>
          <w:color w:val="auto"/>
          <w:sz w:val="24"/>
          <w:szCs w:val="24"/>
          <w:highlight w:val="none"/>
          <w:shd w:val="clear" w:color="auto" w:fill="FFFFFF"/>
        </w:rPr>
        <w:t>负责退货、换货的教材产生的一切费用，由</w:t>
      </w:r>
      <w:r>
        <w:rPr>
          <w:rFonts w:hint="eastAsia" w:ascii="仿宋" w:hAnsi="仿宋" w:eastAsia="仿宋" w:cs="仿宋"/>
          <w:color w:val="auto"/>
          <w:sz w:val="24"/>
          <w:szCs w:val="24"/>
          <w:highlight w:val="none"/>
          <w:shd w:val="clear" w:color="auto" w:fill="FFFFFF"/>
          <w:lang w:eastAsia="zh-CN"/>
        </w:rPr>
        <w:t>中标供应商</w:t>
      </w:r>
      <w:r>
        <w:rPr>
          <w:rFonts w:hint="eastAsia" w:ascii="仿宋" w:hAnsi="仿宋" w:eastAsia="仿宋" w:cs="仿宋"/>
          <w:color w:val="auto"/>
          <w:sz w:val="24"/>
          <w:szCs w:val="24"/>
          <w:highlight w:val="none"/>
          <w:shd w:val="clear" w:color="auto" w:fill="FFFFFF"/>
        </w:rPr>
        <w:t xml:space="preserve">负责。 </w:t>
      </w:r>
    </w:p>
    <w:p w14:paraId="6E88BABD">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⑤</w:t>
      </w:r>
      <w:r>
        <w:rPr>
          <w:rFonts w:hint="eastAsia" w:ascii="仿宋" w:hAnsi="仿宋" w:eastAsia="仿宋" w:cs="仿宋"/>
          <w:color w:val="auto"/>
          <w:sz w:val="24"/>
          <w:szCs w:val="24"/>
          <w:highlight w:val="none"/>
          <w:shd w:val="clear" w:color="auto" w:fill="FFFFFF"/>
          <w:lang w:val="en-US" w:eastAsia="zh-CN"/>
        </w:rPr>
        <w:t>更</w:t>
      </w:r>
      <w:r>
        <w:rPr>
          <w:rFonts w:hint="eastAsia" w:ascii="仿宋" w:hAnsi="仿宋" w:eastAsia="仿宋" w:cs="仿宋"/>
          <w:color w:val="auto"/>
          <w:sz w:val="24"/>
          <w:szCs w:val="24"/>
          <w:highlight w:val="none"/>
          <w:shd w:val="clear" w:color="auto" w:fill="FFFFFF"/>
        </w:rPr>
        <w:t xml:space="preserve">换图书应在7日内完成。 </w:t>
      </w:r>
    </w:p>
    <w:p w14:paraId="332522FB">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10</w:t>
      </w:r>
      <w:r>
        <w:rPr>
          <w:rFonts w:hint="eastAsia" w:ascii="仿宋" w:hAnsi="仿宋" w:eastAsia="仿宋" w:cs="仿宋"/>
          <w:color w:val="auto"/>
          <w:sz w:val="24"/>
          <w:szCs w:val="24"/>
          <w:highlight w:val="none"/>
          <w:shd w:val="clear" w:color="auto" w:fill="FFFFFF"/>
        </w:rPr>
        <w:t>）对采购人委托采购但因不再出版或其他原因确实无法订购的教材，在接到订单后一个工作日内必须</w:t>
      </w:r>
      <w:r>
        <w:rPr>
          <w:rFonts w:hint="eastAsia" w:ascii="仿宋" w:hAnsi="仿宋" w:eastAsia="仿宋" w:cs="仿宋"/>
          <w:color w:val="auto"/>
          <w:sz w:val="24"/>
          <w:szCs w:val="24"/>
          <w:highlight w:val="none"/>
          <w:shd w:val="clear" w:color="auto" w:fill="FFFFFF"/>
          <w:lang w:val="en-US" w:eastAsia="zh-CN"/>
        </w:rPr>
        <w:t>反馈</w:t>
      </w:r>
      <w:r>
        <w:rPr>
          <w:rFonts w:hint="eastAsia" w:ascii="仿宋" w:hAnsi="仿宋" w:eastAsia="仿宋" w:cs="仿宋"/>
          <w:color w:val="auto"/>
          <w:sz w:val="24"/>
          <w:szCs w:val="24"/>
          <w:highlight w:val="none"/>
          <w:shd w:val="clear" w:color="auto" w:fill="FFFFFF"/>
        </w:rPr>
        <w:t>采购人，以便及时调换版本。</w:t>
      </w:r>
    </w:p>
    <w:p w14:paraId="77045B33">
      <w:pPr>
        <w:spacing w:line="360" w:lineRule="auto"/>
        <w:ind w:firstLine="480" w:firstLineChars="200"/>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lang w:val="en-US" w:eastAsia="zh-CN"/>
        </w:rPr>
        <w:t>11</w:t>
      </w:r>
      <w:r>
        <w:rPr>
          <w:rFonts w:hint="eastAsia" w:ascii="仿宋" w:hAnsi="仿宋" w:eastAsia="仿宋" w:cs="仿宋"/>
          <w:color w:val="auto"/>
          <w:sz w:val="24"/>
          <w:szCs w:val="24"/>
          <w:highlight w:val="none"/>
          <w:shd w:val="clear" w:color="auto" w:fill="FFFFFF"/>
        </w:rPr>
        <w:t>)根据学校发展和教师自身的提高需求，提供教材出版服务。</w:t>
      </w:r>
    </w:p>
    <w:p w14:paraId="5CEC35DD">
      <w:pPr>
        <w:pStyle w:val="34"/>
        <w:keepNext w:val="0"/>
        <w:keepLines w:val="0"/>
        <w:pageBreakBefore w:val="0"/>
        <w:widowControl w:val="0"/>
        <w:kinsoku/>
        <w:wordWrap/>
        <w:overflowPunct/>
        <w:topLinePunct w:val="0"/>
        <w:autoSpaceDE/>
        <w:autoSpaceDN/>
        <w:bidi w:val="0"/>
        <w:adjustRightInd/>
        <w:snapToGrid/>
        <w:spacing w:line="360" w:lineRule="auto"/>
        <w:ind w:firstLine="522" w:firstLineChars="200"/>
        <w:textAlignment w:val="auto"/>
        <w:rPr>
          <w:rFonts w:hint="eastAsia"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color w:val="auto"/>
          <w:sz w:val="24"/>
          <w:szCs w:val="24"/>
          <w:highlight w:val="none"/>
        </w:rPr>
        <w:t>注：以上技术条款为最低指标，供应商必须全部响应(满足或优于技术要求)。</w:t>
      </w:r>
      <w:r>
        <w:rPr>
          <w:rFonts w:hint="eastAsia" w:ascii="仿宋" w:hAnsi="仿宋" w:eastAsia="仿宋" w:cs="仿宋"/>
          <w:b w:val="0"/>
          <w:bCs/>
          <w:color w:val="auto"/>
          <w:spacing w:val="-6"/>
          <w:highlight w:val="none"/>
          <w:lang w:val="en-US" w:eastAsia="zh-CN"/>
        </w:rPr>
        <w:t xml:space="preserve"> </w:t>
      </w:r>
    </w:p>
    <w:p w14:paraId="1BCAE75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snapToGrid w:val="0"/>
          <w:color w:val="auto"/>
          <w:kern w:val="0"/>
          <w:sz w:val="24"/>
          <w:szCs w:val="24"/>
          <w:highlight w:val="none"/>
          <w:lang w:val="en-US" w:eastAsia="zh-CN"/>
        </w:rPr>
        <w:t>3、年度考核指标体系与评分标准</w:t>
      </w:r>
    </w:p>
    <w:p w14:paraId="0AA5EC2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snapToGrid w:val="0"/>
          <w:color w:val="auto"/>
          <w:kern w:val="0"/>
          <w:sz w:val="24"/>
          <w:szCs w:val="24"/>
          <w:highlight w:val="none"/>
          <w:lang w:val="en-US" w:eastAsia="zh-CN"/>
        </w:rPr>
        <w:t xml:space="preserve">1.考核由采购单位组织人员成立考核小组，负责对供货单位进行监督、检查、记录和考核评分，并通报考核结果。 </w:t>
      </w:r>
    </w:p>
    <w:p w14:paraId="2D6C87F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snapToGrid w:val="0"/>
          <w:color w:val="auto"/>
          <w:kern w:val="0"/>
          <w:sz w:val="24"/>
          <w:szCs w:val="24"/>
          <w:highlight w:val="none"/>
          <w:lang w:val="en-US" w:eastAsia="zh-CN"/>
        </w:rPr>
        <w:t>2.按照年度综合考核，实行百分制扣分记录。</w:t>
      </w:r>
    </w:p>
    <w:p w14:paraId="4B79B7B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snapToGrid w:val="0"/>
          <w:color w:val="auto"/>
          <w:kern w:val="0"/>
          <w:sz w:val="24"/>
          <w:szCs w:val="24"/>
          <w:highlight w:val="none"/>
          <w:lang w:val="en-US" w:eastAsia="zh-CN"/>
        </w:rPr>
        <w:t>3.经采购人发现中标供应商存在考核内容中的行为且拒不整改的或考核得分低于90分(不含90分)的或单项得分为0分的或得分为负数，扣减货款30%，同时取消其中标资格并终止采购合同，采购人将重新组织招标活动。</w:t>
      </w:r>
    </w:p>
    <w:p w14:paraId="5CA1A468">
      <w:pPr>
        <w:pStyle w:val="2"/>
        <w:rPr>
          <w:rFonts w:hint="default" w:ascii="仿宋" w:hAnsi="仿宋" w:eastAsia="仿宋" w:cs="仿宋"/>
          <w:b/>
          <w:bCs/>
          <w:snapToGrid w:val="0"/>
          <w:color w:val="auto"/>
          <w:kern w:val="0"/>
          <w:sz w:val="24"/>
          <w:szCs w:val="24"/>
          <w:highlight w:val="none"/>
          <w:lang w:val="en-US" w:eastAsia="zh-CN"/>
        </w:rPr>
      </w:pPr>
      <w:r>
        <w:rPr>
          <w:rFonts w:hint="eastAsia" w:ascii="仿宋" w:hAnsi="仿宋" w:eastAsia="仿宋" w:cs="仿宋"/>
          <w:b/>
          <w:bCs/>
          <w:snapToGrid w:val="0"/>
          <w:color w:val="auto"/>
          <w:kern w:val="0"/>
          <w:sz w:val="24"/>
          <w:szCs w:val="24"/>
          <w:highlight w:val="none"/>
          <w:lang w:val="en-US" w:eastAsia="zh-CN"/>
        </w:rPr>
        <w:t>4.中标供应商承诺所供教材100%为正版。若发现任何形式的盗版、侵权或非法出版物，采购人有权单方面解除本合同，并扣除全部履约保证金。中标供应商须在3日内免费足量更换正版书籍，并按该批次涉盗版书籍总码洋（或实际结算总价）的3倍支付违约金。盗版书籍由采购人移交文化执法等行政主管部门处理。由此产生的一切法律后果、行政处罚及对采购人造成的名誉、经济损失，均由中标供应商全额承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82"/>
        <w:gridCol w:w="735"/>
        <w:gridCol w:w="5905"/>
      </w:tblGrid>
      <w:tr w14:paraId="493F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tcBorders>
              <w:bottom w:val="single" w:color="auto" w:sz="4" w:space="0"/>
            </w:tcBorders>
            <w:tcMar>
              <w:left w:w="108" w:type="dxa"/>
              <w:right w:w="108" w:type="dxa"/>
            </w:tcMar>
            <w:vAlign w:val="center"/>
          </w:tcPr>
          <w:p w14:paraId="25523DE9">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考核项目</w:t>
            </w:r>
          </w:p>
        </w:tc>
        <w:tc>
          <w:tcPr>
            <w:tcW w:w="431" w:type="pct"/>
            <w:tcBorders>
              <w:bottom w:val="single" w:color="auto" w:sz="4" w:space="0"/>
            </w:tcBorders>
            <w:tcMar>
              <w:left w:w="108" w:type="dxa"/>
              <w:right w:w="108" w:type="dxa"/>
            </w:tcMar>
            <w:vAlign w:val="center"/>
          </w:tcPr>
          <w:p w14:paraId="61485A84">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c>
          <w:tcPr>
            <w:tcW w:w="3463" w:type="pct"/>
            <w:tcBorders>
              <w:bottom w:val="single" w:color="auto" w:sz="4" w:space="0"/>
            </w:tcBorders>
            <w:tcMar>
              <w:left w:w="108" w:type="dxa"/>
              <w:right w:w="108" w:type="dxa"/>
            </w:tcMar>
            <w:vAlign w:val="center"/>
          </w:tcPr>
          <w:p w14:paraId="5A0E1D60">
            <w:pPr>
              <w:spacing w:line="360" w:lineRule="auto"/>
              <w:jc w:val="center"/>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考核内容与评分标准</w:t>
            </w:r>
          </w:p>
        </w:tc>
      </w:tr>
      <w:tr w14:paraId="079D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9DF628C">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1.供货准确率</w:t>
            </w:r>
          </w:p>
        </w:tc>
        <w:tc>
          <w:tcPr>
            <w:tcW w:w="431"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FE5446B">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分</w:t>
            </w:r>
          </w:p>
        </w:tc>
        <w:tc>
          <w:tcPr>
            <w:tcW w:w="3463"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D36EF90">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品种准确（10分）：每发错1个品种（书名、版次不符），扣2分，扣完为止。</w:t>
            </w:r>
          </w:p>
        </w:tc>
      </w:tr>
      <w:tr w14:paraId="379D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E124914">
            <w:pPr>
              <w:spacing w:line="360" w:lineRule="auto"/>
              <w:jc w:val="center"/>
              <w:rPr>
                <w:rFonts w:hint="eastAsia" w:ascii="仿宋" w:hAnsi="仿宋" w:eastAsia="仿宋" w:cs="仿宋"/>
                <w:color w:val="auto"/>
                <w:sz w:val="24"/>
                <w:szCs w:val="24"/>
                <w:highlight w:val="none"/>
              </w:rPr>
            </w:pPr>
          </w:p>
        </w:tc>
        <w:tc>
          <w:tcPr>
            <w:tcW w:w="431"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B3C9214">
            <w:pPr>
              <w:spacing w:line="360" w:lineRule="auto"/>
              <w:jc w:val="center"/>
              <w:rPr>
                <w:rFonts w:hint="eastAsia" w:ascii="仿宋" w:hAnsi="仿宋" w:eastAsia="仿宋" w:cs="仿宋"/>
                <w:color w:val="auto"/>
                <w:sz w:val="24"/>
                <w:szCs w:val="24"/>
                <w:highlight w:val="none"/>
              </w:rPr>
            </w:pPr>
          </w:p>
        </w:tc>
        <w:tc>
          <w:tcPr>
            <w:tcW w:w="3463"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18FAE6">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数量准确（10分）：每发生1个品种数量偏差（多/少）超过订单数量的±2%，扣2分，扣完为止。</w:t>
            </w:r>
          </w:p>
        </w:tc>
      </w:tr>
      <w:tr w14:paraId="59F9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97D8024">
            <w:pPr>
              <w:spacing w:line="360" w:lineRule="auto"/>
              <w:jc w:val="center"/>
              <w:rPr>
                <w:rFonts w:hint="eastAsia" w:ascii="仿宋" w:hAnsi="仿宋" w:eastAsia="仿宋" w:cs="仿宋"/>
                <w:color w:val="auto"/>
                <w:sz w:val="24"/>
                <w:szCs w:val="24"/>
                <w:highlight w:val="none"/>
              </w:rPr>
            </w:pPr>
          </w:p>
        </w:tc>
        <w:tc>
          <w:tcPr>
            <w:tcW w:w="431"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8957B06">
            <w:pPr>
              <w:spacing w:line="360" w:lineRule="auto"/>
              <w:jc w:val="center"/>
              <w:rPr>
                <w:rFonts w:hint="eastAsia" w:ascii="仿宋" w:hAnsi="仿宋" w:eastAsia="仿宋" w:cs="仿宋"/>
                <w:color w:val="auto"/>
                <w:sz w:val="24"/>
                <w:szCs w:val="24"/>
                <w:highlight w:val="none"/>
              </w:rPr>
            </w:pPr>
          </w:p>
        </w:tc>
        <w:tc>
          <w:tcPr>
            <w:tcW w:w="3463"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E7A2EC1">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配套资源（</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分）：教材配套的课件、二维码等资源提供不全，每次扣</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w:t>
            </w:r>
          </w:p>
        </w:tc>
      </w:tr>
      <w:tr w14:paraId="5A68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E71946A">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2.供货及时率</w:t>
            </w:r>
          </w:p>
        </w:tc>
        <w:tc>
          <w:tcPr>
            <w:tcW w:w="431"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12C4C69">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30</w:t>
            </w:r>
            <w:r>
              <w:rPr>
                <w:rFonts w:hint="eastAsia" w:ascii="仿宋" w:hAnsi="仿宋" w:eastAsia="仿宋" w:cs="仿宋"/>
                <w:color w:val="auto"/>
                <w:sz w:val="24"/>
                <w:szCs w:val="24"/>
                <w:highlight w:val="none"/>
              </w:rPr>
              <w:t>分</w:t>
            </w:r>
          </w:p>
        </w:tc>
        <w:tc>
          <w:tcPr>
            <w:tcW w:w="3463"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1C2D20C">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春秋两季主渠道（</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分）：在约定到货期内，每延迟1天扣2分；影响正常教学（开学后到书），每次扣10分，此项可扣为负分。</w:t>
            </w:r>
          </w:p>
        </w:tc>
      </w:tr>
      <w:tr w14:paraId="6B1C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26ACC99">
            <w:pPr>
              <w:spacing w:line="360" w:lineRule="auto"/>
              <w:jc w:val="center"/>
              <w:rPr>
                <w:rFonts w:hint="eastAsia" w:ascii="仿宋" w:hAnsi="仿宋" w:eastAsia="仿宋" w:cs="仿宋"/>
                <w:color w:val="auto"/>
                <w:sz w:val="24"/>
                <w:szCs w:val="24"/>
                <w:highlight w:val="none"/>
              </w:rPr>
            </w:pPr>
          </w:p>
        </w:tc>
        <w:tc>
          <w:tcPr>
            <w:tcW w:w="431"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91F82BB">
            <w:pPr>
              <w:spacing w:line="360" w:lineRule="auto"/>
              <w:jc w:val="center"/>
              <w:rPr>
                <w:rFonts w:hint="eastAsia" w:ascii="仿宋" w:hAnsi="仿宋" w:eastAsia="仿宋" w:cs="仿宋"/>
                <w:color w:val="auto"/>
                <w:sz w:val="24"/>
                <w:szCs w:val="24"/>
                <w:highlight w:val="none"/>
              </w:rPr>
            </w:pPr>
          </w:p>
        </w:tc>
        <w:tc>
          <w:tcPr>
            <w:tcW w:w="3463" w:type="pct"/>
            <w:tcBorders>
              <w:top w:val="single" w:color="auto" w:sz="4" w:space="0"/>
              <w:left w:val="single" w:color="auto" w:sz="4" w:space="0"/>
              <w:bottom w:val="single" w:color="auto" w:sz="4" w:space="0"/>
            </w:tcBorders>
            <w:tcMar>
              <w:left w:w="108" w:type="dxa"/>
              <w:right w:w="108" w:type="dxa"/>
            </w:tcMar>
            <w:vAlign w:val="center"/>
          </w:tcPr>
          <w:p w14:paraId="0E7A5223">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零星补订与追加（</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分）：接到补订单后，未在约定时间内（通常7-15个工作日）送达，每次扣2分。</w:t>
            </w:r>
          </w:p>
        </w:tc>
      </w:tr>
      <w:tr w14:paraId="695B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restart"/>
            <w:tcBorders>
              <w:top w:val="single" w:color="auto" w:sz="4" w:space="0"/>
              <w:bottom w:val="single" w:color="auto" w:sz="4" w:space="0"/>
              <w:right w:val="single" w:color="auto" w:sz="4" w:space="0"/>
            </w:tcBorders>
            <w:tcMar>
              <w:left w:w="108" w:type="dxa"/>
              <w:right w:w="108" w:type="dxa"/>
            </w:tcMar>
            <w:vAlign w:val="center"/>
          </w:tcPr>
          <w:p w14:paraId="1FCE1BC0">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3.教材质量</w:t>
            </w:r>
          </w:p>
        </w:tc>
        <w:tc>
          <w:tcPr>
            <w:tcW w:w="431"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FA3068C">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分</w:t>
            </w:r>
          </w:p>
        </w:tc>
        <w:tc>
          <w:tcPr>
            <w:tcW w:w="3463" w:type="pct"/>
            <w:tcBorders>
              <w:top w:val="single" w:color="auto" w:sz="4" w:space="0"/>
              <w:left w:val="single" w:color="auto" w:sz="4" w:space="0"/>
              <w:bottom w:val="single" w:color="auto" w:sz="4" w:space="0"/>
            </w:tcBorders>
            <w:tcMar>
              <w:left w:w="108" w:type="dxa"/>
              <w:right w:w="108" w:type="dxa"/>
            </w:tcMar>
            <w:vAlign w:val="center"/>
          </w:tcPr>
          <w:p w14:paraId="6A362549">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印装质量（10分）：出现倒装、缺页、白页、污损等质量问题，经核实为供应商责任的，每次扣2分。</w:t>
            </w:r>
          </w:p>
        </w:tc>
      </w:tr>
      <w:tr w14:paraId="77E0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continue"/>
            <w:tcBorders>
              <w:top w:val="single" w:color="auto" w:sz="4" w:space="0"/>
              <w:bottom w:val="single" w:color="auto" w:sz="4" w:space="0"/>
              <w:right w:val="single" w:color="auto" w:sz="4" w:space="0"/>
            </w:tcBorders>
            <w:tcMar>
              <w:left w:w="108" w:type="dxa"/>
              <w:right w:w="108" w:type="dxa"/>
            </w:tcMar>
            <w:vAlign w:val="center"/>
          </w:tcPr>
          <w:p w14:paraId="2D9068D9">
            <w:pPr>
              <w:spacing w:line="360" w:lineRule="auto"/>
              <w:jc w:val="center"/>
              <w:rPr>
                <w:rFonts w:hint="eastAsia" w:ascii="仿宋" w:hAnsi="仿宋" w:eastAsia="仿宋" w:cs="仿宋"/>
                <w:color w:val="auto"/>
                <w:sz w:val="24"/>
                <w:szCs w:val="24"/>
                <w:highlight w:val="none"/>
              </w:rPr>
            </w:pPr>
          </w:p>
        </w:tc>
        <w:tc>
          <w:tcPr>
            <w:tcW w:w="431"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BC4FFE8">
            <w:pPr>
              <w:spacing w:line="360" w:lineRule="auto"/>
              <w:jc w:val="center"/>
              <w:rPr>
                <w:rFonts w:hint="eastAsia" w:ascii="仿宋" w:hAnsi="仿宋" w:eastAsia="仿宋" w:cs="仿宋"/>
                <w:color w:val="auto"/>
                <w:sz w:val="24"/>
                <w:szCs w:val="24"/>
                <w:highlight w:val="none"/>
              </w:rPr>
            </w:pPr>
          </w:p>
        </w:tc>
        <w:tc>
          <w:tcPr>
            <w:tcW w:w="3463" w:type="pct"/>
            <w:tcBorders>
              <w:top w:val="single" w:color="auto" w:sz="4" w:space="0"/>
              <w:left w:val="single" w:color="auto" w:sz="4" w:space="0"/>
              <w:bottom w:val="single" w:color="auto" w:sz="4" w:space="0"/>
            </w:tcBorders>
            <w:tcMar>
              <w:left w:w="108" w:type="dxa"/>
              <w:right w:w="108" w:type="dxa"/>
            </w:tcMar>
            <w:vAlign w:val="center"/>
          </w:tcPr>
          <w:p w14:paraId="0EB62DAD">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正版保障（</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分）：提供盗版或非法出版物，此项得0分，并</w:t>
            </w:r>
            <w:r>
              <w:rPr>
                <w:rFonts w:hint="eastAsia" w:ascii="仿宋" w:hAnsi="仿宋" w:eastAsia="仿宋" w:cs="仿宋"/>
                <w:color w:val="auto"/>
                <w:sz w:val="24"/>
                <w:szCs w:val="24"/>
                <w:highlight w:val="none"/>
                <w:lang w:val="en-US" w:eastAsia="zh-CN"/>
              </w:rPr>
              <w:t>终止采购合同</w:t>
            </w:r>
            <w:r>
              <w:rPr>
                <w:rFonts w:hint="eastAsia" w:ascii="仿宋" w:hAnsi="仿宋" w:eastAsia="仿宋" w:cs="仿宋"/>
                <w:color w:val="auto"/>
                <w:sz w:val="24"/>
                <w:szCs w:val="24"/>
                <w:highlight w:val="none"/>
              </w:rPr>
              <w:t>。</w:t>
            </w:r>
          </w:p>
        </w:tc>
      </w:tr>
      <w:tr w14:paraId="4A1A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restart"/>
            <w:tcBorders>
              <w:top w:val="single" w:color="auto" w:sz="4" w:space="0"/>
              <w:bottom w:val="single" w:color="auto" w:sz="4" w:space="0"/>
              <w:right w:val="single" w:color="auto" w:sz="4" w:space="0"/>
            </w:tcBorders>
            <w:tcMar>
              <w:left w:w="108" w:type="dxa"/>
              <w:right w:w="108" w:type="dxa"/>
            </w:tcMar>
            <w:vAlign w:val="center"/>
          </w:tcPr>
          <w:p w14:paraId="6CB1A8CF">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4.售后服务</w:t>
            </w:r>
          </w:p>
        </w:tc>
        <w:tc>
          <w:tcPr>
            <w:tcW w:w="431" w:type="pct"/>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BA25A1D">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分</w:t>
            </w:r>
          </w:p>
        </w:tc>
        <w:tc>
          <w:tcPr>
            <w:tcW w:w="3463" w:type="pct"/>
            <w:tcBorders>
              <w:top w:val="single" w:color="auto" w:sz="4" w:space="0"/>
              <w:left w:val="single" w:color="auto" w:sz="4" w:space="0"/>
              <w:bottom w:val="single" w:color="auto" w:sz="4" w:space="0"/>
            </w:tcBorders>
            <w:tcMar>
              <w:left w:w="108" w:type="dxa"/>
              <w:right w:w="108" w:type="dxa"/>
            </w:tcMar>
            <w:vAlign w:val="center"/>
          </w:tcPr>
          <w:p w14:paraId="70EC6E1C">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退换货处理（10分）：对确需退换货（质量问题、调剂等）的教材，响应不及时或拒绝合规退换，每次扣</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w:t>
            </w:r>
          </w:p>
        </w:tc>
      </w:tr>
      <w:tr w14:paraId="73E5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104" w:type="pct"/>
            <w:vMerge w:val="continue"/>
            <w:tcBorders>
              <w:top w:val="single" w:color="auto" w:sz="4" w:space="0"/>
              <w:bottom w:val="single" w:color="auto" w:sz="4" w:space="0"/>
              <w:right w:val="single" w:color="auto" w:sz="4" w:space="0"/>
            </w:tcBorders>
            <w:tcMar>
              <w:left w:w="108" w:type="dxa"/>
              <w:right w:w="108" w:type="dxa"/>
            </w:tcMar>
            <w:vAlign w:val="center"/>
          </w:tcPr>
          <w:p w14:paraId="0DF0B6CB">
            <w:pPr>
              <w:spacing w:line="360" w:lineRule="auto"/>
              <w:jc w:val="center"/>
              <w:rPr>
                <w:rFonts w:hint="eastAsia" w:ascii="仿宋" w:hAnsi="仿宋" w:eastAsia="仿宋" w:cs="仿宋"/>
                <w:color w:val="auto"/>
                <w:sz w:val="24"/>
                <w:szCs w:val="24"/>
                <w:highlight w:val="none"/>
              </w:rPr>
            </w:pPr>
          </w:p>
        </w:tc>
        <w:tc>
          <w:tcPr>
            <w:tcW w:w="431" w:type="pct"/>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1C34D06">
            <w:pPr>
              <w:spacing w:line="360" w:lineRule="auto"/>
              <w:jc w:val="center"/>
              <w:rPr>
                <w:rFonts w:hint="eastAsia" w:ascii="仿宋" w:hAnsi="仿宋" w:eastAsia="仿宋" w:cs="仿宋"/>
                <w:color w:val="auto"/>
                <w:sz w:val="24"/>
                <w:szCs w:val="24"/>
                <w:highlight w:val="none"/>
              </w:rPr>
            </w:pPr>
          </w:p>
        </w:tc>
        <w:tc>
          <w:tcPr>
            <w:tcW w:w="3463" w:type="pct"/>
            <w:tcBorders>
              <w:top w:val="single" w:color="auto" w:sz="4" w:space="0"/>
              <w:left w:val="single" w:color="auto" w:sz="4" w:space="0"/>
            </w:tcBorders>
            <w:tcMar>
              <w:left w:w="108" w:type="dxa"/>
              <w:right w:w="108" w:type="dxa"/>
            </w:tcMar>
            <w:vAlign w:val="center"/>
          </w:tcPr>
          <w:p w14:paraId="1BBB9845">
            <w:pPr>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沟通与报表（</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分）：未按要求提供库存报表、到货明细、对账单据等，或沟通响应迟缓，每次扣</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分。</w:t>
            </w:r>
          </w:p>
        </w:tc>
      </w:tr>
    </w:tbl>
    <w:p w14:paraId="48B4CE63">
      <w:pPr>
        <w:pStyle w:val="15"/>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color w:val="auto"/>
          <w:highlight w:val="none"/>
          <w:lang w:val="en-US" w:eastAsia="zh-CN"/>
        </w:rPr>
      </w:pPr>
    </w:p>
    <w:p w14:paraId="457D5EF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lang w:val="en-US" w:eastAsia="zh-CN"/>
        </w:rPr>
        <w:t>二</w:t>
      </w:r>
      <w:r>
        <w:rPr>
          <w:rFonts w:hint="eastAsia" w:ascii="仿宋" w:hAnsi="仿宋" w:eastAsia="仿宋" w:cs="仿宋"/>
          <w:b/>
          <w:bCs/>
          <w:color w:val="auto"/>
          <w:highlight w:val="none"/>
          <w:lang w:eastAsia="zh-CN"/>
        </w:rPr>
        <w:t>）</w:t>
      </w:r>
      <w:r>
        <w:rPr>
          <w:rFonts w:hint="eastAsia" w:ascii="仿宋" w:hAnsi="仿宋" w:eastAsia="仿宋" w:cs="仿宋"/>
          <w:b/>
          <w:bCs/>
          <w:color w:val="auto"/>
          <w:highlight w:val="none"/>
        </w:rPr>
        <w:t>商务条件</w:t>
      </w:r>
    </w:p>
    <w:p w14:paraId="163EE4F0">
      <w:pPr>
        <w:spacing w:line="360" w:lineRule="auto"/>
        <w:ind w:firstLine="480" w:firstLineChars="200"/>
        <w:rPr>
          <w:rFonts w:hint="eastAsia" w:ascii="仿宋" w:hAnsi="仿宋" w:eastAsia="仿宋" w:cs="仿宋"/>
          <w:color w:val="auto"/>
          <w:sz w:val="24"/>
          <w:szCs w:val="24"/>
          <w:highlight w:val="none"/>
        </w:rPr>
      </w:pPr>
      <w:bookmarkStart w:id="437" w:name="_Toc23581"/>
      <w:bookmarkStart w:id="438" w:name="_Toc20394"/>
      <w:r>
        <w:rPr>
          <w:rFonts w:hint="eastAsia" w:ascii="仿宋" w:hAnsi="仿宋" w:eastAsia="仿宋" w:cs="仿宋"/>
          <w:color w:val="auto"/>
          <w:sz w:val="24"/>
          <w:szCs w:val="24"/>
          <w:highlight w:val="none"/>
        </w:rPr>
        <w:t>1、技术培训服务要求：</w:t>
      </w:r>
    </w:p>
    <w:p w14:paraId="7934331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人对采购的书籍教材进行分类、编目、分发整理的过程中，</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人必须同时为采购人配备1名书籍服务人员</w:t>
      </w:r>
    </w:p>
    <w:p w14:paraId="4076D6A6">
      <w:pPr>
        <w:pStyle w:val="12"/>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交货</w:t>
      </w:r>
      <w:r>
        <w:rPr>
          <w:rFonts w:hint="eastAsia" w:ascii="仿宋" w:hAnsi="仿宋" w:eastAsia="仿宋" w:cs="仿宋"/>
          <w:color w:val="auto"/>
          <w:sz w:val="24"/>
          <w:szCs w:val="24"/>
          <w:highlight w:val="none"/>
        </w:rPr>
        <w:t>期限：</w:t>
      </w:r>
      <w:r>
        <w:rPr>
          <w:rFonts w:hint="eastAsia" w:ascii="仿宋" w:hAnsi="仿宋" w:eastAsia="仿宋" w:cs="仿宋"/>
          <w:b w:val="0"/>
          <w:bCs w:val="0"/>
          <w:color w:val="auto"/>
          <w:sz w:val="24"/>
          <w:szCs w:val="24"/>
          <w:highlight w:val="none"/>
          <w:lang w:val="en-US" w:eastAsia="zh-CN"/>
        </w:rPr>
        <w:t>签订合同之日起3年，合同一年一签，一年届满，经采购人考核合格后可续签下一年度合同。</w:t>
      </w:r>
    </w:p>
    <w:p w14:paraId="11018C2F">
      <w:pPr>
        <w:pStyle w:val="12"/>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按采购人要求时间供货（春季学期须于开学前7个自然日到货，秋季学期须于开学前15个自然日到货）。</w:t>
      </w:r>
    </w:p>
    <w:p w14:paraId="71E0AB17">
      <w:pPr>
        <w:spacing w:line="360" w:lineRule="auto"/>
        <w:ind w:firstLine="480" w:firstLineChars="200"/>
        <w:rPr>
          <w:rFonts w:hint="eastAsia" w:ascii="仿宋" w:hAnsi="仿宋" w:eastAsia="仿宋" w:cs="仿宋"/>
          <w:strike w:val="0"/>
          <w:dstrike w:val="0"/>
          <w:color w:val="auto"/>
          <w:sz w:val="24"/>
          <w:szCs w:val="24"/>
          <w:highlight w:val="none"/>
        </w:rPr>
      </w:pPr>
      <w:r>
        <w:rPr>
          <w:rFonts w:hint="eastAsia" w:ascii="仿宋" w:hAnsi="仿宋" w:eastAsia="仿宋" w:cs="仿宋"/>
          <w:strike w:val="0"/>
          <w:dstrike w:val="0"/>
          <w:color w:val="auto"/>
          <w:sz w:val="24"/>
          <w:szCs w:val="24"/>
          <w:highlight w:val="none"/>
        </w:rPr>
        <w:t>3、付款方式：</w:t>
      </w:r>
    </w:p>
    <w:p w14:paraId="4E3620B2">
      <w:pPr>
        <w:spacing w:line="360" w:lineRule="auto"/>
        <w:ind w:firstLine="480" w:firstLineChars="200"/>
        <w:rPr>
          <w:rFonts w:hint="eastAsia" w:ascii="仿宋" w:hAnsi="仿宋" w:eastAsia="仿宋" w:cs="仿宋"/>
          <w:strike w:val="0"/>
          <w:dstrike w:val="0"/>
          <w:color w:val="auto"/>
          <w:sz w:val="24"/>
          <w:szCs w:val="24"/>
          <w:highlight w:val="none"/>
        </w:rPr>
      </w:pPr>
      <w:r>
        <w:rPr>
          <w:rFonts w:hint="eastAsia" w:ascii="仿宋" w:hAnsi="仿宋" w:eastAsia="仿宋" w:cs="仿宋"/>
          <w:strike w:val="0"/>
          <w:dstrike w:val="0"/>
          <w:color w:val="auto"/>
          <w:sz w:val="24"/>
          <w:szCs w:val="24"/>
          <w:highlight w:val="none"/>
        </w:rPr>
        <w:t>（1）以教材定价作为计算书款的依据。按教材码洋×</w:t>
      </w:r>
      <w:r>
        <w:rPr>
          <w:rFonts w:hint="eastAsia" w:ascii="仿宋" w:hAnsi="仿宋" w:eastAsia="仿宋" w:cs="仿宋"/>
          <w:strike w:val="0"/>
          <w:dstrike w:val="0"/>
          <w:color w:val="auto"/>
          <w:sz w:val="24"/>
          <w:szCs w:val="24"/>
          <w:highlight w:val="none"/>
          <w:lang w:val="en-US" w:eastAsia="zh-CN"/>
        </w:rPr>
        <w:t>统一</w:t>
      </w:r>
      <w:r>
        <w:rPr>
          <w:rFonts w:hint="eastAsia" w:ascii="仿宋" w:hAnsi="仿宋" w:eastAsia="仿宋" w:cs="仿宋"/>
          <w:strike w:val="0"/>
          <w:dstrike w:val="0"/>
          <w:color w:val="auto"/>
          <w:sz w:val="24"/>
          <w:szCs w:val="24"/>
          <w:highlight w:val="none"/>
        </w:rPr>
        <w:t xml:space="preserve">折扣进行结算； </w:t>
      </w:r>
    </w:p>
    <w:p w14:paraId="041CC7F0">
      <w:pPr>
        <w:spacing w:line="360" w:lineRule="auto"/>
        <w:ind w:firstLine="480" w:firstLineChars="200"/>
        <w:rPr>
          <w:rFonts w:hint="eastAsia" w:ascii="仿宋" w:hAnsi="仿宋" w:eastAsia="仿宋" w:cs="仿宋"/>
          <w:strike w:val="0"/>
          <w:dstrike w:val="0"/>
          <w:color w:val="auto"/>
          <w:sz w:val="24"/>
          <w:szCs w:val="24"/>
          <w:highlight w:val="none"/>
        </w:rPr>
      </w:pPr>
      <w:r>
        <w:rPr>
          <w:rFonts w:hint="eastAsia" w:ascii="仿宋" w:hAnsi="仿宋" w:eastAsia="仿宋" w:cs="仿宋"/>
          <w:strike w:val="0"/>
          <w:dstrike w:val="0"/>
          <w:color w:val="auto"/>
          <w:sz w:val="24"/>
          <w:szCs w:val="24"/>
          <w:highlight w:val="none"/>
        </w:rPr>
        <w:t xml:space="preserve">（2）验收时教材定价如与发货单不符，按照实际图书定价核算。 </w:t>
      </w:r>
    </w:p>
    <w:p w14:paraId="27F310C0">
      <w:pPr>
        <w:spacing w:line="360" w:lineRule="auto"/>
        <w:ind w:firstLine="480" w:firstLineChars="200"/>
        <w:rPr>
          <w:rFonts w:hint="eastAsia" w:ascii="仿宋" w:hAnsi="仿宋" w:eastAsia="仿宋" w:cs="仿宋"/>
          <w:strike w:val="0"/>
          <w:dstrike w:val="0"/>
          <w:color w:val="auto"/>
          <w:sz w:val="24"/>
          <w:szCs w:val="24"/>
          <w:highlight w:val="none"/>
        </w:rPr>
      </w:pPr>
      <w:r>
        <w:rPr>
          <w:rFonts w:hint="eastAsia" w:ascii="仿宋" w:hAnsi="仿宋" w:eastAsia="仿宋" w:cs="仿宋"/>
          <w:strike w:val="0"/>
          <w:dstrike w:val="0"/>
          <w:color w:val="auto"/>
          <w:sz w:val="24"/>
          <w:szCs w:val="24"/>
          <w:highlight w:val="none"/>
        </w:rPr>
        <w:t>（3）</w:t>
      </w:r>
      <w:r>
        <w:rPr>
          <w:rFonts w:hint="eastAsia" w:ascii="仿宋" w:hAnsi="仿宋" w:eastAsia="仿宋" w:cs="仿宋"/>
          <w:strike w:val="0"/>
          <w:dstrike w:val="0"/>
          <w:color w:val="auto"/>
          <w:sz w:val="24"/>
          <w:szCs w:val="24"/>
          <w:highlight w:val="none"/>
          <w:lang w:eastAsia="zh-CN"/>
        </w:rPr>
        <w:t>中标供应商</w:t>
      </w:r>
      <w:r>
        <w:rPr>
          <w:rFonts w:hint="eastAsia" w:ascii="仿宋" w:hAnsi="仿宋" w:eastAsia="仿宋" w:cs="仿宋"/>
          <w:strike w:val="0"/>
          <w:dstrike w:val="0"/>
          <w:color w:val="auto"/>
          <w:sz w:val="24"/>
          <w:szCs w:val="24"/>
          <w:highlight w:val="none"/>
        </w:rPr>
        <w:t>必须开具包括教材码洋、折扣、实洋等内容的正式购书发票，并加盖</w:t>
      </w:r>
      <w:r>
        <w:rPr>
          <w:rFonts w:hint="eastAsia" w:ascii="仿宋" w:hAnsi="仿宋" w:eastAsia="仿宋" w:cs="仿宋"/>
          <w:strike w:val="0"/>
          <w:dstrike w:val="0"/>
          <w:color w:val="auto"/>
          <w:sz w:val="24"/>
          <w:szCs w:val="24"/>
          <w:highlight w:val="none"/>
          <w:lang w:eastAsia="zh-CN"/>
        </w:rPr>
        <w:t>中标供应商</w:t>
      </w:r>
      <w:r>
        <w:rPr>
          <w:rFonts w:hint="eastAsia" w:ascii="仿宋" w:hAnsi="仿宋" w:eastAsia="仿宋" w:cs="仿宋"/>
          <w:strike w:val="0"/>
          <w:dstrike w:val="0"/>
          <w:color w:val="auto"/>
          <w:sz w:val="24"/>
          <w:szCs w:val="24"/>
          <w:highlight w:val="none"/>
        </w:rPr>
        <w:t xml:space="preserve">单位公章。 </w:t>
      </w:r>
    </w:p>
    <w:p w14:paraId="57DB47F4">
      <w:pPr>
        <w:spacing w:line="360" w:lineRule="auto"/>
        <w:ind w:firstLine="480" w:firstLineChars="200"/>
        <w:rPr>
          <w:rFonts w:hint="eastAsia" w:ascii="仿宋" w:hAnsi="仿宋" w:eastAsia="仿宋" w:cs="仿宋"/>
          <w:strike w:val="0"/>
          <w:dstrike w:val="0"/>
          <w:color w:val="auto"/>
          <w:sz w:val="24"/>
          <w:szCs w:val="24"/>
          <w:highlight w:val="none"/>
        </w:rPr>
      </w:pPr>
      <w:r>
        <w:rPr>
          <w:rFonts w:hint="eastAsia" w:ascii="仿宋" w:hAnsi="仿宋" w:eastAsia="仿宋" w:cs="仿宋"/>
          <w:strike w:val="0"/>
          <w:dstrike w:val="0"/>
          <w:color w:val="auto"/>
          <w:sz w:val="24"/>
          <w:szCs w:val="24"/>
          <w:highlight w:val="none"/>
        </w:rPr>
        <w:t>（4）教材采购费用</w:t>
      </w:r>
      <w:r>
        <w:rPr>
          <w:rFonts w:hint="eastAsia" w:ascii="仿宋" w:hAnsi="仿宋" w:eastAsia="仿宋" w:cs="仿宋"/>
          <w:b w:val="0"/>
          <w:bCs w:val="0"/>
          <w:strike w:val="0"/>
          <w:dstrike w:val="0"/>
          <w:color w:val="auto"/>
          <w:sz w:val="24"/>
          <w:szCs w:val="24"/>
          <w:highlight w:val="none"/>
          <w:lang w:val="en-US" w:eastAsia="zh-CN"/>
        </w:rPr>
        <w:t>结合招标文件考核办法</w:t>
      </w:r>
      <w:r>
        <w:rPr>
          <w:rFonts w:hint="eastAsia" w:ascii="仿宋" w:hAnsi="仿宋" w:eastAsia="仿宋" w:cs="仿宋"/>
          <w:strike w:val="0"/>
          <w:dstrike w:val="0"/>
          <w:color w:val="auto"/>
          <w:sz w:val="24"/>
          <w:szCs w:val="24"/>
          <w:highlight w:val="none"/>
        </w:rPr>
        <w:t>每年结算方式进行，但如出现因实际招生人数未达到原计划招生数而产生的教材多出部分的，供应商应无条件退费。</w:t>
      </w:r>
    </w:p>
    <w:p w14:paraId="23FA2657">
      <w:pPr>
        <w:pStyle w:val="2"/>
        <w:rPr>
          <w:rFonts w:hint="default" w:eastAsia="仿宋"/>
          <w:color w:val="auto"/>
          <w:highlight w:val="none"/>
          <w:lang w:val="en-US" w:eastAsia="zh-CN"/>
        </w:rPr>
      </w:pPr>
      <w:r>
        <w:rPr>
          <w:rFonts w:hint="eastAsia" w:ascii="仿宋" w:hAnsi="仿宋" w:eastAsia="仿宋" w:cs="仿宋"/>
          <w:strike w:val="0"/>
          <w:dstrike w:val="0"/>
          <w:color w:val="auto"/>
          <w:sz w:val="24"/>
          <w:szCs w:val="24"/>
          <w:highlight w:val="none"/>
          <w:lang w:eastAsia="zh-CN"/>
        </w:rPr>
        <w:t>（</w:t>
      </w:r>
      <w:r>
        <w:rPr>
          <w:rFonts w:hint="eastAsia" w:ascii="仿宋" w:hAnsi="仿宋" w:eastAsia="仿宋" w:cs="仿宋"/>
          <w:strike w:val="0"/>
          <w:dstrike w:val="0"/>
          <w:color w:val="auto"/>
          <w:sz w:val="24"/>
          <w:szCs w:val="24"/>
          <w:highlight w:val="none"/>
          <w:lang w:val="en-US" w:eastAsia="zh-CN"/>
        </w:rPr>
        <w:t>5）教材费按实际发放至学生手中的教材数量及合同约定折扣进行结算。因学生学籍异动退回的教材，须从结算总数中据实扣除。最终结算金额以采购人审核确认的书面结算单据为准。</w:t>
      </w:r>
    </w:p>
    <w:p w14:paraId="150E287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4、交货时间及地点：</w:t>
      </w:r>
    </w:p>
    <w:p w14:paraId="7B47F7E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w:t>
      </w:r>
      <w:r>
        <w:rPr>
          <w:rFonts w:hint="eastAsia" w:ascii="仿宋" w:hAnsi="仿宋" w:eastAsia="仿宋" w:cs="仿宋"/>
          <w:color w:val="auto"/>
          <w:sz w:val="24"/>
          <w:szCs w:val="24"/>
          <w:highlight w:val="none"/>
          <w:lang w:val="en-US" w:eastAsia="zh-CN"/>
        </w:rPr>
        <w:t>吉安市中等专业学校新校区内指定地点</w:t>
      </w:r>
      <w:r>
        <w:rPr>
          <w:rFonts w:hint="eastAsia" w:ascii="仿宋" w:hAnsi="仿宋" w:eastAsia="仿宋" w:cs="仿宋"/>
          <w:color w:val="auto"/>
          <w:sz w:val="24"/>
          <w:szCs w:val="24"/>
          <w:highlight w:val="none"/>
        </w:rPr>
        <w:t>；</w:t>
      </w:r>
    </w:p>
    <w:p w14:paraId="24D058E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（2）随书提供标准格式的纸质配送目录清单和电子格式清单以及接收单到采购人指定的地点。 </w:t>
      </w:r>
    </w:p>
    <w:p w14:paraId="3E24FD9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5、质保期售后：</w:t>
      </w:r>
    </w:p>
    <w:p w14:paraId="39E75D4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（1）质量保证期：本项目质保期为验收合格之日起</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2个月。</w:t>
      </w:r>
    </w:p>
    <w:p w14:paraId="387FC2D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（2）在质保期内，所有教材书籍均需提供无条件退换等售后服务，一旦发生质量问题，</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人需24 小时内响应。承诺及时到现场进行修理或更换书籍。</w:t>
      </w:r>
    </w:p>
    <w:p w14:paraId="075A6D0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en-US" w:eastAsia="zh-CN"/>
        </w:rPr>
        <w:t>中标人</w:t>
      </w:r>
      <w:r>
        <w:rPr>
          <w:rFonts w:hint="eastAsia" w:ascii="仿宋" w:hAnsi="仿宋" w:eastAsia="仿宋" w:cs="仿宋"/>
          <w:color w:val="auto"/>
          <w:sz w:val="24"/>
          <w:szCs w:val="24"/>
          <w:highlight w:val="none"/>
        </w:rPr>
        <w:t>在项目实施或服务过程中发生的重大人员、产品质量事故，或因</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人管理不善等原因造成的人员伤亡等责任事故均由</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人负责，采购人不承担任何法律及经济责任。</w:t>
      </w:r>
    </w:p>
    <w:p w14:paraId="6593C97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（4）未经采购人许可，不得更改书目。</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必须按照采购人订购的教材品种、数量及时供货，到货准确率及到货时间完全达到合同要求。除出版社取消出版、推迟出版或发生影响合同履行的不可抗力事件以外，若不能按时供货的教材品种数超过该批订单订购数的2%，将从</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方的货款中扣除10000元人民币作为违约赔偿金。超过该批订单订购数的3%，即视为</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为不具备供货条件，采购人有权要求终止合同，终止合同所造成的损失由</w:t>
      </w:r>
      <w:r>
        <w:rPr>
          <w:rFonts w:hint="eastAsia" w:ascii="仿宋" w:hAnsi="仿宋" w:eastAsia="仿宋" w:cs="仿宋"/>
          <w:color w:val="auto"/>
          <w:sz w:val="24"/>
          <w:szCs w:val="24"/>
          <w:highlight w:val="none"/>
          <w:lang w:eastAsia="zh-CN"/>
        </w:rPr>
        <w:t>中标供应商</w:t>
      </w:r>
      <w:r>
        <w:rPr>
          <w:rFonts w:hint="eastAsia" w:ascii="仿宋" w:hAnsi="仿宋" w:eastAsia="仿宋" w:cs="仿宋"/>
          <w:color w:val="auto"/>
          <w:sz w:val="24"/>
          <w:szCs w:val="24"/>
          <w:highlight w:val="none"/>
        </w:rPr>
        <w:t xml:space="preserve">承担。 </w:t>
      </w:r>
    </w:p>
    <w:p w14:paraId="2C122CE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（5）如采购人在项目的实施过程中对采购货物的需求如数量等有变化，按学生个人领书签字确认表计量，</w:t>
      </w:r>
      <w:r>
        <w:rPr>
          <w:rFonts w:hint="eastAsia" w:ascii="仿宋" w:hAnsi="仿宋" w:eastAsia="仿宋" w:cs="仿宋"/>
          <w:color w:val="auto"/>
          <w:sz w:val="24"/>
          <w:szCs w:val="24"/>
          <w:highlight w:val="none"/>
          <w:lang w:eastAsia="zh-CN"/>
        </w:rPr>
        <w:t>折扣</w:t>
      </w:r>
      <w:r>
        <w:rPr>
          <w:rFonts w:hint="eastAsia" w:ascii="仿宋" w:hAnsi="仿宋" w:eastAsia="仿宋" w:cs="仿宋"/>
          <w:color w:val="auto"/>
          <w:sz w:val="24"/>
          <w:szCs w:val="24"/>
          <w:highlight w:val="none"/>
        </w:rPr>
        <w:t>按</w:t>
      </w:r>
      <w:r>
        <w:rPr>
          <w:rFonts w:hint="eastAsia" w:ascii="仿宋" w:hAnsi="仿宋" w:eastAsia="仿宋" w:cs="仿宋"/>
          <w:color w:val="auto"/>
          <w:sz w:val="24"/>
          <w:szCs w:val="24"/>
          <w:highlight w:val="none"/>
          <w:lang w:eastAsia="zh-CN"/>
        </w:rPr>
        <w:t>中标折扣</w:t>
      </w:r>
      <w:r>
        <w:rPr>
          <w:rFonts w:hint="eastAsia" w:ascii="仿宋" w:hAnsi="仿宋" w:eastAsia="仿宋" w:cs="仿宋"/>
          <w:color w:val="auto"/>
          <w:sz w:val="24"/>
          <w:szCs w:val="24"/>
          <w:highlight w:val="none"/>
        </w:rPr>
        <w:t>计算。</w:t>
      </w:r>
    </w:p>
    <w:p w14:paraId="48B9AF8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r>
        <w:rPr>
          <w:rFonts w:hint="eastAsia" w:ascii="仿宋" w:hAnsi="仿宋" w:eastAsia="仿宋" w:cs="仿宋"/>
          <w:color w:val="auto"/>
          <w:sz w:val="24"/>
          <w:szCs w:val="24"/>
          <w:highlight w:val="none"/>
          <w:lang w:val="en-US" w:eastAsia="zh-CN"/>
        </w:rPr>
        <w:t>到货签收</w:t>
      </w:r>
      <w:r>
        <w:rPr>
          <w:rFonts w:hint="eastAsia" w:ascii="仿宋" w:hAnsi="仿宋" w:eastAsia="仿宋" w:cs="仿宋"/>
          <w:color w:val="auto"/>
          <w:sz w:val="24"/>
          <w:szCs w:val="24"/>
          <w:highlight w:val="none"/>
        </w:rPr>
        <w:t>：</w:t>
      </w:r>
    </w:p>
    <w:p w14:paraId="6DF3EED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shd w:val="clear" w:color="auto" w:fill="FFFFFF"/>
          <w:lang w:eastAsia="zh-CN"/>
        </w:rPr>
        <w:t>中标</w:t>
      </w:r>
      <w:r>
        <w:rPr>
          <w:rFonts w:hint="eastAsia" w:ascii="仿宋" w:hAnsi="仿宋" w:eastAsia="仿宋" w:cs="仿宋"/>
          <w:color w:val="auto"/>
          <w:sz w:val="24"/>
          <w:szCs w:val="24"/>
          <w:highlight w:val="none"/>
        </w:rPr>
        <w:t>人货物经过双方认可后，签署</w:t>
      </w:r>
      <w:r>
        <w:rPr>
          <w:rFonts w:hint="eastAsia" w:ascii="仿宋" w:hAnsi="仿宋" w:eastAsia="仿宋" w:cs="仿宋"/>
          <w:color w:val="auto"/>
          <w:sz w:val="24"/>
          <w:szCs w:val="24"/>
          <w:highlight w:val="none"/>
          <w:lang w:val="en-US" w:eastAsia="zh-CN"/>
        </w:rPr>
        <w:t>到货签收单</w:t>
      </w:r>
      <w:r>
        <w:rPr>
          <w:rFonts w:hint="eastAsia" w:ascii="仿宋" w:hAnsi="仿宋" w:eastAsia="仿宋" w:cs="仿宋"/>
          <w:color w:val="auto"/>
          <w:sz w:val="24"/>
          <w:szCs w:val="24"/>
          <w:highlight w:val="none"/>
        </w:rPr>
        <w:t xml:space="preserve">。 </w:t>
      </w:r>
    </w:p>
    <w:p w14:paraId="6F2BA58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（2）当满足以下条件时，采购人才向</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人签发</w:t>
      </w:r>
      <w:r>
        <w:rPr>
          <w:rFonts w:hint="eastAsia" w:ascii="仿宋" w:hAnsi="仿宋" w:eastAsia="仿宋" w:cs="仿宋"/>
          <w:color w:val="auto"/>
          <w:sz w:val="24"/>
          <w:szCs w:val="24"/>
          <w:highlight w:val="none"/>
          <w:lang w:val="en-US" w:eastAsia="zh-CN"/>
        </w:rPr>
        <w:t>到货签收单</w:t>
      </w:r>
      <w:r>
        <w:rPr>
          <w:rFonts w:hint="eastAsia" w:ascii="仿宋" w:hAnsi="仿宋" w:eastAsia="仿宋" w:cs="仿宋"/>
          <w:color w:val="auto"/>
          <w:sz w:val="24"/>
          <w:szCs w:val="24"/>
          <w:highlight w:val="none"/>
        </w:rPr>
        <w:t>：</w:t>
      </w:r>
    </w:p>
    <w:p w14:paraId="5A0C54A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人已按照合同规定提供了全部教材书籍并按提供全部书籍清单。</w:t>
      </w:r>
    </w:p>
    <w:p w14:paraId="79EC206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2）书籍包装表面须注明</w:t>
      </w:r>
      <w:r>
        <w:rPr>
          <w:rFonts w:hint="eastAsia" w:ascii="仿宋" w:hAnsi="仿宋" w:eastAsia="仿宋" w:cs="仿宋"/>
          <w:color w:val="auto"/>
          <w:sz w:val="24"/>
          <w:szCs w:val="24"/>
          <w:highlight w:val="none"/>
          <w:lang w:eastAsia="zh-CN"/>
        </w:rPr>
        <w:t>中标</w:t>
      </w:r>
      <w:r>
        <w:rPr>
          <w:rFonts w:hint="eastAsia" w:ascii="仿宋" w:hAnsi="仿宋" w:eastAsia="仿宋" w:cs="仿宋"/>
          <w:color w:val="auto"/>
          <w:sz w:val="24"/>
          <w:szCs w:val="24"/>
          <w:highlight w:val="none"/>
        </w:rPr>
        <w:t>人名称、批次号、包号，包内纸质教材码放整齐，同种纸质教材须放在一起，顺序与书籍清单一致。</w:t>
      </w:r>
    </w:p>
    <w:p w14:paraId="6E63A58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（3）交付验收标准：依次序对照适用标准为：</w:t>
      </w:r>
    </w:p>
    <w:p w14:paraId="09AAC50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1）符合中华人民共和国国家相关行业标准。</w:t>
      </w:r>
    </w:p>
    <w:p w14:paraId="118A89D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2）符合</w:t>
      </w:r>
      <w:r>
        <w:rPr>
          <w:rFonts w:hint="eastAsia" w:ascii="仿宋" w:hAnsi="仿宋" w:eastAsia="仿宋" w:cs="仿宋"/>
          <w:color w:val="auto"/>
          <w:sz w:val="24"/>
          <w:szCs w:val="24"/>
          <w:highlight w:val="none"/>
          <w:lang w:val="en-US" w:eastAsia="zh-CN"/>
        </w:rPr>
        <w:t>招标</w:t>
      </w:r>
      <w:r>
        <w:rPr>
          <w:rFonts w:hint="eastAsia" w:ascii="仿宋" w:hAnsi="仿宋" w:eastAsia="仿宋" w:cs="仿宋"/>
          <w:color w:val="auto"/>
          <w:sz w:val="24"/>
          <w:szCs w:val="24"/>
          <w:highlight w:val="none"/>
        </w:rPr>
        <w:t>文件和响应承诺中采购人认可的合理最佳配置、参数及各项要求。</w:t>
      </w:r>
    </w:p>
    <w:p w14:paraId="1EEFC31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3）上述标准必须是有关官方机构发布的最新版本的标准。</w:t>
      </w:r>
    </w:p>
    <w:p w14:paraId="46EBD61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7、商品包装要求（如果所供产品具有包装）：根据《商品包装政府采购需求标准（试行）》，商品包装有7项环保要求：</w:t>
      </w:r>
    </w:p>
    <w:p w14:paraId="4E16FDF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（1）商品包装层数不得超过3层，空隙率不大于40%；</w:t>
      </w:r>
    </w:p>
    <w:p w14:paraId="35A8F50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（2）商品包装尽可能使用单一 材质的包装材料，如因功能需求必需使用不同材质，不同材质间应便于分离；</w:t>
      </w:r>
    </w:p>
    <w:p w14:paraId="5784D0A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（3）商品包装中铅、汞、镉、六价铬的总含量应不大于100mg/kg；</w:t>
      </w:r>
    </w:p>
    <w:p w14:paraId="65A24C6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（4）商品包装 印刷使用的油墨中挥发性有机化合物(VOCs)含量应不大于5%（以重量计）；</w:t>
      </w:r>
    </w:p>
    <w:p w14:paraId="6279B68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（5）塑料材质商品包装上呈现的印刷颜色不得超过6色；</w:t>
      </w:r>
    </w:p>
    <w:p w14:paraId="09ED58F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（6）纸质商品包装应使用 75%以上的可再生纤维原料生产；</w:t>
      </w:r>
    </w:p>
    <w:p w14:paraId="1648F90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（7）木质商品包装的原料应来源于可持续性森林。</w:t>
      </w:r>
    </w:p>
    <w:p w14:paraId="4091123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8.价格条件</w:t>
      </w:r>
    </w:p>
    <w:p w14:paraId="2CA8448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各种教材价格不高于出版社码洋价的8</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w:t>
      </w:r>
    </w:p>
    <w:p w14:paraId="6A2D4B17">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9.知识产权</w:t>
      </w:r>
    </w:p>
    <w:p w14:paraId="7DE6CE8E">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中标供应商应保证采购人在使用教材时不受任何关于侵犯所有权和工业产权、著作权（版权）等知识产权的指控。如果任何第三方提出侵权指控，中标供应商承担一切与之有关的责任。</w:t>
      </w:r>
    </w:p>
    <w:p w14:paraId="451F846F">
      <w:pPr>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10、本项目不接受合同分包</w:t>
      </w:r>
    </w:p>
    <w:p w14:paraId="13DEA8E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11</w:t>
      </w:r>
      <w:r>
        <w:rPr>
          <w:rFonts w:hint="eastAsia" w:ascii="仿宋" w:hAnsi="仿宋" w:eastAsia="仿宋" w:cs="仿宋"/>
          <w:color w:val="auto"/>
          <w:sz w:val="24"/>
          <w:szCs w:val="24"/>
          <w:highlight w:val="none"/>
        </w:rPr>
        <w:t>、其他未尽事宜，请与采购人联系。</w:t>
      </w:r>
    </w:p>
    <w:p w14:paraId="2A9CA2F9">
      <w:pPr>
        <w:pStyle w:val="48"/>
        <w:keepNext w:val="0"/>
        <w:keepLines w:val="0"/>
        <w:pageBreakBefore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仿宋" w:hAnsi="仿宋" w:eastAsia="仿宋" w:cs="仿宋"/>
          <w:color w:val="auto"/>
          <w:highlight w:val="none"/>
          <w:lang w:val="en-US" w:eastAsia="zh-CN"/>
        </w:rPr>
        <w:sectPr>
          <w:footerReference r:id="rId11" w:type="default"/>
          <w:pgSz w:w="11906" w:h="16838"/>
          <w:pgMar w:top="1440" w:right="1800" w:bottom="1440" w:left="1800" w:header="851" w:footer="850" w:gutter="0"/>
          <w:pgNumType w:fmt="decimal"/>
          <w:cols w:space="720" w:num="1"/>
          <w:rtlGutter w:val="0"/>
          <w:docGrid w:linePitch="312" w:charSpace="0"/>
        </w:sectPr>
      </w:pPr>
      <w:r>
        <w:rPr>
          <w:rFonts w:hint="eastAsia" w:ascii="仿宋" w:hAnsi="仿宋" w:eastAsia="仿宋" w:cs="仿宋"/>
          <w:b/>
          <w:bCs/>
          <w:color w:val="auto"/>
          <w:sz w:val="24"/>
          <w:szCs w:val="24"/>
          <w:highlight w:val="none"/>
        </w:rPr>
        <w:t>注：以上商务条款为最低指标，供应商必须全部响应(满足或优于商务要求)</w:t>
      </w:r>
      <w:r>
        <w:rPr>
          <w:rFonts w:hint="eastAsia" w:ascii="仿宋" w:hAnsi="仿宋" w:eastAsia="仿宋" w:cs="仿宋"/>
          <w:b/>
          <w:bCs/>
          <w:color w:val="auto"/>
          <w:sz w:val="24"/>
          <w:szCs w:val="24"/>
          <w:highlight w:val="none"/>
          <w:lang w:eastAsia="zh-CN"/>
        </w:rPr>
        <w:t>。</w:t>
      </w:r>
    </w:p>
    <w:p w14:paraId="0920C408">
      <w:pPr>
        <w:pStyle w:val="3"/>
        <w:bidi w:val="0"/>
        <w:jc w:val="center"/>
        <w:rPr>
          <w:rFonts w:hint="eastAsia" w:ascii="仿宋" w:hAnsi="仿宋" w:eastAsia="仿宋" w:cs="仿宋"/>
          <w:color w:val="auto"/>
          <w:highlight w:val="none"/>
          <w:lang w:eastAsia="zh-CN"/>
        </w:rPr>
      </w:pPr>
      <w:bookmarkStart w:id="439" w:name="_Toc29639"/>
      <w:r>
        <w:rPr>
          <w:rFonts w:hint="eastAsia" w:ascii="仿宋" w:hAnsi="仿宋" w:eastAsia="仿宋" w:cs="仿宋"/>
          <w:color w:val="auto"/>
          <w:highlight w:val="none"/>
          <w:lang w:eastAsia="zh-CN"/>
        </w:rPr>
        <w:t>第六章  评标标准</w:t>
      </w:r>
      <w:bookmarkEnd w:id="437"/>
      <w:bookmarkEnd w:id="438"/>
      <w:bookmarkEnd w:id="439"/>
    </w:p>
    <w:p w14:paraId="55D83555">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sz w:val="24"/>
          <w:szCs w:val="24"/>
          <w:highlight w:val="none"/>
        </w:rPr>
        <w:t>评标委员会应当按照招标文件中规定的评标方法和标准，对符合性审查合格的投标文件进行商务和技术评估，综合比较与评价。</w:t>
      </w:r>
    </w:p>
    <w:tbl>
      <w:tblPr>
        <w:tblStyle w:val="29"/>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08"/>
        <w:gridCol w:w="891"/>
        <w:gridCol w:w="862"/>
        <w:gridCol w:w="6823"/>
      </w:tblGrid>
      <w:tr w14:paraId="654C2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81" w:type="pct"/>
            <w:tcBorders>
              <w:top w:val="single" w:color="auto" w:sz="12" w:space="0"/>
            </w:tcBorders>
            <w:vAlign w:val="center"/>
          </w:tcPr>
          <w:p w14:paraId="61E0F97C">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序号</w:t>
            </w:r>
          </w:p>
        </w:tc>
        <w:tc>
          <w:tcPr>
            <w:tcW w:w="480" w:type="pct"/>
            <w:tcBorders>
              <w:top w:val="single" w:color="auto" w:sz="12" w:space="0"/>
            </w:tcBorders>
            <w:vAlign w:val="center"/>
          </w:tcPr>
          <w:p w14:paraId="6160F66B">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评标因素</w:t>
            </w:r>
          </w:p>
        </w:tc>
        <w:tc>
          <w:tcPr>
            <w:tcW w:w="464" w:type="pct"/>
            <w:tcBorders>
              <w:top w:val="single" w:color="auto" w:sz="12" w:space="0"/>
            </w:tcBorders>
            <w:vAlign w:val="center"/>
          </w:tcPr>
          <w:p w14:paraId="7ACB6E84">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分值</w:t>
            </w:r>
          </w:p>
        </w:tc>
        <w:tc>
          <w:tcPr>
            <w:tcW w:w="3674" w:type="pct"/>
            <w:tcBorders>
              <w:top w:val="single" w:color="auto" w:sz="12" w:space="0"/>
            </w:tcBorders>
            <w:vAlign w:val="center"/>
          </w:tcPr>
          <w:p w14:paraId="51FFC47C">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评标标准</w:t>
            </w:r>
          </w:p>
        </w:tc>
      </w:tr>
      <w:tr w14:paraId="317E70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81" w:type="pct"/>
            <w:vAlign w:val="center"/>
          </w:tcPr>
          <w:p w14:paraId="054BF7B0">
            <w:pPr>
              <w:spacing w:line="360" w:lineRule="auto"/>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1</w:t>
            </w:r>
          </w:p>
        </w:tc>
        <w:tc>
          <w:tcPr>
            <w:tcW w:w="480" w:type="pct"/>
            <w:vAlign w:val="center"/>
          </w:tcPr>
          <w:p w14:paraId="31EFC3A2">
            <w:pPr>
              <w:spacing w:line="360" w:lineRule="auto"/>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价格总分</w:t>
            </w:r>
          </w:p>
        </w:tc>
        <w:tc>
          <w:tcPr>
            <w:tcW w:w="464" w:type="pct"/>
            <w:vAlign w:val="center"/>
          </w:tcPr>
          <w:p w14:paraId="51ABD42C">
            <w:pPr>
              <w:spacing w:line="360" w:lineRule="auto"/>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40分</w:t>
            </w:r>
          </w:p>
        </w:tc>
        <w:tc>
          <w:tcPr>
            <w:tcW w:w="3674" w:type="pct"/>
            <w:vAlign w:val="center"/>
          </w:tcPr>
          <w:p w14:paraId="6C4A04A8">
            <w:pPr>
              <w:spacing w:line="360" w:lineRule="auto"/>
              <w:rPr>
                <w:rFonts w:hint="eastAsia" w:ascii="仿宋" w:hAnsi="仿宋" w:eastAsia="仿宋" w:cs="仿宋"/>
                <w:color w:val="auto"/>
                <w:szCs w:val="24"/>
                <w:highlight w:val="none"/>
              </w:rPr>
            </w:pPr>
            <w:r>
              <w:rPr>
                <w:rFonts w:hint="eastAsia" w:ascii="仿宋" w:hAnsi="仿宋" w:eastAsia="仿宋" w:cs="仿宋"/>
                <w:color w:val="auto"/>
                <w:szCs w:val="24"/>
                <w:highlight w:val="none"/>
              </w:rPr>
              <w:t>价格分采用低价优先法计算；即满足招标文件要求且投标价格最低的投标报价为评标基准价；其价格分为满分。其他投标人的价格分统一按下列公式计算：</w:t>
            </w:r>
          </w:p>
          <w:p w14:paraId="0DE1BEC0">
            <w:pPr>
              <w:spacing w:line="360" w:lineRule="auto"/>
              <w:rPr>
                <w:rFonts w:hint="eastAsia" w:ascii="仿宋" w:hAnsi="仿宋" w:eastAsia="仿宋" w:cs="仿宋"/>
                <w:color w:val="auto"/>
                <w:highlight w:val="none"/>
              </w:rPr>
            </w:pPr>
            <w:r>
              <w:rPr>
                <w:rFonts w:hint="eastAsia" w:ascii="仿宋" w:hAnsi="仿宋" w:eastAsia="仿宋" w:cs="仿宋"/>
                <w:color w:val="auto"/>
                <w:szCs w:val="24"/>
                <w:highlight w:val="none"/>
              </w:rPr>
              <w:t>投标报价得分=（评标基准价/投标报价）×40分（保留两位小数）</w:t>
            </w:r>
          </w:p>
        </w:tc>
      </w:tr>
      <w:tr w14:paraId="58CA90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81" w:type="pct"/>
            <w:vAlign w:val="center"/>
          </w:tcPr>
          <w:p w14:paraId="1BF8996F">
            <w:pPr>
              <w:spacing w:line="360" w:lineRule="auto"/>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2</w:t>
            </w:r>
          </w:p>
        </w:tc>
        <w:tc>
          <w:tcPr>
            <w:tcW w:w="4618" w:type="pct"/>
            <w:gridSpan w:val="3"/>
            <w:vAlign w:val="center"/>
          </w:tcPr>
          <w:p w14:paraId="39C0F40C">
            <w:pPr>
              <w:spacing w:line="360" w:lineRule="auto"/>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技术总分（40分）</w:t>
            </w:r>
          </w:p>
        </w:tc>
      </w:tr>
      <w:tr w14:paraId="7D88EF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8" w:hRule="atLeast"/>
          <w:jc w:val="center"/>
        </w:trPr>
        <w:tc>
          <w:tcPr>
            <w:tcW w:w="381" w:type="pct"/>
            <w:vAlign w:val="center"/>
          </w:tcPr>
          <w:p w14:paraId="2FD1BBAF">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2.1</w:t>
            </w:r>
          </w:p>
        </w:tc>
        <w:tc>
          <w:tcPr>
            <w:tcW w:w="480" w:type="pct"/>
            <w:vAlign w:val="center"/>
          </w:tcPr>
          <w:p w14:paraId="1F9C3715">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技术基本分</w:t>
            </w:r>
          </w:p>
        </w:tc>
        <w:tc>
          <w:tcPr>
            <w:tcW w:w="464" w:type="pct"/>
            <w:vAlign w:val="center"/>
          </w:tcPr>
          <w:p w14:paraId="1AD67B45">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24分</w:t>
            </w:r>
          </w:p>
        </w:tc>
        <w:tc>
          <w:tcPr>
            <w:tcW w:w="3674" w:type="pct"/>
            <w:vAlign w:val="center"/>
          </w:tcPr>
          <w:p w14:paraId="11083655">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360" w:lineRule="auto"/>
              <w:ind w:left="0" w:leftChars="0" w:right="0" w:firstLine="0" w:firstLineChars="0"/>
              <w:jc w:val="left"/>
              <w:textAlignment w:val="auto"/>
              <w:outlineLvl w:val="9"/>
              <w:rPr>
                <w:rFonts w:hint="eastAsia" w:ascii="仿宋" w:hAnsi="仿宋" w:eastAsia="仿宋" w:cs="仿宋"/>
                <w:b w:val="0"/>
                <w:bCs/>
                <w:color w:val="auto"/>
                <w:kern w:val="0"/>
                <w:sz w:val="24"/>
                <w:szCs w:val="24"/>
                <w:highlight w:val="none"/>
                <w:lang w:val="zh-CN" w:bidi="zh-CN"/>
              </w:rPr>
            </w:pPr>
            <w:r>
              <w:rPr>
                <w:rFonts w:hint="eastAsia" w:ascii="仿宋" w:hAnsi="仿宋" w:eastAsia="仿宋" w:cs="仿宋"/>
                <w:b w:val="0"/>
                <w:bCs/>
                <w:color w:val="auto"/>
                <w:kern w:val="0"/>
                <w:sz w:val="24"/>
                <w:szCs w:val="24"/>
                <w:highlight w:val="none"/>
                <w:lang w:val="zh-CN" w:bidi="zh-CN"/>
              </w:rPr>
              <w:t>全部满足</w:t>
            </w:r>
            <w:r>
              <w:rPr>
                <w:rFonts w:hint="eastAsia" w:ascii="仿宋" w:hAnsi="仿宋" w:eastAsia="仿宋" w:cs="仿宋"/>
                <w:b w:val="0"/>
                <w:bCs/>
                <w:color w:val="auto"/>
                <w:kern w:val="0"/>
                <w:sz w:val="24"/>
                <w:szCs w:val="24"/>
                <w:highlight w:val="none"/>
                <w:lang w:val="en-US" w:bidi="zh-CN"/>
              </w:rPr>
              <w:t>招标</w:t>
            </w:r>
            <w:r>
              <w:rPr>
                <w:rFonts w:hint="eastAsia" w:ascii="仿宋" w:hAnsi="仿宋" w:eastAsia="仿宋" w:cs="仿宋"/>
                <w:b w:val="0"/>
                <w:bCs/>
                <w:color w:val="auto"/>
                <w:kern w:val="0"/>
                <w:sz w:val="24"/>
                <w:szCs w:val="24"/>
                <w:highlight w:val="none"/>
                <w:lang w:val="zh-CN" w:bidi="zh-CN"/>
              </w:rPr>
              <w:t>文件规定的技术要求的得基本分</w:t>
            </w:r>
            <w:r>
              <w:rPr>
                <w:rFonts w:hint="eastAsia" w:ascii="仿宋" w:hAnsi="仿宋" w:eastAsia="仿宋" w:cs="仿宋"/>
                <w:b w:val="0"/>
                <w:bCs/>
                <w:color w:val="auto"/>
                <w:kern w:val="0"/>
                <w:sz w:val="24"/>
                <w:szCs w:val="24"/>
                <w:highlight w:val="none"/>
                <w:lang w:val="en-US" w:eastAsia="zh-CN" w:bidi="zh-CN"/>
              </w:rPr>
              <w:t>24</w:t>
            </w:r>
            <w:r>
              <w:rPr>
                <w:rFonts w:hint="eastAsia" w:ascii="仿宋" w:hAnsi="仿宋" w:eastAsia="仿宋" w:cs="仿宋"/>
                <w:b w:val="0"/>
                <w:bCs/>
                <w:color w:val="auto"/>
                <w:kern w:val="0"/>
                <w:sz w:val="24"/>
                <w:szCs w:val="24"/>
                <w:highlight w:val="none"/>
                <w:lang w:val="zh-CN" w:bidi="zh-CN"/>
              </w:rPr>
              <w:t>分</w:t>
            </w:r>
            <w:r>
              <w:rPr>
                <w:rFonts w:hint="eastAsia" w:ascii="仿宋" w:hAnsi="仿宋" w:eastAsia="仿宋" w:cs="仿宋"/>
                <w:b/>
                <w:bCs w:val="0"/>
                <w:color w:val="auto"/>
                <w:kern w:val="0"/>
                <w:sz w:val="24"/>
                <w:szCs w:val="24"/>
                <w:highlight w:val="none"/>
                <w:lang w:val="zh-CN" w:bidi="zh-CN"/>
              </w:rPr>
              <w:t>。</w:t>
            </w:r>
          </w:p>
          <w:p w14:paraId="42FD031B">
            <w:pPr>
              <w:spacing w:line="360" w:lineRule="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
                <w:bCs/>
                <w:color w:val="auto"/>
                <w:sz w:val="24"/>
                <w:szCs w:val="24"/>
                <w:highlight w:val="none"/>
              </w:rPr>
              <w:t>评审依据：</w:t>
            </w:r>
            <w:r>
              <w:rPr>
                <w:rFonts w:hint="eastAsia" w:ascii="仿宋" w:hAnsi="仿宋" w:eastAsia="仿宋" w:cs="仿宋"/>
                <w:b/>
                <w:bCs/>
                <w:color w:val="auto"/>
                <w:sz w:val="24"/>
                <w:szCs w:val="24"/>
                <w:highlight w:val="none"/>
                <w:lang w:val="en-US" w:eastAsia="zh-CN"/>
              </w:rPr>
              <w:t>提供</w:t>
            </w:r>
            <w:r>
              <w:rPr>
                <w:rFonts w:hint="eastAsia" w:ascii="仿宋" w:hAnsi="仿宋" w:eastAsia="仿宋" w:cs="仿宋"/>
                <w:b/>
                <w:bCs/>
                <w:color w:val="auto"/>
                <w:highlight w:val="none"/>
              </w:rPr>
              <w:t>技术需求</w:t>
            </w:r>
            <w:r>
              <w:rPr>
                <w:rFonts w:hint="eastAsia" w:ascii="仿宋" w:hAnsi="仿宋" w:eastAsia="仿宋" w:cs="仿宋"/>
                <w:b/>
                <w:bCs/>
                <w:color w:val="auto"/>
                <w:highlight w:val="none"/>
                <w:lang w:val="en-US" w:eastAsia="zh-CN"/>
              </w:rPr>
              <w:t>/商务条件</w:t>
            </w:r>
            <w:r>
              <w:rPr>
                <w:rFonts w:hint="eastAsia" w:ascii="仿宋" w:hAnsi="仿宋" w:eastAsia="仿宋" w:cs="仿宋"/>
                <w:b/>
                <w:bCs/>
                <w:color w:val="auto"/>
                <w:highlight w:val="none"/>
              </w:rPr>
              <w:t>响应</w:t>
            </w:r>
            <w:r>
              <w:rPr>
                <w:rFonts w:hint="eastAsia" w:ascii="仿宋" w:hAnsi="仿宋" w:eastAsia="仿宋" w:cs="仿宋"/>
                <w:b/>
                <w:bCs/>
                <w:color w:val="auto"/>
                <w:highlight w:val="none"/>
                <w:lang w:val="en-US" w:eastAsia="zh-CN"/>
              </w:rPr>
              <w:t>承诺函</w:t>
            </w:r>
            <w:r>
              <w:rPr>
                <w:rFonts w:hint="eastAsia" w:ascii="仿宋" w:hAnsi="仿宋" w:eastAsia="仿宋" w:cs="仿宋"/>
                <w:b/>
                <w:bCs/>
                <w:color w:val="auto"/>
                <w:sz w:val="24"/>
                <w:szCs w:val="24"/>
                <w:highlight w:val="none"/>
              </w:rPr>
              <w:t>。</w:t>
            </w:r>
          </w:p>
        </w:tc>
      </w:tr>
      <w:tr w14:paraId="4A2DB9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 w:hRule="atLeast"/>
          <w:jc w:val="center"/>
        </w:trPr>
        <w:tc>
          <w:tcPr>
            <w:tcW w:w="381" w:type="pct"/>
            <w:vAlign w:val="center"/>
          </w:tcPr>
          <w:p w14:paraId="2B651CDD">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2.2</w:t>
            </w:r>
          </w:p>
        </w:tc>
        <w:tc>
          <w:tcPr>
            <w:tcW w:w="480" w:type="pct"/>
            <w:vAlign w:val="center"/>
          </w:tcPr>
          <w:p w14:paraId="5A071EBD">
            <w:pPr>
              <w:widowControl/>
              <w:spacing w:line="360" w:lineRule="auto"/>
              <w:jc w:val="center"/>
              <w:rPr>
                <w:rFonts w:hint="eastAsia" w:ascii="仿宋" w:hAnsi="仿宋" w:eastAsia="仿宋" w:cs="仿宋"/>
                <w:color w:val="auto"/>
                <w:kern w:val="0"/>
                <w:szCs w:val="24"/>
                <w:highlight w:val="none"/>
                <w:lang w:val="en-US" w:eastAsia="zh-CN"/>
              </w:rPr>
            </w:pPr>
            <w:r>
              <w:rPr>
                <w:rFonts w:hint="eastAsia" w:ascii="仿宋" w:hAnsi="仿宋" w:eastAsia="仿宋" w:cs="仿宋"/>
                <w:color w:val="auto"/>
                <w:kern w:val="0"/>
                <w:szCs w:val="24"/>
                <w:highlight w:val="none"/>
              </w:rPr>
              <w:t>供货渠道</w:t>
            </w:r>
            <w:r>
              <w:rPr>
                <w:rFonts w:hint="eastAsia" w:ascii="仿宋" w:hAnsi="仿宋" w:eastAsia="仿宋" w:cs="仿宋"/>
                <w:color w:val="auto"/>
                <w:kern w:val="0"/>
                <w:szCs w:val="24"/>
                <w:highlight w:val="none"/>
                <w:lang w:val="en-US" w:eastAsia="zh-CN"/>
              </w:rPr>
              <w:t>及能力</w:t>
            </w:r>
          </w:p>
        </w:tc>
        <w:tc>
          <w:tcPr>
            <w:tcW w:w="464" w:type="pct"/>
            <w:vAlign w:val="center"/>
          </w:tcPr>
          <w:p w14:paraId="4328C65D">
            <w:pPr>
              <w:widowControl/>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1</w:t>
            </w:r>
            <w:r>
              <w:rPr>
                <w:rFonts w:hint="eastAsia" w:ascii="仿宋" w:hAnsi="仿宋" w:eastAsia="仿宋" w:cs="仿宋"/>
                <w:color w:val="auto"/>
                <w:szCs w:val="24"/>
                <w:highlight w:val="none"/>
                <w:lang w:val="en-US" w:eastAsia="zh-CN"/>
              </w:rPr>
              <w:t>2</w:t>
            </w:r>
            <w:r>
              <w:rPr>
                <w:rFonts w:hint="eastAsia" w:ascii="仿宋" w:hAnsi="仿宋" w:eastAsia="仿宋" w:cs="仿宋"/>
                <w:color w:val="auto"/>
                <w:szCs w:val="24"/>
                <w:highlight w:val="none"/>
              </w:rPr>
              <w:t>分</w:t>
            </w:r>
          </w:p>
        </w:tc>
        <w:tc>
          <w:tcPr>
            <w:tcW w:w="3674" w:type="pct"/>
            <w:vAlign w:val="center"/>
          </w:tcPr>
          <w:p w14:paraId="60E6B850">
            <w:pPr>
              <w:spacing w:line="360" w:lineRule="auto"/>
              <w:rPr>
                <w:rStyle w:val="50"/>
                <w:rFonts w:hint="default" w:ascii="仿宋" w:hAnsi="仿宋" w:eastAsia="仿宋" w:cs="仿宋"/>
                <w:bCs/>
                <w:color w:val="auto"/>
                <w:szCs w:val="24"/>
                <w:highlight w:val="none"/>
                <w:lang w:val="en-US" w:eastAsia="zh-CN"/>
              </w:rPr>
            </w:pPr>
            <w:r>
              <w:rPr>
                <w:rStyle w:val="50"/>
                <w:rFonts w:hint="eastAsia" w:ascii="仿宋" w:hAnsi="仿宋" w:eastAsia="仿宋" w:cs="仿宋"/>
                <w:bCs/>
                <w:color w:val="auto"/>
                <w:szCs w:val="24"/>
                <w:highlight w:val="none"/>
                <w:lang w:val="en-US" w:eastAsia="zh-CN"/>
              </w:rPr>
              <w:t>1</w:t>
            </w:r>
            <w:r>
              <w:rPr>
                <w:rStyle w:val="50"/>
                <w:rFonts w:hint="eastAsia" w:ascii="仿宋" w:hAnsi="仿宋" w:eastAsia="仿宋" w:cs="仿宋"/>
                <w:bCs/>
                <w:color w:val="auto"/>
                <w:szCs w:val="24"/>
                <w:highlight w:val="none"/>
                <w:lang w:eastAsia="zh-CN"/>
              </w:rPr>
              <w:t>.</w:t>
            </w:r>
            <w:r>
              <w:rPr>
                <w:rStyle w:val="50"/>
                <w:rFonts w:hint="eastAsia" w:ascii="仿宋" w:hAnsi="仿宋" w:eastAsia="仿宋" w:cs="仿宋"/>
                <w:bCs/>
                <w:color w:val="auto"/>
                <w:szCs w:val="24"/>
                <w:highlight w:val="none"/>
                <w:lang w:val="en-US" w:eastAsia="zh-CN"/>
              </w:rPr>
              <w:t>投标人</w:t>
            </w:r>
            <w:r>
              <w:rPr>
                <w:rStyle w:val="50"/>
                <w:rFonts w:hint="eastAsia" w:ascii="仿宋" w:hAnsi="仿宋" w:eastAsia="仿宋" w:cs="仿宋"/>
                <w:bCs/>
                <w:color w:val="auto"/>
                <w:szCs w:val="24"/>
                <w:highlight w:val="none"/>
                <w:lang w:eastAsia="zh-CN"/>
              </w:rPr>
              <w:t>具备以下出版社直接授权的发行代理证或经销证书，每提供一家得</w:t>
            </w:r>
            <w:r>
              <w:rPr>
                <w:rStyle w:val="50"/>
                <w:rFonts w:hint="eastAsia" w:ascii="仿宋" w:hAnsi="仿宋" w:eastAsia="仿宋" w:cs="仿宋"/>
                <w:bCs/>
                <w:color w:val="auto"/>
                <w:szCs w:val="24"/>
                <w:highlight w:val="none"/>
                <w:lang w:val="en-US" w:eastAsia="zh-CN"/>
              </w:rPr>
              <w:t>1</w:t>
            </w:r>
            <w:r>
              <w:rPr>
                <w:rStyle w:val="50"/>
                <w:rFonts w:hint="eastAsia" w:ascii="仿宋" w:hAnsi="仿宋" w:eastAsia="仿宋" w:cs="仿宋"/>
                <w:bCs/>
                <w:color w:val="auto"/>
                <w:szCs w:val="24"/>
                <w:highlight w:val="none"/>
                <w:lang w:eastAsia="zh-CN"/>
              </w:rPr>
              <w:t>分：高等教育出版社、机械工业出版社、中国劳动社会保障出版社、电子工业出版、人民教育出版社、外语教学与研究出版社、人民邮电出版社、清华大学出版社、北京理工大学出版社、</w:t>
            </w:r>
            <w:r>
              <w:rPr>
                <w:rStyle w:val="50"/>
                <w:rFonts w:hint="eastAsia" w:ascii="仿宋" w:hAnsi="仿宋" w:eastAsia="仿宋" w:cs="仿宋"/>
                <w:bCs/>
                <w:color w:val="auto"/>
                <w:szCs w:val="24"/>
                <w:highlight w:val="none"/>
                <w:lang w:val="en-US" w:eastAsia="zh-CN"/>
              </w:rPr>
              <w:t>中国轻工业出版社、天津科技出版社、中国建工出版社、经济科学出版社、科学出版社、人民出版社、</w:t>
            </w:r>
            <w:r>
              <w:rPr>
                <w:rStyle w:val="50"/>
                <w:rFonts w:hint="eastAsia" w:ascii="仿宋" w:hAnsi="仿宋" w:eastAsia="仿宋" w:cs="仿宋"/>
                <w:bCs/>
                <w:color w:val="auto"/>
                <w:szCs w:val="24"/>
                <w:highlight w:val="none"/>
                <w:lang w:eastAsia="zh-CN"/>
              </w:rPr>
              <w:t>中国铁道出版社、北京师范大学出版社、华东师范大学出版社。</w:t>
            </w:r>
            <w:r>
              <w:rPr>
                <w:rStyle w:val="50"/>
                <w:rFonts w:hint="eastAsia" w:ascii="仿宋" w:hAnsi="仿宋" w:eastAsia="仿宋" w:cs="仿宋"/>
                <w:bCs/>
                <w:color w:val="auto"/>
                <w:szCs w:val="24"/>
                <w:highlight w:val="none"/>
                <w:lang w:val="en-US" w:eastAsia="zh-CN"/>
              </w:rPr>
              <w:t>此项最高得10分</w:t>
            </w:r>
          </w:p>
          <w:p w14:paraId="58ACF55E">
            <w:pPr>
              <w:spacing w:line="360" w:lineRule="auto"/>
              <w:rPr>
                <w:rFonts w:hint="default"/>
                <w:color w:val="auto"/>
                <w:highlight w:val="none"/>
                <w:lang w:val="en-US" w:eastAsia="zh-CN"/>
              </w:rPr>
            </w:pPr>
            <w:r>
              <w:rPr>
                <w:rStyle w:val="50"/>
                <w:rFonts w:hint="eastAsia" w:ascii="仿宋" w:hAnsi="仿宋" w:eastAsia="仿宋" w:cs="仿宋"/>
                <w:bCs/>
                <w:color w:val="auto"/>
                <w:szCs w:val="24"/>
                <w:highlight w:val="none"/>
                <w:lang w:val="en-US" w:eastAsia="zh-CN"/>
              </w:rPr>
              <w:t>2.</w:t>
            </w:r>
            <w:r>
              <w:rPr>
                <w:rStyle w:val="50"/>
                <w:rFonts w:hint="eastAsia" w:ascii="仿宋" w:hAnsi="仿宋" w:eastAsia="仿宋" w:cs="仿宋"/>
                <w:bCs/>
                <w:color w:val="auto"/>
                <w:szCs w:val="24"/>
                <w:highlight w:val="none"/>
                <w:lang w:eastAsia="zh-CN"/>
              </w:rPr>
              <w:t>其他出版社每提供一家得0.5分。</w:t>
            </w:r>
            <w:r>
              <w:rPr>
                <w:rStyle w:val="50"/>
                <w:rFonts w:hint="eastAsia" w:ascii="仿宋" w:hAnsi="仿宋" w:eastAsia="仿宋" w:cs="仿宋"/>
                <w:bCs/>
                <w:color w:val="auto"/>
                <w:szCs w:val="24"/>
                <w:highlight w:val="none"/>
                <w:lang w:val="en-US" w:eastAsia="zh-CN"/>
              </w:rPr>
              <w:t>此项最高得2分。</w:t>
            </w:r>
          </w:p>
          <w:p w14:paraId="67E5F247">
            <w:pPr>
              <w:spacing w:line="360" w:lineRule="auto"/>
              <w:rPr>
                <w:rFonts w:hint="eastAsia" w:ascii="仿宋" w:hAnsi="仿宋" w:eastAsia="仿宋" w:cs="仿宋"/>
                <w:color w:val="auto"/>
                <w:highlight w:val="none"/>
              </w:rPr>
            </w:pPr>
            <w:r>
              <w:rPr>
                <w:rStyle w:val="50"/>
                <w:rFonts w:hint="eastAsia" w:ascii="仿宋" w:hAnsi="仿宋" w:eastAsia="仿宋" w:cs="仿宋"/>
                <w:b/>
                <w:bCs w:val="0"/>
                <w:color w:val="auto"/>
                <w:szCs w:val="24"/>
                <w:highlight w:val="none"/>
                <w:lang w:eastAsia="zh-CN"/>
              </w:rPr>
              <w:t>评审依据：须提供有效的出版社授权合作书</w:t>
            </w:r>
            <w:r>
              <w:rPr>
                <w:rStyle w:val="50"/>
                <w:rFonts w:hint="eastAsia" w:ascii="仿宋" w:hAnsi="仿宋" w:eastAsia="仿宋" w:cs="仿宋"/>
                <w:b/>
                <w:bCs w:val="0"/>
                <w:color w:val="auto"/>
                <w:szCs w:val="24"/>
                <w:highlight w:val="none"/>
                <w:lang w:val="en-US" w:eastAsia="zh-CN"/>
              </w:rPr>
              <w:t>或</w:t>
            </w:r>
            <w:r>
              <w:rPr>
                <w:rStyle w:val="50"/>
                <w:rFonts w:hint="eastAsia" w:ascii="仿宋" w:hAnsi="仿宋" w:eastAsia="仿宋" w:cs="仿宋"/>
                <w:b/>
                <w:bCs w:val="0"/>
                <w:color w:val="auto"/>
                <w:szCs w:val="24"/>
                <w:highlight w:val="none"/>
                <w:lang w:eastAsia="zh-CN"/>
              </w:rPr>
              <w:t>授权书，须加盖出版社公章或</w:t>
            </w:r>
            <w:r>
              <w:rPr>
                <w:rStyle w:val="50"/>
                <w:rFonts w:hint="eastAsia" w:ascii="仿宋" w:hAnsi="仿宋" w:eastAsia="仿宋" w:cs="仿宋"/>
                <w:b/>
                <w:bCs w:val="0"/>
                <w:color w:val="auto"/>
                <w:szCs w:val="24"/>
                <w:highlight w:val="none"/>
                <w:lang w:val="en-US" w:eastAsia="zh-CN"/>
              </w:rPr>
              <w:t>出版社</w:t>
            </w:r>
            <w:r>
              <w:rPr>
                <w:rStyle w:val="50"/>
                <w:rFonts w:hint="eastAsia" w:ascii="仿宋" w:hAnsi="仿宋" w:eastAsia="仿宋" w:cs="仿宋"/>
                <w:b/>
                <w:bCs w:val="0"/>
                <w:color w:val="auto"/>
                <w:szCs w:val="24"/>
                <w:highlight w:val="none"/>
                <w:lang w:eastAsia="zh-CN"/>
              </w:rPr>
              <w:t>具有发行权的部门印章的原件</w:t>
            </w:r>
            <w:r>
              <w:rPr>
                <w:rStyle w:val="50"/>
                <w:rFonts w:hint="eastAsia" w:ascii="仿宋" w:hAnsi="仿宋" w:eastAsia="仿宋" w:cs="仿宋"/>
                <w:b/>
                <w:bCs w:val="0"/>
                <w:color w:val="auto"/>
                <w:szCs w:val="24"/>
                <w:highlight w:val="none"/>
                <w:lang w:val="en-US" w:eastAsia="zh-CN"/>
              </w:rPr>
              <w:t>复印</w:t>
            </w:r>
            <w:r>
              <w:rPr>
                <w:rStyle w:val="50"/>
                <w:rFonts w:hint="eastAsia" w:ascii="仿宋" w:hAnsi="仿宋" w:eastAsia="仿宋" w:cs="仿宋"/>
                <w:b/>
                <w:bCs w:val="0"/>
                <w:color w:val="auto"/>
                <w:szCs w:val="24"/>
                <w:highlight w:val="none"/>
                <w:lang w:eastAsia="zh-CN"/>
              </w:rPr>
              <w:t>件加盖投标人公章佐证。财务、分社等其它部门印章、产品推广授权、图书馆馆配授权无效，未提供或提供不符不得分。</w:t>
            </w:r>
          </w:p>
        </w:tc>
      </w:tr>
      <w:tr w14:paraId="77707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 w:hRule="atLeast"/>
          <w:jc w:val="center"/>
        </w:trPr>
        <w:tc>
          <w:tcPr>
            <w:tcW w:w="381" w:type="pct"/>
            <w:vAlign w:val="center"/>
          </w:tcPr>
          <w:p w14:paraId="599E05EA">
            <w:pPr>
              <w:spacing w:line="360" w:lineRule="auto"/>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2.3</w:t>
            </w:r>
          </w:p>
        </w:tc>
        <w:tc>
          <w:tcPr>
            <w:tcW w:w="480" w:type="pct"/>
            <w:vAlign w:val="center"/>
          </w:tcPr>
          <w:p w14:paraId="7BD23668">
            <w:pPr>
              <w:pStyle w:val="38"/>
              <w:widowControl/>
              <w:tabs>
                <w:tab w:val="left" w:pos="312"/>
              </w:tabs>
              <w:autoSpaceDE/>
              <w:autoSpaceDN/>
              <w:spacing w:line="360" w:lineRule="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整体</w:t>
            </w:r>
          </w:p>
          <w:p w14:paraId="1FC25C5D">
            <w:pPr>
              <w:pStyle w:val="38"/>
              <w:widowControl/>
              <w:tabs>
                <w:tab w:val="left" w:pos="312"/>
              </w:tabs>
              <w:autoSpaceDE/>
              <w:autoSpaceDN/>
              <w:spacing w:line="360" w:lineRule="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服务</w:t>
            </w:r>
          </w:p>
          <w:p w14:paraId="7B05FCC4">
            <w:pPr>
              <w:widowControl/>
              <w:spacing w:line="360" w:lineRule="auto"/>
              <w:jc w:val="center"/>
              <w:rPr>
                <w:rFonts w:hint="eastAsia" w:ascii="仿宋" w:hAnsi="仿宋" w:eastAsia="仿宋" w:cs="仿宋"/>
                <w:color w:val="auto"/>
                <w:kern w:val="0"/>
                <w:szCs w:val="24"/>
                <w:highlight w:val="none"/>
              </w:rPr>
            </w:pPr>
            <w:r>
              <w:rPr>
                <w:rFonts w:hint="eastAsia" w:ascii="仿宋" w:hAnsi="仿宋" w:eastAsia="仿宋" w:cs="仿宋"/>
                <w:bCs/>
                <w:color w:val="auto"/>
                <w:kern w:val="2"/>
                <w:sz w:val="24"/>
                <w:szCs w:val="24"/>
                <w:highlight w:val="none"/>
                <w:lang w:val="en-US" w:eastAsia="zh-CN" w:bidi="ar-SA"/>
              </w:rPr>
              <w:t>方案</w:t>
            </w:r>
          </w:p>
        </w:tc>
        <w:tc>
          <w:tcPr>
            <w:tcW w:w="464" w:type="pct"/>
            <w:vAlign w:val="center"/>
          </w:tcPr>
          <w:p w14:paraId="5294E5A4">
            <w:pPr>
              <w:widowControl/>
              <w:spacing w:line="360" w:lineRule="auto"/>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4分</w:t>
            </w:r>
          </w:p>
        </w:tc>
        <w:tc>
          <w:tcPr>
            <w:tcW w:w="3674" w:type="pct"/>
            <w:vAlign w:val="center"/>
          </w:tcPr>
          <w:p w14:paraId="46538696">
            <w:pPr>
              <w:pStyle w:val="38"/>
              <w:widowControl/>
              <w:tabs>
                <w:tab w:val="left" w:pos="312"/>
              </w:tabs>
              <w:autoSpaceDE/>
              <w:autoSpaceDN/>
              <w:spacing w:line="360" w:lineRule="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投标人提供针对本项目制定的教材服务计划和整体实施方案，从以下几个方面进行阐述，包括但不限于：</w:t>
            </w:r>
          </w:p>
          <w:p w14:paraId="42F0FFDD">
            <w:pPr>
              <w:pStyle w:val="38"/>
              <w:widowControl/>
              <w:tabs>
                <w:tab w:val="left" w:pos="312"/>
              </w:tabs>
              <w:autoSpaceDE/>
              <w:autoSpaceDN/>
              <w:spacing w:line="360" w:lineRule="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1、事件发生的预警措施；</w:t>
            </w:r>
          </w:p>
          <w:p w14:paraId="06AD4DB7">
            <w:pPr>
              <w:pStyle w:val="38"/>
              <w:widowControl/>
              <w:tabs>
                <w:tab w:val="left" w:pos="312"/>
              </w:tabs>
              <w:autoSpaceDE/>
              <w:autoSpaceDN/>
              <w:spacing w:line="360" w:lineRule="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2、应急处理安排；</w:t>
            </w:r>
          </w:p>
          <w:p w14:paraId="4B02CCE8">
            <w:pPr>
              <w:pStyle w:val="38"/>
              <w:widowControl/>
              <w:tabs>
                <w:tab w:val="left" w:pos="312"/>
              </w:tabs>
              <w:autoSpaceDE/>
              <w:autoSpaceDN/>
              <w:spacing w:line="360" w:lineRule="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3、人员调配的及时性；</w:t>
            </w:r>
          </w:p>
          <w:p w14:paraId="3A04BB7C">
            <w:pPr>
              <w:pStyle w:val="38"/>
              <w:widowControl/>
              <w:tabs>
                <w:tab w:val="left" w:pos="312"/>
              </w:tabs>
              <w:autoSpaceDE/>
              <w:autoSpaceDN/>
              <w:spacing w:line="360" w:lineRule="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4、退（换）货流程等事后保障措施。</w:t>
            </w:r>
          </w:p>
          <w:p w14:paraId="36296933">
            <w:pPr>
              <w:pStyle w:val="38"/>
              <w:widowControl/>
              <w:tabs>
                <w:tab w:val="left" w:pos="312"/>
              </w:tabs>
              <w:autoSpaceDE/>
              <w:autoSpaceDN/>
              <w:spacing w:line="360" w:lineRule="auto"/>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根据各响应供应商提供的服务方案进行打分：每提供一项得1分，最高得4分，未提供不得分。</w:t>
            </w:r>
          </w:p>
          <w:p w14:paraId="7B96EF7F">
            <w:pPr>
              <w:spacing w:line="360" w:lineRule="auto"/>
              <w:rPr>
                <w:rStyle w:val="50"/>
                <w:rFonts w:hint="eastAsia" w:ascii="仿宋" w:hAnsi="仿宋" w:eastAsia="仿宋" w:cs="仿宋"/>
                <w:b/>
                <w:color w:val="auto"/>
                <w:szCs w:val="24"/>
                <w:highlight w:val="none"/>
              </w:rPr>
            </w:pPr>
            <w:r>
              <w:rPr>
                <w:rFonts w:hint="eastAsia" w:ascii="仿宋" w:hAnsi="仿宋" w:eastAsia="仿宋" w:cs="仿宋"/>
                <w:b/>
                <w:bCs w:val="0"/>
                <w:color w:val="auto"/>
                <w:kern w:val="2"/>
                <w:sz w:val="24"/>
                <w:szCs w:val="24"/>
                <w:highlight w:val="none"/>
                <w:lang w:val="en-US" w:eastAsia="zh-CN" w:bidi="ar-SA"/>
              </w:rPr>
              <w:t>评审依据：投标文件中提供教材服务计划和整体实施方案并加盖投标人公章。</w:t>
            </w:r>
          </w:p>
        </w:tc>
      </w:tr>
      <w:tr w14:paraId="77EEEB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81" w:type="pct"/>
            <w:vAlign w:val="center"/>
          </w:tcPr>
          <w:p w14:paraId="7036D988">
            <w:pPr>
              <w:spacing w:line="360" w:lineRule="auto"/>
              <w:jc w:val="center"/>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3</w:t>
            </w:r>
          </w:p>
        </w:tc>
        <w:tc>
          <w:tcPr>
            <w:tcW w:w="4618" w:type="pct"/>
            <w:gridSpan w:val="3"/>
            <w:vAlign w:val="center"/>
          </w:tcPr>
          <w:p w14:paraId="0F5C958F">
            <w:pPr>
              <w:spacing w:line="360" w:lineRule="auto"/>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商务总分（20分）</w:t>
            </w:r>
          </w:p>
        </w:tc>
      </w:tr>
      <w:tr w14:paraId="74976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6" w:hRule="atLeast"/>
          <w:jc w:val="center"/>
        </w:trPr>
        <w:tc>
          <w:tcPr>
            <w:tcW w:w="381" w:type="pct"/>
            <w:vAlign w:val="center"/>
          </w:tcPr>
          <w:p w14:paraId="4EC363FB">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3.1</w:t>
            </w:r>
          </w:p>
        </w:tc>
        <w:tc>
          <w:tcPr>
            <w:tcW w:w="480" w:type="pct"/>
            <w:vAlign w:val="center"/>
          </w:tcPr>
          <w:p w14:paraId="45144037">
            <w:pPr>
              <w:widowControl/>
              <w:spacing w:line="360" w:lineRule="auto"/>
              <w:jc w:val="center"/>
              <w:rPr>
                <w:rFonts w:hint="eastAsia" w:ascii="仿宋" w:hAnsi="仿宋" w:eastAsia="仿宋" w:cs="仿宋"/>
                <w:b/>
                <w:bCs/>
                <w:color w:val="auto"/>
                <w:kern w:val="0"/>
                <w:szCs w:val="24"/>
                <w:highlight w:val="none"/>
              </w:rPr>
            </w:pPr>
            <w:r>
              <w:rPr>
                <w:rFonts w:hint="eastAsia" w:ascii="仿宋" w:hAnsi="仿宋" w:eastAsia="仿宋" w:cs="仿宋"/>
                <w:color w:val="auto"/>
                <w:szCs w:val="24"/>
                <w:highlight w:val="none"/>
              </w:rPr>
              <w:t>业绩</w:t>
            </w:r>
          </w:p>
        </w:tc>
        <w:tc>
          <w:tcPr>
            <w:tcW w:w="464" w:type="pct"/>
            <w:vAlign w:val="center"/>
          </w:tcPr>
          <w:p w14:paraId="3E7AF77A">
            <w:pPr>
              <w:widowControl/>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rPr>
              <w:t>1</w:t>
            </w:r>
            <w:r>
              <w:rPr>
                <w:rFonts w:hint="eastAsia" w:ascii="仿宋" w:hAnsi="仿宋" w:eastAsia="仿宋" w:cs="仿宋"/>
                <w:color w:val="auto"/>
                <w:szCs w:val="24"/>
                <w:highlight w:val="none"/>
                <w:lang w:val="en-US" w:eastAsia="zh-CN"/>
              </w:rPr>
              <w:t>0</w:t>
            </w:r>
            <w:r>
              <w:rPr>
                <w:rFonts w:hint="eastAsia" w:ascii="仿宋" w:hAnsi="仿宋" w:eastAsia="仿宋" w:cs="仿宋"/>
                <w:color w:val="auto"/>
                <w:szCs w:val="24"/>
                <w:highlight w:val="none"/>
              </w:rPr>
              <w:t>分</w:t>
            </w:r>
          </w:p>
        </w:tc>
        <w:tc>
          <w:tcPr>
            <w:tcW w:w="3674" w:type="pct"/>
            <w:vAlign w:val="center"/>
          </w:tcPr>
          <w:p w14:paraId="30379C3B">
            <w:pPr>
              <w:widowControl/>
              <w:spacing w:line="360" w:lineRule="auto"/>
              <w:rPr>
                <w:rStyle w:val="50"/>
                <w:rFonts w:hint="eastAsia" w:ascii="仿宋" w:hAnsi="仿宋" w:eastAsia="仿宋" w:cs="仿宋"/>
                <w:bCs/>
                <w:color w:val="auto"/>
                <w:sz w:val="24"/>
                <w:szCs w:val="24"/>
                <w:highlight w:val="none"/>
                <w:lang w:eastAsia="zh-CN"/>
              </w:rPr>
            </w:pPr>
            <w:r>
              <w:rPr>
                <w:rStyle w:val="50"/>
                <w:rFonts w:hint="eastAsia" w:ascii="仿宋" w:hAnsi="仿宋" w:eastAsia="仿宋" w:cs="仿宋"/>
                <w:bCs/>
                <w:color w:val="auto"/>
                <w:sz w:val="24"/>
                <w:szCs w:val="24"/>
                <w:highlight w:val="none"/>
                <w:lang w:eastAsia="zh-CN"/>
              </w:rPr>
              <w:t>投标人具有2022年1月1日以来(以合同签订日期为准)已完成或在实施的类似</w:t>
            </w:r>
            <w:r>
              <w:rPr>
                <w:rStyle w:val="50"/>
                <w:rFonts w:hint="eastAsia" w:ascii="仿宋" w:hAnsi="仿宋" w:eastAsia="仿宋" w:cs="仿宋"/>
                <w:bCs/>
                <w:color w:val="auto"/>
                <w:sz w:val="24"/>
                <w:szCs w:val="24"/>
                <w:highlight w:val="none"/>
                <w:lang w:val="en-US" w:eastAsia="zh-CN"/>
              </w:rPr>
              <w:t>教材</w:t>
            </w:r>
            <w:r>
              <w:rPr>
                <w:rStyle w:val="50"/>
                <w:rFonts w:hint="eastAsia" w:ascii="仿宋" w:hAnsi="仿宋" w:eastAsia="仿宋" w:cs="仿宋"/>
                <w:bCs/>
                <w:color w:val="auto"/>
                <w:sz w:val="24"/>
                <w:szCs w:val="24"/>
                <w:highlight w:val="none"/>
                <w:lang w:eastAsia="zh-CN"/>
              </w:rPr>
              <w:t>项目业绩，每个业绩得2分，累计最高得10分。未提供不得分。</w:t>
            </w:r>
          </w:p>
          <w:p w14:paraId="104053FF">
            <w:pPr>
              <w:widowControl/>
              <w:spacing w:line="360" w:lineRule="auto"/>
              <w:rPr>
                <w:rFonts w:hint="eastAsia" w:ascii="仿宋" w:hAnsi="仿宋" w:eastAsia="仿宋" w:cs="仿宋"/>
                <w:color w:val="auto"/>
                <w:szCs w:val="24"/>
                <w:highlight w:val="none"/>
              </w:rPr>
            </w:pPr>
            <w:r>
              <w:rPr>
                <w:rStyle w:val="50"/>
                <w:rFonts w:hint="eastAsia" w:ascii="仿宋" w:hAnsi="仿宋" w:eastAsia="仿宋" w:cs="仿宋"/>
                <w:b/>
                <w:bCs w:val="0"/>
                <w:color w:val="auto"/>
                <w:sz w:val="24"/>
                <w:szCs w:val="24"/>
                <w:highlight w:val="none"/>
                <w:lang w:eastAsia="zh-CN"/>
              </w:rPr>
              <w:t>评审依据:投标文件中提供合同关键页(至少包含封面、首页、合同标的及签字盖章页)</w:t>
            </w:r>
            <w:r>
              <w:rPr>
                <w:rStyle w:val="50"/>
                <w:rFonts w:hint="eastAsia" w:ascii="仿宋" w:hAnsi="仿宋" w:eastAsia="仿宋" w:cs="仿宋"/>
                <w:b/>
                <w:bCs w:val="0"/>
                <w:color w:val="auto"/>
                <w:sz w:val="24"/>
                <w:szCs w:val="24"/>
                <w:highlight w:val="none"/>
                <w:lang w:val="en-US" w:eastAsia="zh-CN"/>
              </w:rPr>
              <w:t>复印件加盖投标人公章</w:t>
            </w:r>
            <w:r>
              <w:rPr>
                <w:rStyle w:val="50"/>
                <w:rFonts w:hint="eastAsia" w:ascii="仿宋" w:hAnsi="仿宋" w:eastAsia="仿宋" w:cs="仿宋"/>
                <w:b/>
                <w:bCs w:val="0"/>
                <w:color w:val="auto"/>
                <w:sz w:val="24"/>
                <w:szCs w:val="24"/>
                <w:highlight w:val="none"/>
                <w:lang w:eastAsia="zh-CN"/>
              </w:rPr>
              <w:t>。</w:t>
            </w:r>
          </w:p>
        </w:tc>
      </w:tr>
      <w:tr w14:paraId="110044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6" w:hRule="atLeast"/>
          <w:jc w:val="center"/>
        </w:trPr>
        <w:tc>
          <w:tcPr>
            <w:tcW w:w="381" w:type="pct"/>
            <w:vAlign w:val="center"/>
          </w:tcPr>
          <w:p w14:paraId="6F880994">
            <w:pPr>
              <w:spacing w:line="360" w:lineRule="auto"/>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3.2</w:t>
            </w:r>
          </w:p>
        </w:tc>
        <w:tc>
          <w:tcPr>
            <w:tcW w:w="480" w:type="pct"/>
            <w:vAlign w:val="center"/>
          </w:tcPr>
          <w:p w14:paraId="53A71EC8">
            <w:pPr>
              <w:widowControl/>
              <w:spacing w:line="360" w:lineRule="auto"/>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服务满意度</w:t>
            </w:r>
          </w:p>
        </w:tc>
        <w:tc>
          <w:tcPr>
            <w:tcW w:w="464" w:type="pct"/>
            <w:vAlign w:val="center"/>
          </w:tcPr>
          <w:p w14:paraId="01BCCBE0">
            <w:pPr>
              <w:widowControl/>
              <w:spacing w:line="360" w:lineRule="auto"/>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2分</w:t>
            </w:r>
          </w:p>
        </w:tc>
        <w:tc>
          <w:tcPr>
            <w:tcW w:w="3674" w:type="pct"/>
            <w:vAlign w:val="center"/>
          </w:tcPr>
          <w:p w14:paraId="329796C3">
            <w:pPr>
              <w:pStyle w:val="52"/>
              <w:spacing w:line="360" w:lineRule="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投标人具有2022年5月1日以来（以满意度证明时间为准）由投标人自身完成的同类型项目服务评价情况的满意度证明进行评分，每提供一份满意证明（如评价为满意、优秀、表扬等或评分为80分及以上等同类评价）且按期到书率在100%的得1分，满分2分。</w:t>
            </w:r>
          </w:p>
          <w:p w14:paraId="7D436D19">
            <w:pPr>
              <w:widowControl/>
              <w:spacing w:line="360" w:lineRule="auto"/>
              <w:rPr>
                <w:rFonts w:hint="eastAsia" w:ascii="仿宋" w:hAnsi="仿宋" w:eastAsia="仿宋" w:cs="仿宋"/>
                <w:b/>
                <w:bCs/>
                <w:color w:val="auto"/>
                <w:kern w:val="0"/>
                <w:szCs w:val="24"/>
                <w:highlight w:val="none"/>
              </w:rPr>
            </w:pPr>
            <w:r>
              <w:rPr>
                <w:rFonts w:hint="eastAsia" w:ascii="仿宋" w:hAnsi="仿宋" w:eastAsia="仿宋" w:cs="仿宋"/>
                <w:b/>
                <w:bCs/>
                <w:color w:val="auto"/>
                <w:kern w:val="2"/>
                <w:sz w:val="24"/>
                <w:szCs w:val="24"/>
                <w:highlight w:val="none"/>
                <w:lang w:val="en-US" w:eastAsia="zh-CN" w:bidi="ar-SA"/>
              </w:rPr>
              <w:t>评审依据：投标文件中提供服务满意度证明材料加盖使用单位（部门）公章复印件加盖投标人公章。</w:t>
            </w:r>
          </w:p>
        </w:tc>
      </w:tr>
      <w:tr w14:paraId="3E866F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6" w:hRule="atLeast"/>
          <w:jc w:val="center"/>
        </w:trPr>
        <w:tc>
          <w:tcPr>
            <w:tcW w:w="381" w:type="pct"/>
            <w:vAlign w:val="center"/>
          </w:tcPr>
          <w:p w14:paraId="140F865D">
            <w:pPr>
              <w:spacing w:line="360" w:lineRule="auto"/>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3.</w:t>
            </w:r>
            <w:r>
              <w:rPr>
                <w:rFonts w:hint="eastAsia" w:ascii="仿宋" w:hAnsi="仿宋" w:eastAsia="仿宋" w:cs="仿宋"/>
                <w:color w:val="auto"/>
                <w:szCs w:val="24"/>
                <w:highlight w:val="none"/>
                <w:lang w:val="en-US" w:eastAsia="zh-CN"/>
              </w:rPr>
              <w:t>3</w:t>
            </w:r>
          </w:p>
        </w:tc>
        <w:tc>
          <w:tcPr>
            <w:tcW w:w="480" w:type="pct"/>
            <w:vAlign w:val="center"/>
          </w:tcPr>
          <w:p w14:paraId="03F3F15E">
            <w:pPr>
              <w:spacing w:line="360" w:lineRule="auto"/>
              <w:jc w:val="center"/>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售后</w:t>
            </w:r>
            <w:r>
              <w:rPr>
                <w:rFonts w:hint="eastAsia" w:ascii="仿宋" w:hAnsi="仿宋" w:eastAsia="仿宋" w:cs="仿宋"/>
                <w:color w:val="auto"/>
                <w:szCs w:val="24"/>
                <w:highlight w:val="none"/>
              </w:rPr>
              <w:t>服务承诺</w:t>
            </w:r>
          </w:p>
        </w:tc>
        <w:tc>
          <w:tcPr>
            <w:tcW w:w="464" w:type="pct"/>
            <w:vAlign w:val="center"/>
          </w:tcPr>
          <w:p w14:paraId="7523D263">
            <w:pPr>
              <w:spacing w:line="360" w:lineRule="auto"/>
              <w:jc w:val="center"/>
              <w:rPr>
                <w:rFonts w:hint="eastAsia" w:ascii="仿宋" w:hAnsi="仿宋" w:eastAsia="仿宋" w:cs="仿宋"/>
                <w:color w:val="auto"/>
                <w:kern w:val="0"/>
                <w:szCs w:val="24"/>
                <w:highlight w:val="none"/>
              </w:rPr>
            </w:pPr>
            <w:r>
              <w:rPr>
                <w:rFonts w:hint="eastAsia" w:ascii="仿宋" w:hAnsi="仿宋" w:eastAsia="仿宋" w:cs="仿宋"/>
                <w:color w:val="auto"/>
                <w:kern w:val="0"/>
                <w:szCs w:val="24"/>
                <w:highlight w:val="none"/>
              </w:rPr>
              <w:t>8分</w:t>
            </w:r>
          </w:p>
        </w:tc>
        <w:tc>
          <w:tcPr>
            <w:tcW w:w="3674" w:type="pct"/>
            <w:vAlign w:val="center"/>
          </w:tcPr>
          <w:p w14:paraId="622268AF">
            <w:pPr>
              <w:pStyle w:val="38"/>
              <w:widowControl/>
              <w:autoSpaceDE/>
              <w:autoSpaceDN/>
              <w:spacing w:line="360" w:lineRule="auto"/>
              <w:rPr>
                <w:rFonts w:hint="eastAsia" w:ascii="仿宋" w:hAnsi="仿宋" w:eastAsia="仿宋" w:cs="仿宋"/>
                <w:bCs/>
                <w:color w:val="auto"/>
                <w:sz w:val="24"/>
                <w:szCs w:val="24"/>
                <w:highlight w:val="none"/>
                <w:lang w:eastAsia="zh-CN"/>
              </w:rPr>
            </w:pPr>
            <w:r>
              <w:rPr>
                <w:rStyle w:val="50"/>
                <w:rFonts w:hint="eastAsia" w:ascii="仿宋" w:hAnsi="仿宋" w:eastAsia="仿宋" w:cs="仿宋"/>
                <w:bCs/>
                <w:color w:val="auto"/>
                <w:sz w:val="24"/>
                <w:szCs w:val="24"/>
                <w:highlight w:val="none"/>
                <w:lang w:eastAsia="zh-CN"/>
              </w:rPr>
              <w:t>1.承诺提供春、秋两季教材的征订目录、光盘，推荐给</w:t>
            </w:r>
            <w:r>
              <w:rPr>
                <w:rStyle w:val="50"/>
                <w:rFonts w:hint="eastAsia" w:ascii="仿宋" w:hAnsi="仿宋" w:eastAsia="仿宋" w:cs="仿宋"/>
                <w:bCs/>
                <w:color w:val="auto"/>
                <w:sz w:val="24"/>
                <w:szCs w:val="24"/>
                <w:highlight w:val="none"/>
                <w:lang w:val="en-US" w:eastAsia="zh-CN"/>
              </w:rPr>
              <w:t>采购人</w:t>
            </w:r>
            <w:r>
              <w:rPr>
                <w:rStyle w:val="50"/>
                <w:rFonts w:hint="eastAsia" w:ascii="仿宋" w:hAnsi="仿宋" w:eastAsia="仿宋" w:cs="仿宋"/>
                <w:bCs/>
                <w:color w:val="auto"/>
                <w:sz w:val="24"/>
                <w:szCs w:val="24"/>
                <w:highlight w:val="none"/>
                <w:lang w:eastAsia="zh-CN"/>
              </w:rPr>
              <w:t>对口的最新教材、获奖教材、提供教材出版发行的最新信息资料，得2分。</w:t>
            </w:r>
          </w:p>
          <w:p w14:paraId="7B919CCD">
            <w:pPr>
              <w:pStyle w:val="38"/>
              <w:widowControl/>
              <w:autoSpaceDE/>
              <w:autoSpaceDN/>
              <w:spacing w:line="360" w:lineRule="auto"/>
              <w:rPr>
                <w:rFonts w:hint="eastAsia" w:ascii="仿宋" w:hAnsi="仿宋" w:eastAsia="仿宋" w:cs="仿宋"/>
                <w:bCs/>
                <w:color w:val="auto"/>
                <w:sz w:val="24"/>
                <w:szCs w:val="24"/>
                <w:highlight w:val="none"/>
                <w:lang w:eastAsia="zh-CN"/>
              </w:rPr>
            </w:pPr>
            <w:r>
              <w:rPr>
                <w:rStyle w:val="50"/>
                <w:rFonts w:hint="eastAsia" w:ascii="仿宋" w:hAnsi="仿宋" w:eastAsia="仿宋" w:cs="仿宋"/>
                <w:bCs/>
                <w:color w:val="auto"/>
                <w:sz w:val="24"/>
                <w:szCs w:val="24"/>
                <w:highlight w:val="none"/>
                <w:lang w:eastAsia="zh-CN"/>
              </w:rPr>
              <w:t>2.承诺售前售中售后所有工作实行免费上门服务，且配备有专门对接采购人教材征订的专业技术人员的，得2分。</w:t>
            </w:r>
          </w:p>
          <w:p w14:paraId="2C46AF15">
            <w:pPr>
              <w:pStyle w:val="38"/>
              <w:widowControl/>
              <w:autoSpaceDE/>
              <w:autoSpaceDN/>
              <w:spacing w:line="360" w:lineRule="auto"/>
              <w:rPr>
                <w:rFonts w:hint="eastAsia" w:ascii="仿宋" w:hAnsi="仿宋" w:eastAsia="仿宋" w:cs="仿宋"/>
                <w:bCs/>
                <w:color w:val="auto"/>
                <w:sz w:val="24"/>
                <w:szCs w:val="24"/>
                <w:highlight w:val="none"/>
                <w:lang w:eastAsia="zh-CN"/>
              </w:rPr>
            </w:pPr>
            <w:r>
              <w:rPr>
                <w:rStyle w:val="50"/>
                <w:rFonts w:hint="eastAsia" w:ascii="仿宋" w:hAnsi="仿宋" w:eastAsia="仿宋" w:cs="仿宋"/>
                <w:bCs/>
                <w:color w:val="auto"/>
                <w:sz w:val="24"/>
                <w:szCs w:val="24"/>
                <w:highlight w:val="none"/>
                <w:lang w:eastAsia="zh-CN"/>
              </w:rPr>
              <w:t>3.承诺教材按时到货，到书准确、及时，保证教材在开</w:t>
            </w:r>
            <w:r>
              <w:rPr>
                <w:rStyle w:val="50"/>
                <w:rFonts w:hint="eastAsia" w:ascii="仿宋" w:hAnsi="仿宋" w:eastAsia="仿宋" w:cs="仿宋"/>
                <w:bCs/>
                <w:color w:val="auto"/>
                <w:sz w:val="24"/>
                <w:szCs w:val="24"/>
                <w:highlight w:val="none"/>
                <w:lang w:val="en-US" w:eastAsia="zh-CN"/>
              </w:rPr>
              <w:t>学</w:t>
            </w:r>
            <w:r>
              <w:rPr>
                <w:rStyle w:val="50"/>
                <w:rFonts w:hint="eastAsia" w:ascii="仿宋" w:hAnsi="仿宋" w:eastAsia="仿宋" w:cs="仿宋"/>
                <w:bCs/>
                <w:color w:val="auto"/>
                <w:sz w:val="24"/>
                <w:szCs w:val="24"/>
                <w:highlight w:val="none"/>
                <w:lang w:eastAsia="zh-CN"/>
              </w:rPr>
              <w:t>前100%到达，</w:t>
            </w:r>
            <w:r>
              <w:rPr>
                <w:rStyle w:val="50"/>
                <w:rFonts w:hint="eastAsia" w:ascii="仿宋" w:hAnsi="仿宋" w:eastAsia="仿宋" w:cs="仿宋"/>
                <w:bCs/>
                <w:color w:val="auto"/>
                <w:sz w:val="24"/>
                <w:szCs w:val="24"/>
                <w:highlight w:val="none"/>
                <w:lang w:val="en-US" w:eastAsia="zh-CN"/>
              </w:rPr>
              <w:t>补丁</w:t>
            </w:r>
            <w:r>
              <w:rPr>
                <w:rStyle w:val="50"/>
                <w:rFonts w:hint="eastAsia" w:ascii="仿宋" w:hAnsi="仿宋" w:eastAsia="仿宋" w:cs="仿宋"/>
                <w:bCs/>
                <w:color w:val="auto"/>
                <w:sz w:val="24"/>
                <w:szCs w:val="24"/>
                <w:highlight w:val="none"/>
                <w:lang w:eastAsia="zh-CN"/>
              </w:rPr>
              <w:t>教材7个工作日内到书，得2分。</w:t>
            </w:r>
          </w:p>
          <w:p w14:paraId="30D69D73">
            <w:pPr>
              <w:pStyle w:val="38"/>
              <w:widowControl/>
              <w:autoSpaceDE/>
              <w:autoSpaceDN/>
              <w:spacing w:line="360" w:lineRule="auto"/>
              <w:rPr>
                <w:rFonts w:hint="eastAsia" w:ascii="仿宋" w:hAnsi="仿宋" w:eastAsia="仿宋" w:cs="仿宋"/>
                <w:color w:val="auto"/>
                <w:sz w:val="24"/>
                <w:szCs w:val="24"/>
                <w:highlight w:val="none"/>
                <w:lang w:eastAsia="zh-CN"/>
              </w:rPr>
            </w:pPr>
            <w:r>
              <w:rPr>
                <w:rStyle w:val="50"/>
                <w:rFonts w:hint="eastAsia" w:ascii="仿宋" w:hAnsi="仿宋" w:eastAsia="仿宋" w:cs="仿宋"/>
                <w:bCs/>
                <w:color w:val="auto"/>
                <w:sz w:val="24"/>
                <w:szCs w:val="24"/>
                <w:highlight w:val="none"/>
                <w:lang w:eastAsia="zh-CN"/>
              </w:rPr>
              <w:t>4.承诺配合采购人如因招生计划与实际录取、报到人数的变动和因转专业而造成的教材调整，负责对所订教材进行调剂、退换，承担所有费用，并接受采购人教材为零库存的管理模式，得2分。</w:t>
            </w:r>
          </w:p>
          <w:p w14:paraId="08EC4192">
            <w:pPr>
              <w:spacing w:line="360" w:lineRule="auto"/>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rPr>
              <w:t>评审依据：投标人提供包含上述所有内容的承诺函并加盖公章</w:t>
            </w:r>
            <w:r>
              <w:rPr>
                <w:rStyle w:val="50"/>
                <w:rFonts w:hint="eastAsia" w:ascii="仿宋" w:hAnsi="仿宋" w:eastAsia="仿宋" w:cs="仿宋"/>
                <w:b/>
                <w:color w:val="auto"/>
                <w:szCs w:val="24"/>
                <w:highlight w:val="none"/>
              </w:rPr>
              <w:t>佐证,未提供或提供不符不得分。</w:t>
            </w:r>
          </w:p>
        </w:tc>
      </w:tr>
    </w:tbl>
    <w:p w14:paraId="3CA820A3">
      <w:pPr>
        <w:rPr>
          <w:rFonts w:hint="eastAsia" w:ascii="仿宋" w:hAnsi="仿宋" w:eastAsia="仿宋" w:cs="仿宋"/>
          <w:b/>
          <w:bCs/>
          <w:color w:val="auto"/>
          <w:highlight w:val="none"/>
        </w:rPr>
      </w:pPr>
    </w:p>
    <w:p w14:paraId="6CA21C28">
      <w:pPr>
        <w:rPr>
          <w:rFonts w:hint="eastAsia" w:ascii="仿宋" w:hAnsi="仿宋" w:eastAsia="仿宋" w:cs="仿宋"/>
          <w:b/>
          <w:i w:val="0"/>
          <w:iCs/>
          <w:color w:val="auto"/>
          <w:sz w:val="36"/>
          <w:szCs w:val="36"/>
          <w:highlight w:val="none"/>
          <w:lang w:val="en-US" w:eastAsia="zh-CN"/>
        </w:rPr>
      </w:pPr>
      <w:r>
        <w:rPr>
          <w:rFonts w:hint="eastAsia" w:ascii="仿宋" w:hAnsi="仿宋" w:eastAsia="仿宋" w:cs="仿宋"/>
          <w:b/>
          <w:i w:val="0"/>
          <w:iCs/>
          <w:color w:val="auto"/>
          <w:sz w:val="36"/>
          <w:szCs w:val="36"/>
          <w:highlight w:val="none"/>
          <w:lang w:val="en-US" w:eastAsia="zh-CN"/>
        </w:rPr>
        <w:br w:type="page"/>
      </w:r>
    </w:p>
    <w:p w14:paraId="6F3B0996">
      <w:pPr>
        <w:jc w:val="center"/>
        <w:rPr>
          <w:rFonts w:hint="eastAsia" w:ascii="仿宋" w:hAnsi="仿宋" w:eastAsia="仿宋" w:cs="仿宋"/>
          <w:b/>
          <w:i w:val="0"/>
          <w:iCs/>
          <w:color w:val="auto"/>
          <w:sz w:val="36"/>
          <w:szCs w:val="36"/>
          <w:highlight w:val="none"/>
          <w:lang w:val="en-US" w:eastAsia="zh-CN"/>
        </w:rPr>
      </w:pPr>
      <w:r>
        <w:rPr>
          <w:rFonts w:hint="eastAsia" w:ascii="仿宋" w:hAnsi="仿宋" w:eastAsia="仿宋" w:cs="仿宋"/>
          <w:b/>
          <w:i w:val="0"/>
          <w:iCs/>
          <w:color w:val="auto"/>
          <w:sz w:val="36"/>
          <w:szCs w:val="36"/>
          <w:highlight w:val="none"/>
          <w:lang w:val="en-US" w:eastAsia="zh-CN"/>
        </w:rPr>
        <w:t>赣企恒招〔2026〕-3号招标公告及文件审批意见</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7850"/>
      </w:tblGrid>
      <w:tr w14:paraId="6061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8" w:hRule="atLeast"/>
        </w:trPr>
        <w:tc>
          <w:tcPr>
            <w:tcW w:w="1249" w:type="dxa"/>
            <w:noWrap w:val="0"/>
            <w:vAlign w:val="top"/>
          </w:tcPr>
          <w:p w14:paraId="78DBF152">
            <w:pPr>
              <w:jc w:val="center"/>
              <w:rPr>
                <w:rFonts w:hint="eastAsia" w:ascii="仿宋" w:hAnsi="仿宋" w:eastAsia="仿宋" w:cs="仿宋"/>
                <w:color w:val="auto"/>
                <w:sz w:val="24"/>
                <w:szCs w:val="22"/>
                <w:highlight w:val="none"/>
                <w:lang w:val="en-US" w:eastAsia="zh-CN"/>
              </w:rPr>
            </w:pPr>
          </w:p>
          <w:p w14:paraId="67402C1E">
            <w:pPr>
              <w:jc w:val="both"/>
              <w:rPr>
                <w:rFonts w:hint="eastAsia" w:ascii="仿宋" w:hAnsi="仿宋" w:eastAsia="仿宋" w:cs="仿宋"/>
                <w:color w:val="auto"/>
                <w:sz w:val="24"/>
                <w:szCs w:val="22"/>
                <w:highlight w:val="none"/>
                <w:lang w:val="en-US" w:eastAsia="zh-CN"/>
              </w:rPr>
            </w:pPr>
          </w:p>
          <w:p w14:paraId="48E9C77C">
            <w:pPr>
              <w:jc w:val="center"/>
              <w:rPr>
                <w:rFonts w:hint="eastAsia" w:ascii="仿宋" w:hAnsi="仿宋" w:eastAsia="仿宋" w:cs="仿宋"/>
                <w:color w:val="auto"/>
                <w:sz w:val="24"/>
                <w:szCs w:val="22"/>
                <w:highlight w:val="none"/>
                <w:lang w:val="en-US" w:eastAsia="zh-CN"/>
              </w:rPr>
            </w:pPr>
            <w:r>
              <w:rPr>
                <w:rFonts w:hint="eastAsia" w:ascii="仿宋" w:hAnsi="仿宋" w:eastAsia="仿宋" w:cs="仿宋"/>
                <w:color w:val="auto"/>
                <w:sz w:val="24"/>
                <w:szCs w:val="22"/>
                <w:highlight w:val="none"/>
                <w:lang w:val="en-US" w:eastAsia="zh-CN"/>
              </w:rPr>
              <w:t>采</w:t>
            </w:r>
          </w:p>
          <w:p w14:paraId="18A0D496">
            <w:pPr>
              <w:jc w:val="center"/>
              <w:rPr>
                <w:rFonts w:hint="eastAsia" w:ascii="仿宋" w:hAnsi="仿宋" w:eastAsia="仿宋" w:cs="仿宋"/>
                <w:color w:val="auto"/>
                <w:sz w:val="24"/>
                <w:szCs w:val="22"/>
                <w:highlight w:val="none"/>
                <w:lang w:val="en-US" w:eastAsia="zh-CN"/>
              </w:rPr>
            </w:pPr>
            <w:r>
              <w:rPr>
                <w:rFonts w:hint="eastAsia" w:ascii="仿宋" w:hAnsi="仿宋" w:eastAsia="仿宋" w:cs="仿宋"/>
                <w:color w:val="auto"/>
                <w:sz w:val="24"/>
                <w:szCs w:val="22"/>
                <w:highlight w:val="none"/>
                <w:lang w:val="en-US" w:eastAsia="zh-CN"/>
              </w:rPr>
              <w:t>购</w:t>
            </w:r>
          </w:p>
          <w:p w14:paraId="63D076BF">
            <w:pPr>
              <w:jc w:val="center"/>
              <w:rPr>
                <w:rFonts w:hint="eastAsia" w:ascii="仿宋" w:hAnsi="仿宋" w:eastAsia="仿宋" w:cs="仿宋"/>
                <w:color w:val="auto"/>
                <w:sz w:val="24"/>
                <w:szCs w:val="22"/>
                <w:highlight w:val="none"/>
                <w:lang w:val="en-US" w:eastAsia="zh-CN"/>
              </w:rPr>
            </w:pPr>
            <w:r>
              <w:rPr>
                <w:rFonts w:hint="eastAsia" w:ascii="仿宋" w:hAnsi="仿宋" w:eastAsia="仿宋" w:cs="仿宋"/>
                <w:color w:val="auto"/>
                <w:sz w:val="24"/>
                <w:szCs w:val="22"/>
                <w:highlight w:val="none"/>
                <w:lang w:val="en-US" w:eastAsia="zh-CN"/>
              </w:rPr>
              <w:t>代</w:t>
            </w:r>
          </w:p>
          <w:p w14:paraId="0D76B315">
            <w:pPr>
              <w:jc w:val="center"/>
              <w:rPr>
                <w:rFonts w:hint="eastAsia" w:ascii="仿宋" w:hAnsi="仿宋" w:eastAsia="仿宋" w:cs="仿宋"/>
                <w:color w:val="auto"/>
                <w:sz w:val="24"/>
                <w:szCs w:val="22"/>
                <w:highlight w:val="none"/>
                <w:lang w:val="en-US" w:eastAsia="zh-CN"/>
              </w:rPr>
            </w:pPr>
            <w:r>
              <w:rPr>
                <w:rFonts w:hint="eastAsia" w:ascii="仿宋" w:hAnsi="仿宋" w:eastAsia="仿宋" w:cs="仿宋"/>
                <w:color w:val="auto"/>
                <w:sz w:val="24"/>
                <w:szCs w:val="22"/>
                <w:highlight w:val="none"/>
                <w:lang w:val="en-US" w:eastAsia="zh-CN"/>
              </w:rPr>
              <w:t>理</w:t>
            </w:r>
          </w:p>
          <w:p w14:paraId="44263675">
            <w:pPr>
              <w:jc w:val="center"/>
              <w:rPr>
                <w:rFonts w:hint="eastAsia" w:ascii="仿宋" w:hAnsi="仿宋" w:eastAsia="仿宋" w:cs="仿宋"/>
                <w:color w:val="auto"/>
                <w:sz w:val="24"/>
                <w:szCs w:val="22"/>
                <w:highlight w:val="none"/>
                <w:lang w:val="en-US" w:eastAsia="zh-CN"/>
              </w:rPr>
            </w:pPr>
            <w:r>
              <w:rPr>
                <w:rFonts w:hint="eastAsia" w:ascii="仿宋" w:hAnsi="仿宋" w:eastAsia="仿宋" w:cs="仿宋"/>
                <w:color w:val="auto"/>
                <w:sz w:val="24"/>
                <w:szCs w:val="22"/>
                <w:highlight w:val="none"/>
                <w:lang w:val="en-US" w:eastAsia="zh-CN"/>
              </w:rPr>
              <w:t>机</w:t>
            </w:r>
          </w:p>
          <w:p w14:paraId="30E7C168">
            <w:pPr>
              <w:jc w:val="center"/>
              <w:rPr>
                <w:rFonts w:hint="eastAsia" w:ascii="仿宋" w:hAnsi="仿宋" w:eastAsia="仿宋" w:cs="仿宋"/>
                <w:b/>
                <w:color w:val="auto"/>
                <w:sz w:val="24"/>
                <w:highlight w:val="none"/>
                <w:lang w:val="en-US" w:eastAsia="zh-CN"/>
              </w:rPr>
            </w:pPr>
            <w:r>
              <w:rPr>
                <w:rFonts w:hint="eastAsia" w:ascii="仿宋" w:hAnsi="仿宋" w:eastAsia="仿宋" w:cs="仿宋"/>
                <w:color w:val="auto"/>
                <w:sz w:val="24"/>
                <w:szCs w:val="22"/>
                <w:highlight w:val="none"/>
                <w:lang w:val="en-US" w:eastAsia="zh-CN"/>
              </w:rPr>
              <w:t>构</w:t>
            </w:r>
          </w:p>
        </w:tc>
        <w:tc>
          <w:tcPr>
            <w:tcW w:w="7850" w:type="dxa"/>
            <w:noWrap w:val="0"/>
            <w:vAlign w:val="top"/>
          </w:tcPr>
          <w:p w14:paraId="7B026B8E">
            <w:pPr>
              <w:rPr>
                <w:rFonts w:hint="eastAsia" w:ascii="仿宋" w:hAnsi="仿宋" w:eastAsia="仿宋" w:cs="仿宋"/>
                <w:color w:val="auto"/>
                <w:highlight w:val="none"/>
              </w:rPr>
            </w:pPr>
          </w:p>
          <w:p w14:paraId="12B73030">
            <w:pPr>
              <w:pStyle w:val="28"/>
              <w:rPr>
                <w:rFonts w:hint="eastAsia" w:ascii="仿宋" w:hAnsi="仿宋" w:eastAsia="仿宋" w:cs="仿宋"/>
                <w:b/>
                <w:color w:val="auto"/>
                <w:sz w:val="24"/>
                <w:highlight w:val="none"/>
              </w:rPr>
            </w:pPr>
          </w:p>
          <w:p w14:paraId="0891BD7A">
            <w:pPr>
              <w:pStyle w:val="28"/>
              <w:rPr>
                <w:rFonts w:hint="eastAsia" w:ascii="仿宋" w:hAnsi="仿宋" w:eastAsia="仿宋" w:cs="仿宋"/>
                <w:b/>
                <w:color w:val="auto"/>
                <w:sz w:val="24"/>
                <w:highlight w:val="none"/>
              </w:rPr>
            </w:pPr>
          </w:p>
          <w:p w14:paraId="609E6F93">
            <w:pPr>
              <w:pStyle w:val="28"/>
              <w:ind w:left="0" w:leftChars="0" w:firstLine="0" w:firstLineChars="0"/>
              <w:rPr>
                <w:rFonts w:hint="eastAsia" w:ascii="仿宋" w:hAnsi="仿宋" w:eastAsia="仿宋" w:cs="仿宋"/>
                <w:color w:val="auto"/>
                <w:kern w:val="2"/>
                <w:sz w:val="24"/>
                <w:szCs w:val="22"/>
                <w:highlight w:val="none"/>
                <w:lang w:val="en-US" w:eastAsia="zh-CN" w:bidi="ar-SA"/>
              </w:rPr>
            </w:pPr>
            <w:r>
              <w:rPr>
                <w:rFonts w:hint="eastAsia" w:ascii="仿宋" w:hAnsi="仿宋" w:eastAsia="仿宋" w:cs="仿宋"/>
                <w:color w:val="auto"/>
                <w:kern w:val="2"/>
                <w:sz w:val="24"/>
                <w:szCs w:val="22"/>
                <w:highlight w:val="none"/>
                <w:lang w:val="en-US" w:eastAsia="zh-CN" w:bidi="ar-SA"/>
              </w:rPr>
              <w:t>招标文件已编制完毕，报请采购单位审核。</w:t>
            </w:r>
          </w:p>
          <w:p w14:paraId="4F7450FC">
            <w:pPr>
              <w:pStyle w:val="28"/>
              <w:ind w:left="0" w:leftChars="0" w:firstLine="0" w:firstLineChars="0"/>
              <w:rPr>
                <w:rFonts w:hint="eastAsia" w:ascii="仿宋" w:hAnsi="仿宋" w:eastAsia="仿宋" w:cs="仿宋"/>
                <w:color w:val="auto"/>
                <w:kern w:val="2"/>
                <w:sz w:val="24"/>
                <w:szCs w:val="22"/>
                <w:highlight w:val="none"/>
                <w:lang w:val="en-US" w:eastAsia="zh-CN" w:bidi="ar-SA"/>
              </w:rPr>
            </w:pPr>
          </w:p>
          <w:p w14:paraId="33CD1CEA">
            <w:pPr>
              <w:pStyle w:val="28"/>
              <w:ind w:firstLine="5280" w:firstLineChars="2200"/>
              <w:rPr>
                <w:rFonts w:hint="eastAsia" w:ascii="仿宋" w:hAnsi="仿宋" w:eastAsia="仿宋" w:cs="仿宋"/>
                <w:color w:val="auto"/>
                <w:kern w:val="2"/>
                <w:sz w:val="24"/>
                <w:szCs w:val="22"/>
                <w:highlight w:val="none"/>
                <w:lang w:val="en-US" w:eastAsia="zh-CN" w:bidi="ar-SA"/>
              </w:rPr>
            </w:pPr>
            <w:r>
              <w:rPr>
                <w:rFonts w:hint="eastAsia" w:ascii="仿宋" w:hAnsi="仿宋" w:eastAsia="仿宋" w:cs="仿宋"/>
                <w:color w:val="auto"/>
                <w:kern w:val="2"/>
                <w:sz w:val="24"/>
                <w:szCs w:val="22"/>
                <w:highlight w:val="none"/>
                <w:lang w:val="en-US" w:eastAsia="zh-CN" w:bidi="ar-SA"/>
              </w:rPr>
              <w:t>年   月   日</w:t>
            </w:r>
          </w:p>
          <w:p w14:paraId="30BCEA44">
            <w:pPr>
              <w:pStyle w:val="28"/>
              <w:ind w:left="0" w:leftChars="0" w:firstLine="0" w:firstLineChars="0"/>
              <w:rPr>
                <w:rFonts w:hint="eastAsia" w:ascii="仿宋" w:hAnsi="仿宋" w:eastAsia="仿宋" w:cs="仿宋"/>
                <w:color w:val="auto"/>
                <w:kern w:val="2"/>
                <w:sz w:val="24"/>
                <w:szCs w:val="22"/>
                <w:highlight w:val="none"/>
                <w:lang w:val="en-US" w:eastAsia="zh-CN" w:bidi="ar-SA"/>
              </w:rPr>
            </w:pPr>
          </w:p>
        </w:tc>
      </w:tr>
      <w:tr w14:paraId="263C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8" w:hRule="atLeast"/>
        </w:trPr>
        <w:tc>
          <w:tcPr>
            <w:tcW w:w="1249" w:type="dxa"/>
            <w:noWrap w:val="0"/>
            <w:vAlign w:val="top"/>
          </w:tcPr>
          <w:p w14:paraId="0F57DCB4">
            <w:pPr>
              <w:rPr>
                <w:rFonts w:hint="eastAsia" w:ascii="仿宋" w:hAnsi="仿宋" w:eastAsia="仿宋" w:cs="仿宋"/>
                <w:b/>
                <w:color w:val="auto"/>
                <w:sz w:val="24"/>
                <w:highlight w:val="none"/>
              </w:rPr>
            </w:pPr>
          </w:p>
          <w:p w14:paraId="29965DFC">
            <w:pPr>
              <w:jc w:val="center"/>
              <w:rPr>
                <w:rFonts w:hint="eastAsia" w:ascii="仿宋" w:hAnsi="仿宋" w:eastAsia="仿宋" w:cs="仿宋"/>
                <w:color w:val="auto"/>
                <w:sz w:val="24"/>
                <w:highlight w:val="none"/>
              </w:rPr>
            </w:pPr>
          </w:p>
          <w:p w14:paraId="702C4486">
            <w:pPr>
              <w:jc w:val="center"/>
              <w:rPr>
                <w:rFonts w:hint="eastAsia" w:ascii="仿宋" w:hAnsi="仿宋" w:eastAsia="仿宋" w:cs="仿宋"/>
                <w:color w:val="auto"/>
                <w:sz w:val="24"/>
                <w:highlight w:val="none"/>
              </w:rPr>
            </w:pPr>
          </w:p>
          <w:p w14:paraId="2915DC3E">
            <w:pPr>
              <w:pStyle w:val="28"/>
              <w:rPr>
                <w:rFonts w:hint="eastAsia" w:ascii="仿宋" w:hAnsi="仿宋" w:eastAsia="仿宋" w:cs="仿宋"/>
                <w:color w:val="auto"/>
                <w:highlight w:val="none"/>
              </w:rPr>
            </w:pPr>
          </w:p>
          <w:p w14:paraId="0604FBE4">
            <w:pPr>
              <w:jc w:val="center"/>
              <w:rPr>
                <w:rFonts w:hint="eastAsia" w:ascii="仿宋" w:hAnsi="仿宋" w:eastAsia="仿宋" w:cs="仿宋"/>
                <w:color w:val="auto"/>
                <w:sz w:val="24"/>
                <w:highlight w:val="none"/>
              </w:rPr>
            </w:pPr>
          </w:p>
          <w:p w14:paraId="3A14020A">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采</w:t>
            </w:r>
          </w:p>
          <w:p w14:paraId="0AD781B5">
            <w:pPr>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购</w:t>
            </w:r>
          </w:p>
          <w:p w14:paraId="79E97FFB">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单</w:t>
            </w:r>
          </w:p>
          <w:p w14:paraId="0C33E84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位</w:t>
            </w:r>
          </w:p>
          <w:p w14:paraId="4A70EA5A">
            <w:pPr>
              <w:rPr>
                <w:rFonts w:hint="eastAsia" w:ascii="仿宋" w:hAnsi="仿宋" w:eastAsia="仿宋" w:cs="仿宋"/>
                <w:b/>
                <w:color w:val="auto"/>
                <w:sz w:val="24"/>
                <w:highlight w:val="none"/>
              </w:rPr>
            </w:pPr>
          </w:p>
        </w:tc>
        <w:tc>
          <w:tcPr>
            <w:tcW w:w="7850" w:type="dxa"/>
            <w:noWrap w:val="0"/>
            <w:vAlign w:val="top"/>
          </w:tcPr>
          <w:p w14:paraId="73D7B109">
            <w:pPr>
              <w:rPr>
                <w:rFonts w:hint="eastAsia" w:ascii="仿宋" w:hAnsi="仿宋" w:eastAsia="仿宋" w:cs="仿宋"/>
                <w:b/>
                <w:color w:val="auto"/>
                <w:sz w:val="24"/>
                <w:highlight w:val="none"/>
              </w:rPr>
            </w:pPr>
          </w:p>
          <w:p w14:paraId="7C103ABC">
            <w:pPr>
              <w:rPr>
                <w:rFonts w:hint="eastAsia" w:ascii="仿宋" w:hAnsi="仿宋" w:eastAsia="仿宋" w:cs="仿宋"/>
                <w:color w:val="auto"/>
                <w:sz w:val="24"/>
                <w:highlight w:val="none"/>
              </w:rPr>
            </w:pPr>
          </w:p>
          <w:p w14:paraId="35BEC8BF">
            <w:pPr>
              <w:rPr>
                <w:rFonts w:hint="eastAsia" w:ascii="仿宋" w:hAnsi="仿宋" w:eastAsia="仿宋" w:cs="仿宋"/>
                <w:color w:val="auto"/>
                <w:sz w:val="24"/>
                <w:highlight w:val="none"/>
              </w:rPr>
            </w:pPr>
          </w:p>
          <w:p w14:paraId="74145D64">
            <w:pPr>
              <w:rPr>
                <w:rFonts w:hint="eastAsia" w:ascii="仿宋" w:hAnsi="仿宋" w:eastAsia="仿宋" w:cs="仿宋"/>
                <w:color w:val="auto"/>
                <w:sz w:val="24"/>
                <w:highlight w:val="none"/>
              </w:rPr>
            </w:pPr>
          </w:p>
          <w:p w14:paraId="7A809C61">
            <w:pP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采购</w:t>
            </w:r>
            <w:r>
              <w:rPr>
                <w:rFonts w:hint="eastAsia" w:ascii="仿宋" w:hAnsi="仿宋" w:eastAsia="仿宋" w:cs="仿宋"/>
                <w:color w:val="auto"/>
                <w:sz w:val="24"/>
                <w:highlight w:val="none"/>
              </w:rPr>
              <w:t>单位意见（</w:t>
            </w:r>
            <w:r>
              <w:rPr>
                <w:rFonts w:hint="eastAsia" w:ascii="仿宋" w:hAnsi="仿宋" w:eastAsia="仿宋" w:cs="仿宋"/>
                <w:color w:val="auto"/>
                <w:sz w:val="24"/>
                <w:highlight w:val="none"/>
                <w:lang w:val="en-US" w:eastAsia="zh-CN"/>
              </w:rPr>
              <w:t>盖</w:t>
            </w:r>
            <w:r>
              <w:rPr>
                <w:rFonts w:hint="eastAsia" w:ascii="仿宋" w:hAnsi="仿宋" w:eastAsia="仿宋" w:cs="仿宋"/>
                <w:color w:val="auto"/>
                <w:sz w:val="24"/>
                <w:highlight w:val="none"/>
              </w:rPr>
              <w:t>章）：</w:t>
            </w:r>
          </w:p>
          <w:p w14:paraId="34905D0A">
            <w:pPr>
              <w:rPr>
                <w:rFonts w:hint="eastAsia" w:ascii="仿宋" w:hAnsi="仿宋" w:eastAsia="仿宋" w:cs="仿宋"/>
                <w:b/>
                <w:color w:val="auto"/>
                <w:sz w:val="24"/>
                <w:highlight w:val="none"/>
              </w:rPr>
            </w:pPr>
          </w:p>
          <w:p w14:paraId="35580A10">
            <w:pPr>
              <w:rPr>
                <w:rFonts w:hint="eastAsia" w:ascii="仿宋" w:hAnsi="仿宋" w:eastAsia="仿宋" w:cs="仿宋"/>
                <w:color w:val="auto"/>
                <w:sz w:val="24"/>
                <w:highlight w:val="none"/>
              </w:rPr>
            </w:pPr>
          </w:p>
          <w:p w14:paraId="73310D5D">
            <w:pPr>
              <w:rPr>
                <w:rFonts w:hint="eastAsia" w:ascii="仿宋" w:hAnsi="仿宋" w:eastAsia="仿宋" w:cs="仿宋"/>
                <w:color w:val="auto"/>
                <w:sz w:val="24"/>
                <w:highlight w:val="none"/>
              </w:rPr>
            </w:pPr>
          </w:p>
          <w:p w14:paraId="5B81C108">
            <w:pPr>
              <w:rPr>
                <w:rFonts w:hint="eastAsia" w:ascii="仿宋" w:hAnsi="仿宋" w:eastAsia="仿宋" w:cs="仿宋"/>
                <w:color w:val="auto"/>
                <w:sz w:val="24"/>
                <w:highlight w:val="none"/>
              </w:rPr>
            </w:pPr>
          </w:p>
          <w:p w14:paraId="41C838CE">
            <w:pPr>
              <w:rPr>
                <w:rFonts w:hint="eastAsia" w:ascii="仿宋" w:hAnsi="仿宋" w:eastAsia="仿宋" w:cs="仿宋"/>
                <w:color w:val="auto"/>
                <w:sz w:val="24"/>
                <w:highlight w:val="none"/>
              </w:rPr>
            </w:pPr>
          </w:p>
          <w:p w14:paraId="02EBDC55">
            <w:pP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法定代表人或</w:t>
            </w:r>
          </w:p>
          <w:p w14:paraId="2BB08B5D">
            <w:pP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主要负责人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盖章或签字</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p>
          <w:p w14:paraId="2FCA7658">
            <w:pPr>
              <w:rPr>
                <w:rFonts w:hint="eastAsia" w:ascii="仿宋" w:hAnsi="仿宋" w:eastAsia="仿宋" w:cs="仿宋"/>
                <w:color w:val="auto"/>
                <w:sz w:val="24"/>
                <w:highlight w:val="none"/>
              </w:rPr>
            </w:pPr>
          </w:p>
          <w:p w14:paraId="76C19F45">
            <w:pPr>
              <w:rPr>
                <w:rFonts w:hint="eastAsia" w:ascii="仿宋" w:hAnsi="仿宋" w:eastAsia="仿宋" w:cs="仿宋"/>
                <w:color w:val="auto"/>
                <w:sz w:val="24"/>
                <w:highlight w:val="none"/>
              </w:rPr>
            </w:pPr>
          </w:p>
          <w:p w14:paraId="534A900E">
            <w:pP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0DF17C87">
            <w:pPr>
              <w:tabs>
                <w:tab w:val="left" w:pos="4860"/>
              </w:tabs>
              <w:ind w:left="1680" w:firstLine="4080" w:firstLineChars="17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ab/>
            </w:r>
          </w:p>
          <w:p w14:paraId="12B424A8">
            <w:pPr>
              <w:ind w:left="1680" w:firstLine="3360" w:firstLineChars="1400"/>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173C379F">
            <w:pPr>
              <w:ind w:left="1260" w:leftChars="0"/>
              <w:rPr>
                <w:rFonts w:hint="eastAsia" w:ascii="仿宋" w:hAnsi="仿宋" w:eastAsia="仿宋" w:cs="仿宋"/>
                <w:b/>
                <w:color w:val="auto"/>
                <w:sz w:val="24"/>
                <w:highlight w:val="none"/>
              </w:rPr>
            </w:pPr>
          </w:p>
        </w:tc>
      </w:tr>
    </w:tbl>
    <w:p w14:paraId="7E1C8BDA">
      <w:pPr>
        <w:pStyle w:val="15"/>
        <w:jc w:val="both"/>
        <w:rPr>
          <w:rFonts w:hint="eastAsia" w:ascii="仿宋" w:hAnsi="仿宋" w:eastAsia="仿宋" w:cs="仿宋"/>
          <w:color w:val="auto"/>
          <w:highlight w:val="none"/>
          <w:lang w:val="en-US" w:eastAsia="zh-CN"/>
        </w:rPr>
      </w:pPr>
    </w:p>
    <w:sectPr>
      <w:pgSz w:w="11906" w:h="16838"/>
      <w:pgMar w:top="1247" w:right="1417" w:bottom="1701" w:left="1417" w:header="851" w:footer="992" w:gutter="0"/>
      <w:pgBorders>
        <w:top w:val="none" w:sz="0" w:space="0"/>
        <w:left w:val="none" w:sz="0" w:space="0"/>
        <w:bottom w:val="none" w:sz="0" w:space="0"/>
        <w:right w:val="none" w:sz="0" w:space="0"/>
      </w:pgBorders>
      <w:pgNumType w:fmt="decimal"/>
      <w:cols w:space="0" w:num="1"/>
      <w:rtlGutter w:val="0"/>
      <w:docGrid w:type="lines" w:linePitch="3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603F2">
    <w:pPr>
      <w:pStyle w:val="21"/>
      <w:jc w:val="center"/>
      <w:rPr>
        <w:rFonts w:hint="eastAsia"/>
      </w:rPr>
    </w:pPr>
  </w:p>
  <w:p w14:paraId="39FBED6E">
    <w:pPr>
      <w:pStyle w:val="21"/>
      <w:jc w:val="center"/>
      <w:rPr>
        <w:rFonts w:hint="eastAsia" w:eastAsia="宋体"/>
        <w:lang w:eastAsia="zh-CN"/>
      </w:rPr>
    </w:pPr>
    <w:r>
      <w:rPr>
        <w:rFonts w:hint="eastAsia"/>
      </w:rPr>
      <w:t xml:space="preserve">                          </w:t>
    </w:r>
  </w:p>
  <w:p w14:paraId="3BDCBCDA">
    <w:pPr>
      <w:pStyle w:val="20"/>
      <w:ind w:right="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E0942">
    <w:pPr>
      <w:pStyle w:val="21"/>
      <w:jc w:val="center"/>
      <w:rPr>
        <w:rFonts w:hint="eastAsia"/>
      </w:rPr>
    </w:pPr>
  </w:p>
  <w:p w14:paraId="03743C81">
    <w:pPr>
      <w:pStyle w:val="21"/>
      <w:jc w:val="center"/>
      <w:rPr>
        <w:rFonts w:hint="eastAsia" w:eastAsia="宋体"/>
        <w:lang w:eastAsia="zh-CN"/>
      </w:rPr>
    </w:pPr>
    <w:r>
      <w:rPr>
        <w:rFonts w:hint="eastAsia"/>
      </w:rPr>
      <w:t xml:space="preserve">                          </w:t>
    </w:r>
  </w:p>
  <w:p w14:paraId="03C87454">
    <w:pPr>
      <w:pStyle w:val="20"/>
      <w:ind w:right="360"/>
      <w:rPr>
        <w:rFonts w:hint="eastAsia"/>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321DA">
    <w:pPr>
      <w:pStyle w:val="21"/>
      <w:jc w:val="center"/>
      <w:rPr>
        <w:rFonts w:hint="eastAsia"/>
      </w:rPr>
    </w:pPr>
  </w:p>
  <w:p w14:paraId="0E0EB496">
    <w:pPr>
      <w:pStyle w:val="21"/>
      <w:jc w:val="center"/>
      <w:rPr>
        <w:rFonts w:hint="eastAsia" w:eastAsia="宋体"/>
        <w:lang w:eastAsia="zh-CN"/>
      </w:rPr>
    </w:pPr>
    <w:r>
      <w:rPr>
        <w:rFonts w:hint="eastAsia"/>
      </w:rPr>
      <w:t xml:space="preserve">                          </w:t>
    </w:r>
  </w:p>
  <w:p w14:paraId="6A6C69BD">
    <w:pPr>
      <w:pStyle w:val="20"/>
      <w:ind w:right="360"/>
      <w:rPr>
        <w:rFonts w:hint="eastAsia"/>
      </w:rPr>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EB801">
    <w:pPr>
      <w:pStyle w:val="21"/>
      <w:jc w:val="center"/>
      <w:rPr>
        <w:rFonts w:hint="eastAsia"/>
      </w:rPr>
    </w:pPr>
  </w:p>
  <w:p w14:paraId="53F84AD0">
    <w:pPr>
      <w:pStyle w:val="21"/>
      <w:jc w:val="center"/>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5120EF">
                          <w:pPr>
                            <w:pStyle w:val="2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B5120EF">
                    <w:pPr>
                      <w:pStyle w:val="20"/>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rPr>
      <w:t xml:space="preserve">                          </w:t>
    </w:r>
  </w:p>
  <w:p w14:paraId="520D8A0B">
    <w:pPr>
      <w:pStyle w:val="20"/>
      <w:ind w:right="360"/>
      <w:rPr>
        <w:rFonts w:hint="eastAsia"/>
      </w:rPr>
    </w:pP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2D452">
    <w:pPr>
      <w:pStyle w:val="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929885">
                          <w:pPr>
                            <w:pStyle w:val="20"/>
                          </w:pPr>
                          <w:r>
                            <w:fldChar w:fldCharType="begin"/>
                          </w:r>
                          <w:r>
                            <w:instrText xml:space="preserve"> PAGE  \* MERGEFORMAT </w:instrText>
                          </w:r>
                          <w:r>
                            <w:fldChar w:fldCharType="separate"/>
                          </w:r>
                          <w:r>
                            <w:t>28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7929885">
                    <w:pPr>
                      <w:pStyle w:val="20"/>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rPr>
      <w:t xml:space="preserve">                                                        </w:t>
    </w:r>
    <w:r>
      <w:t xml:space="preserve">                                                   </w:t>
    </w:r>
    <w:r>
      <w:rPr>
        <w:rFonts w:hint="eastAsia"/>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DF82A">
    <w:pPr>
      <w:pStyle w:val="20"/>
      <w:framePr w:wrap="around" w:vAnchor="text" w:hAnchor="margin" w:xAlign="center" w:y="1"/>
      <w:rPr>
        <w:rStyle w:val="33"/>
      </w:rPr>
    </w:pPr>
    <w:r>
      <w:fldChar w:fldCharType="begin"/>
    </w:r>
    <w:r>
      <w:rPr>
        <w:rStyle w:val="33"/>
      </w:rPr>
      <w:instrText xml:space="preserve">PAGE  </w:instrText>
    </w:r>
    <w:r>
      <w:fldChar w:fldCharType="end"/>
    </w:r>
  </w:p>
  <w:p w14:paraId="121D4459">
    <w:pPr>
      <w:pStyle w:val="2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2D137">
    <w:pPr>
      <w:pStyle w:val="20"/>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3A6F6A">
                          <w:pPr>
                            <w:pStyle w:val="20"/>
                          </w:pPr>
                          <w:r>
                            <w:fldChar w:fldCharType="begin"/>
                          </w:r>
                          <w:r>
                            <w:instrText xml:space="preserve"> PAGE  \* MERGEFORMAT </w:instrText>
                          </w:r>
                          <w:r>
                            <w:fldChar w:fldCharType="separate"/>
                          </w:r>
                          <w:r>
                            <w:t>46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53A6F6A">
                    <w:pPr>
                      <w:pStyle w:val="2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36093F"/>
    <w:multiLevelType w:val="singleLevel"/>
    <w:tmpl w:val="EA36093F"/>
    <w:lvl w:ilvl="0" w:tentative="0">
      <w:start w:val="1"/>
      <w:numFmt w:val="chineseCounting"/>
      <w:suff w:val="nothing"/>
      <w:lvlText w:val="%1、"/>
      <w:lvlJc w:val="left"/>
      <w:rPr>
        <w:rFonts w:hint="eastAsia"/>
      </w:rPr>
    </w:lvl>
  </w:abstractNum>
  <w:abstractNum w:abstractNumId="1">
    <w:nsid w:val="46B318B6"/>
    <w:multiLevelType w:val="singleLevel"/>
    <w:tmpl w:val="46B318B6"/>
    <w:lvl w:ilvl="0" w:tentative="0">
      <w:start w:val="20"/>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68"/>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2ZDZmNDViMGY1MTIwNmY1OTdhODIzNzAyNTI2ZDcifQ=="/>
  </w:docVars>
  <w:rsids>
    <w:rsidRoot w:val="00000000"/>
    <w:rsid w:val="000A36FF"/>
    <w:rsid w:val="00474EA4"/>
    <w:rsid w:val="00496DA9"/>
    <w:rsid w:val="00773916"/>
    <w:rsid w:val="007E574F"/>
    <w:rsid w:val="009E03E8"/>
    <w:rsid w:val="00A81D22"/>
    <w:rsid w:val="00B23390"/>
    <w:rsid w:val="00CB6921"/>
    <w:rsid w:val="00E81F53"/>
    <w:rsid w:val="00FB1955"/>
    <w:rsid w:val="00FF450C"/>
    <w:rsid w:val="010E3A30"/>
    <w:rsid w:val="01137F9F"/>
    <w:rsid w:val="011F03E0"/>
    <w:rsid w:val="0152227D"/>
    <w:rsid w:val="01A249C3"/>
    <w:rsid w:val="01BE115E"/>
    <w:rsid w:val="01D6466C"/>
    <w:rsid w:val="01E9759B"/>
    <w:rsid w:val="021A09FD"/>
    <w:rsid w:val="022422DB"/>
    <w:rsid w:val="02490C24"/>
    <w:rsid w:val="02DC3F04"/>
    <w:rsid w:val="031D7B42"/>
    <w:rsid w:val="034F1A90"/>
    <w:rsid w:val="035767D6"/>
    <w:rsid w:val="03687633"/>
    <w:rsid w:val="037A5904"/>
    <w:rsid w:val="03DB1C6D"/>
    <w:rsid w:val="03F4527E"/>
    <w:rsid w:val="04032725"/>
    <w:rsid w:val="04134EBC"/>
    <w:rsid w:val="04185FDF"/>
    <w:rsid w:val="041F3E95"/>
    <w:rsid w:val="045954B6"/>
    <w:rsid w:val="045B52FD"/>
    <w:rsid w:val="047A39D5"/>
    <w:rsid w:val="04815697"/>
    <w:rsid w:val="048C5E14"/>
    <w:rsid w:val="049D6E37"/>
    <w:rsid w:val="04A01CC9"/>
    <w:rsid w:val="04CF30A3"/>
    <w:rsid w:val="04DA7B09"/>
    <w:rsid w:val="04F0207D"/>
    <w:rsid w:val="050B17DB"/>
    <w:rsid w:val="05164BE7"/>
    <w:rsid w:val="051B29FE"/>
    <w:rsid w:val="05243AC9"/>
    <w:rsid w:val="055510CF"/>
    <w:rsid w:val="057240F0"/>
    <w:rsid w:val="05894959"/>
    <w:rsid w:val="059454B6"/>
    <w:rsid w:val="05AD4CB6"/>
    <w:rsid w:val="05B82134"/>
    <w:rsid w:val="05BE6D1B"/>
    <w:rsid w:val="05BF2F4E"/>
    <w:rsid w:val="05C05DE2"/>
    <w:rsid w:val="05D745D1"/>
    <w:rsid w:val="05FB3F97"/>
    <w:rsid w:val="05FF0AF3"/>
    <w:rsid w:val="060E6ACB"/>
    <w:rsid w:val="06450013"/>
    <w:rsid w:val="06944E69"/>
    <w:rsid w:val="06A10FD1"/>
    <w:rsid w:val="06B60B37"/>
    <w:rsid w:val="06C77959"/>
    <w:rsid w:val="0721638A"/>
    <w:rsid w:val="0742206A"/>
    <w:rsid w:val="07541C13"/>
    <w:rsid w:val="07573DB5"/>
    <w:rsid w:val="0764573B"/>
    <w:rsid w:val="07847221"/>
    <w:rsid w:val="07A02B01"/>
    <w:rsid w:val="07BE1E2B"/>
    <w:rsid w:val="07D35584"/>
    <w:rsid w:val="07D3565B"/>
    <w:rsid w:val="07F6115B"/>
    <w:rsid w:val="081E2961"/>
    <w:rsid w:val="08665877"/>
    <w:rsid w:val="086D52B5"/>
    <w:rsid w:val="0883622A"/>
    <w:rsid w:val="08866742"/>
    <w:rsid w:val="089F2396"/>
    <w:rsid w:val="08E13C0F"/>
    <w:rsid w:val="08E56BB6"/>
    <w:rsid w:val="08EB55B1"/>
    <w:rsid w:val="0922492A"/>
    <w:rsid w:val="0942109C"/>
    <w:rsid w:val="095055C4"/>
    <w:rsid w:val="09664528"/>
    <w:rsid w:val="099D4DDE"/>
    <w:rsid w:val="09C40492"/>
    <w:rsid w:val="09CE24A5"/>
    <w:rsid w:val="09D75DDE"/>
    <w:rsid w:val="0A065003"/>
    <w:rsid w:val="0A0A3406"/>
    <w:rsid w:val="0A1D13EC"/>
    <w:rsid w:val="0A780477"/>
    <w:rsid w:val="0AA14795"/>
    <w:rsid w:val="0AB46643"/>
    <w:rsid w:val="0AD025A1"/>
    <w:rsid w:val="0AD175DD"/>
    <w:rsid w:val="0AF344E1"/>
    <w:rsid w:val="0B220BE5"/>
    <w:rsid w:val="0B3F306A"/>
    <w:rsid w:val="0B6F157C"/>
    <w:rsid w:val="0B70168E"/>
    <w:rsid w:val="0B730B0C"/>
    <w:rsid w:val="0B7D1FFD"/>
    <w:rsid w:val="0B9E1E32"/>
    <w:rsid w:val="0BBE4333"/>
    <w:rsid w:val="0BC050FF"/>
    <w:rsid w:val="0BC83278"/>
    <w:rsid w:val="0BE107C4"/>
    <w:rsid w:val="0BE81B6C"/>
    <w:rsid w:val="0C0265CE"/>
    <w:rsid w:val="0C104C1F"/>
    <w:rsid w:val="0C126DC0"/>
    <w:rsid w:val="0C2150AB"/>
    <w:rsid w:val="0C286A68"/>
    <w:rsid w:val="0C594818"/>
    <w:rsid w:val="0C6311F3"/>
    <w:rsid w:val="0C674136"/>
    <w:rsid w:val="0CC2416B"/>
    <w:rsid w:val="0CE47F0F"/>
    <w:rsid w:val="0CEE55A2"/>
    <w:rsid w:val="0D1424ED"/>
    <w:rsid w:val="0D380C16"/>
    <w:rsid w:val="0D3F27B6"/>
    <w:rsid w:val="0D4E23E2"/>
    <w:rsid w:val="0D71793F"/>
    <w:rsid w:val="0DDA7292"/>
    <w:rsid w:val="0DFA5C0E"/>
    <w:rsid w:val="0E215936"/>
    <w:rsid w:val="0E227C1A"/>
    <w:rsid w:val="0ED73668"/>
    <w:rsid w:val="0EEB70F9"/>
    <w:rsid w:val="0F1113DA"/>
    <w:rsid w:val="0F4106D1"/>
    <w:rsid w:val="0F7B02F4"/>
    <w:rsid w:val="0F9A5F0B"/>
    <w:rsid w:val="0FA85C49"/>
    <w:rsid w:val="0FCC74C1"/>
    <w:rsid w:val="104D4694"/>
    <w:rsid w:val="10855441"/>
    <w:rsid w:val="108927E5"/>
    <w:rsid w:val="10A4638E"/>
    <w:rsid w:val="10B463FA"/>
    <w:rsid w:val="10CA4B14"/>
    <w:rsid w:val="11062AC9"/>
    <w:rsid w:val="11104D3D"/>
    <w:rsid w:val="11186A50"/>
    <w:rsid w:val="113F5A4D"/>
    <w:rsid w:val="114C04A7"/>
    <w:rsid w:val="11691059"/>
    <w:rsid w:val="11843930"/>
    <w:rsid w:val="119F22B5"/>
    <w:rsid w:val="11B81247"/>
    <w:rsid w:val="11E36C81"/>
    <w:rsid w:val="11F03528"/>
    <w:rsid w:val="11FC26A6"/>
    <w:rsid w:val="12140B5F"/>
    <w:rsid w:val="123C051C"/>
    <w:rsid w:val="124C1501"/>
    <w:rsid w:val="125B4E5A"/>
    <w:rsid w:val="126B3142"/>
    <w:rsid w:val="127C58BA"/>
    <w:rsid w:val="128327CF"/>
    <w:rsid w:val="12A65A60"/>
    <w:rsid w:val="12C544A2"/>
    <w:rsid w:val="137F1739"/>
    <w:rsid w:val="13857300"/>
    <w:rsid w:val="1387308E"/>
    <w:rsid w:val="138C5742"/>
    <w:rsid w:val="13C5566A"/>
    <w:rsid w:val="13D80DE3"/>
    <w:rsid w:val="13F53657"/>
    <w:rsid w:val="1403423A"/>
    <w:rsid w:val="140E05C3"/>
    <w:rsid w:val="140E4376"/>
    <w:rsid w:val="14237470"/>
    <w:rsid w:val="143C4803"/>
    <w:rsid w:val="14AA3B21"/>
    <w:rsid w:val="14B35BBC"/>
    <w:rsid w:val="14C61346"/>
    <w:rsid w:val="151256EB"/>
    <w:rsid w:val="151659AC"/>
    <w:rsid w:val="15241577"/>
    <w:rsid w:val="15346A31"/>
    <w:rsid w:val="15473831"/>
    <w:rsid w:val="1560112C"/>
    <w:rsid w:val="15692BFF"/>
    <w:rsid w:val="15952A39"/>
    <w:rsid w:val="15AA689B"/>
    <w:rsid w:val="15B371AA"/>
    <w:rsid w:val="15D216F6"/>
    <w:rsid w:val="15D373E9"/>
    <w:rsid w:val="161D295D"/>
    <w:rsid w:val="162026D9"/>
    <w:rsid w:val="16341E66"/>
    <w:rsid w:val="16486424"/>
    <w:rsid w:val="165A0583"/>
    <w:rsid w:val="168406CE"/>
    <w:rsid w:val="168878F1"/>
    <w:rsid w:val="1717198E"/>
    <w:rsid w:val="17676A53"/>
    <w:rsid w:val="17C23271"/>
    <w:rsid w:val="17C74D2B"/>
    <w:rsid w:val="17DC653C"/>
    <w:rsid w:val="17EF33B1"/>
    <w:rsid w:val="1806208F"/>
    <w:rsid w:val="18222551"/>
    <w:rsid w:val="183359E2"/>
    <w:rsid w:val="18375A0D"/>
    <w:rsid w:val="1854746C"/>
    <w:rsid w:val="18A7240E"/>
    <w:rsid w:val="18C737C0"/>
    <w:rsid w:val="18E25A8E"/>
    <w:rsid w:val="18E45469"/>
    <w:rsid w:val="18FF04F5"/>
    <w:rsid w:val="193058E6"/>
    <w:rsid w:val="193E1C2F"/>
    <w:rsid w:val="196D3EDC"/>
    <w:rsid w:val="1971169E"/>
    <w:rsid w:val="1978617D"/>
    <w:rsid w:val="19834C82"/>
    <w:rsid w:val="19AC242B"/>
    <w:rsid w:val="19DD7008"/>
    <w:rsid w:val="19EF40C6"/>
    <w:rsid w:val="1A1C053A"/>
    <w:rsid w:val="1A2F394C"/>
    <w:rsid w:val="1A440C8A"/>
    <w:rsid w:val="1A473F02"/>
    <w:rsid w:val="1A4862B0"/>
    <w:rsid w:val="1A8472A0"/>
    <w:rsid w:val="1A8A22B9"/>
    <w:rsid w:val="1A9058A9"/>
    <w:rsid w:val="1A9F0909"/>
    <w:rsid w:val="1AC71045"/>
    <w:rsid w:val="1AD26D37"/>
    <w:rsid w:val="1B063F81"/>
    <w:rsid w:val="1B174CE2"/>
    <w:rsid w:val="1B662D6B"/>
    <w:rsid w:val="1B681A22"/>
    <w:rsid w:val="1B987E33"/>
    <w:rsid w:val="1BCB55C2"/>
    <w:rsid w:val="1C1A6071"/>
    <w:rsid w:val="1C3944E0"/>
    <w:rsid w:val="1C597795"/>
    <w:rsid w:val="1C712C07"/>
    <w:rsid w:val="1CCC06EE"/>
    <w:rsid w:val="1CF54601"/>
    <w:rsid w:val="1D0205B4"/>
    <w:rsid w:val="1D274D79"/>
    <w:rsid w:val="1D2D6F56"/>
    <w:rsid w:val="1D3B7BAB"/>
    <w:rsid w:val="1D5030CD"/>
    <w:rsid w:val="1D9358D2"/>
    <w:rsid w:val="1DBD6120"/>
    <w:rsid w:val="1DF60CD6"/>
    <w:rsid w:val="1E264A52"/>
    <w:rsid w:val="1E4C0BBB"/>
    <w:rsid w:val="1E52426C"/>
    <w:rsid w:val="1E6A72AD"/>
    <w:rsid w:val="1E8F0832"/>
    <w:rsid w:val="1E8F7772"/>
    <w:rsid w:val="1EA919AB"/>
    <w:rsid w:val="1EB62016"/>
    <w:rsid w:val="1EC65ED4"/>
    <w:rsid w:val="1ECD6378"/>
    <w:rsid w:val="1EF03D4E"/>
    <w:rsid w:val="1F300841"/>
    <w:rsid w:val="1F3D6CD3"/>
    <w:rsid w:val="1F6E7612"/>
    <w:rsid w:val="1FAB6CE1"/>
    <w:rsid w:val="1FB61734"/>
    <w:rsid w:val="1FC64311"/>
    <w:rsid w:val="1FD20711"/>
    <w:rsid w:val="1FD87708"/>
    <w:rsid w:val="1FDF167A"/>
    <w:rsid w:val="1FE37D06"/>
    <w:rsid w:val="1FFA6B23"/>
    <w:rsid w:val="203211B0"/>
    <w:rsid w:val="203B7AE5"/>
    <w:rsid w:val="204F7C9E"/>
    <w:rsid w:val="20A8226A"/>
    <w:rsid w:val="20B57B0A"/>
    <w:rsid w:val="20C0016E"/>
    <w:rsid w:val="20E17B5C"/>
    <w:rsid w:val="210730EC"/>
    <w:rsid w:val="21103FFA"/>
    <w:rsid w:val="211C515D"/>
    <w:rsid w:val="211F167C"/>
    <w:rsid w:val="21307AC4"/>
    <w:rsid w:val="214C5568"/>
    <w:rsid w:val="21564CEC"/>
    <w:rsid w:val="216F7310"/>
    <w:rsid w:val="219A48A7"/>
    <w:rsid w:val="21B300CF"/>
    <w:rsid w:val="21C11E09"/>
    <w:rsid w:val="21E645B7"/>
    <w:rsid w:val="21F42BC1"/>
    <w:rsid w:val="22001566"/>
    <w:rsid w:val="2210373A"/>
    <w:rsid w:val="22153FDB"/>
    <w:rsid w:val="22392531"/>
    <w:rsid w:val="22432797"/>
    <w:rsid w:val="225966C0"/>
    <w:rsid w:val="226F503F"/>
    <w:rsid w:val="227010B0"/>
    <w:rsid w:val="22AC6FF8"/>
    <w:rsid w:val="22E06CA1"/>
    <w:rsid w:val="22E757BF"/>
    <w:rsid w:val="22F83FEB"/>
    <w:rsid w:val="23036DBC"/>
    <w:rsid w:val="230D5F8C"/>
    <w:rsid w:val="231400F2"/>
    <w:rsid w:val="2318004D"/>
    <w:rsid w:val="23323D28"/>
    <w:rsid w:val="234E7AAB"/>
    <w:rsid w:val="237D4914"/>
    <w:rsid w:val="237F2C3F"/>
    <w:rsid w:val="238A3FE8"/>
    <w:rsid w:val="239C71D8"/>
    <w:rsid w:val="23A74298"/>
    <w:rsid w:val="23D742EB"/>
    <w:rsid w:val="23DA1943"/>
    <w:rsid w:val="23F463D9"/>
    <w:rsid w:val="24113A5C"/>
    <w:rsid w:val="24125D6A"/>
    <w:rsid w:val="243C3EF4"/>
    <w:rsid w:val="2464784D"/>
    <w:rsid w:val="246B42C1"/>
    <w:rsid w:val="24701946"/>
    <w:rsid w:val="247C78F1"/>
    <w:rsid w:val="24AA1D18"/>
    <w:rsid w:val="24DD384C"/>
    <w:rsid w:val="24EF141E"/>
    <w:rsid w:val="24F86524"/>
    <w:rsid w:val="25551BC9"/>
    <w:rsid w:val="25767348"/>
    <w:rsid w:val="25826E37"/>
    <w:rsid w:val="25946D3B"/>
    <w:rsid w:val="25D54AB7"/>
    <w:rsid w:val="25EF3E17"/>
    <w:rsid w:val="25FB077C"/>
    <w:rsid w:val="260863B1"/>
    <w:rsid w:val="262B3C61"/>
    <w:rsid w:val="264F643F"/>
    <w:rsid w:val="26502390"/>
    <w:rsid w:val="26615D0E"/>
    <w:rsid w:val="26990EE4"/>
    <w:rsid w:val="26A64C5A"/>
    <w:rsid w:val="26B15A9F"/>
    <w:rsid w:val="26CC7C68"/>
    <w:rsid w:val="26D8531B"/>
    <w:rsid w:val="26E34FB2"/>
    <w:rsid w:val="26F22CC2"/>
    <w:rsid w:val="270D5B3F"/>
    <w:rsid w:val="27161BBC"/>
    <w:rsid w:val="273852FE"/>
    <w:rsid w:val="27475541"/>
    <w:rsid w:val="274B6D81"/>
    <w:rsid w:val="275A7C82"/>
    <w:rsid w:val="277F4CDB"/>
    <w:rsid w:val="2786250D"/>
    <w:rsid w:val="27896EEB"/>
    <w:rsid w:val="278E4F1E"/>
    <w:rsid w:val="27981399"/>
    <w:rsid w:val="279E0085"/>
    <w:rsid w:val="27AE2AF4"/>
    <w:rsid w:val="27B64475"/>
    <w:rsid w:val="27BD2AEF"/>
    <w:rsid w:val="27DA7110"/>
    <w:rsid w:val="27E22370"/>
    <w:rsid w:val="280F3130"/>
    <w:rsid w:val="280F5728"/>
    <w:rsid w:val="282B7BB5"/>
    <w:rsid w:val="287E31E4"/>
    <w:rsid w:val="28814F9A"/>
    <w:rsid w:val="29025453"/>
    <w:rsid w:val="29122C6E"/>
    <w:rsid w:val="291E5AE2"/>
    <w:rsid w:val="2920345B"/>
    <w:rsid w:val="2920604A"/>
    <w:rsid w:val="2927269E"/>
    <w:rsid w:val="29272A74"/>
    <w:rsid w:val="292B1827"/>
    <w:rsid w:val="292E48AD"/>
    <w:rsid w:val="293E50CC"/>
    <w:rsid w:val="296A782E"/>
    <w:rsid w:val="29726CF6"/>
    <w:rsid w:val="298B4856"/>
    <w:rsid w:val="29900C13"/>
    <w:rsid w:val="29985ADC"/>
    <w:rsid w:val="29AD38E3"/>
    <w:rsid w:val="29CD0AA2"/>
    <w:rsid w:val="2A41096D"/>
    <w:rsid w:val="2A740DBF"/>
    <w:rsid w:val="2AAE3CAE"/>
    <w:rsid w:val="2AE65071"/>
    <w:rsid w:val="2AE8308F"/>
    <w:rsid w:val="2AFC6642"/>
    <w:rsid w:val="2B8915B4"/>
    <w:rsid w:val="2BF9616F"/>
    <w:rsid w:val="2BFE3964"/>
    <w:rsid w:val="2C0F4050"/>
    <w:rsid w:val="2C825FF2"/>
    <w:rsid w:val="2C8A654A"/>
    <w:rsid w:val="2C9F3E9C"/>
    <w:rsid w:val="2CB74F17"/>
    <w:rsid w:val="2CBD75B4"/>
    <w:rsid w:val="2CC8550D"/>
    <w:rsid w:val="2CDE24A4"/>
    <w:rsid w:val="2CE869BF"/>
    <w:rsid w:val="2CFD6B38"/>
    <w:rsid w:val="2D492CCE"/>
    <w:rsid w:val="2D5B1051"/>
    <w:rsid w:val="2DC378EB"/>
    <w:rsid w:val="2DD63F75"/>
    <w:rsid w:val="2E1D524D"/>
    <w:rsid w:val="2E1F1A73"/>
    <w:rsid w:val="2E446C02"/>
    <w:rsid w:val="2E505623"/>
    <w:rsid w:val="2E7035CF"/>
    <w:rsid w:val="2E7438E5"/>
    <w:rsid w:val="2EA11B8C"/>
    <w:rsid w:val="2EA14BA0"/>
    <w:rsid w:val="2EC213BD"/>
    <w:rsid w:val="2EC53D5E"/>
    <w:rsid w:val="2F236894"/>
    <w:rsid w:val="2F3B73C3"/>
    <w:rsid w:val="2F3D71A1"/>
    <w:rsid w:val="2F433B5B"/>
    <w:rsid w:val="2F436C1A"/>
    <w:rsid w:val="2F4F2BE8"/>
    <w:rsid w:val="2F9E57B3"/>
    <w:rsid w:val="2FA2019F"/>
    <w:rsid w:val="2FC722E3"/>
    <w:rsid w:val="2FCA4F61"/>
    <w:rsid w:val="2FD86E9B"/>
    <w:rsid w:val="2FE34275"/>
    <w:rsid w:val="302154A9"/>
    <w:rsid w:val="302F3016"/>
    <w:rsid w:val="303C225C"/>
    <w:rsid w:val="306F0999"/>
    <w:rsid w:val="30803D66"/>
    <w:rsid w:val="309D14A3"/>
    <w:rsid w:val="30B542AB"/>
    <w:rsid w:val="314A2610"/>
    <w:rsid w:val="314D6303"/>
    <w:rsid w:val="317732C2"/>
    <w:rsid w:val="319045C1"/>
    <w:rsid w:val="31C635BD"/>
    <w:rsid w:val="31CF2D03"/>
    <w:rsid w:val="31CF4AB1"/>
    <w:rsid w:val="31EE3F82"/>
    <w:rsid w:val="322F5738"/>
    <w:rsid w:val="32317A06"/>
    <w:rsid w:val="32383056"/>
    <w:rsid w:val="32430FFB"/>
    <w:rsid w:val="3246565C"/>
    <w:rsid w:val="32523834"/>
    <w:rsid w:val="32585A4A"/>
    <w:rsid w:val="325C5EE7"/>
    <w:rsid w:val="32892EB1"/>
    <w:rsid w:val="3298755C"/>
    <w:rsid w:val="32A9743F"/>
    <w:rsid w:val="32D44EF8"/>
    <w:rsid w:val="32DB292C"/>
    <w:rsid w:val="33061317"/>
    <w:rsid w:val="33170A93"/>
    <w:rsid w:val="33277069"/>
    <w:rsid w:val="335C05C6"/>
    <w:rsid w:val="3366208C"/>
    <w:rsid w:val="337C1528"/>
    <w:rsid w:val="338067F9"/>
    <w:rsid w:val="33865058"/>
    <w:rsid w:val="33884024"/>
    <w:rsid w:val="33A831D5"/>
    <w:rsid w:val="33B977C6"/>
    <w:rsid w:val="33C46297"/>
    <w:rsid w:val="33FF032A"/>
    <w:rsid w:val="34171168"/>
    <w:rsid w:val="344F1ED9"/>
    <w:rsid w:val="345B0173"/>
    <w:rsid w:val="347859F6"/>
    <w:rsid w:val="347E1CA0"/>
    <w:rsid w:val="349023DB"/>
    <w:rsid w:val="34B502F6"/>
    <w:rsid w:val="34CF26B1"/>
    <w:rsid w:val="35132F06"/>
    <w:rsid w:val="351B5196"/>
    <w:rsid w:val="352660BC"/>
    <w:rsid w:val="352B1EB6"/>
    <w:rsid w:val="3563339F"/>
    <w:rsid w:val="356A1643"/>
    <w:rsid w:val="35855D70"/>
    <w:rsid w:val="35887D7D"/>
    <w:rsid w:val="358E62E4"/>
    <w:rsid w:val="35A3072E"/>
    <w:rsid w:val="35C33404"/>
    <w:rsid w:val="36015563"/>
    <w:rsid w:val="360E4726"/>
    <w:rsid w:val="363A56CE"/>
    <w:rsid w:val="367873E8"/>
    <w:rsid w:val="36A0554E"/>
    <w:rsid w:val="36E0506A"/>
    <w:rsid w:val="37100F0C"/>
    <w:rsid w:val="37242BDD"/>
    <w:rsid w:val="372C54DE"/>
    <w:rsid w:val="373D3303"/>
    <w:rsid w:val="377A1BC4"/>
    <w:rsid w:val="3799129D"/>
    <w:rsid w:val="37B409D1"/>
    <w:rsid w:val="37B4674C"/>
    <w:rsid w:val="37D03331"/>
    <w:rsid w:val="37E75C1A"/>
    <w:rsid w:val="3801092F"/>
    <w:rsid w:val="38064FA4"/>
    <w:rsid w:val="380D2554"/>
    <w:rsid w:val="38317972"/>
    <w:rsid w:val="383E184D"/>
    <w:rsid w:val="3841429B"/>
    <w:rsid w:val="385D2E68"/>
    <w:rsid w:val="38683569"/>
    <w:rsid w:val="38D10E53"/>
    <w:rsid w:val="38DB5DAE"/>
    <w:rsid w:val="39124349"/>
    <w:rsid w:val="3912632C"/>
    <w:rsid w:val="3928172D"/>
    <w:rsid w:val="395F2FC5"/>
    <w:rsid w:val="39770220"/>
    <w:rsid w:val="3982065B"/>
    <w:rsid w:val="39867DC0"/>
    <w:rsid w:val="39924599"/>
    <w:rsid w:val="39AA38C7"/>
    <w:rsid w:val="39D001E5"/>
    <w:rsid w:val="39F406A1"/>
    <w:rsid w:val="3A004CE9"/>
    <w:rsid w:val="3A2A529B"/>
    <w:rsid w:val="3A3F1947"/>
    <w:rsid w:val="3A4904EF"/>
    <w:rsid w:val="3A551B4D"/>
    <w:rsid w:val="3A59585F"/>
    <w:rsid w:val="3A60099C"/>
    <w:rsid w:val="3A663703"/>
    <w:rsid w:val="3A730AB9"/>
    <w:rsid w:val="3A7D77A0"/>
    <w:rsid w:val="3B1E18CD"/>
    <w:rsid w:val="3B221071"/>
    <w:rsid w:val="3B4A1272"/>
    <w:rsid w:val="3B542821"/>
    <w:rsid w:val="3B5C0464"/>
    <w:rsid w:val="3B5C6A72"/>
    <w:rsid w:val="3B667C69"/>
    <w:rsid w:val="3BA90120"/>
    <w:rsid w:val="3BC0105B"/>
    <w:rsid w:val="3BF61C87"/>
    <w:rsid w:val="3C09383D"/>
    <w:rsid w:val="3C5048D7"/>
    <w:rsid w:val="3C504D81"/>
    <w:rsid w:val="3C5D1A47"/>
    <w:rsid w:val="3C5D7F7F"/>
    <w:rsid w:val="3C631823"/>
    <w:rsid w:val="3C685CAB"/>
    <w:rsid w:val="3C7F11EE"/>
    <w:rsid w:val="3C91052B"/>
    <w:rsid w:val="3C9A0678"/>
    <w:rsid w:val="3CC97668"/>
    <w:rsid w:val="3CCF5F1D"/>
    <w:rsid w:val="3CEE67EB"/>
    <w:rsid w:val="3D374B8C"/>
    <w:rsid w:val="3D732FA8"/>
    <w:rsid w:val="3D90279B"/>
    <w:rsid w:val="3DD93388"/>
    <w:rsid w:val="3E1F7B10"/>
    <w:rsid w:val="3E2919ED"/>
    <w:rsid w:val="3E4413E0"/>
    <w:rsid w:val="3E5720B6"/>
    <w:rsid w:val="3E736C45"/>
    <w:rsid w:val="3E7C00E1"/>
    <w:rsid w:val="3E8804C1"/>
    <w:rsid w:val="3E9242C9"/>
    <w:rsid w:val="3E9C061B"/>
    <w:rsid w:val="3EAD3FF2"/>
    <w:rsid w:val="3EB93EF6"/>
    <w:rsid w:val="3EC11C25"/>
    <w:rsid w:val="3EC363F4"/>
    <w:rsid w:val="3ED5122D"/>
    <w:rsid w:val="3ED5611A"/>
    <w:rsid w:val="3EFD6405"/>
    <w:rsid w:val="3F035D9A"/>
    <w:rsid w:val="3F037AB2"/>
    <w:rsid w:val="3F125FDD"/>
    <w:rsid w:val="3F4347D5"/>
    <w:rsid w:val="3F4C585B"/>
    <w:rsid w:val="3F82393F"/>
    <w:rsid w:val="3FA622F7"/>
    <w:rsid w:val="400141E7"/>
    <w:rsid w:val="400E0E9A"/>
    <w:rsid w:val="401069C0"/>
    <w:rsid w:val="404478CE"/>
    <w:rsid w:val="40646D0C"/>
    <w:rsid w:val="409E221E"/>
    <w:rsid w:val="40A317D2"/>
    <w:rsid w:val="40AB4753"/>
    <w:rsid w:val="40AB4777"/>
    <w:rsid w:val="40AD2461"/>
    <w:rsid w:val="40AE4395"/>
    <w:rsid w:val="40D83A48"/>
    <w:rsid w:val="40F31238"/>
    <w:rsid w:val="41036525"/>
    <w:rsid w:val="4149549D"/>
    <w:rsid w:val="418F600A"/>
    <w:rsid w:val="41970BCA"/>
    <w:rsid w:val="41A35612"/>
    <w:rsid w:val="41DB4811"/>
    <w:rsid w:val="41FE5844"/>
    <w:rsid w:val="420B5ADB"/>
    <w:rsid w:val="42114C71"/>
    <w:rsid w:val="42124EF1"/>
    <w:rsid w:val="42814082"/>
    <w:rsid w:val="42823372"/>
    <w:rsid w:val="42B073CA"/>
    <w:rsid w:val="438721C7"/>
    <w:rsid w:val="438C6BC1"/>
    <w:rsid w:val="44114930"/>
    <w:rsid w:val="4414020A"/>
    <w:rsid w:val="442E1B0B"/>
    <w:rsid w:val="444A1CD5"/>
    <w:rsid w:val="445C00FF"/>
    <w:rsid w:val="448320CC"/>
    <w:rsid w:val="448F3867"/>
    <w:rsid w:val="449754DF"/>
    <w:rsid w:val="44A66286"/>
    <w:rsid w:val="44BC0EC5"/>
    <w:rsid w:val="44D83853"/>
    <w:rsid w:val="44E40183"/>
    <w:rsid w:val="44E952E8"/>
    <w:rsid w:val="44FA32B4"/>
    <w:rsid w:val="45114BB3"/>
    <w:rsid w:val="451C4E18"/>
    <w:rsid w:val="45581B00"/>
    <w:rsid w:val="458E1ADA"/>
    <w:rsid w:val="458E5EE1"/>
    <w:rsid w:val="45E511F4"/>
    <w:rsid w:val="45F57AD4"/>
    <w:rsid w:val="463E21A0"/>
    <w:rsid w:val="46690F09"/>
    <w:rsid w:val="469A624F"/>
    <w:rsid w:val="469D2B56"/>
    <w:rsid w:val="46A9191C"/>
    <w:rsid w:val="46AF7018"/>
    <w:rsid w:val="46B15E9E"/>
    <w:rsid w:val="46B86E94"/>
    <w:rsid w:val="46BB062C"/>
    <w:rsid w:val="4719419D"/>
    <w:rsid w:val="47480D31"/>
    <w:rsid w:val="47742A84"/>
    <w:rsid w:val="477C5E0B"/>
    <w:rsid w:val="478D08F6"/>
    <w:rsid w:val="47A7342F"/>
    <w:rsid w:val="47C867AB"/>
    <w:rsid w:val="480E6E62"/>
    <w:rsid w:val="484418DC"/>
    <w:rsid w:val="484A7A2A"/>
    <w:rsid w:val="48671918"/>
    <w:rsid w:val="489572DD"/>
    <w:rsid w:val="489F569D"/>
    <w:rsid w:val="48A06010"/>
    <w:rsid w:val="48CD60B1"/>
    <w:rsid w:val="48D65B21"/>
    <w:rsid w:val="49125CF3"/>
    <w:rsid w:val="49150F7A"/>
    <w:rsid w:val="491E0AFA"/>
    <w:rsid w:val="492E2BA1"/>
    <w:rsid w:val="49361BBE"/>
    <w:rsid w:val="496E3BEE"/>
    <w:rsid w:val="49730915"/>
    <w:rsid w:val="4A077846"/>
    <w:rsid w:val="4A2C64BB"/>
    <w:rsid w:val="4A3C1F14"/>
    <w:rsid w:val="4A3C63AD"/>
    <w:rsid w:val="4A4F4589"/>
    <w:rsid w:val="4A5D4376"/>
    <w:rsid w:val="4A8A209B"/>
    <w:rsid w:val="4ACF6009"/>
    <w:rsid w:val="4B005883"/>
    <w:rsid w:val="4B17458D"/>
    <w:rsid w:val="4B1C12FC"/>
    <w:rsid w:val="4B59745A"/>
    <w:rsid w:val="4B5A4F93"/>
    <w:rsid w:val="4B6E3534"/>
    <w:rsid w:val="4B7778F3"/>
    <w:rsid w:val="4B8B2F80"/>
    <w:rsid w:val="4C144223"/>
    <w:rsid w:val="4C172533"/>
    <w:rsid w:val="4C4E2CBD"/>
    <w:rsid w:val="4CD1562E"/>
    <w:rsid w:val="4CDB21E4"/>
    <w:rsid w:val="4CF60AA8"/>
    <w:rsid w:val="4CF621D2"/>
    <w:rsid w:val="4CF62F40"/>
    <w:rsid w:val="4D084022"/>
    <w:rsid w:val="4D27359B"/>
    <w:rsid w:val="4D706C11"/>
    <w:rsid w:val="4D70721D"/>
    <w:rsid w:val="4D7351DC"/>
    <w:rsid w:val="4D9873CC"/>
    <w:rsid w:val="4D9E6F36"/>
    <w:rsid w:val="4DAE15C6"/>
    <w:rsid w:val="4DCB4CA4"/>
    <w:rsid w:val="4DE72335"/>
    <w:rsid w:val="4E0737F3"/>
    <w:rsid w:val="4E074654"/>
    <w:rsid w:val="4E4D1801"/>
    <w:rsid w:val="4E595343"/>
    <w:rsid w:val="4E5D283A"/>
    <w:rsid w:val="4E6950D2"/>
    <w:rsid w:val="4E791E66"/>
    <w:rsid w:val="4EE80B08"/>
    <w:rsid w:val="4F057C6A"/>
    <w:rsid w:val="4F193F75"/>
    <w:rsid w:val="4F1D2EA8"/>
    <w:rsid w:val="4F43470D"/>
    <w:rsid w:val="4F9636DF"/>
    <w:rsid w:val="4F9B49E2"/>
    <w:rsid w:val="4FCC59A5"/>
    <w:rsid w:val="4FF428D3"/>
    <w:rsid w:val="50491D08"/>
    <w:rsid w:val="50594DD8"/>
    <w:rsid w:val="50827466"/>
    <w:rsid w:val="508451DC"/>
    <w:rsid w:val="50AB4DC3"/>
    <w:rsid w:val="50B35F9C"/>
    <w:rsid w:val="5100401C"/>
    <w:rsid w:val="510A7736"/>
    <w:rsid w:val="51175266"/>
    <w:rsid w:val="511A7EC8"/>
    <w:rsid w:val="513A77D2"/>
    <w:rsid w:val="51845186"/>
    <w:rsid w:val="51AF5760"/>
    <w:rsid w:val="51D469F7"/>
    <w:rsid w:val="51E82DEF"/>
    <w:rsid w:val="51F20C96"/>
    <w:rsid w:val="52093015"/>
    <w:rsid w:val="520E5088"/>
    <w:rsid w:val="52243FC9"/>
    <w:rsid w:val="523336B1"/>
    <w:rsid w:val="52350A8F"/>
    <w:rsid w:val="523F6E00"/>
    <w:rsid w:val="52667ECC"/>
    <w:rsid w:val="52753496"/>
    <w:rsid w:val="5288583D"/>
    <w:rsid w:val="528E0132"/>
    <w:rsid w:val="52A05885"/>
    <w:rsid w:val="52A721ED"/>
    <w:rsid w:val="52B72CCB"/>
    <w:rsid w:val="52ED352C"/>
    <w:rsid w:val="53726D9C"/>
    <w:rsid w:val="539450C8"/>
    <w:rsid w:val="539D3210"/>
    <w:rsid w:val="53A9470E"/>
    <w:rsid w:val="53CA4C80"/>
    <w:rsid w:val="53E748BE"/>
    <w:rsid w:val="53F77FF2"/>
    <w:rsid w:val="540C5E54"/>
    <w:rsid w:val="541D4207"/>
    <w:rsid w:val="542E520F"/>
    <w:rsid w:val="54483D0D"/>
    <w:rsid w:val="5455279C"/>
    <w:rsid w:val="547A4188"/>
    <w:rsid w:val="54AE4895"/>
    <w:rsid w:val="54B241AE"/>
    <w:rsid w:val="54C618EB"/>
    <w:rsid w:val="54F27D63"/>
    <w:rsid w:val="55197C6D"/>
    <w:rsid w:val="552B7848"/>
    <w:rsid w:val="556708AD"/>
    <w:rsid w:val="55753829"/>
    <w:rsid w:val="557E7D6C"/>
    <w:rsid w:val="557F623A"/>
    <w:rsid w:val="55C027DF"/>
    <w:rsid w:val="55F04E72"/>
    <w:rsid w:val="56021A16"/>
    <w:rsid w:val="560F04C9"/>
    <w:rsid w:val="56227DA6"/>
    <w:rsid w:val="56252ED4"/>
    <w:rsid w:val="562A341C"/>
    <w:rsid w:val="56336B5E"/>
    <w:rsid w:val="563E56CD"/>
    <w:rsid w:val="563F3E8D"/>
    <w:rsid w:val="566E223B"/>
    <w:rsid w:val="56705823"/>
    <w:rsid w:val="567943B3"/>
    <w:rsid w:val="56AE7952"/>
    <w:rsid w:val="56B60E91"/>
    <w:rsid w:val="56BE7FDF"/>
    <w:rsid w:val="56ED7B50"/>
    <w:rsid w:val="571B3EFD"/>
    <w:rsid w:val="57213968"/>
    <w:rsid w:val="572F4947"/>
    <w:rsid w:val="573F30EA"/>
    <w:rsid w:val="57813298"/>
    <w:rsid w:val="57A16D62"/>
    <w:rsid w:val="58381D76"/>
    <w:rsid w:val="583C45FA"/>
    <w:rsid w:val="586027F4"/>
    <w:rsid w:val="58675193"/>
    <w:rsid w:val="586A0E36"/>
    <w:rsid w:val="58754AD3"/>
    <w:rsid w:val="58883882"/>
    <w:rsid w:val="58BC67DD"/>
    <w:rsid w:val="58C85C32"/>
    <w:rsid w:val="58E83DEC"/>
    <w:rsid w:val="59097E6A"/>
    <w:rsid w:val="59473D85"/>
    <w:rsid w:val="598976A2"/>
    <w:rsid w:val="599E6F72"/>
    <w:rsid w:val="59A950BA"/>
    <w:rsid w:val="59AD6BD6"/>
    <w:rsid w:val="59CC14E4"/>
    <w:rsid w:val="59ED32EC"/>
    <w:rsid w:val="5A176150"/>
    <w:rsid w:val="5A35445F"/>
    <w:rsid w:val="5A3847DB"/>
    <w:rsid w:val="5A4E5529"/>
    <w:rsid w:val="5AA229A7"/>
    <w:rsid w:val="5AA27DF5"/>
    <w:rsid w:val="5AA955EF"/>
    <w:rsid w:val="5AAF193C"/>
    <w:rsid w:val="5AB04BD0"/>
    <w:rsid w:val="5AB666AC"/>
    <w:rsid w:val="5AED0425"/>
    <w:rsid w:val="5AF239E9"/>
    <w:rsid w:val="5AF462AB"/>
    <w:rsid w:val="5B0C4802"/>
    <w:rsid w:val="5B116538"/>
    <w:rsid w:val="5B254716"/>
    <w:rsid w:val="5B7057EE"/>
    <w:rsid w:val="5B8A3D6E"/>
    <w:rsid w:val="5BD112B1"/>
    <w:rsid w:val="5BD51966"/>
    <w:rsid w:val="5BD65D63"/>
    <w:rsid w:val="5C0138F0"/>
    <w:rsid w:val="5C5962EF"/>
    <w:rsid w:val="5C763331"/>
    <w:rsid w:val="5CBF10FA"/>
    <w:rsid w:val="5CE345F1"/>
    <w:rsid w:val="5CED7B42"/>
    <w:rsid w:val="5CF066F0"/>
    <w:rsid w:val="5CF16751"/>
    <w:rsid w:val="5CFF2912"/>
    <w:rsid w:val="5D8D2FA6"/>
    <w:rsid w:val="5D942587"/>
    <w:rsid w:val="5DA25BCF"/>
    <w:rsid w:val="5DC8346F"/>
    <w:rsid w:val="5DD26FD3"/>
    <w:rsid w:val="5DE8778B"/>
    <w:rsid w:val="5E0178E8"/>
    <w:rsid w:val="5E074AE3"/>
    <w:rsid w:val="5E0A0A9B"/>
    <w:rsid w:val="5E160F34"/>
    <w:rsid w:val="5E1C257C"/>
    <w:rsid w:val="5E311139"/>
    <w:rsid w:val="5E3B1EEC"/>
    <w:rsid w:val="5E540FCF"/>
    <w:rsid w:val="5E5700B2"/>
    <w:rsid w:val="5E600A52"/>
    <w:rsid w:val="5E751A83"/>
    <w:rsid w:val="5E7D40A5"/>
    <w:rsid w:val="5E941660"/>
    <w:rsid w:val="5ED462E4"/>
    <w:rsid w:val="5EDB6092"/>
    <w:rsid w:val="5EF157B7"/>
    <w:rsid w:val="5EF65083"/>
    <w:rsid w:val="5EF77271"/>
    <w:rsid w:val="5EF901A0"/>
    <w:rsid w:val="5F2B6F1B"/>
    <w:rsid w:val="5F71028E"/>
    <w:rsid w:val="5FAB060C"/>
    <w:rsid w:val="5FBB029F"/>
    <w:rsid w:val="5FC412D6"/>
    <w:rsid w:val="5FC86C88"/>
    <w:rsid w:val="5FCD7CFB"/>
    <w:rsid w:val="5FD13AB8"/>
    <w:rsid w:val="5FEA016C"/>
    <w:rsid w:val="60193217"/>
    <w:rsid w:val="602E5DE9"/>
    <w:rsid w:val="607E5E1F"/>
    <w:rsid w:val="60820DBC"/>
    <w:rsid w:val="60FF240D"/>
    <w:rsid w:val="61091BA1"/>
    <w:rsid w:val="610E0598"/>
    <w:rsid w:val="61223E1A"/>
    <w:rsid w:val="615C33BC"/>
    <w:rsid w:val="616E578F"/>
    <w:rsid w:val="617D7E6A"/>
    <w:rsid w:val="61811507"/>
    <w:rsid w:val="61AA4F97"/>
    <w:rsid w:val="61B56E03"/>
    <w:rsid w:val="61CB32AE"/>
    <w:rsid w:val="61CC40AD"/>
    <w:rsid w:val="62040764"/>
    <w:rsid w:val="62386D52"/>
    <w:rsid w:val="623C3CA2"/>
    <w:rsid w:val="623E4431"/>
    <w:rsid w:val="627836EA"/>
    <w:rsid w:val="629167A0"/>
    <w:rsid w:val="62995752"/>
    <w:rsid w:val="62B574D5"/>
    <w:rsid w:val="62D055AF"/>
    <w:rsid w:val="62D466FB"/>
    <w:rsid w:val="62E419E6"/>
    <w:rsid w:val="62FD56D6"/>
    <w:rsid w:val="631F6787"/>
    <w:rsid w:val="632806FD"/>
    <w:rsid w:val="632F7EEE"/>
    <w:rsid w:val="63367C3C"/>
    <w:rsid w:val="634A0D3C"/>
    <w:rsid w:val="634E48C4"/>
    <w:rsid w:val="637C7D45"/>
    <w:rsid w:val="638211F1"/>
    <w:rsid w:val="63951132"/>
    <w:rsid w:val="63C14FC9"/>
    <w:rsid w:val="63FC70D8"/>
    <w:rsid w:val="643A0476"/>
    <w:rsid w:val="647B67F6"/>
    <w:rsid w:val="649E18C7"/>
    <w:rsid w:val="64AA2690"/>
    <w:rsid w:val="64B53945"/>
    <w:rsid w:val="64CA05CB"/>
    <w:rsid w:val="64EE5435"/>
    <w:rsid w:val="653D3504"/>
    <w:rsid w:val="65505A55"/>
    <w:rsid w:val="65597932"/>
    <w:rsid w:val="65690BD8"/>
    <w:rsid w:val="65696C05"/>
    <w:rsid w:val="656C4731"/>
    <w:rsid w:val="65931376"/>
    <w:rsid w:val="65AF24F1"/>
    <w:rsid w:val="65E87914"/>
    <w:rsid w:val="66143FF6"/>
    <w:rsid w:val="661F403C"/>
    <w:rsid w:val="66254723"/>
    <w:rsid w:val="66447B18"/>
    <w:rsid w:val="664B51AC"/>
    <w:rsid w:val="66B912B0"/>
    <w:rsid w:val="66DA1035"/>
    <w:rsid w:val="6736645D"/>
    <w:rsid w:val="675E1D15"/>
    <w:rsid w:val="67610F59"/>
    <w:rsid w:val="67667E72"/>
    <w:rsid w:val="678371C8"/>
    <w:rsid w:val="679151AA"/>
    <w:rsid w:val="67992D01"/>
    <w:rsid w:val="67A61638"/>
    <w:rsid w:val="67F105D6"/>
    <w:rsid w:val="67F7371C"/>
    <w:rsid w:val="68175212"/>
    <w:rsid w:val="682F5AE1"/>
    <w:rsid w:val="68334803"/>
    <w:rsid w:val="685F2879"/>
    <w:rsid w:val="68750AD9"/>
    <w:rsid w:val="688A5049"/>
    <w:rsid w:val="688D6550"/>
    <w:rsid w:val="68B12566"/>
    <w:rsid w:val="68B126E1"/>
    <w:rsid w:val="68C63810"/>
    <w:rsid w:val="68E61D28"/>
    <w:rsid w:val="6910548F"/>
    <w:rsid w:val="692560BF"/>
    <w:rsid w:val="692D2EEB"/>
    <w:rsid w:val="693C476F"/>
    <w:rsid w:val="69572B39"/>
    <w:rsid w:val="69601C2E"/>
    <w:rsid w:val="6985760F"/>
    <w:rsid w:val="69F92941"/>
    <w:rsid w:val="6A2441FE"/>
    <w:rsid w:val="6A68311E"/>
    <w:rsid w:val="6A9435B6"/>
    <w:rsid w:val="6A9B2111"/>
    <w:rsid w:val="6AA721FE"/>
    <w:rsid w:val="6AF02DC7"/>
    <w:rsid w:val="6B045CF1"/>
    <w:rsid w:val="6B296EB9"/>
    <w:rsid w:val="6B2F636B"/>
    <w:rsid w:val="6B364C7D"/>
    <w:rsid w:val="6B572E46"/>
    <w:rsid w:val="6B6326B3"/>
    <w:rsid w:val="6B6932A5"/>
    <w:rsid w:val="6B7928A2"/>
    <w:rsid w:val="6BB34520"/>
    <w:rsid w:val="6BD01CC1"/>
    <w:rsid w:val="6BD46EF8"/>
    <w:rsid w:val="6BE51D9B"/>
    <w:rsid w:val="6BEE37AA"/>
    <w:rsid w:val="6C224BFB"/>
    <w:rsid w:val="6C3C51F6"/>
    <w:rsid w:val="6C8639E2"/>
    <w:rsid w:val="6CC432EB"/>
    <w:rsid w:val="6CC509B9"/>
    <w:rsid w:val="6CC87803"/>
    <w:rsid w:val="6D02061A"/>
    <w:rsid w:val="6D3D76F5"/>
    <w:rsid w:val="6D611149"/>
    <w:rsid w:val="6D9A7615"/>
    <w:rsid w:val="6DA65DBD"/>
    <w:rsid w:val="6DCD7D03"/>
    <w:rsid w:val="6DDA5161"/>
    <w:rsid w:val="6E0C76AD"/>
    <w:rsid w:val="6E0D7EC3"/>
    <w:rsid w:val="6E2F2BDC"/>
    <w:rsid w:val="6E3B510F"/>
    <w:rsid w:val="6E4D5003"/>
    <w:rsid w:val="6E5420BA"/>
    <w:rsid w:val="6E7B48A4"/>
    <w:rsid w:val="6E8C0087"/>
    <w:rsid w:val="6E9F2B3A"/>
    <w:rsid w:val="6ED926EF"/>
    <w:rsid w:val="6ED92ABF"/>
    <w:rsid w:val="6EDB062F"/>
    <w:rsid w:val="6F114F33"/>
    <w:rsid w:val="6F1F1A02"/>
    <w:rsid w:val="6F4A519B"/>
    <w:rsid w:val="6F532236"/>
    <w:rsid w:val="6F7615ED"/>
    <w:rsid w:val="6F824EF2"/>
    <w:rsid w:val="6FBD4AD4"/>
    <w:rsid w:val="6FC30AAA"/>
    <w:rsid w:val="70194DCD"/>
    <w:rsid w:val="703A5210"/>
    <w:rsid w:val="703B4911"/>
    <w:rsid w:val="704E2A69"/>
    <w:rsid w:val="70675777"/>
    <w:rsid w:val="70781894"/>
    <w:rsid w:val="707B33B5"/>
    <w:rsid w:val="707B35B6"/>
    <w:rsid w:val="709D16AE"/>
    <w:rsid w:val="70C27140"/>
    <w:rsid w:val="70C56F11"/>
    <w:rsid w:val="70CA08DD"/>
    <w:rsid w:val="70DE6AE2"/>
    <w:rsid w:val="70EF010C"/>
    <w:rsid w:val="7110396B"/>
    <w:rsid w:val="71121CE9"/>
    <w:rsid w:val="712F289B"/>
    <w:rsid w:val="713F0604"/>
    <w:rsid w:val="717B73FC"/>
    <w:rsid w:val="718B4B98"/>
    <w:rsid w:val="71A010A2"/>
    <w:rsid w:val="71B2527A"/>
    <w:rsid w:val="71CF6D9D"/>
    <w:rsid w:val="71E144E3"/>
    <w:rsid w:val="71F254CD"/>
    <w:rsid w:val="72067563"/>
    <w:rsid w:val="720F7FD6"/>
    <w:rsid w:val="72383B61"/>
    <w:rsid w:val="72485391"/>
    <w:rsid w:val="724E32D1"/>
    <w:rsid w:val="726A345E"/>
    <w:rsid w:val="72932429"/>
    <w:rsid w:val="72AC7F1B"/>
    <w:rsid w:val="72D37C03"/>
    <w:rsid w:val="72D8486C"/>
    <w:rsid w:val="72F43BA0"/>
    <w:rsid w:val="72FB055A"/>
    <w:rsid w:val="7306762B"/>
    <w:rsid w:val="73196D06"/>
    <w:rsid w:val="732B24A9"/>
    <w:rsid w:val="736224EB"/>
    <w:rsid w:val="73642991"/>
    <w:rsid w:val="73846425"/>
    <w:rsid w:val="73927C63"/>
    <w:rsid w:val="73A63630"/>
    <w:rsid w:val="73D414D7"/>
    <w:rsid w:val="74257F85"/>
    <w:rsid w:val="74457659"/>
    <w:rsid w:val="744F7BB4"/>
    <w:rsid w:val="74716D26"/>
    <w:rsid w:val="74806F69"/>
    <w:rsid w:val="7491561A"/>
    <w:rsid w:val="74D6770C"/>
    <w:rsid w:val="74D769FD"/>
    <w:rsid w:val="74E42D22"/>
    <w:rsid w:val="75047B9A"/>
    <w:rsid w:val="75444964"/>
    <w:rsid w:val="75AA0C2C"/>
    <w:rsid w:val="75AA3AE0"/>
    <w:rsid w:val="75F24C24"/>
    <w:rsid w:val="760E2F1A"/>
    <w:rsid w:val="76115AB3"/>
    <w:rsid w:val="762C4EBB"/>
    <w:rsid w:val="766A728E"/>
    <w:rsid w:val="76800EB8"/>
    <w:rsid w:val="76813BAB"/>
    <w:rsid w:val="76970762"/>
    <w:rsid w:val="76F77DB0"/>
    <w:rsid w:val="774C327E"/>
    <w:rsid w:val="776260B9"/>
    <w:rsid w:val="77D12033"/>
    <w:rsid w:val="77D543BA"/>
    <w:rsid w:val="77DC095A"/>
    <w:rsid w:val="780D6D66"/>
    <w:rsid w:val="782C66D7"/>
    <w:rsid w:val="785567E8"/>
    <w:rsid w:val="78A0270A"/>
    <w:rsid w:val="78B65E9C"/>
    <w:rsid w:val="78BA67AD"/>
    <w:rsid w:val="78EA679F"/>
    <w:rsid w:val="79052133"/>
    <w:rsid w:val="795D2751"/>
    <w:rsid w:val="796B01E8"/>
    <w:rsid w:val="79765209"/>
    <w:rsid w:val="798319D2"/>
    <w:rsid w:val="798949F8"/>
    <w:rsid w:val="7A120583"/>
    <w:rsid w:val="7A332B5A"/>
    <w:rsid w:val="7A877E2C"/>
    <w:rsid w:val="7A90204B"/>
    <w:rsid w:val="7AD43D84"/>
    <w:rsid w:val="7ADA5DF8"/>
    <w:rsid w:val="7AE42978"/>
    <w:rsid w:val="7AE55D78"/>
    <w:rsid w:val="7AFE5F7B"/>
    <w:rsid w:val="7B1227F8"/>
    <w:rsid w:val="7B221290"/>
    <w:rsid w:val="7B2F3BD3"/>
    <w:rsid w:val="7B4829B8"/>
    <w:rsid w:val="7B516210"/>
    <w:rsid w:val="7B5C504B"/>
    <w:rsid w:val="7B845591"/>
    <w:rsid w:val="7B9F56AC"/>
    <w:rsid w:val="7BDF6C6B"/>
    <w:rsid w:val="7BE47080"/>
    <w:rsid w:val="7BFE3DFA"/>
    <w:rsid w:val="7C23048F"/>
    <w:rsid w:val="7C403356"/>
    <w:rsid w:val="7C5A4897"/>
    <w:rsid w:val="7C5C1240"/>
    <w:rsid w:val="7C707CD5"/>
    <w:rsid w:val="7CA67D55"/>
    <w:rsid w:val="7CAB0AB3"/>
    <w:rsid w:val="7CB709EC"/>
    <w:rsid w:val="7CC93CEF"/>
    <w:rsid w:val="7CE63A5E"/>
    <w:rsid w:val="7CFF6BAA"/>
    <w:rsid w:val="7D095AD3"/>
    <w:rsid w:val="7D110243"/>
    <w:rsid w:val="7D14461C"/>
    <w:rsid w:val="7D1D112D"/>
    <w:rsid w:val="7D6B407C"/>
    <w:rsid w:val="7DB16C9A"/>
    <w:rsid w:val="7DC5544B"/>
    <w:rsid w:val="7DEB7276"/>
    <w:rsid w:val="7DEF61BC"/>
    <w:rsid w:val="7E546A98"/>
    <w:rsid w:val="7E5F76C4"/>
    <w:rsid w:val="7E7C2E97"/>
    <w:rsid w:val="7E7E5E60"/>
    <w:rsid w:val="7E8751B2"/>
    <w:rsid w:val="7E8A564E"/>
    <w:rsid w:val="7EBE7CEC"/>
    <w:rsid w:val="7EEB587A"/>
    <w:rsid w:val="7F062017"/>
    <w:rsid w:val="7F116BFC"/>
    <w:rsid w:val="7F166D96"/>
    <w:rsid w:val="7F934271"/>
    <w:rsid w:val="7FC40A64"/>
    <w:rsid w:val="7FCC26C5"/>
    <w:rsid w:val="7FDB1BD0"/>
    <w:rsid w:val="7FE23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50"/>
    <w:qFormat/>
    <w:uiPriority w:val="0"/>
    <w:pPr>
      <w:widowControl w:val="0"/>
      <w:spacing w:line="240" w:lineRule="auto"/>
      <w:jc w:val="both"/>
    </w:pPr>
    <w:rPr>
      <w:rFonts w:ascii="Times New Roman" w:hAnsi="Times New Roman" w:eastAsia="宋体" w:cs="Times New Roman"/>
      <w:kern w:val="2"/>
      <w:sz w:val="24"/>
      <w:lang w:val="en-US" w:eastAsia="zh-CN" w:bidi="ar-SA"/>
    </w:rPr>
  </w:style>
  <w:style w:type="paragraph" w:styleId="3">
    <w:name w:val="heading 1"/>
    <w:basedOn w:val="1"/>
    <w:next w:val="1"/>
    <w:link w:val="40"/>
    <w:qFormat/>
    <w:uiPriority w:val="0"/>
    <w:pPr>
      <w:keepNext/>
      <w:keepLines/>
      <w:spacing w:before="100" w:beforeLines="0" w:beforeAutospacing="0" w:after="90" w:afterLines="0" w:afterAutospacing="0" w:line="576" w:lineRule="auto"/>
      <w:outlineLvl w:val="0"/>
    </w:pPr>
    <w:rPr>
      <w:rFonts w:ascii="Times New Roman" w:hAnsi="Times New Roman" w:eastAsia="宋体"/>
      <w:b/>
      <w:kern w:val="44"/>
      <w:sz w:val="32"/>
    </w:rPr>
  </w:style>
  <w:style w:type="paragraph" w:styleId="4">
    <w:name w:val="heading 2"/>
    <w:basedOn w:val="1"/>
    <w:next w:val="1"/>
    <w:link w:val="39"/>
    <w:qFormat/>
    <w:uiPriority w:val="0"/>
    <w:pPr>
      <w:keepNext/>
      <w:keepLines/>
      <w:spacing w:before="20" w:beforeLines="0" w:after="20" w:afterLines="0" w:line="413" w:lineRule="auto"/>
      <w:outlineLvl w:val="1"/>
    </w:pPr>
    <w:rPr>
      <w:rFonts w:ascii="Arial" w:hAnsi="Arial" w:eastAsia="宋体"/>
      <w:b/>
      <w:bCs/>
      <w:sz w:val="28"/>
      <w:szCs w:val="32"/>
    </w:rPr>
  </w:style>
  <w:style w:type="paragraph" w:styleId="5">
    <w:name w:val="heading 5"/>
    <w:basedOn w:val="1"/>
    <w:next w:val="1"/>
    <w:semiHidden/>
    <w:unhideWhenUsed/>
    <w:qFormat/>
    <w:uiPriority w:val="0"/>
    <w:pPr>
      <w:keepNext/>
      <w:keepLines/>
      <w:widowControl/>
      <w:suppressLineNumbers w:val="0"/>
      <w:spacing w:before="280" w:beforeAutospacing="0" w:after="290" w:afterAutospacing="0" w:line="372" w:lineRule="auto"/>
      <w:ind w:left="0" w:right="0"/>
      <w:jc w:val="left"/>
      <w:outlineLvl w:val="4"/>
    </w:pPr>
    <w:rPr>
      <w:rFonts w:hint="default" w:ascii="Times New Roman" w:hAnsi="Times New Roman" w:eastAsia="宋体" w:cs="Times New Roman"/>
      <w:b/>
      <w:kern w:val="0"/>
      <w:sz w:val="28"/>
      <w:szCs w:val="20"/>
      <w:lang w:val="en-US" w:eastAsia="zh-CN" w:bidi="ar"/>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hAnsi="宋体" w:cs="宋体"/>
      <w:kern w:val="0"/>
      <w:sz w:val="24"/>
    </w:rPr>
  </w:style>
  <w:style w:type="paragraph" w:styleId="6">
    <w:name w:val="Note Heading"/>
    <w:basedOn w:val="1"/>
    <w:next w:val="1"/>
    <w:qFormat/>
    <w:uiPriority w:val="0"/>
    <w:pPr>
      <w:widowControl w:val="0"/>
      <w:autoSpaceDE/>
      <w:autoSpaceDN/>
      <w:spacing w:before="0" w:after="0" w:line="360" w:lineRule="auto"/>
      <w:ind w:left="0" w:firstLine="3584"/>
      <w:jc w:val="center"/>
    </w:pPr>
  </w:style>
  <w:style w:type="paragraph" w:styleId="7">
    <w:name w:val="E-mail Signature"/>
    <w:basedOn w:val="1"/>
    <w:next w:val="8"/>
    <w:qFormat/>
    <w:uiPriority w:val="0"/>
  </w:style>
  <w:style w:type="paragraph" w:customStyle="1" w:styleId="8">
    <w:name w:val="xl84"/>
    <w:basedOn w:val="1"/>
    <w:next w:val="9"/>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微软雅黑" w:hAnsi="微软雅黑" w:eastAsia="微软雅黑" w:cs="宋体"/>
      <w:sz w:val="24"/>
      <w:szCs w:val="24"/>
    </w:rPr>
  </w:style>
  <w:style w:type="paragraph" w:customStyle="1" w:styleId="9">
    <w:name w:val="et15"/>
    <w:basedOn w:val="1"/>
    <w:next w:val="10"/>
    <w:qFormat/>
    <w:uiPriority w:val="0"/>
    <w:pPr>
      <w:widowControl/>
      <w:shd w:val="clear" w:color="000000" w:fill="FFFFFF"/>
      <w:spacing w:before="280" w:after="280"/>
    </w:pPr>
    <w:rPr>
      <w:rFonts w:ascii="宋体"/>
      <w:color w:val="000000"/>
      <w:sz w:val="20"/>
    </w:rPr>
  </w:style>
  <w:style w:type="paragraph" w:styleId="10">
    <w:name w:val="Signature"/>
    <w:basedOn w:val="1"/>
    <w:next w:val="1"/>
    <w:qFormat/>
    <w:uiPriority w:val="0"/>
    <w:pPr>
      <w:ind w:left="100"/>
    </w:pPr>
  </w:style>
  <w:style w:type="paragraph" w:styleId="11">
    <w:name w:val="Normal Indent"/>
    <w:basedOn w:val="1"/>
    <w:qFormat/>
    <w:uiPriority w:val="0"/>
    <w:pPr>
      <w:ind w:firstLine="420"/>
    </w:pPr>
    <w:rPr>
      <w:rFonts w:ascii="Times New Roman" w:hAnsi="Times New Roman" w:eastAsia="宋体" w:cs="Times New Roman"/>
      <w:kern w:val="0"/>
      <w:sz w:val="20"/>
      <w:szCs w:val="20"/>
    </w:rPr>
  </w:style>
  <w:style w:type="paragraph" w:styleId="12">
    <w:name w:val="annotation text"/>
    <w:basedOn w:val="1"/>
    <w:semiHidden/>
    <w:qFormat/>
    <w:uiPriority w:val="0"/>
    <w:pPr>
      <w:widowControl w:val="0"/>
      <w:jc w:val="left"/>
    </w:pPr>
    <w:rPr>
      <w:rFonts w:ascii="Times New Roman" w:hAnsi="Times New Roman" w:eastAsia="宋体" w:cs="Times New Roman"/>
      <w:kern w:val="2"/>
      <w:sz w:val="21"/>
      <w:lang w:val="en-US" w:eastAsia="zh-CN" w:bidi="ar-SA"/>
    </w:rPr>
  </w:style>
  <w:style w:type="paragraph" w:styleId="13">
    <w:name w:val="Closing"/>
    <w:basedOn w:val="1"/>
    <w:next w:val="14"/>
    <w:qFormat/>
    <w:uiPriority w:val="0"/>
    <w:pPr>
      <w:ind w:left="100"/>
    </w:pPr>
  </w:style>
  <w:style w:type="paragraph" w:customStyle="1" w:styleId="14">
    <w:name w:val="Char Char1 Char Char Char Char Char Char Char Char Char Char Char Char Char Char Char Char Char Char"/>
    <w:basedOn w:val="1"/>
    <w:next w:val="7"/>
    <w:qFormat/>
    <w:uiPriority w:val="0"/>
    <w:pPr>
      <w:widowControl/>
      <w:spacing w:after="160" w:line="240" w:lineRule="exact"/>
    </w:pPr>
    <w:rPr>
      <w:rFonts w:ascii="宋体" w:hAnsi="宋体" w:eastAsia="Times New Roman" w:cs="宋体"/>
      <w:kern w:val="0"/>
      <w:sz w:val="20"/>
    </w:rPr>
  </w:style>
  <w:style w:type="paragraph" w:styleId="15">
    <w:name w:val="Body Text"/>
    <w:basedOn w:val="1"/>
    <w:next w:val="1"/>
    <w:qFormat/>
    <w:uiPriority w:val="0"/>
    <w:pPr>
      <w:spacing w:after="120" w:afterLines="0"/>
    </w:pPr>
  </w:style>
  <w:style w:type="paragraph" w:styleId="16">
    <w:name w:val="Body Text Indent"/>
    <w:basedOn w:val="1"/>
    <w:next w:val="17"/>
    <w:qFormat/>
    <w:uiPriority w:val="0"/>
    <w:pPr>
      <w:autoSpaceDE w:val="0"/>
      <w:autoSpaceDN w:val="0"/>
      <w:adjustRightInd w:val="0"/>
      <w:spacing w:line="360" w:lineRule="auto"/>
      <w:ind w:firstLine="480"/>
      <w:jc w:val="left"/>
    </w:pPr>
    <w:rPr>
      <w:rFonts w:ascii="宋体" w:hAnsi="宋体"/>
      <w:kern w:val="0"/>
      <w:sz w:val="24"/>
    </w:rPr>
  </w:style>
  <w:style w:type="paragraph" w:styleId="17">
    <w:name w:val="envelope return"/>
    <w:basedOn w:val="1"/>
    <w:qFormat/>
    <w:uiPriority w:val="0"/>
    <w:pPr>
      <w:snapToGrid w:val="0"/>
    </w:pPr>
    <w:rPr>
      <w:rFonts w:ascii="Arial" w:hAnsi="Arial"/>
    </w:rPr>
  </w:style>
  <w:style w:type="paragraph" w:styleId="18">
    <w:name w:val="Plain Text"/>
    <w:basedOn w:val="1"/>
    <w:qFormat/>
    <w:uiPriority w:val="0"/>
    <w:rPr>
      <w:rFonts w:ascii="宋体" w:hAnsi="Courier New" w:eastAsia="宋体" w:cs="Times New Roman"/>
      <w:szCs w:val="22"/>
    </w:rPr>
  </w:style>
  <w:style w:type="paragraph" w:styleId="19">
    <w:name w:val="Date"/>
    <w:basedOn w:val="1"/>
    <w:next w:val="1"/>
    <w:qFormat/>
    <w:uiPriority w:val="0"/>
    <w:rPr>
      <w:sz w:val="28"/>
    </w:rPr>
  </w:style>
  <w:style w:type="paragraph" w:styleId="20">
    <w:name w:val="footer"/>
    <w:basedOn w:val="1"/>
    <w:qFormat/>
    <w:uiPriority w:val="99"/>
    <w:pPr>
      <w:tabs>
        <w:tab w:val="center" w:pos="4153"/>
        <w:tab w:val="right" w:pos="8306"/>
      </w:tabs>
      <w:snapToGrid w:val="0"/>
      <w:jc w:val="left"/>
    </w:pPr>
    <w:rPr>
      <w:sz w:val="18"/>
    </w:rPr>
  </w:style>
  <w:style w:type="paragraph" w:styleId="2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paragraph" w:styleId="22">
    <w:name w:val="toc 1"/>
    <w:basedOn w:val="1"/>
    <w:next w:val="1"/>
    <w:qFormat/>
    <w:uiPriority w:val="0"/>
  </w:style>
  <w:style w:type="paragraph" w:styleId="23">
    <w:name w:val="toc 2"/>
    <w:basedOn w:val="1"/>
    <w:next w:val="1"/>
    <w:qFormat/>
    <w:uiPriority w:val="0"/>
    <w:pPr>
      <w:ind w:left="420" w:leftChars="200"/>
    </w:pPr>
    <w:rPr>
      <w:sz w:val="21"/>
    </w:rPr>
  </w:style>
  <w:style w:type="paragraph" w:styleId="24">
    <w:name w:val="Body Text 2"/>
    <w:basedOn w:val="1"/>
    <w:unhideWhenUsed/>
    <w:qFormat/>
    <w:uiPriority w:val="99"/>
    <w:pPr>
      <w:adjustRightInd w:val="0"/>
      <w:snapToGrid w:val="0"/>
      <w:spacing w:line="480" w:lineRule="atLeast"/>
    </w:pPr>
    <w:rPr>
      <w:rFonts w:hAnsi="Calibri"/>
      <w:sz w:val="28"/>
      <w:szCs w:val="20"/>
    </w:rPr>
  </w:style>
  <w:style w:type="paragraph" w:styleId="25">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7">
    <w:name w:val="Body Text First Indent"/>
    <w:basedOn w:val="15"/>
    <w:qFormat/>
    <w:uiPriority w:val="0"/>
    <w:pPr>
      <w:ind w:firstLine="420" w:firstLineChars="100"/>
    </w:pPr>
  </w:style>
  <w:style w:type="paragraph" w:styleId="28">
    <w:name w:val="Body Text First Indent 2"/>
    <w:basedOn w:val="16"/>
    <w:qFormat/>
    <w:uiPriority w:val="0"/>
    <w:pPr>
      <w:ind w:firstLine="420" w:firstLineChars="200"/>
    </w:p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0"/>
    <w:rPr>
      <w:b/>
    </w:rPr>
  </w:style>
  <w:style w:type="character" w:styleId="33">
    <w:name w:val="page number"/>
    <w:basedOn w:val="31"/>
    <w:qFormat/>
    <w:uiPriority w:val="0"/>
  </w:style>
  <w:style w:type="paragraph" w:customStyle="1" w:styleId="34">
    <w:name w:val="表格文字"/>
    <w:basedOn w:val="1"/>
    <w:qFormat/>
    <w:uiPriority w:val="0"/>
    <w:pPr>
      <w:spacing w:line="360" w:lineRule="auto"/>
      <w:jc w:val="left"/>
    </w:pPr>
    <w:rPr>
      <w:bCs/>
      <w:spacing w:val="10"/>
      <w:kern w:val="0"/>
      <w:szCs w:val="20"/>
    </w:rPr>
  </w:style>
  <w:style w:type="paragraph" w:customStyle="1" w:styleId="35">
    <w:name w:val="BodyText1I2"/>
    <w:basedOn w:val="36"/>
    <w:qFormat/>
    <w:uiPriority w:val="0"/>
    <w:pPr>
      <w:ind w:firstLineChars="200"/>
    </w:pPr>
    <w:rPr>
      <w:rFonts w:ascii="Times New Roman" w:hAnsi="Times New Roman" w:eastAsia="仿宋"/>
      <w:sz w:val="28"/>
    </w:rPr>
  </w:style>
  <w:style w:type="paragraph" w:customStyle="1" w:styleId="36">
    <w:name w:val="BodyTextIndent"/>
    <w:basedOn w:val="1"/>
    <w:next w:val="35"/>
    <w:qFormat/>
    <w:uiPriority w:val="0"/>
    <w:pPr>
      <w:spacing w:line="360" w:lineRule="auto"/>
      <w:ind w:firstLine="480"/>
      <w:jc w:val="left"/>
      <w:textAlignment w:val="baseline"/>
    </w:pPr>
    <w:rPr>
      <w:rFonts w:ascii="宋体" w:hAnsi="宋体"/>
      <w:kern w:val="0"/>
      <w:sz w:val="24"/>
    </w:rPr>
  </w:style>
  <w:style w:type="paragraph" w:customStyle="1" w:styleId="3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38">
    <w:name w:val="Table Paragraph"/>
    <w:basedOn w:val="1"/>
    <w:qFormat/>
    <w:uiPriority w:val="0"/>
    <w:pPr>
      <w:autoSpaceDE w:val="0"/>
      <w:autoSpaceDN w:val="0"/>
      <w:spacing w:line="274" w:lineRule="exact"/>
      <w:ind w:left="103"/>
      <w:jc w:val="left"/>
    </w:pPr>
    <w:rPr>
      <w:rFonts w:ascii="宋体" w:hAnsi="宋体"/>
      <w:kern w:val="0"/>
      <w:sz w:val="22"/>
      <w:lang w:eastAsia="en-US"/>
    </w:rPr>
  </w:style>
  <w:style w:type="character" w:customStyle="1" w:styleId="39">
    <w:name w:val="标题 2 Char"/>
    <w:link w:val="4"/>
    <w:qFormat/>
    <w:uiPriority w:val="0"/>
    <w:rPr>
      <w:rFonts w:ascii="Arial" w:hAnsi="Arial" w:eastAsia="宋体"/>
      <w:b/>
      <w:bCs/>
      <w:sz w:val="28"/>
      <w:szCs w:val="32"/>
    </w:rPr>
  </w:style>
  <w:style w:type="character" w:customStyle="1" w:styleId="40">
    <w:name w:val="标题 1 Char"/>
    <w:link w:val="3"/>
    <w:qFormat/>
    <w:uiPriority w:val="0"/>
    <w:rPr>
      <w:rFonts w:ascii="Times New Roman" w:hAnsi="Times New Roman" w:eastAsia="宋体"/>
      <w:b/>
      <w:kern w:val="44"/>
      <w:sz w:val="32"/>
    </w:rPr>
  </w:style>
  <w:style w:type="table" w:customStyle="1" w:styleId="41">
    <w:name w:val="Table Normal"/>
    <w:semiHidden/>
    <w:unhideWhenUsed/>
    <w:qFormat/>
    <w:uiPriority w:val="0"/>
    <w:tblPr>
      <w:tblCellMar>
        <w:top w:w="0" w:type="dxa"/>
        <w:left w:w="0" w:type="dxa"/>
        <w:bottom w:w="0" w:type="dxa"/>
        <w:right w:w="0" w:type="dxa"/>
      </w:tblCellMar>
    </w:tblPr>
  </w:style>
  <w:style w:type="character" w:customStyle="1" w:styleId="42">
    <w:name w:val="text"/>
    <w:basedOn w:val="31"/>
    <w:qFormat/>
    <w:uiPriority w:val="0"/>
  </w:style>
  <w:style w:type="character" w:customStyle="1" w:styleId="43">
    <w:name w:val="icon"/>
    <w:basedOn w:val="31"/>
    <w:qFormat/>
    <w:uiPriority w:val="0"/>
  </w:style>
  <w:style w:type="character" w:customStyle="1" w:styleId="44">
    <w:name w:val="hover15"/>
    <w:basedOn w:val="31"/>
    <w:qFormat/>
    <w:uiPriority w:val="0"/>
    <w:rPr>
      <w:bdr w:val="single" w:color="999999" w:sz="6" w:space="0"/>
    </w:rPr>
  </w:style>
  <w:style w:type="character" w:customStyle="1" w:styleId="45">
    <w:name w:val="active"/>
    <w:basedOn w:val="31"/>
    <w:qFormat/>
    <w:uiPriority w:val="0"/>
    <w:rPr>
      <w:shd w:val="clear" w:fill="FFFFFF"/>
    </w:rPr>
  </w:style>
  <w:style w:type="character" w:customStyle="1" w:styleId="46">
    <w:name w:val="active1"/>
    <w:basedOn w:val="31"/>
    <w:qFormat/>
    <w:uiPriority w:val="0"/>
    <w:rPr>
      <w:shd w:val="clear" w:fill="FFFFFF"/>
    </w:rPr>
  </w:style>
  <w:style w:type="paragraph" w:customStyle="1" w:styleId="47">
    <w:name w:val="_Style 34"/>
    <w:basedOn w:val="15"/>
    <w:next w:val="27"/>
    <w:qFormat/>
    <w:uiPriority w:val="0"/>
    <w:pPr>
      <w:ind w:firstLine="420" w:firstLineChars="100"/>
    </w:pPr>
  </w:style>
  <w:style w:type="paragraph" w:customStyle="1" w:styleId="48">
    <w:name w:val="xl50"/>
    <w:basedOn w:val="1"/>
    <w:next w:val="6"/>
    <w:qFormat/>
    <w:uiPriority w:val="0"/>
    <w:pPr>
      <w:widowControl/>
      <w:autoSpaceDE/>
      <w:autoSpaceDN/>
      <w:spacing w:before="280" w:after="280" w:line="240" w:lineRule="auto"/>
      <w:ind w:left="0" w:firstLine="3584"/>
    </w:pPr>
  </w:style>
  <w:style w:type="paragraph" w:customStyle="1" w:styleId="49">
    <w:name w:val="NormalIndent"/>
    <w:basedOn w:val="1"/>
    <w:qFormat/>
    <w:uiPriority w:val="0"/>
    <w:pPr>
      <w:widowControl/>
      <w:spacing w:line="312" w:lineRule="atLeast"/>
      <w:ind w:firstLine="420" w:firstLineChars="0"/>
      <w:jc w:val="both"/>
      <w:textAlignment w:val="baseline"/>
    </w:pPr>
    <w:rPr>
      <w:rFonts w:ascii="Calibri" w:hAnsi="Calibri" w:eastAsia="宋体" w:cs="Times New Roman"/>
      <w:kern w:val="0"/>
      <w:sz w:val="21"/>
      <w:szCs w:val="24"/>
    </w:rPr>
  </w:style>
  <w:style w:type="character" w:customStyle="1" w:styleId="50">
    <w:name w:val="NormalCharacter"/>
    <w:basedOn w:val="31"/>
    <w:link w:val="1"/>
    <w:semiHidden/>
    <w:qFormat/>
    <w:uiPriority w:val="0"/>
    <w:rPr>
      <w:rFonts w:ascii="Times New Roman" w:hAnsi="Times New Roman" w:eastAsia="宋体" w:cs="Times New Roman"/>
      <w:kern w:val="2"/>
      <w:sz w:val="24"/>
      <w:lang w:val="en-US" w:eastAsia="zh-CN" w:bidi="ar-SA"/>
    </w:rPr>
  </w:style>
  <w:style w:type="paragraph" w:customStyle="1" w:styleId="51">
    <w:name w:val="Table Text"/>
    <w:basedOn w:val="1"/>
    <w:semiHidden/>
    <w:qFormat/>
    <w:uiPriority w:val="0"/>
    <w:rPr>
      <w:rFonts w:ascii="宋体" w:hAnsi="宋体" w:eastAsia="宋体" w:cs="宋体"/>
      <w:sz w:val="18"/>
      <w:szCs w:val="18"/>
      <w:lang w:val="en-US" w:eastAsia="en-US" w:bidi="ar-SA"/>
    </w:rPr>
  </w:style>
  <w:style w:type="paragraph" w:customStyle="1" w:styleId="52">
    <w:name w:val="_Style 3"/>
    <w:next w:val="53"/>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List Paragraph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13856</Words>
  <Characters>14860</Characters>
  <Lines>0</Lines>
  <Paragraphs>0</Paragraphs>
  <TotalTime>12</TotalTime>
  <ScaleCrop>false</ScaleCrop>
  <LinksUpToDate>false</LinksUpToDate>
  <CharactersWithSpaces>15275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2021-11-01T01:26:00Z</dcterms:created>
  <dc:creator>Administrator</dc:creator>
  <cp:lastModifiedBy>Administrator</cp:lastModifiedBy>
  <cp:lastPrinted>2026-05-26T02:29:00Z</cp:lastPrinted>
  <dcterms:modified xsi:type="dcterms:W3CDTF">2026-06-10T06:10:51Z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C3A943137AAA43F18D7900B957B8E67E_13</vt:lpwstr>
  </property>
  <property fmtid="{D5CDD505-2E9C-101B-9397-08002B2CF9AE}" pid="4" name="commondata">
    <vt:lpwstr>eyJoZGlkIjoiOTg5NmZhMWUwODM0ZGYyMGY4ZDJlNDRlYTNiNmY5NzEifQ==</vt:lpwstr>
  </property>
  <property fmtid="{D5CDD505-2E9C-101B-9397-08002B2CF9AE}" pid="5" name="KSOTemplateDocerSaveRecord">
    <vt:lpwstr>eyJoZGlkIjoiYjg5OTg4YmEyYzAzMzQzY2MyYzViZWY5ZTUxYzVmNTkiLCJ1c2VySWQiOiIxMjA1OTg1NDc1In0=</vt:lpwstr>
  </property>
</Properties>
</file>