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69374">
      <w:pPr>
        <w:pStyle w:val="9"/>
        <w:ind w:firstLine="643"/>
        <w:jc w:val="center"/>
        <w:rPr>
          <w:rFonts w:ascii="仿宋_GB2312" w:hAnsi="仿宋" w:eastAsia="仿宋_GB2312"/>
          <w:b/>
          <w:sz w:val="32"/>
          <w:szCs w:val="32"/>
        </w:rPr>
      </w:pPr>
      <w:r>
        <w:rPr>
          <w:rFonts w:hint="eastAsia" w:ascii="仿宋_GB2312" w:hAnsi="仿宋" w:eastAsia="仿宋_GB2312"/>
          <w:b/>
          <w:sz w:val="32"/>
          <w:szCs w:val="32"/>
        </w:rPr>
        <w:t>江西省政府采购供应商资格信用承诺函</w:t>
      </w:r>
    </w:p>
    <w:p w14:paraId="17516949">
      <w:pPr>
        <w:rPr>
          <w:rFonts w:hint="eastAsia" w:ascii="仿宋_GB2312" w:hAnsi="仿宋" w:eastAsia="仿宋_GB2312"/>
          <w:bCs/>
          <w:sz w:val="24"/>
          <w:szCs w:val="24"/>
        </w:rPr>
      </w:pPr>
    </w:p>
    <w:p w14:paraId="7EE4BFBC">
      <w:pPr>
        <w:spacing w:line="480" w:lineRule="exact"/>
        <w:rPr>
          <w:rFonts w:hint="eastAsia" w:ascii="仿宋_GB2312" w:hAnsi="仿宋" w:eastAsia="仿宋_GB2312"/>
          <w:bCs/>
          <w:sz w:val="24"/>
          <w:szCs w:val="24"/>
        </w:rPr>
      </w:pPr>
      <w:r>
        <w:rPr>
          <w:rFonts w:hint="eastAsia" w:ascii="仿宋_GB2312" w:hAnsi="仿宋" w:eastAsia="仿宋_GB2312"/>
          <w:bCs/>
          <w:sz w:val="24"/>
          <w:szCs w:val="24"/>
        </w:rPr>
        <w:t>致（采购人或政府采购代理机构）：</w:t>
      </w:r>
    </w:p>
    <w:p w14:paraId="74CA7FE7">
      <w:pPr>
        <w:spacing w:line="480" w:lineRule="exact"/>
        <w:rPr>
          <w:rFonts w:hint="eastAsia" w:ascii="仿宋_GB2312" w:hAnsi="仿宋" w:eastAsia="仿宋_GB2312"/>
          <w:bCs/>
          <w:sz w:val="24"/>
          <w:szCs w:val="24"/>
        </w:rPr>
      </w:pPr>
      <w:r>
        <w:rPr>
          <w:rFonts w:hint="eastAsia" w:ascii="仿宋_GB2312" w:hAnsi="仿宋" w:eastAsia="仿宋_GB2312"/>
          <w:bCs/>
          <w:sz w:val="24"/>
          <w:szCs w:val="24"/>
        </w:rPr>
        <w:t xml:space="preserve">    单位名称（自然人姓名）:</w:t>
      </w:r>
    </w:p>
    <w:p w14:paraId="064CE1FA">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统一社会信用代码（身份证号码）：</w:t>
      </w:r>
    </w:p>
    <w:p w14:paraId="7562D1CF">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法定代表人（负责人）：</w:t>
      </w:r>
    </w:p>
    <w:p w14:paraId="3B2B833A">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联系地址和电话：</w:t>
      </w:r>
    </w:p>
    <w:p w14:paraId="69B97CF1">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我单位（本人）自愿参加本次政府采购活动，严格遵守《中华人民共和国政府采购法》及相关法律法规，坚守公开、公平、公正和诚实信用等原则，依法诚信经营，并郑重承诺：</w:t>
      </w:r>
    </w:p>
    <w:p w14:paraId="6C162CD1">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（一）我单位（本人）符合采购文件要求以及《中华人民共和国政府采购法》第二十二条规定的条件：</w:t>
      </w:r>
    </w:p>
    <w:p w14:paraId="320682B3">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1.具有独立承担民事责任的能力；</w:t>
      </w:r>
    </w:p>
    <w:p w14:paraId="536673BB">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2.具有良好的商业信誉和健全的财务会计制度；</w:t>
      </w:r>
    </w:p>
    <w:p w14:paraId="18EF4C33">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3.具有履行合同所必需的设备和专业技术能力；</w:t>
      </w:r>
    </w:p>
    <w:p w14:paraId="27C1F57C">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4.有依法缴纳税收和社会保障资金的良好记录；</w:t>
      </w:r>
    </w:p>
    <w:p w14:paraId="29EA1103">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5.参加政府采购活动前三年内，在经营活动中没有重大违法记录；</w:t>
      </w:r>
    </w:p>
    <w:p w14:paraId="399BF8AE">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6.符合法律、行政法规规定的其他条件。</w:t>
      </w:r>
    </w:p>
    <w:p w14:paraId="2690504B">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（二）我单位（本人）未被列入严重失信主体名单、失信被执行人、税收违法黑名单、政府采购严重违法失信行为记录名单。</w:t>
      </w:r>
    </w:p>
    <w:p w14:paraId="21293C01">
      <w:pPr>
        <w:spacing w:line="480" w:lineRule="exact"/>
        <w:rPr>
          <w:rFonts w:hint="eastAsia" w:ascii="仿宋_GB2312" w:hAnsi="仿宋" w:eastAsia="仿宋_GB2312"/>
          <w:bCs/>
          <w:sz w:val="24"/>
          <w:szCs w:val="24"/>
        </w:rPr>
      </w:pPr>
      <w:r>
        <w:rPr>
          <w:rFonts w:hint="eastAsia" w:ascii="仿宋_GB2312" w:hAnsi="仿宋" w:eastAsia="仿宋_GB2312"/>
          <w:bCs/>
          <w:sz w:val="24"/>
          <w:szCs w:val="24"/>
        </w:rPr>
        <w:t>我单位（本人）对本承诺函及所承诺事项的真实性、合法性及有效性负责，并已知晓如所作信用承诺不实，可能涉嫌《中华人民共和国政府采购法》第七十七条第一款第（一）项规定的 “提供虚假材料谋取中标、成交”违法情形。经调查属实的，自觉接受政府采购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261DB24A">
      <w:pPr>
        <w:spacing w:line="480" w:lineRule="exact"/>
        <w:rPr>
          <w:rFonts w:hint="eastAsia" w:ascii="仿宋_GB2312" w:hAnsi="仿宋" w:eastAsia="仿宋_GB2312"/>
          <w:bCs/>
          <w:sz w:val="24"/>
          <w:szCs w:val="24"/>
        </w:rPr>
      </w:pPr>
    </w:p>
    <w:p w14:paraId="62333A29">
      <w:pPr>
        <w:spacing w:line="480" w:lineRule="exact"/>
        <w:rPr>
          <w:rFonts w:hint="eastAsia" w:ascii="仿宋_GB2312" w:hAnsi="仿宋" w:eastAsia="仿宋_GB2312"/>
          <w:bCs/>
          <w:sz w:val="24"/>
          <w:szCs w:val="24"/>
        </w:rPr>
      </w:pPr>
    </w:p>
    <w:p w14:paraId="5BE84FE8">
      <w:pPr>
        <w:spacing w:line="480" w:lineRule="exact"/>
        <w:rPr>
          <w:rFonts w:hint="eastAsia" w:ascii="仿宋_GB2312" w:hAnsi="仿宋" w:eastAsia="仿宋_GB2312"/>
          <w:bCs/>
          <w:sz w:val="24"/>
          <w:szCs w:val="24"/>
        </w:rPr>
      </w:pPr>
    </w:p>
    <w:p w14:paraId="1EFEFE4E">
      <w:pPr>
        <w:spacing w:line="480" w:lineRule="exact"/>
        <w:ind w:firstLine="4320" w:firstLineChars="1800"/>
        <w:rPr>
          <w:rFonts w:hint="eastAsia" w:ascii="仿宋_GB2312" w:hAnsi="仿宋" w:eastAsia="仿宋_GB2312"/>
          <w:bCs/>
          <w:sz w:val="24"/>
          <w:szCs w:val="24"/>
        </w:rPr>
      </w:pPr>
      <w:r>
        <w:rPr>
          <w:rFonts w:hint="eastAsia" w:ascii="仿宋_GB2312" w:hAnsi="仿宋" w:eastAsia="仿宋_GB2312"/>
          <w:bCs/>
          <w:sz w:val="24"/>
          <w:szCs w:val="24"/>
        </w:rPr>
        <w:t>供应商名称（单位公章）：</w:t>
      </w:r>
    </w:p>
    <w:p w14:paraId="003B7691">
      <w:pPr>
        <w:spacing w:line="480" w:lineRule="exact"/>
        <w:ind w:firstLine="5040" w:firstLineChars="2100"/>
        <w:rPr>
          <w:rFonts w:hint="eastAsia" w:ascii="仿宋_GB2312" w:hAnsi="仿宋" w:eastAsia="仿宋_GB2312"/>
          <w:bCs/>
          <w:sz w:val="24"/>
          <w:szCs w:val="24"/>
        </w:rPr>
      </w:pPr>
      <w:r>
        <w:rPr>
          <w:rFonts w:hint="eastAsia" w:ascii="仿宋_GB2312" w:hAnsi="仿宋" w:eastAsia="仿宋_GB2312"/>
          <w:bCs/>
          <w:sz w:val="24"/>
          <w:szCs w:val="24"/>
        </w:rPr>
        <w:t>或自然人（签字）：</w:t>
      </w:r>
    </w:p>
    <w:p w14:paraId="63D45A8E">
      <w:pPr>
        <w:spacing w:line="480" w:lineRule="exact"/>
        <w:ind w:firstLine="7200" w:firstLineChars="3000"/>
        <w:rPr>
          <w:rFonts w:hint="eastAsia" w:ascii="仿宋_GB2312" w:hAnsi="仿宋" w:eastAsia="仿宋_GB2312"/>
          <w:bCs/>
          <w:sz w:val="24"/>
          <w:szCs w:val="24"/>
        </w:rPr>
      </w:pPr>
      <w:r>
        <w:rPr>
          <w:rFonts w:hint="eastAsia" w:ascii="仿宋_GB2312" w:hAnsi="仿宋" w:eastAsia="仿宋_GB2312"/>
          <w:bCs/>
          <w:sz w:val="24"/>
          <w:szCs w:val="24"/>
        </w:rPr>
        <w:t>年 月 日</w:t>
      </w:r>
    </w:p>
    <w:p w14:paraId="1FEE748D">
      <w:pPr>
        <w:spacing w:line="480" w:lineRule="exact"/>
        <w:ind w:firstLine="240" w:firstLineChars="100"/>
        <w:rPr>
          <w:rFonts w:hint="eastAsia" w:ascii="仿宋_GB2312" w:hAnsi="仿宋" w:eastAsia="仿宋_GB2312"/>
          <w:bCs/>
          <w:sz w:val="24"/>
          <w:szCs w:val="24"/>
        </w:rPr>
      </w:pPr>
      <w:r>
        <w:rPr>
          <w:rFonts w:hint="eastAsia" w:ascii="仿宋_GB2312" w:hAnsi="仿宋" w:eastAsia="仿宋_GB2312"/>
          <w:bCs/>
          <w:sz w:val="24"/>
          <w:szCs w:val="24"/>
        </w:rPr>
        <w:t>注:1.我单位（本人）专指参加政府采购活动的供应商（含自然人）。</w:t>
      </w:r>
    </w:p>
    <w:p w14:paraId="6B7B27C8">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2.供应商须在投标（响应）文件中按此模板提供承诺函。既未提供前述承诺函又未提供对应事项证明材料的，视为未实质响应招标文件要求，按无效投标（响应）处理。</w:t>
      </w:r>
    </w:p>
    <w:p w14:paraId="3E426B02">
      <w:pPr>
        <w:rPr>
          <w:rFonts w:hint="eastAsia" w:ascii="仿宋_GB2312" w:hAnsi="仿宋" w:eastAsia="仿宋_GB2312"/>
          <w:bCs/>
          <w:sz w:val="24"/>
          <w:szCs w:val="24"/>
        </w:rPr>
      </w:pPr>
    </w:p>
    <w:p w14:paraId="4F2D1642">
      <w:pPr>
        <w:rPr>
          <w:rFonts w:hint="eastAsia" w:ascii="仿宋_GB2312" w:hAnsi="仿宋" w:eastAsia="仿宋_GB2312"/>
          <w:bCs/>
          <w:sz w:val="24"/>
          <w:szCs w:val="24"/>
        </w:rPr>
      </w:pPr>
    </w:p>
    <w:p w14:paraId="24BC7BB3">
      <w:pPr>
        <w:rPr>
          <w:rFonts w:hint="eastAsia" w:ascii="仿宋_GB2312" w:hAnsi="仿宋" w:eastAsia="仿宋_GB2312"/>
          <w:bCs/>
          <w:sz w:val="24"/>
          <w:szCs w:val="24"/>
        </w:rPr>
      </w:pPr>
    </w:p>
    <w:p w14:paraId="3CA3CBA6">
      <w:pPr>
        <w:rPr>
          <w:rFonts w:hint="eastAsia" w:ascii="仿宋_GB2312" w:hAnsi="仿宋" w:eastAsia="仿宋_GB2312"/>
          <w:bCs/>
          <w:sz w:val="24"/>
          <w:szCs w:val="24"/>
        </w:rPr>
      </w:pPr>
    </w:p>
    <w:p w14:paraId="1E66F07C">
      <w:pPr>
        <w:rPr>
          <w:rFonts w:hint="eastAsia" w:ascii="仿宋_GB2312" w:hAnsi="仿宋" w:eastAsia="仿宋_GB2312"/>
          <w:bCs/>
          <w:sz w:val="24"/>
          <w:szCs w:val="24"/>
        </w:rPr>
      </w:pPr>
    </w:p>
    <w:p w14:paraId="6C54162C">
      <w:pPr>
        <w:rPr>
          <w:rFonts w:hint="eastAsia" w:ascii="仿宋_GB2312" w:hAnsi="仿宋" w:eastAsia="仿宋_GB2312"/>
          <w:bCs/>
          <w:sz w:val="24"/>
          <w:szCs w:val="24"/>
        </w:rPr>
      </w:pPr>
    </w:p>
    <w:p w14:paraId="04617B7A">
      <w:pPr>
        <w:rPr>
          <w:rFonts w:hint="eastAsia" w:ascii="仿宋_GB2312" w:hAnsi="仿宋" w:eastAsia="仿宋_GB2312"/>
          <w:bCs/>
          <w:sz w:val="24"/>
          <w:szCs w:val="24"/>
        </w:rPr>
      </w:pPr>
    </w:p>
    <w:p w14:paraId="65C2F96D">
      <w:pPr>
        <w:rPr>
          <w:rFonts w:hint="eastAsia" w:ascii="仿宋_GB2312" w:hAnsi="仿宋" w:eastAsia="仿宋_GB2312"/>
          <w:bCs/>
          <w:sz w:val="24"/>
          <w:szCs w:val="24"/>
        </w:rPr>
      </w:pPr>
    </w:p>
    <w:p w14:paraId="503C9B90">
      <w:pPr>
        <w:rPr>
          <w:rFonts w:hint="eastAsia" w:ascii="仿宋_GB2312" w:hAnsi="仿宋" w:eastAsia="仿宋_GB2312"/>
          <w:bCs/>
          <w:sz w:val="24"/>
          <w:szCs w:val="24"/>
        </w:rPr>
      </w:pPr>
    </w:p>
    <w:p w14:paraId="53437056">
      <w:pPr>
        <w:rPr>
          <w:rFonts w:hint="eastAsia" w:ascii="仿宋_GB2312" w:hAnsi="仿宋" w:eastAsia="仿宋_GB2312"/>
          <w:bCs/>
          <w:sz w:val="24"/>
          <w:szCs w:val="24"/>
        </w:rPr>
      </w:pPr>
    </w:p>
    <w:p w14:paraId="5D22E229">
      <w:pPr>
        <w:rPr>
          <w:rFonts w:hint="eastAsia" w:ascii="仿宋_GB2312" w:hAnsi="仿宋" w:eastAsia="仿宋_GB2312"/>
          <w:bCs/>
          <w:sz w:val="24"/>
          <w:szCs w:val="24"/>
        </w:rPr>
      </w:pPr>
    </w:p>
    <w:p w14:paraId="5866D2A3">
      <w:pPr>
        <w:rPr>
          <w:rFonts w:hint="eastAsia" w:ascii="仿宋_GB2312" w:hAnsi="仿宋" w:eastAsia="仿宋_GB2312"/>
          <w:bCs/>
          <w:sz w:val="24"/>
          <w:szCs w:val="24"/>
        </w:rPr>
      </w:pPr>
    </w:p>
    <w:p w14:paraId="12B1A4A3">
      <w:pPr>
        <w:rPr>
          <w:rFonts w:hint="eastAsia" w:ascii="仿宋_GB2312" w:hAnsi="仿宋" w:eastAsia="仿宋_GB2312"/>
          <w:bCs/>
          <w:sz w:val="24"/>
          <w:szCs w:val="24"/>
        </w:rPr>
      </w:pPr>
    </w:p>
    <w:p w14:paraId="1EBF940A">
      <w:pPr>
        <w:rPr>
          <w:rFonts w:hint="eastAsia" w:ascii="仿宋_GB2312" w:hAnsi="仿宋" w:eastAsia="仿宋_GB2312"/>
          <w:bCs/>
          <w:sz w:val="24"/>
          <w:szCs w:val="24"/>
        </w:rPr>
      </w:pPr>
    </w:p>
    <w:p w14:paraId="320CD634">
      <w:pPr>
        <w:rPr>
          <w:rFonts w:hint="eastAsia" w:ascii="仿宋_GB2312" w:hAnsi="仿宋" w:eastAsia="仿宋_GB2312"/>
          <w:bCs/>
          <w:sz w:val="24"/>
          <w:szCs w:val="24"/>
        </w:rPr>
      </w:pPr>
    </w:p>
    <w:p w14:paraId="290ACBBF">
      <w:pPr>
        <w:rPr>
          <w:rFonts w:hint="eastAsia" w:ascii="仿宋_GB2312" w:hAnsi="仿宋" w:eastAsia="仿宋_GB2312"/>
          <w:bCs/>
          <w:sz w:val="24"/>
          <w:szCs w:val="24"/>
        </w:rPr>
      </w:pPr>
    </w:p>
    <w:p w14:paraId="4115213B">
      <w:pPr>
        <w:rPr>
          <w:rFonts w:hint="eastAsia" w:ascii="仿宋_GB2312" w:hAnsi="仿宋" w:eastAsia="仿宋_GB2312"/>
          <w:bCs/>
          <w:sz w:val="24"/>
          <w:szCs w:val="24"/>
        </w:rPr>
      </w:pPr>
    </w:p>
    <w:p w14:paraId="31D6E23B">
      <w:pPr>
        <w:rPr>
          <w:rFonts w:hint="eastAsia" w:ascii="仿宋_GB2312" w:hAnsi="仿宋" w:eastAsia="仿宋_GB2312"/>
          <w:bCs/>
          <w:sz w:val="24"/>
          <w:szCs w:val="24"/>
        </w:rPr>
      </w:pPr>
    </w:p>
    <w:p w14:paraId="50E8B063">
      <w:pPr>
        <w:rPr>
          <w:rFonts w:hint="eastAsia" w:ascii="仿宋_GB2312" w:hAnsi="仿宋" w:eastAsia="仿宋_GB2312"/>
          <w:bCs/>
          <w:sz w:val="24"/>
          <w:szCs w:val="24"/>
        </w:rPr>
      </w:pPr>
    </w:p>
    <w:p w14:paraId="20C0A3E2">
      <w:pPr>
        <w:rPr>
          <w:rFonts w:hint="eastAsia" w:ascii="仿宋_GB2312" w:hAnsi="仿宋" w:eastAsia="仿宋_GB2312"/>
          <w:bCs/>
          <w:sz w:val="24"/>
          <w:szCs w:val="24"/>
        </w:rPr>
      </w:pPr>
    </w:p>
    <w:p w14:paraId="3E6B5425">
      <w:pPr>
        <w:rPr>
          <w:rFonts w:hint="eastAsia" w:ascii="仿宋_GB2312" w:hAnsi="仿宋" w:eastAsia="仿宋_GB2312"/>
          <w:bCs/>
          <w:sz w:val="24"/>
          <w:szCs w:val="24"/>
        </w:rPr>
      </w:pPr>
    </w:p>
    <w:p w14:paraId="3D1693D8">
      <w:pPr>
        <w:rPr>
          <w:rFonts w:hint="eastAsia" w:ascii="仿宋_GB2312" w:hAnsi="仿宋" w:eastAsia="仿宋_GB2312"/>
          <w:bCs/>
          <w:sz w:val="24"/>
          <w:szCs w:val="24"/>
        </w:rPr>
      </w:pPr>
    </w:p>
    <w:p w14:paraId="58AF243C">
      <w:pPr>
        <w:rPr>
          <w:rFonts w:hint="eastAsia" w:ascii="仿宋_GB2312" w:hAnsi="仿宋" w:eastAsia="仿宋_GB2312"/>
          <w:bCs/>
          <w:sz w:val="24"/>
          <w:szCs w:val="24"/>
        </w:rPr>
      </w:pPr>
    </w:p>
    <w:p w14:paraId="034E1C41">
      <w:pPr>
        <w:rPr>
          <w:rFonts w:hint="eastAsia" w:ascii="仿宋_GB2312" w:hAnsi="仿宋" w:eastAsia="仿宋_GB2312"/>
          <w:bCs/>
          <w:sz w:val="24"/>
          <w:szCs w:val="24"/>
        </w:rPr>
      </w:pPr>
    </w:p>
    <w:p w14:paraId="25FD684E">
      <w:pPr>
        <w:rPr>
          <w:rFonts w:hint="eastAsia" w:ascii="仿宋_GB2312" w:hAnsi="仿宋" w:eastAsia="仿宋_GB2312"/>
          <w:bCs/>
          <w:sz w:val="24"/>
          <w:szCs w:val="24"/>
        </w:rPr>
      </w:pPr>
    </w:p>
    <w:p w14:paraId="2D2684E8">
      <w:pPr>
        <w:rPr>
          <w:rFonts w:hint="eastAsia" w:ascii="仿宋_GB2312" w:hAnsi="仿宋" w:eastAsia="仿宋_GB2312"/>
          <w:bCs/>
          <w:sz w:val="24"/>
          <w:szCs w:val="24"/>
        </w:rPr>
      </w:pPr>
    </w:p>
    <w:p w14:paraId="3D3E0CD5">
      <w:pPr>
        <w:rPr>
          <w:rFonts w:hint="eastAsia" w:ascii="仿宋_GB2312" w:hAnsi="仿宋" w:eastAsia="仿宋_GB2312"/>
          <w:bCs/>
          <w:sz w:val="24"/>
          <w:szCs w:val="24"/>
        </w:rPr>
      </w:pPr>
    </w:p>
    <w:p w14:paraId="2345E82D">
      <w:pPr>
        <w:rPr>
          <w:rFonts w:hint="eastAsia" w:ascii="仿宋_GB2312" w:hAnsi="仿宋" w:eastAsia="仿宋_GB2312"/>
          <w:bCs/>
          <w:sz w:val="24"/>
          <w:szCs w:val="24"/>
        </w:rPr>
      </w:pPr>
    </w:p>
    <w:p w14:paraId="5775C0A1">
      <w:pPr>
        <w:rPr>
          <w:rFonts w:hint="eastAsia" w:ascii="仿宋_GB2312" w:hAnsi="仿宋" w:eastAsia="仿宋_GB2312"/>
          <w:bCs/>
          <w:sz w:val="24"/>
          <w:szCs w:val="24"/>
        </w:rPr>
      </w:pPr>
    </w:p>
    <w:p w14:paraId="548B7432">
      <w:pPr>
        <w:rPr>
          <w:rFonts w:hint="eastAsia" w:ascii="仿宋_GB2312" w:hAnsi="仿宋" w:eastAsia="仿宋_GB2312"/>
          <w:bCs/>
          <w:sz w:val="24"/>
          <w:szCs w:val="24"/>
        </w:rPr>
      </w:pPr>
    </w:p>
    <w:p w14:paraId="4590589F">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中小企业声明函（工程、服务</w:t>
      </w:r>
      <w:r>
        <w:rPr>
          <w:rFonts w:hint="eastAsia"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）格式</w:t>
      </w:r>
    </w:p>
    <w:p w14:paraId="04D41148">
      <w:pPr>
        <w:pStyle w:val="3"/>
        <w:rPr>
          <w:rFonts w:hint="eastAsia"/>
          <w:color w:val="auto"/>
          <w:highlight w:val="none"/>
          <w:lang w:eastAsia="zh-CN"/>
        </w:rPr>
      </w:pPr>
    </w:p>
    <w:p w14:paraId="26FA47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采购活动，工程的施工单</w:t>
      </w:r>
      <w:bookmarkStart w:id="0" w:name="_GoBack"/>
      <w:bookmarkEnd w:id="0"/>
      <w:r>
        <w:rPr>
          <w:rFonts w:ascii="宋体" w:hAnsi="宋体" w:eastAsia="宋体" w:cs="宋体"/>
          <w:color w:val="auto"/>
          <w:sz w:val="24"/>
          <w:szCs w:val="24"/>
          <w:highlight w:val="none"/>
        </w:rPr>
        <w:t>位全部为符合政策要求的中小企业（或者：服务全部由符合政策要求的中小企业承接）。相关企业（含联合体中的中小企业、签订分包意向协议的中小企业）的具体情况如下：</w:t>
      </w:r>
    </w:p>
    <w:p w14:paraId="6F5B5FB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1.</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 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万元 ，属于</w:t>
      </w:r>
      <w:r>
        <w:rPr>
          <w:rFonts w:ascii="宋体" w:hAnsi="宋体" w:eastAsia="宋体" w:cs="宋体"/>
          <w:color w:val="auto"/>
          <w:sz w:val="24"/>
          <w:szCs w:val="24"/>
          <w:highlight w:val="none"/>
          <w:u w:val="single"/>
        </w:rPr>
        <w:t>（中型企业、 小型企业、微型企业）</w:t>
      </w:r>
      <w:r>
        <w:rPr>
          <w:rFonts w:ascii="宋体" w:hAnsi="宋体" w:eastAsia="宋体" w:cs="宋体"/>
          <w:color w:val="auto"/>
          <w:sz w:val="24"/>
          <w:szCs w:val="24"/>
          <w:highlight w:val="none"/>
        </w:rPr>
        <w:t>；</w:t>
      </w:r>
    </w:p>
    <w:p w14:paraId="22B8F49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2.</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 xml:space="preserve"> ，属于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 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 小型企业、微型企业）</w:t>
      </w:r>
      <w:r>
        <w:rPr>
          <w:rFonts w:ascii="宋体" w:hAnsi="宋体" w:eastAsia="宋体" w:cs="宋体"/>
          <w:color w:val="auto"/>
          <w:sz w:val="24"/>
          <w:szCs w:val="24"/>
          <w:highlight w:val="none"/>
        </w:rPr>
        <w:t xml:space="preserve">； </w:t>
      </w:r>
    </w:p>
    <w:p w14:paraId="6277E5A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120" w:leftChars="0" w:firstLine="48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p w14:paraId="1A49D56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120" w:leftChars="0" w:firstLine="48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5F109F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120" w:leftChars="0" w:firstLine="48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本企业对上述声明内容的真实性负责。如有虚假，将依法承担相应责任。 </w:t>
      </w:r>
    </w:p>
    <w:p w14:paraId="158E9179">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ascii="宋体" w:hAnsi="宋体" w:eastAsia="宋体" w:cs="宋体"/>
          <w:color w:val="auto"/>
          <w:sz w:val="24"/>
          <w:szCs w:val="24"/>
          <w:highlight w:val="none"/>
        </w:rPr>
      </w:pPr>
    </w:p>
    <w:p w14:paraId="517D8273">
      <w:pPr>
        <w:pStyle w:val="3"/>
        <w:rPr>
          <w:rFonts w:ascii="宋体" w:hAnsi="宋体" w:eastAsia="宋体" w:cs="宋体"/>
          <w:color w:val="auto"/>
          <w:sz w:val="24"/>
          <w:szCs w:val="24"/>
          <w:highlight w:val="none"/>
        </w:rPr>
      </w:pPr>
    </w:p>
    <w:p w14:paraId="0A274017">
      <w:pPr>
        <w:pStyle w:val="4"/>
        <w:rPr>
          <w:color w:val="auto"/>
          <w:highlight w:val="none"/>
        </w:rPr>
      </w:pPr>
    </w:p>
    <w:p w14:paraId="2C3C8A5B">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ascii="宋体" w:hAnsi="宋体" w:eastAsia="宋体" w:cs="宋体"/>
          <w:color w:val="auto"/>
          <w:sz w:val="24"/>
          <w:szCs w:val="24"/>
          <w:highlight w:val="none"/>
        </w:rPr>
      </w:pPr>
    </w:p>
    <w:p w14:paraId="6036ABB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520" w:firstLineChars="2300"/>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企业名称（盖章）： </w:t>
      </w:r>
    </w:p>
    <w:p w14:paraId="267F40F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520" w:firstLineChars="2300"/>
        <w:jc w:val="both"/>
        <w:textAlignment w:val="baseline"/>
        <w:rPr>
          <w:color w:val="auto"/>
          <w:highlight w:val="none"/>
          <w:lang w:eastAsia="zh-CN"/>
        </w:rPr>
      </w:pPr>
      <w:r>
        <w:rPr>
          <w:rFonts w:ascii="宋体" w:hAnsi="宋体" w:eastAsia="宋体" w:cs="宋体"/>
          <w:color w:val="auto"/>
          <w:sz w:val="24"/>
          <w:szCs w:val="24"/>
          <w:highlight w:val="none"/>
        </w:rPr>
        <w:t>日 期：</w:t>
      </w:r>
    </w:p>
    <w:p w14:paraId="4AE27FD4">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highlight w:val="none"/>
          <w:lang w:eastAsia="zh-CN"/>
        </w:rPr>
      </w:pPr>
    </w:p>
    <w:p w14:paraId="33ED74E8">
      <w:pPr>
        <w:pStyle w:val="3"/>
        <w:rPr>
          <w:color w:val="auto"/>
          <w:highlight w:val="none"/>
          <w:lang w:eastAsia="zh-CN"/>
        </w:rPr>
      </w:pPr>
    </w:p>
    <w:p w14:paraId="11F5A224">
      <w:pPr>
        <w:pStyle w:val="4"/>
        <w:rPr>
          <w:color w:val="auto"/>
          <w:highlight w:val="none"/>
          <w:lang w:eastAsia="zh-CN"/>
        </w:rPr>
      </w:pPr>
    </w:p>
    <w:p w14:paraId="551BE070">
      <w:pPr>
        <w:pStyle w:val="4"/>
        <w:rPr>
          <w:color w:val="auto"/>
          <w:highlight w:val="none"/>
          <w:lang w:eastAsia="zh-CN"/>
        </w:rPr>
      </w:pPr>
    </w:p>
    <w:p w14:paraId="4949800A">
      <w:pPr>
        <w:keepNext w:val="0"/>
        <w:keepLines w:val="0"/>
        <w:pageBreakBefore w:val="0"/>
        <w:widowControl w:val="0"/>
        <w:kinsoku w:val="0"/>
        <w:wordWrap/>
        <w:overflowPunct/>
        <w:topLinePunct w:val="0"/>
        <w:autoSpaceDE w:val="0"/>
        <w:autoSpaceDN w:val="0"/>
        <w:bidi w:val="0"/>
        <w:adjustRightInd w:val="0"/>
        <w:snapToGrid w:val="0"/>
        <w:spacing w:before="79" w:line="360" w:lineRule="auto"/>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position w:val="17"/>
          <w:sz w:val="24"/>
          <w:szCs w:val="24"/>
          <w:highlight w:val="none"/>
          <w:lang w:eastAsia="zh-CN"/>
        </w:rPr>
        <w:t>注：1、从业人员、营业收入、资产总额填报上一年度数据</w:t>
      </w:r>
      <w:r>
        <w:rPr>
          <w:rFonts w:ascii="宋体" w:hAnsi="宋体" w:eastAsia="宋体" w:cs="宋体"/>
          <w:color w:val="auto"/>
          <w:spacing w:val="-1"/>
          <w:position w:val="17"/>
          <w:sz w:val="24"/>
          <w:szCs w:val="24"/>
          <w:highlight w:val="none"/>
          <w:lang w:eastAsia="zh-CN"/>
        </w:rPr>
        <w:t>，无上一年度数据的新成</w:t>
      </w:r>
      <w:r>
        <w:rPr>
          <w:rFonts w:hint="eastAsia" w:ascii="宋体" w:hAnsi="宋体" w:eastAsia="宋体" w:cs="宋体"/>
          <w:color w:val="auto"/>
          <w:spacing w:val="-1"/>
          <w:position w:val="17"/>
          <w:sz w:val="24"/>
          <w:szCs w:val="24"/>
          <w:highlight w:val="none"/>
          <w:lang w:val="en-US" w:eastAsia="zh-CN"/>
        </w:rPr>
        <w:t>立企业可不填报。</w:t>
      </w:r>
    </w:p>
    <w:p w14:paraId="0AD54706">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7DE8BD69">
      <w:pPr>
        <w:keepNext w:val="0"/>
        <w:keepLines w:val="0"/>
        <w:pageBreakBefore w:val="0"/>
        <w:widowControl/>
        <w:kinsoku w:val="0"/>
        <w:wordWrap/>
        <w:overflowPunct/>
        <w:topLinePunct w:val="0"/>
        <w:autoSpaceDE w:val="0"/>
        <w:autoSpaceDN w:val="0"/>
        <w:bidi w:val="0"/>
        <w:adjustRightInd w:val="0"/>
        <w:snapToGrid w:val="0"/>
        <w:spacing w:after="0" w:afterLines="100"/>
        <w:textAlignment w:val="baseline"/>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《中小企业声明函》填写指引及风险提示：</w:t>
      </w:r>
    </w:p>
    <w:p w14:paraId="04E59F9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（一）填写指引：</w:t>
      </w:r>
    </w:p>
    <w:p w14:paraId="3D637AB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1、供应商在填写时请依照谈判文件提供的格式和内容填写，</w:t>
      </w:r>
      <w: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t>不得随意变更格式</w:t>
      </w:r>
      <w:r>
        <w:rPr>
          <w:rFonts w:hint="eastAsia" w:ascii="宋体" w:hAnsi="宋体" w:eastAsia="宋体" w:cs="宋体"/>
          <w:b w:val="0"/>
          <w:bCs w:val="0"/>
          <w:color w:val="auto"/>
          <w:kern w:val="0"/>
          <w:sz w:val="24"/>
          <w:szCs w:val="24"/>
          <w:highlight w:val="none"/>
          <w:lang w:val="en-US" w:eastAsia="zh-CN"/>
        </w:rPr>
        <w:t>。</w:t>
      </w:r>
    </w:p>
    <w:p w14:paraId="7A958E4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2、《中小企业声明函》由供应商根据工程承建商实际情况填写，不符合要求的供应商可以不填写或直接删除本格式。</w:t>
      </w:r>
    </w:p>
    <w:p w14:paraId="743FCD4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3、填写需参考的相关文件：（1）《政府采购促进中小企业发展管理办法》（财库【2022】46号）、《关于中小企业划型标准规定的通知》（工信部联企业【2011】300号文，详见下述附表）</w:t>
      </w:r>
    </w:p>
    <w:p w14:paraId="110F328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4、具体要求：</w:t>
      </w:r>
    </w:p>
    <w:p w14:paraId="6DC958A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（1）第一处，在“单位名称”“项目名称”下划线处填写本采购项目的采购人名称和项目名称。</w:t>
      </w:r>
    </w:p>
    <w:p w14:paraId="515DC26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（2）第二处，在“标的名称”下划线处填写本项目名称。在“采购文件中明确的所属行业”中填写本谈判文件第二章“供应商须知前附件表”中列明的行业，一定要按照谈判文件明确的内容进行填写。</w:t>
      </w:r>
    </w:p>
    <w:p w14:paraId="3E4048A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第三处，在“企业名称”下划线处如实填写承建商名称，在“从业人员”“营业收入”“资产总额”下划线处如实填写承建商的相关信息，数据务必向承建商进行核实；如是多品目，须填写每一品目的制造商信息。</w:t>
      </w:r>
    </w:p>
    <w:p w14:paraId="206AC37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（4）第四处在“中型企业、小型企业、微型企业”下划线处如实依照300号文确定企业类型并填写制造商所属的类型。</w:t>
      </w:r>
    </w:p>
    <w:p w14:paraId="1FE52F0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（5）填写内容应一一对应，不能漏填或误填。</w:t>
      </w:r>
    </w:p>
    <w:p w14:paraId="7D28D88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5、允许联合体参加或合同分包的项目，《中小企业声明函》中需填写联合体协议或签订分包意向协议中的中小企业（或小微企业）相关信息，并在 “项目名称”部分标明联合体中中小企业（或小微企业）承担的具体内容或者中小企业的具体合同分包内容。</w:t>
      </w:r>
    </w:p>
    <w:p w14:paraId="021A59F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（二）风险提示</w:t>
      </w:r>
    </w:p>
    <w:p w14:paraId="6B0CE14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1、供应商填写《中小企业声明函》的，必须如实填报，成交供应商享受了谈判文件规定的中小企业扶持政策的，《中小企业声明函》随中标结果公开，接受社会监督 。</w:t>
      </w:r>
      <w:r>
        <w:rPr>
          <w:rFonts w:hint="eastAsia" w:ascii="宋体" w:hAnsi="宋体" w:eastAsia="宋体" w:cs="宋体"/>
          <w:b w:val="0"/>
          <w:bCs w:val="0"/>
          <w:color w:val="auto"/>
          <w:kern w:val="0"/>
          <w:sz w:val="24"/>
          <w:szCs w:val="24"/>
          <w:highlight w:val="none"/>
          <w:lang w:val="en-US" w:eastAsia="zh-CN"/>
        </w:rPr>
        <w:t xml:space="preserve">                                                                </w:t>
      </w:r>
    </w:p>
    <w:p w14:paraId="0C4C2377">
      <w:pPr>
        <w:keepNext w:val="0"/>
        <w:keepLines w:val="0"/>
        <w:pageBreakBefore w:val="0"/>
        <w:widowControl w:val="0"/>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2、供应商提供的工程承建商本身为中小企业，但存在属于大企业的分支机构或控股股东为大企业或与大企业的负责人为同一人的情形，也不享受谈判文件规定的中小企业扶持政策。</w:t>
      </w:r>
    </w:p>
    <w:p w14:paraId="67132C68">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t>3、供应商提供声明函内容不实的，属于提供虚假材料谋取中标，依照《中华人民共和国政府采购法》等国家有关规定追究相应责任。</w:t>
      </w:r>
    </w:p>
    <w:p w14:paraId="65408800">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7CC148FA">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49C2E693">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6705FF9C">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42195D2C">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4EA18278">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1E7A940B">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67F18FC0">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7B1E50C8">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1F2E3ECC">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0A72E55F">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18E0C73A">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13F6617E">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52BC0E81">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5C9A2B3F">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7FF6DDF5">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50582B53">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698A4375">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4BC18E2A">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6016A405">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3A0F9E1E">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1E2C4458">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216D25CB">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664E03DB">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46D75442">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426432A2">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40F96DB2">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763B6BFB">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7212C098">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439158D8">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5722C1B6">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62A3F7D0">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523B46D4">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433919FD">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08FBBD89">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6F783FA2">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4A4C1791">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45E3392E">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7223464F">
      <w:pP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5C0C2B7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附表</w:t>
      </w:r>
    </w:p>
    <w:p w14:paraId="68500141">
      <w:pPr>
        <w:pStyle w:val="6"/>
        <w:pageBreakBefore w:val="0"/>
        <w:widowControl w:val="0"/>
        <w:wordWrap/>
        <w:overflowPunct/>
        <w:topLinePunct w:val="0"/>
        <w:bidi w:val="0"/>
        <w:spacing w:before="0" w:beforeAutospacing="0" w:after="0" w:afterAutospacing="0" w:line="350" w:lineRule="exact"/>
        <w:jc w:val="center"/>
        <w:rPr>
          <w:rFonts w:hint="eastAsia" w:ascii="宋体" w:hAnsi="宋体" w:eastAsia="宋体" w:cs="宋体"/>
          <w:snapToGrid w:val="0"/>
          <w:color w:val="auto"/>
          <w:spacing w:val="-5"/>
          <w:kern w:val="0"/>
          <w:sz w:val="24"/>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snapToGrid w:val="0"/>
          <w:color w:val="auto"/>
          <w:spacing w:val="-5"/>
          <w:kern w:val="0"/>
          <w:sz w:val="24"/>
          <w:szCs w:val="24"/>
          <w:highlight w:val="none"/>
          <w:lang w:val="en-US" w:eastAsia="zh-CN" w:bidi="ar-SA"/>
          <w14:textOutline w14:w="4356" w14:cap="sq" w14:cmpd="sng" w14:algn="ctr">
            <w14:solidFill>
              <w14:srgbClr w14:val="000000"/>
            </w14:solidFill>
            <w14:prstDash w14:val="solid"/>
            <w14:bevel/>
          </w14:textOutline>
        </w:rPr>
        <w:t>中小企业划型标准规定</w:t>
      </w:r>
    </w:p>
    <w:p w14:paraId="6AD984D0">
      <w:pPr>
        <w:pStyle w:val="6"/>
        <w:pageBreakBefore w:val="0"/>
        <w:widowControl w:val="0"/>
        <w:wordWrap/>
        <w:overflowPunct/>
        <w:topLinePunct w:val="0"/>
        <w:bidi w:val="0"/>
        <w:spacing w:before="0" w:beforeAutospacing="0" w:after="0" w:afterAutospacing="0" w:line="35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工信部联企业〔2011〕300号</w:t>
      </w:r>
      <w:r>
        <w:rPr>
          <w:rFonts w:hint="eastAsia" w:ascii="宋体" w:hAnsi="宋体" w:eastAsia="宋体" w:cs="宋体"/>
          <w:b/>
          <w:bCs/>
          <w:color w:val="auto"/>
          <w:sz w:val="24"/>
          <w:szCs w:val="24"/>
          <w:highlight w:val="none"/>
        </w:rPr>
        <w:t>）</w:t>
      </w:r>
    </w:p>
    <w:p w14:paraId="5E670584">
      <w:pPr>
        <w:pStyle w:val="6"/>
        <w:pageBreakBefore w:val="0"/>
        <w:widowControl w:val="0"/>
        <w:wordWrap/>
        <w:overflowPunct/>
        <w:topLinePunct w:val="0"/>
        <w:bidi w:val="0"/>
        <w:spacing w:before="0" w:beforeAutospacing="0" w:after="0" w:afterAutospacing="0" w:line="350" w:lineRule="exact"/>
        <w:jc w:val="righ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---（摘要）</w:t>
      </w:r>
    </w:p>
    <w:p w14:paraId="6856DFF7">
      <w:pPr>
        <w:pStyle w:val="6"/>
        <w:pageBreakBefore w:val="0"/>
        <w:widowControl w:val="0"/>
        <w:numPr>
          <w:ilvl w:val="0"/>
          <w:numId w:val="1"/>
        </w:numPr>
        <w:kinsoku w:val="0"/>
        <w:wordWrap/>
        <w:overflowPunct/>
        <w:topLinePunct w:val="0"/>
        <w:autoSpaceDE w:val="0"/>
        <w:autoSpaceDN w:val="0"/>
        <w:bidi w:val="0"/>
        <w:adjustRightInd w:val="0"/>
        <w:snapToGrid w:val="0"/>
        <w:spacing w:before="0" w:beforeAutospacing="0" w:after="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本规定适用的行业包括：</w:t>
      </w:r>
    </w:p>
    <w:p w14:paraId="42252002">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F99FD02">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二、各行业划型标准为：</w:t>
      </w:r>
    </w:p>
    <w:p w14:paraId="6FE08968">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（一）农、林、牧、渔业。</w:t>
      </w:r>
      <w:r>
        <w:rPr>
          <w:rFonts w:hint="eastAsia" w:ascii="宋体" w:hAnsi="宋体" w:eastAsia="宋体" w:cs="宋体"/>
          <w:color w:val="auto"/>
          <w:sz w:val="24"/>
          <w:szCs w:val="24"/>
          <w:highlight w:val="none"/>
        </w:rPr>
        <w:t>营业收入20000万元以下的为中小微型企业。其中，营业收入500万元及以上的为中型企业，营业收入50万元及以上的为小型企业，营业收入50万元以下的为微型企业。</w:t>
      </w:r>
    </w:p>
    <w:p w14:paraId="6BF7EAD4">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（二）工业。</w:t>
      </w:r>
      <w:r>
        <w:rPr>
          <w:rFonts w:hint="eastAsia" w:ascii="宋体" w:hAnsi="宋体" w:eastAsia="宋体" w:cs="宋体"/>
          <w:color w:val="auto"/>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A2EB358">
      <w:pPr>
        <w:pageBreakBefore w:val="0"/>
        <w:widowControl w:val="0"/>
        <w:kinsoku w:val="0"/>
        <w:wordWrap/>
        <w:overflowPunct/>
        <w:topLinePunct w:val="0"/>
        <w:autoSpaceDE w:val="0"/>
        <w:autoSpaceDN w:val="0"/>
        <w:bidi w:val="0"/>
        <w:adjustRightInd w:val="0"/>
        <w:snapToGrid w:val="0"/>
        <w:spacing w:before="0" w:beforeLines="33"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（三）建筑业。</w:t>
      </w:r>
      <w:r>
        <w:rPr>
          <w:rFonts w:hint="eastAsia" w:ascii="宋体" w:hAnsi="宋体" w:eastAsia="宋体" w:cs="宋体"/>
          <w:color w:val="auto"/>
          <w:sz w:val="24"/>
          <w:szCs w:val="24"/>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B34AFC8">
      <w:pPr>
        <w:pageBreakBefore w:val="0"/>
        <w:widowControl w:val="0"/>
        <w:kinsoku w:val="0"/>
        <w:wordWrap/>
        <w:overflowPunct/>
        <w:topLinePunct w:val="0"/>
        <w:autoSpaceDE w:val="0"/>
        <w:autoSpaceDN w:val="0"/>
        <w:bidi w:val="0"/>
        <w:adjustRightInd w:val="0"/>
        <w:snapToGrid w:val="0"/>
        <w:spacing w:before="0" w:beforeLines="32"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（四）批发业。</w:t>
      </w:r>
      <w:r>
        <w:rPr>
          <w:rFonts w:hint="eastAsia" w:ascii="宋体" w:hAnsi="宋体" w:eastAsia="宋体" w:cs="宋体"/>
          <w:color w:val="auto"/>
          <w:sz w:val="24"/>
          <w:szCs w:val="24"/>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91A2291">
      <w:pPr>
        <w:pageBreakBefore w:val="0"/>
        <w:widowControl w:val="0"/>
        <w:kinsoku w:val="0"/>
        <w:wordWrap/>
        <w:overflowPunct/>
        <w:topLinePunct w:val="0"/>
        <w:autoSpaceDE w:val="0"/>
        <w:autoSpaceDN w:val="0"/>
        <w:bidi w:val="0"/>
        <w:adjustRightInd w:val="0"/>
        <w:snapToGrid w:val="0"/>
        <w:spacing w:before="0" w:beforeLines="50" w:before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（五）零售业。</w:t>
      </w:r>
      <w:r>
        <w:rPr>
          <w:rFonts w:hint="eastAsia" w:ascii="宋体" w:hAnsi="宋体" w:eastAsia="宋体" w:cs="宋体"/>
          <w:color w:val="auto"/>
          <w:sz w:val="24"/>
          <w:szCs w:val="24"/>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6B5813D">
      <w:pPr>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（六）交通运输业。</w:t>
      </w:r>
      <w:r>
        <w:rPr>
          <w:rFonts w:hint="eastAsia" w:ascii="宋体" w:hAnsi="宋体" w:eastAsia="宋体" w:cs="宋体"/>
          <w:color w:val="auto"/>
          <w:sz w:val="24"/>
          <w:szCs w:val="24"/>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B3B4172">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（七）仓储业。</w:t>
      </w:r>
      <w:r>
        <w:rPr>
          <w:rFonts w:hint="eastAsia" w:ascii="宋体" w:hAnsi="宋体" w:eastAsia="宋体" w:cs="宋体"/>
          <w:color w:val="auto"/>
          <w:sz w:val="24"/>
          <w:szCs w:val="24"/>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B9BD5F3">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（八）邮政业。</w:t>
      </w:r>
      <w:r>
        <w:rPr>
          <w:rFonts w:hint="eastAsia" w:ascii="宋体" w:hAnsi="宋体" w:eastAsia="宋体" w:cs="宋体"/>
          <w:color w:val="auto"/>
          <w:sz w:val="24"/>
          <w:szCs w:val="24"/>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FD617C1">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（九）住宿业。</w:t>
      </w:r>
      <w:r>
        <w:rPr>
          <w:rFonts w:hint="eastAsia" w:ascii="宋体" w:hAnsi="宋体" w:eastAsia="宋体" w:cs="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C18C7C0">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（十）餐饮业。</w:t>
      </w:r>
      <w:r>
        <w:rPr>
          <w:rFonts w:hint="eastAsia" w:ascii="宋体" w:hAnsi="宋体" w:eastAsia="宋体" w:cs="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59BB7B">
      <w:pPr>
        <w:pageBreakBefore w:val="0"/>
        <w:widowControl w:val="0"/>
        <w:kinsoku w:val="0"/>
        <w:wordWrap/>
        <w:overflowPunct/>
        <w:topLinePunct w:val="0"/>
        <w:autoSpaceDE w:val="0"/>
        <w:autoSpaceDN w:val="0"/>
        <w:bidi w:val="0"/>
        <w:adjustRightInd w:val="0"/>
        <w:snapToGrid w:val="0"/>
        <w:spacing w:before="0" w:beforeLines="19"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（十一）信息传输业。</w:t>
      </w:r>
      <w:r>
        <w:rPr>
          <w:rFonts w:hint="eastAsia" w:ascii="宋体" w:hAnsi="宋体" w:eastAsia="宋体" w:cs="宋体"/>
          <w:color w:val="auto"/>
          <w:sz w:val="24"/>
          <w:szCs w:val="24"/>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D23EFE3">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（十二）软件和信息技术服务业。</w:t>
      </w:r>
      <w:r>
        <w:rPr>
          <w:rFonts w:hint="eastAsia" w:ascii="宋体" w:hAnsi="宋体" w:eastAsia="宋体" w:cs="宋体"/>
          <w:color w:val="auto"/>
          <w:sz w:val="24"/>
          <w:szCs w:val="24"/>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27CA030">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（十三）房地产开发经营。</w:t>
      </w:r>
      <w:r>
        <w:rPr>
          <w:rFonts w:hint="eastAsia" w:ascii="宋体" w:hAnsi="宋体" w:eastAsia="宋体" w:cs="宋体"/>
          <w:color w:val="auto"/>
          <w:sz w:val="24"/>
          <w:szCs w:val="24"/>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10EADAB">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（十四）物业管理。</w:t>
      </w:r>
      <w:r>
        <w:rPr>
          <w:rFonts w:hint="eastAsia" w:ascii="宋体" w:hAnsi="宋体" w:eastAsia="宋体" w:cs="宋体"/>
          <w:color w:val="auto"/>
          <w:sz w:val="24"/>
          <w:szCs w:val="24"/>
          <w:highlight w:val="none"/>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D9C6B98">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（十五）租赁和商务服务业。</w:t>
      </w:r>
      <w:r>
        <w:rPr>
          <w:rFonts w:hint="eastAsia" w:ascii="宋体" w:hAnsi="宋体" w:eastAsia="宋体" w:cs="宋体"/>
          <w:color w:val="auto"/>
          <w:sz w:val="24"/>
          <w:szCs w:val="24"/>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259BC76">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（十六）其他未列明行业。</w:t>
      </w:r>
      <w:r>
        <w:rPr>
          <w:rFonts w:hint="eastAsia" w:ascii="宋体" w:hAnsi="宋体" w:eastAsia="宋体" w:cs="宋体"/>
          <w:color w:val="auto"/>
          <w:sz w:val="24"/>
          <w:szCs w:val="24"/>
          <w:highlight w:val="none"/>
        </w:rPr>
        <w:t>从业人员300人以下的为中小微型企业。其中，从业人员100人及以上的为中型企业；从业人员10人及以上的为小型企业；从业人员10人以下的为微型企业。</w:t>
      </w:r>
    </w:p>
    <w:p w14:paraId="0E5DEE6B">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三、本规定适用于在中华人民共和国境内依法设立的各类所有制和各种组织形式的企业。个体工商户和本规定以外的行业，参照本规定进行划型。</w:t>
      </w:r>
    </w:p>
    <w:p w14:paraId="3729215F">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四、本规定的中型企业标准上限即为大型企业标准的下限，国家统计部门据此制定大中小微型企业的统计分类。国务院有关部门据此进行相关数据分析，不得制定与本规定不一致的企业划型标准。</w:t>
      </w:r>
    </w:p>
    <w:p w14:paraId="78BE7A88">
      <w:pPr>
        <w:rPr>
          <w:rFonts w:hint="default"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pPr>
    </w:p>
    <w:p w14:paraId="7AC4C64F">
      <w:pPr>
        <w:rPr>
          <w:rFonts w:hint="eastAsia" w:ascii="仿宋_GB2312" w:hAnsi="仿宋" w:eastAsia="仿宋_GB2312"/>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6093F"/>
    <w:multiLevelType w:val="singleLevel"/>
    <w:tmpl w:val="EA3609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91A95"/>
    <w:rsid w:val="12BC78AF"/>
    <w:rsid w:val="15191A95"/>
    <w:rsid w:val="28487EA9"/>
    <w:rsid w:val="2AF6500D"/>
    <w:rsid w:val="31B97F9D"/>
    <w:rsid w:val="3873599C"/>
    <w:rsid w:val="41F44C0F"/>
    <w:rsid w:val="615E05C0"/>
    <w:rsid w:val="62754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jc w:val="left"/>
      <w:outlineLvl w:val="1"/>
    </w:pPr>
    <w:rPr>
      <w:rFonts w:ascii="Arial" w:hAnsi="Arial"/>
      <w:b/>
      <w:bCs/>
      <w:snapToGrid w:val="0"/>
      <w:kern w:val="0"/>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Body Text First Indent"/>
    <w:basedOn w:val="3"/>
    <w:qFormat/>
    <w:uiPriority w:val="0"/>
    <w:pPr>
      <w:ind w:firstLine="420" w:firstLineChars="100"/>
    </w:pPr>
  </w:style>
  <w:style w:type="paragraph" w:styleId="5">
    <w:name w:val="Subtitle"/>
    <w:basedOn w:val="1"/>
    <w:next w:val="1"/>
    <w:qFormat/>
    <w:uiPriority w:val="0"/>
    <w:pPr>
      <w:spacing w:line="312" w:lineRule="auto"/>
      <w:jc w:val="center"/>
      <w:outlineLvl w:val="1"/>
    </w:pPr>
    <w:rPr>
      <w:rFonts w:ascii="Arial" w:hAnsi="Arial" w:cs="Arial"/>
      <w:bCs/>
      <w:kern w:val="28"/>
      <w:sz w:val="32"/>
      <w:szCs w:val="32"/>
    </w:rPr>
  </w:style>
  <w:style w:type="paragraph" w:styleId="6">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customStyle="1" w:styleId="9">
    <w:name w:val="UserStyle_0"/>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3490</Words>
  <Characters>3780</Characters>
  <Lines>0</Lines>
  <Paragraphs>0</Paragraphs>
  <TotalTime>0</TotalTime>
  <ScaleCrop>false</ScaleCrop>
  <LinksUpToDate>false</LinksUpToDate>
  <CharactersWithSpaces>3857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2024-12-10T01:53:00Z</dcterms:created>
  <dc:creator>Administrator</dc:creator>
  <cp:lastModifiedBy>Administrator</cp:lastModifiedBy>
  <cp:lastPrinted>2024-12-10T01:53:00Z</cp:lastPrinted>
  <dcterms:modified xsi:type="dcterms:W3CDTF">2026-03-25T08:21:06Z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A0EB6F466DC64F42929F47EEC17C7612_13</vt:lpwstr>
  </property>
  <property fmtid="{D5CDD505-2E9C-101B-9397-08002B2CF9AE}" pid="4" name="KSOTemplateDocerSaveRecord">
    <vt:lpwstr>eyJoZGlkIjoiMzA4MmM5MmNjMzI3MTM3MTEzZDgwNGUwYjgyZDc2MTciLCJ1c2VySWQiOiIyNzQ5OTU5MTAifQ==</vt:lpwstr>
  </property>
</Properties>
</file>