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9374">
      <w:pPr>
        <w:pStyle w:val="9"/>
        <w:ind w:firstLine="643"/>
        <w:jc w:val="center"/>
        <w:rPr>
          <w:rFonts w:ascii="仿宋_GB2312" w:hAnsi="仿宋" w:eastAsia="仿宋_GB2312"/>
          <w:b/>
          <w:sz w:val="32"/>
          <w:szCs w:val="32"/>
        </w:rPr>
      </w:pPr>
      <w:r>
        <w:rPr>
          <w:rFonts w:hint="eastAsia" w:ascii="仿宋_GB2312" w:hAnsi="仿宋" w:eastAsia="仿宋_GB2312"/>
          <w:b/>
          <w:sz w:val="32"/>
          <w:szCs w:val="32"/>
        </w:rPr>
        <w:t>江西省政府采购供应商资格信用承诺函</w:t>
      </w:r>
    </w:p>
    <w:p w14:paraId="17516949">
      <w:pPr>
        <w:rPr>
          <w:rFonts w:hint="eastAsia" w:ascii="仿宋_GB2312" w:hAnsi="仿宋" w:eastAsia="仿宋_GB2312"/>
          <w:bCs/>
          <w:sz w:val="24"/>
          <w:szCs w:val="24"/>
        </w:rPr>
      </w:pPr>
    </w:p>
    <w:p w14:paraId="7EE4BFBC">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致（采购人或政府采购代理机构）：</w:t>
      </w:r>
    </w:p>
    <w:p w14:paraId="74CA7FE7">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 xml:space="preserve">    单位名称（自然人姓名）:</w:t>
      </w:r>
    </w:p>
    <w:p w14:paraId="064CE1F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统一社会信用代码（身份证号码）：</w:t>
      </w:r>
    </w:p>
    <w:p w14:paraId="7562D1CF">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法定代表人（负责人）：</w:t>
      </w:r>
    </w:p>
    <w:p w14:paraId="3B2B833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联系地址和电话：</w:t>
      </w:r>
    </w:p>
    <w:p w14:paraId="69B97CF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我单位（本人）自愿参加本次政府采购活动，严格遵守《中华人民共和国政府采购法》及相关法律法规，坚守公开、公平、公正和诚实信用等原则，依法诚信经营，并郑重承诺：</w:t>
      </w:r>
    </w:p>
    <w:p w14:paraId="6C162CD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（一）我单位（本人）符合采购文件要求以及《中华人民共和国政府采购法》第二十二条规定的条件：</w:t>
      </w:r>
    </w:p>
    <w:p w14:paraId="320682B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1.具有独立承担民事责任的能力；</w:t>
      </w:r>
    </w:p>
    <w:p w14:paraId="536673B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2.具有良好的商业信誉和健全的财务会计制度；</w:t>
      </w:r>
    </w:p>
    <w:p w14:paraId="18EF4C3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3.具有履行合同所必需的设备和专业技术能力；</w:t>
      </w:r>
    </w:p>
    <w:p w14:paraId="27C1F57C">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4.有依法缴纳税收和社会保障资金的良好记录；</w:t>
      </w:r>
    </w:p>
    <w:p w14:paraId="29EA110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5.参加政府采购活动前三年内，在经营活动中没有重大违法记录；</w:t>
      </w:r>
    </w:p>
    <w:p w14:paraId="399BF8AE">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6.符合法律、行政法规规定的其他条件。</w:t>
      </w:r>
    </w:p>
    <w:p w14:paraId="2690504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（二）我单位（本人）未被列入严重失信主体名单、失信被执行人、税收违法黑名单、政府采购严重违法失信行为记录名单。</w:t>
      </w:r>
    </w:p>
    <w:p w14:paraId="21293C01">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我单位（本人）对本承诺函及所承诺事项的真实性、合法性及有效性负责，并已知晓如所作信用承诺不实，可能涉嫌《中华人民共和国政府采购法》第七十七条第一款第（一）项规定的 “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5BE84FE8">
      <w:pPr>
        <w:spacing w:line="480" w:lineRule="exact"/>
        <w:rPr>
          <w:rFonts w:hint="eastAsia" w:ascii="仿宋_GB2312" w:hAnsi="仿宋" w:eastAsia="仿宋_GB2312"/>
          <w:bCs/>
          <w:sz w:val="24"/>
          <w:szCs w:val="24"/>
        </w:rPr>
      </w:pPr>
    </w:p>
    <w:p w14:paraId="1EFEFE4E">
      <w:pPr>
        <w:spacing w:line="480" w:lineRule="exact"/>
        <w:ind w:firstLine="4320" w:firstLineChars="1800"/>
        <w:rPr>
          <w:rFonts w:hint="eastAsia" w:ascii="仿宋_GB2312" w:hAnsi="仿宋" w:eastAsia="仿宋_GB2312"/>
          <w:bCs/>
          <w:sz w:val="24"/>
          <w:szCs w:val="24"/>
        </w:rPr>
      </w:pPr>
      <w:r>
        <w:rPr>
          <w:rFonts w:hint="eastAsia" w:ascii="仿宋_GB2312" w:hAnsi="仿宋" w:eastAsia="仿宋_GB2312"/>
          <w:bCs/>
          <w:sz w:val="24"/>
          <w:szCs w:val="24"/>
        </w:rPr>
        <w:t>供应商名称（单位公章）：</w:t>
      </w:r>
    </w:p>
    <w:p w14:paraId="003B7691">
      <w:pPr>
        <w:spacing w:line="480" w:lineRule="exact"/>
        <w:ind w:firstLine="5040" w:firstLineChars="2100"/>
        <w:rPr>
          <w:rFonts w:hint="eastAsia" w:ascii="仿宋_GB2312" w:hAnsi="仿宋" w:eastAsia="仿宋_GB2312"/>
          <w:bCs/>
          <w:sz w:val="24"/>
          <w:szCs w:val="24"/>
        </w:rPr>
      </w:pPr>
      <w:r>
        <w:rPr>
          <w:rFonts w:hint="eastAsia" w:ascii="仿宋_GB2312" w:hAnsi="仿宋" w:eastAsia="仿宋_GB2312"/>
          <w:bCs/>
          <w:sz w:val="24"/>
          <w:szCs w:val="24"/>
        </w:rPr>
        <w:t>或自然人（签字）：</w:t>
      </w:r>
    </w:p>
    <w:p w14:paraId="63D45A8E">
      <w:pPr>
        <w:spacing w:line="480" w:lineRule="exact"/>
        <w:ind w:firstLine="7200" w:firstLineChars="3000"/>
        <w:rPr>
          <w:rFonts w:hint="eastAsia" w:ascii="仿宋_GB2312" w:hAnsi="仿宋" w:eastAsia="仿宋_GB2312"/>
          <w:bCs/>
          <w:sz w:val="24"/>
          <w:szCs w:val="24"/>
        </w:rPr>
      </w:pPr>
      <w:r>
        <w:rPr>
          <w:rFonts w:hint="eastAsia" w:ascii="仿宋_GB2312" w:hAnsi="仿宋" w:eastAsia="仿宋_GB2312"/>
          <w:bCs/>
          <w:sz w:val="24"/>
          <w:szCs w:val="24"/>
        </w:rPr>
        <w:t>年 月 日</w:t>
      </w:r>
    </w:p>
    <w:p w14:paraId="1FEE748D">
      <w:pPr>
        <w:spacing w:line="480" w:lineRule="exact"/>
        <w:ind w:firstLine="240" w:firstLineChars="100"/>
        <w:rPr>
          <w:rFonts w:hint="eastAsia" w:ascii="仿宋_GB2312" w:hAnsi="仿宋" w:eastAsia="仿宋_GB2312"/>
          <w:bCs/>
          <w:sz w:val="24"/>
          <w:szCs w:val="24"/>
        </w:rPr>
      </w:pPr>
      <w:r>
        <w:rPr>
          <w:rFonts w:hint="eastAsia" w:ascii="仿宋_GB2312" w:hAnsi="仿宋" w:eastAsia="仿宋_GB2312"/>
          <w:bCs/>
          <w:sz w:val="24"/>
          <w:szCs w:val="24"/>
        </w:rPr>
        <w:t>注:1.我单位（本人）专指参加政府采购活动的供应商（含自然人）。</w:t>
      </w:r>
    </w:p>
    <w:p w14:paraId="6B7B27C8">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2.供应商须在投标（响应）文件中按此模板提供承诺函。既未提供前述承诺函又未提供对应事项证明材料的，视为未实质响应招标文件要求，按无效投标（响应）处理。</w:t>
      </w:r>
    </w:p>
    <w:p w14:paraId="3E426B02">
      <w:pPr>
        <w:rPr>
          <w:rFonts w:hint="eastAsia" w:ascii="仿宋_GB2312" w:hAnsi="仿宋" w:eastAsia="仿宋_GB2312"/>
          <w:bCs/>
          <w:sz w:val="24"/>
          <w:szCs w:val="24"/>
        </w:rPr>
      </w:pPr>
    </w:p>
    <w:p w14:paraId="4F2D1642">
      <w:pPr>
        <w:rPr>
          <w:rFonts w:hint="eastAsia" w:ascii="仿宋_GB2312" w:hAnsi="仿宋" w:eastAsia="仿宋_GB2312"/>
          <w:bCs/>
          <w:sz w:val="24"/>
          <w:szCs w:val="24"/>
        </w:rPr>
      </w:pPr>
    </w:p>
    <w:p w14:paraId="24BC7BB3">
      <w:pPr>
        <w:rPr>
          <w:rFonts w:hint="eastAsia" w:ascii="仿宋_GB2312" w:hAnsi="仿宋" w:eastAsia="仿宋_GB2312"/>
          <w:bCs/>
          <w:sz w:val="24"/>
          <w:szCs w:val="24"/>
        </w:rPr>
      </w:pPr>
    </w:p>
    <w:p w14:paraId="3CA3CBA6">
      <w:pPr>
        <w:rPr>
          <w:rFonts w:hint="eastAsia" w:ascii="仿宋_GB2312" w:hAnsi="仿宋" w:eastAsia="仿宋_GB2312"/>
          <w:bCs/>
          <w:sz w:val="24"/>
          <w:szCs w:val="24"/>
        </w:rPr>
      </w:pPr>
    </w:p>
    <w:p w14:paraId="1E66F07C">
      <w:pPr>
        <w:rPr>
          <w:rFonts w:hint="eastAsia" w:ascii="仿宋_GB2312" w:hAnsi="仿宋" w:eastAsia="仿宋_GB2312"/>
          <w:bCs/>
          <w:sz w:val="24"/>
          <w:szCs w:val="24"/>
        </w:rPr>
      </w:pPr>
    </w:p>
    <w:p w14:paraId="6C54162C">
      <w:pPr>
        <w:rPr>
          <w:rFonts w:hint="eastAsia" w:ascii="仿宋_GB2312" w:hAnsi="仿宋" w:eastAsia="仿宋_GB2312"/>
          <w:bCs/>
          <w:sz w:val="24"/>
          <w:szCs w:val="24"/>
        </w:rPr>
      </w:pPr>
    </w:p>
    <w:p w14:paraId="04617B7A">
      <w:pPr>
        <w:rPr>
          <w:rFonts w:hint="eastAsia" w:ascii="仿宋_GB2312" w:hAnsi="仿宋" w:eastAsia="仿宋_GB2312"/>
          <w:bCs/>
          <w:sz w:val="24"/>
          <w:szCs w:val="24"/>
        </w:rPr>
      </w:pPr>
    </w:p>
    <w:p w14:paraId="65C2F96D">
      <w:pPr>
        <w:rPr>
          <w:rFonts w:hint="eastAsia" w:ascii="仿宋_GB2312" w:hAnsi="仿宋" w:eastAsia="仿宋_GB2312"/>
          <w:bCs/>
          <w:sz w:val="24"/>
          <w:szCs w:val="24"/>
        </w:rPr>
      </w:pPr>
    </w:p>
    <w:p w14:paraId="503C9B90">
      <w:pPr>
        <w:rPr>
          <w:rFonts w:hint="eastAsia" w:ascii="仿宋_GB2312" w:hAnsi="仿宋" w:eastAsia="仿宋_GB2312"/>
          <w:bCs/>
          <w:sz w:val="24"/>
          <w:szCs w:val="24"/>
        </w:rPr>
      </w:pPr>
    </w:p>
    <w:p w14:paraId="53437056">
      <w:pPr>
        <w:rPr>
          <w:rFonts w:hint="eastAsia" w:ascii="仿宋_GB2312" w:hAnsi="仿宋" w:eastAsia="仿宋_GB2312"/>
          <w:bCs/>
          <w:sz w:val="24"/>
          <w:szCs w:val="24"/>
        </w:rPr>
      </w:pPr>
    </w:p>
    <w:p w14:paraId="5D22E229">
      <w:pPr>
        <w:rPr>
          <w:rFonts w:hint="eastAsia" w:ascii="仿宋_GB2312" w:hAnsi="仿宋" w:eastAsia="仿宋_GB2312"/>
          <w:bCs/>
          <w:sz w:val="24"/>
          <w:szCs w:val="24"/>
        </w:rPr>
      </w:pPr>
    </w:p>
    <w:p w14:paraId="5866D2A3">
      <w:pPr>
        <w:rPr>
          <w:rFonts w:hint="eastAsia" w:ascii="仿宋_GB2312" w:hAnsi="仿宋" w:eastAsia="仿宋_GB2312"/>
          <w:bCs/>
          <w:sz w:val="24"/>
          <w:szCs w:val="24"/>
        </w:rPr>
      </w:pPr>
    </w:p>
    <w:p w14:paraId="12B1A4A3">
      <w:pPr>
        <w:rPr>
          <w:rFonts w:hint="eastAsia" w:ascii="仿宋_GB2312" w:hAnsi="仿宋" w:eastAsia="仿宋_GB2312"/>
          <w:bCs/>
          <w:sz w:val="24"/>
          <w:szCs w:val="24"/>
        </w:rPr>
      </w:pPr>
    </w:p>
    <w:p w14:paraId="1EBF940A">
      <w:pPr>
        <w:rPr>
          <w:rFonts w:hint="eastAsia" w:ascii="仿宋_GB2312" w:hAnsi="仿宋" w:eastAsia="仿宋_GB2312"/>
          <w:bCs/>
          <w:sz w:val="24"/>
          <w:szCs w:val="24"/>
        </w:rPr>
      </w:pPr>
    </w:p>
    <w:p w14:paraId="320CD634">
      <w:pPr>
        <w:rPr>
          <w:rFonts w:hint="eastAsia" w:ascii="仿宋_GB2312" w:hAnsi="仿宋" w:eastAsia="仿宋_GB2312"/>
          <w:bCs/>
          <w:sz w:val="24"/>
          <w:szCs w:val="24"/>
        </w:rPr>
      </w:pPr>
    </w:p>
    <w:p w14:paraId="290ACBBF">
      <w:pPr>
        <w:rPr>
          <w:rFonts w:hint="eastAsia" w:ascii="仿宋_GB2312" w:hAnsi="仿宋" w:eastAsia="仿宋_GB2312"/>
          <w:bCs/>
          <w:sz w:val="24"/>
          <w:szCs w:val="24"/>
        </w:rPr>
      </w:pPr>
    </w:p>
    <w:p w14:paraId="4115213B">
      <w:pPr>
        <w:rPr>
          <w:rFonts w:hint="eastAsia" w:ascii="仿宋_GB2312" w:hAnsi="仿宋" w:eastAsia="仿宋_GB2312"/>
          <w:bCs/>
          <w:sz w:val="24"/>
          <w:szCs w:val="24"/>
        </w:rPr>
      </w:pPr>
    </w:p>
    <w:p w14:paraId="31D6E23B">
      <w:pPr>
        <w:rPr>
          <w:rFonts w:hint="eastAsia" w:ascii="仿宋_GB2312" w:hAnsi="仿宋" w:eastAsia="仿宋_GB2312"/>
          <w:bCs/>
          <w:sz w:val="24"/>
          <w:szCs w:val="24"/>
        </w:rPr>
      </w:pPr>
    </w:p>
    <w:p w14:paraId="50E8B063">
      <w:pPr>
        <w:rPr>
          <w:rFonts w:hint="eastAsia" w:ascii="仿宋_GB2312" w:hAnsi="仿宋" w:eastAsia="仿宋_GB2312"/>
          <w:bCs/>
          <w:sz w:val="24"/>
          <w:szCs w:val="24"/>
        </w:rPr>
      </w:pPr>
    </w:p>
    <w:p w14:paraId="12BED60B">
      <w:pPr>
        <w:rPr>
          <w:rFonts w:hint="eastAsia" w:ascii="仿宋_GB2312" w:hAnsi="仿宋" w:eastAsia="仿宋_GB2312"/>
          <w:bCs/>
          <w:sz w:val="24"/>
          <w:szCs w:val="24"/>
        </w:rPr>
      </w:pPr>
    </w:p>
    <w:p w14:paraId="3FC917A4">
      <w:pPr>
        <w:rPr>
          <w:rFonts w:hint="eastAsia" w:ascii="仿宋_GB2312" w:hAnsi="仿宋" w:eastAsia="仿宋_GB2312"/>
          <w:bCs/>
          <w:sz w:val="24"/>
          <w:szCs w:val="24"/>
        </w:rPr>
      </w:pPr>
    </w:p>
    <w:p w14:paraId="20C0A3E2">
      <w:pPr>
        <w:rPr>
          <w:rFonts w:hint="eastAsia" w:ascii="仿宋_GB2312" w:hAnsi="仿宋" w:eastAsia="仿宋_GB2312"/>
          <w:bCs/>
          <w:sz w:val="24"/>
          <w:szCs w:val="24"/>
        </w:rPr>
      </w:pPr>
    </w:p>
    <w:p w14:paraId="3D3E0CD5">
      <w:pPr>
        <w:rPr>
          <w:rFonts w:hint="eastAsia" w:ascii="仿宋_GB2312" w:hAnsi="仿宋" w:eastAsia="仿宋_GB2312"/>
          <w:bCs/>
          <w:sz w:val="24"/>
          <w:szCs w:val="24"/>
        </w:rPr>
      </w:pPr>
    </w:p>
    <w:p w14:paraId="2345E82D">
      <w:pPr>
        <w:rPr>
          <w:rFonts w:hint="eastAsia" w:ascii="仿宋_GB2312" w:hAnsi="仿宋" w:eastAsia="仿宋_GB2312"/>
          <w:bCs/>
          <w:sz w:val="24"/>
          <w:szCs w:val="24"/>
        </w:rPr>
      </w:pPr>
    </w:p>
    <w:p w14:paraId="5775C0A1">
      <w:pPr>
        <w:rPr>
          <w:rFonts w:hint="eastAsia" w:ascii="仿宋_GB2312" w:hAnsi="仿宋" w:eastAsia="仿宋_GB2312"/>
          <w:bCs/>
          <w:sz w:val="24"/>
          <w:szCs w:val="24"/>
        </w:rPr>
      </w:pPr>
    </w:p>
    <w:p w14:paraId="0B2FF5CE">
      <w:pPr>
        <w:rPr>
          <w:rFonts w:hint="eastAsia" w:ascii="仿宋_GB2312" w:hAnsi="仿宋" w:eastAsia="仿宋_GB2312"/>
          <w:bCs/>
          <w:sz w:val="24"/>
          <w:szCs w:val="24"/>
        </w:rPr>
      </w:pPr>
    </w:p>
    <w:p w14:paraId="70CA6C20">
      <w:pPr>
        <w:rPr>
          <w:rFonts w:hint="eastAsia" w:ascii="仿宋_GB2312" w:hAnsi="仿宋" w:eastAsia="仿宋_GB2312"/>
          <w:bCs/>
          <w:sz w:val="24"/>
          <w:szCs w:val="24"/>
        </w:rPr>
      </w:pPr>
    </w:p>
    <w:p w14:paraId="23FFCE65">
      <w:pPr>
        <w:rPr>
          <w:rFonts w:hint="eastAsia" w:ascii="仿宋_GB2312" w:hAnsi="仿宋" w:eastAsia="仿宋_GB2312"/>
          <w:bCs/>
          <w:sz w:val="24"/>
          <w:szCs w:val="24"/>
        </w:rPr>
      </w:pPr>
    </w:p>
    <w:p w14:paraId="37E4789F">
      <w:pPr>
        <w:rPr>
          <w:rFonts w:hint="eastAsia" w:ascii="仿宋_GB2312" w:hAnsi="仿宋" w:eastAsia="仿宋_GB2312"/>
          <w:bCs/>
          <w:sz w:val="24"/>
          <w:szCs w:val="24"/>
        </w:rPr>
      </w:pPr>
      <w:bookmarkStart w:id="0" w:name="_GoBack"/>
      <w:bookmarkEnd w:id="0"/>
    </w:p>
    <w:p w14:paraId="22E896A5">
      <w:pPr>
        <w:rPr>
          <w:rFonts w:hint="eastAsia" w:ascii="仿宋_GB2312" w:hAnsi="仿宋" w:eastAsia="仿宋_GB2312"/>
          <w:bCs/>
          <w:sz w:val="24"/>
          <w:szCs w:val="24"/>
        </w:rPr>
      </w:pPr>
    </w:p>
    <w:p w14:paraId="32D7ACB9">
      <w:pPr>
        <w:rPr>
          <w:rFonts w:hint="eastAsia" w:ascii="仿宋_GB2312" w:hAnsi="仿宋" w:eastAsia="仿宋_GB2312"/>
          <w:bCs/>
          <w:sz w:val="24"/>
          <w:szCs w:val="24"/>
        </w:rPr>
      </w:pPr>
    </w:p>
    <w:p w14:paraId="2E732627">
      <w:pPr>
        <w:rPr>
          <w:rFonts w:hint="eastAsia" w:ascii="仿宋_GB2312" w:hAnsi="仿宋" w:eastAsia="仿宋_GB2312"/>
          <w:bCs/>
          <w:sz w:val="24"/>
          <w:szCs w:val="24"/>
        </w:rPr>
      </w:pPr>
    </w:p>
    <w:p w14:paraId="548B7432">
      <w:pPr>
        <w:rPr>
          <w:rFonts w:hint="eastAsia" w:ascii="仿宋_GB2312" w:hAnsi="仿宋" w:eastAsia="仿宋_GB2312"/>
          <w:bCs/>
          <w:sz w:val="24"/>
          <w:szCs w:val="24"/>
        </w:rPr>
      </w:pPr>
    </w:p>
    <w:p w14:paraId="4D05C008">
      <w:pPr>
        <w:widowControl w:val="0"/>
        <w:spacing w:line="360" w:lineRule="auto"/>
        <w:jc w:val="center"/>
        <w:rPr>
          <w:rFonts w:ascii="宋体" w:hAnsi="宋体" w:eastAsia="宋体" w:cs="宋体"/>
          <w:b/>
          <w:bCs/>
          <w:color w:val="auto"/>
          <w:spacing w:val="-5"/>
          <w:sz w:val="32"/>
          <w:szCs w:val="32"/>
          <w:lang w:eastAsia="zh-CN"/>
        </w:rPr>
      </w:pPr>
      <w:r>
        <w:rPr>
          <w:rFonts w:ascii="宋体" w:hAnsi="宋体" w:eastAsia="宋体" w:cs="宋体"/>
          <w:b/>
          <w:bCs/>
          <w:color w:val="auto"/>
          <w:spacing w:val="-5"/>
          <w:sz w:val="32"/>
          <w:szCs w:val="32"/>
          <w:lang w:eastAsia="zh-CN"/>
        </w:rPr>
        <w:t>中小企业声明函（服务</w:t>
      </w:r>
      <w:r>
        <w:rPr>
          <w:rFonts w:hint="eastAsia" w:ascii="宋体" w:hAnsi="宋体" w:eastAsia="宋体" w:cs="宋体"/>
          <w:b/>
          <w:bCs/>
          <w:color w:val="auto"/>
          <w:spacing w:val="-5"/>
          <w:sz w:val="32"/>
          <w:szCs w:val="32"/>
          <w:lang w:eastAsia="zh-CN"/>
        </w:rPr>
        <w:t>）</w:t>
      </w:r>
    </w:p>
    <w:p w14:paraId="1A644342">
      <w:pPr>
        <w:pStyle w:val="3"/>
        <w:rPr>
          <w:color w:val="auto"/>
          <w:lang w:eastAsia="zh-CN"/>
        </w:rPr>
      </w:pPr>
    </w:p>
    <w:p w14:paraId="5CB90E23">
      <w:pPr>
        <w:widowControl w:val="0"/>
        <w:spacing w:line="360" w:lineRule="auto"/>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采购活动，服务全部由符合政策要求的中小企业承接（或者：工程的施工单位全部为符合政策要求的中小企业承建）。相关企业（含联合体中的中小企业、签订分包意向协议的中小企业）的具体情况如下：</w:t>
      </w:r>
    </w:p>
    <w:p w14:paraId="69F84E0D">
      <w:pPr>
        <w:widowControl w:val="0"/>
        <w:spacing w:line="360" w:lineRule="auto"/>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 xml:space="preserve"> 1.</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w:t>
      </w:r>
      <w:r>
        <w:rPr>
          <w:rFonts w:hint="eastAsia" w:ascii="宋体" w:hAnsi="宋体" w:cs="宋体"/>
          <w:color w:val="auto"/>
          <w:sz w:val="24"/>
          <w:szCs w:val="24"/>
          <w:u w:val="single"/>
          <w:lang w:eastAsia="zh-CN"/>
        </w:rPr>
        <w:t>公告</w:t>
      </w:r>
      <w:r>
        <w:rPr>
          <w:rFonts w:ascii="宋体" w:hAnsi="宋体" w:eastAsia="宋体" w:cs="宋体"/>
          <w:color w:val="auto"/>
          <w:sz w:val="24"/>
          <w:szCs w:val="24"/>
          <w:u w:val="single"/>
        </w:rPr>
        <w:t>中明确的所属行业）</w:t>
      </w:r>
      <w:r>
        <w:rPr>
          <w:rFonts w:ascii="宋体" w:hAnsi="宋体" w:eastAsia="宋体" w:cs="宋体"/>
          <w:color w:val="auto"/>
          <w:sz w:val="24"/>
          <w:szCs w:val="24"/>
        </w:rPr>
        <w:t>； （承接）企业为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u w:val="single"/>
        </w:rPr>
        <w:t xml:space="preserve"> </w:t>
      </w:r>
      <w:r>
        <w:rPr>
          <w:rFonts w:ascii="宋体" w:hAnsi="宋体" w:eastAsia="宋体" w:cs="宋体"/>
          <w:color w:val="auto"/>
          <w:sz w:val="24"/>
          <w:szCs w:val="24"/>
        </w:rPr>
        <w:t>人，营业收入为</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rPr>
        <w:t>万元，资产总额为</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rPr>
        <w:t>万元 ，属于</w:t>
      </w:r>
      <w:r>
        <w:rPr>
          <w:rFonts w:ascii="宋体" w:hAnsi="宋体" w:eastAsia="宋体" w:cs="宋体"/>
          <w:color w:val="auto"/>
          <w:sz w:val="24"/>
          <w:szCs w:val="24"/>
          <w:u w:val="single"/>
        </w:rPr>
        <w:t>（中型企业、 小型企业、微型企业）</w:t>
      </w:r>
      <w:r>
        <w:rPr>
          <w:rFonts w:ascii="宋体" w:hAnsi="宋体" w:eastAsia="宋体" w:cs="宋体"/>
          <w:color w:val="auto"/>
          <w:sz w:val="24"/>
          <w:szCs w:val="24"/>
        </w:rPr>
        <w:t>；</w:t>
      </w:r>
    </w:p>
    <w:p w14:paraId="71AF119B">
      <w:pPr>
        <w:widowControl w:val="0"/>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lang w:eastAsia="zh-CN"/>
        </w:rPr>
        <w:t>2.</w:t>
      </w:r>
      <w:r>
        <w:rPr>
          <w:rFonts w:ascii="宋体" w:hAnsi="宋体" w:eastAsia="宋体" w:cs="宋体"/>
          <w:color w:val="auto"/>
          <w:sz w:val="24"/>
          <w:szCs w:val="24"/>
          <w:u w:val="single"/>
        </w:rPr>
        <w:t>（标的名称）</w:t>
      </w:r>
      <w:r>
        <w:rPr>
          <w:rFonts w:ascii="宋体" w:hAnsi="宋体" w:eastAsia="宋体" w:cs="宋体"/>
          <w:color w:val="auto"/>
          <w:sz w:val="24"/>
          <w:szCs w:val="24"/>
        </w:rPr>
        <w:t xml:space="preserve"> ，属于</w:t>
      </w:r>
      <w:r>
        <w:rPr>
          <w:rFonts w:ascii="宋体" w:hAnsi="宋体" w:eastAsia="宋体" w:cs="宋体"/>
          <w:color w:val="auto"/>
          <w:sz w:val="24"/>
          <w:szCs w:val="24"/>
          <w:u w:val="single"/>
        </w:rPr>
        <w:t>（采购</w:t>
      </w:r>
      <w:r>
        <w:rPr>
          <w:rFonts w:hint="eastAsia" w:ascii="宋体" w:hAnsi="宋体" w:cs="宋体"/>
          <w:color w:val="auto"/>
          <w:sz w:val="24"/>
          <w:szCs w:val="24"/>
          <w:u w:val="single"/>
          <w:lang w:eastAsia="zh-CN"/>
        </w:rPr>
        <w:t>公告</w:t>
      </w:r>
      <w:r>
        <w:rPr>
          <w:rFonts w:ascii="宋体" w:hAnsi="宋体" w:eastAsia="宋体" w:cs="宋体"/>
          <w:color w:val="auto"/>
          <w:sz w:val="24"/>
          <w:szCs w:val="24"/>
          <w:u w:val="single"/>
        </w:rPr>
        <w:t>中明确的所属行业）</w:t>
      </w:r>
      <w:r>
        <w:rPr>
          <w:rFonts w:ascii="宋体" w:hAnsi="宋体" w:eastAsia="宋体" w:cs="宋体"/>
          <w:color w:val="auto"/>
          <w:sz w:val="24"/>
          <w:szCs w:val="24"/>
        </w:rPr>
        <w:t>； 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rPr>
        <w:t>人，营业收入为</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rPr>
        <w:t>万元，资产总额为</w:t>
      </w:r>
      <w:r>
        <w:rPr>
          <w:rFonts w:hint="eastAsia" w:ascii="宋体" w:hAnsi="宋体" w:eastAsia="宋体" w:cs="宋体"/>
          <w:color w:val="auto"/>
          <w:sz w:val="24"/>
          <w:szCs w:val="24"/>
          <w:u w:val="single"/>
          <w:lang w:eastAsia="zh-CN"/>
        </w:rPr>
        <w:t xml:space="preserve">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 小型企业、微型企业）</w:t>
      </w:r>
      <w:r>
        <w:rPr>
          <w:rFonts w:ascii="宋体" w:hAnsi="宋体" w:eastAsia="宋体" w:cs="宋体"/>
          <w:color w:val="auto"/>
          <w:sz w:val="24"/>
          <w:szCs w:val="24"/>
        </w:rPr>
        <w:t xml:space="preserve">； </w:t>
      </w:r>
    </w:p>
    <w:p w14:paraId="75887908">
      <w:pPr>
        <w:widowControl w:val="0"/>
        <w:spacing w:line="360" w:lineRule="auto"/>
        <w:ind w:left="120" w:firstLine="480" w:firstLineChars="200"/>
        <w:jc w:val="both"/>
        <w:rPr>
          <w:rFonts w:ascii="宋体" w:hAnsi="宋体" w:eastAsia="宋体" w:cs="宋体"/>
          <w:color w:val="auto"/>
          <w:sz w:val="24"/>
          <w:szCs w:val="24"/>
        </w:rPr>
      </w:pPr>
      <w:r>
        <w:rPr>
          <w:rFonts w:ascii="宋体" w:hAnsi="宋体" w:eastAsia="宋体" w:cs="宋体"/>
          <w:color w:val="auto"/>
          <w:sz w:val="24"/>
          <w:szCs w:val="24"/>
        </w:rPr>
        <w:t xml:space="preserve">…… </w:t>
      </w:r>
    </w:p>
    <w:p w14:paraId="23C01289">
      <w:pPr>
        <w:widowControl w:val="0"/>
        <w:spacing w:line="360" w:lineRule="auto"/>
        <w:ind w:left="120" w:firstLine="480" w:firstLineChars="200"/>
        <w:jc w:val="both"/>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3B862BB0">
      <w:pPr>
        <w:widowControl w:val="0"/>
        <w:spacing w:line="360" w:lineRule="auto"/>
        <w:ind w:left="120" w:firstLine="480" w:firstLineChars="200"/>
        <w:jc w:val="both"/>
        <w:rPr>
          <w:rFonts w:ascii="宋体" w:hAnsi="宋体" w:eastAsia="宋体" w:cs="宋体"/>
          <w:color w:val="auto"/>
          <w:sz w:val="24"/>
          <w:szCs w:val="24"/>
        </w:rPr>
      </w:pPr>
      <w:r>
        <w:rPr>
          <w:rFonts w:ascii="宋体" w:hAnsi="宋体" w:eastAsia="宋体" w:cs="宋体"/>
          <w:color w:val="auto"/>
          <w:sz w:val="24"/>
          <w:szCs w:val="24"/>
        </w:rPr>
        <w:t xml:space="preserve"> 本企业对上述声明内容的真实性负责。如有虚假，将依法承担相应责任。 </w:t>
      </w:r>
    </w:p>
    <w:p w14:paraId="52FB1BA5">
      <w:pPr>
        <w:widowControl w:val="0"/>
        <w:spacing w:line="360" w:lineRule="auto"/>
        <w:jc w:val="both"/>
        <w:rPr>
          <w:rFonts w:ascii="宋体" w:hAnsi="宋体" w:eastAsia="宋体" w:cs="宋体"/>
          <w:color w:val="auto"/>
          <w:sz w:val="24"/>
          <w:szCs w:val="24"/>
        </w:rPr>
      </w:pPr>
    </w:p>
    <w:p w14:paraId="1828533E">
      <w:pPr>
        <w:pStyle w:val="3"/>
        <w:rPr>
          <w:rFonts w:ascii="宋体" w:hAnsi="宋体" w:eastAsia="宋体" w:cs="宋体"/>
          <w:color w:val="auto"/>
          <w:sz w:val="24"/>
          <w:szCs w:val="24"/>
        </w:rPr>
      </w:pPr>
    </w:p>
    <w:p w14:paraId="5F0C39E8">
      <w:pPr>
        <w:pStyle w:val="6"/>
        <w:ind w:firstLine="300"/>
        <w:rPr>
          <w:color w:val="auto"/>
        </w:rPr>
      </w:pPr>
    </w:p>
    <w:p w14:paraId="15BD1633">
      <w:pPr>
        <w:widowControl w:val="0"/>
        <w:spacing w:line="360" w:lineRule="auto"/>
        <w:jc w:val="both"/>
        <w:rPr>
          <w:rFonts w:ascii="宋体" w:hAnsi="宋体" w:eastAsia="宋体" w:cs="宋体"/>
          <w:color w:val="auto"/>
          <w:sz w:val="24"/>
          <w:szCs w:val="24"/>
        </w:rPr>
      </w:pPr>
    </w:p>
    <w:p w14:paraId="011BDEC9">
      <w:pPr>
        <w:widowControl w:val="0"/>
        <w:spacing w:line="360" w:lineRule="auto"/>
        <w:ind w:firstLine="5520" w:firstLineChars="2300"/>
        <w:jc w:val="both"/>
        <w:rPr>
          <w:rFonts w:ascii="宋体" w:hAnsi="宋体" w:eastAsia="宋体" w:cs="宋体"/>
          <w:color w:val="auto"/>
          <w:sz w:val="24"/>
          <w:szCs w:val="24"/>
        </w:rPr>
      </w:pPr>
      <w:r>
        <w:rPr>
          <w:rFonts w:ascii="宋体" w:hAnsi="宋体" w:eastAsia="宋体" w:cs="宋体"/>
          <w:color w:val="auto"/>
          <w:sz w:val="24"/>
          <w:szCs w:val="24"/>
        </w:rPr>
        <w:t xml:space="preserve">企业名称（盖章）： </w:t>
      </w:r>
    </w:p>
    <w:p w14:paraId="4136DF77">
      <w:pPr>
        <w:widowControl w:val="0"/>
        <w:spacing w:line="360" w:lineRule="auto"/>
        <w:ind w:firstLine="5520" w:firstLineChars="2300"/>
        <w:jc w:val="both"/>
        <w:rPr>
          <w:color w:val="auto"/>
          <w:lang w:eastAsia="zh-CN"/>
        </w:rPr>
      </w:pPr>
      <w:r>
        <w:rPr>
          <w:rFonts w:ascii="宋体" w:hAnsi="宋体" w:eastAsia="宋体" w:cs="宋体"/>
          <w:color w:val="auto"/>
          <w:sz w:val="24"/>
          <w:szCs w:val="24"/>
        </w:rPr>
        <w:t>日 期：</w:t>
      </w:r>
    </w:p>
    <w:p w14:paraId="3E36E1A7">
      <w:pPr>
        <w:widowControl w:val="0"/>
        <w:spacing w:line="360" w:lineRule="auto"/>
        <w:jc w:val="both"/>
        <w:rPr>
          <w:color w:val="auto"/>
          <w:lang w:eastAsia="zh-CN"/>
        </w:rPr>
      </w:pPr>
    </w:p>
    <w:p w14:paraId="2ABDEB75">
      <w:pPr>
        <w:pStyle w:val="3"/>
        <w:rPr>
          <w:color w:val="auto"/>
          <w:lang w:eastAsia="zh-CN"/>
        </w:rPr>
      </w:pPr>
    </w:p>
    <w:p w14:paraId="78EC4C4F">
      <w:pPr>
        <w:pStyle w:val="6"/>
        <w:ind w:firstLine="300"/>
        <w:rPr>
          <w:color w:val="auto"/>
          <w:lang w:eastAsia="zh-CN"/>
        </w:rPr>
      </w:pPr>
    </w:p>
    <w:p w14:paraId="6CB77D10">
      <w:pPr>
        <w:pStyle w:val="6"/>
        <w:ind w:firstLine="300"/>
        <w:rPr>
          <w:color w:val="auto"/>
          <w:lang w:eastAsia="zh-CN"/>
        </w:rPr>
      </w:pPr>
    </w:p>
    <w:p w14:paraId="0D3C60B6">
      <w:pPr>
        <w:widowControl w:val="0"/>
        <w:spacing w:before="79" w:line="360" w:lineRule="auto"/>
        <w:jc w:val="both"/>
        <w:rPr>
          <w:rFonts w:ascii="宋体" w:hAnsi="宋体" w:eastAsia="宋体" w:cs="宋体"/>
          <w:color w:val="auto"/>
          <w:sz w:val="24"/>
          <w:szCs w:val="24"/>
          <w:lang w:eastAsia="zh-CN"/>
        </w:rPr>
      </w:pPr>
      <w:r>
        <w:rPr>
          <w:rFonts w:ascii="宋体" w:hAnsi="宋体" w:eastAsia="宋体" w:cs="宋体"/>
          <w:color w:val="auto"/>
          <w:position w:val="17"/>
          <w:sz w:val="24"/>
          <w:szCs w:val="24"/>
          <w:lang w:eastAsia="zh-CN"/>
        </w:rPr>
        <w:t>注：1、从业人员、营业收入、资产总额填报上一年度数据</w:t>
      </w:r>
      <w:r>
        <w:rPr>
          <w:rFonts w:ascii="宋体" w:hAnsi="宋体" w:eastAsia="宋体" w:cs="宋体"/>
          <w:color w:val="auto"/>
          <w:spacing w:val="-1"/>
          <w:position w:val="17"/>
          <w:sz w:val="24"/>
          <w:szCs w:val="24"/>
          <w:lang w:eastAsia="zh-CN"/>
        </w:rPr>
        <w:t>，无上一年度数据的新成</w:t>
      </w:r>
      <w:r>
        <w:rPr>
          <w:rFonts w:hint="eastAsia" w:ascii="宋体" w:hAnsi="宋体" w:eastAsia="宋体" w:cs="宋体"/>
          <w:color w:val="auto"/>
          <w:spacing w:val="-1"/>
          <w:position w:val="17"/>
          <w:sz w:val="24"/>
          <w:szCs w:val="24"/>
          <w:lang w:eastAsia="zh-CN"/>
        </w:rPr>
        <w:t>立企业可不填报。</w:t>
      </w:r>
    </w:p>
    <w:p w14:paraId="1BB5202B">
      <w:pPr>
        <w:spacing w:line="360" w:lineRule="auto"/>
        <w:jc w:val="both"/>
        <w:rPr>
          <w:rFonts w:ascii="宋体" w:hAnsi="宋体" w:eastAsia="宋体" w:cs="宋体"/>
          <w:b/>
          <w:bCs/>
          <w:color w:val="auto"/>
          <w:sz w:val="24"/>
          <w:szCs w:val="24"/>
        </w:rPr>
      </w:pPr>
      <w:r>
        <w:rPr>
          <w:rFonts w:hint="eastAsia" w:ascii="宋体" w:hAnsi="宋体" w:eastAsia="宋体" w:cs="宋体"/>
          <w:b/>
          <w:bCs/>
          <w:color w:val="auto"/>
          <w:sz w:val="24"/>
          <w:szCs w:val="24"/>
        </w:rPr>
        <w:t>附表</w:t>
      </w:r>
    </w:p>
    <w:p w14:paraId="37EA8E0C">
      <w:pPr>
        <w:pStyle w:val="5"/>
        <w:widowControl w:val="0"/>
        <w:spacing w:before="0" w:beforeAutospacing="0" w:after="0" w:afterAutospacing="0" w:line="350" w:lineRule="exact"/>
        <w:jc w:val="center"/>
        <w:rPr>
          <w:color w:val="auto"/>
          <w:spacing w:val="-5"/>
          <w:szCs w:val="24"/>
          <w:lang w:eastAsia="zh-CN"/>
        </w:rPr>
      </w:pPr>
      <w:r>
        <w:rPr>
          <w:rFonts w:hint="eastAsia"/>
          <w:color w:val="auto"/>
          <w:spacing w:val="-5"/>
          <w:szCs w:val="24"/>
          <w:lang w:eastAsia="zh-CN"/>
        </w:rPr>
        <w:t>中小企业划型标准规定</w:t>
      </w:r>
    </w:p>
    <w:p w14:paraId="7454DDC6">
      <w:pPr>
        <w:pStyle w:val="5"/>
        <w:widowControl w:val="0"/>
        <w:spacing w:before="0" w:beforeAutospacing="0" w:after="0" w:afterAutospacing="0" w:line="350" w:lineRule="exact"/>
        <w:jc w:val="center"/>
        <w:rPr>
          <w:b/>
          <w:bCs/>
          <w:color w:val="auto"/>
          <w:szCs w:val="24"/>
        </w:rPr>
      </w:pPr>
      <w:r>
        <w:rPr>
          <w:rFonts w:hint="eastAsia"/>
          <w:b/>
          <w:bCs/>
          <w:color w:val="auto"/>
          <w:szCs w:val="24"/>
        </w:rPr>
        <w:t>（</w:t>
      </w:r>
      <w:r>
        <w:rPr>
          <w:rFonts w:hint="eastAsia"/>
          <w:color w:val="auto"/>
          <w:szCs w:val="24"/>
        </w:rPr>
        <w:t>工信部联企业〔2011〕300号</w:t>
      </w:r>
      <w:r>
        <w:rPr>
          <w:rFonts w:hint="eastAsia"/>
          <w:b/>
          <w:bCs/>
          <w:color w:val="auto"/>
          <w:szCs w:val="24"/>
        </w:rPr>
        <w:t>）</w:t>
      </w:r>
    </w:p>
    <w:p w14:paraId="71822A1E">
      <w:pPr>
        <w:pStyle w:val="5"/>
        <w:widowControl w:val="0"/>
        <w:spacing w:before="0" w:beforeAutospacing="0" w:after="0" w:afterAutospacing="0" w:line="350" w:lineRule="exact"/>
        <w:jc w:val="right"/>
        <w:rPr>
          <w:b/>
          <w:bCs/>
          <w:color w:val="auto"/>
          <w:szCs w:val="24"/>
        </w:rPr>
      </w:pPr>
      <w:r>
        <w:rPr>
          <w:rFonts w:hint="eastAsia"/>
          <w:b/>
          <w:bCs/>
          <w:color w:val="auto"/>
          <w:szCs w:val="24"/>
        </w:rPr>
        <w:t>---（摘要）</w:t>
      </w:r>
    </w:p>
    <w:p w14:paraId="2DE19DBF">
      <w:pPr>
        <w:pStyle w:val="5"/>
        <w:widowControl w:val="0"/>
        <w:numPr>
          <w:ilvl w:val="0"/>
          <w:numId w:val="1"/>
        </w:numPr>
        <w:spacing w:before="0" w:beforeAutospacing="0" w:after="0" w:afterAutospacing="0" w:line="360" w:lineRule="auto"/>
        <w:jc w:val="both"/>
        <w:rPr>
          <w:color w:val="auto"/>
          <w:szCs w:val="24"/>
        </w:rPr>
      </w:pPr>
      <w:r>
        <w:rPr>
          <w:rFonts w:hint="eastAsia"/>
          <w:color w:val="auto"/>
          <w:szCs w:val="24"/>
        </w:rPr>
        <w:t>本规定适用的行业包括：</w:t>
      </w:r>
    </w:p>
    <w:p w14:paraId="383664C7">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472D67">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二、各行业划型标准为：</w:t>
      </w:r>
    </w:p>
    <w:p w14:paraId="0D0A3277">
      <w:pPr>
        <w:widowControl w:val="0"/>
        <w:spacing w:beforeLines="25"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（一）农、林、牧、渔业。</w:t>
      </w:r>
      <w:r>
        <w:rPr>
          <w:rFonts w:hint="eastAsia" w:ascii="宋体" w:hAnsi="宋体" w:eastAsia="宋体" w:cs="宋体"/>
          <w:color w:val="auto"/>
          <w:sz w:val="24"/>
          <w:szCs w:val="24"/>
        </w:rPr>
        <w:t>营业收入20000万元以下的为中小微型企业。其中，营业收入500万元及以上的为中型企业，营业收入50万元及以上的为小型企业，营业收入50万元以下的为微型企业。</w:t>
      </w:r>
    </w:p>
    <w:p w14:paraId="2576CA95">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（二）工业。</w:t>
      </w:r>
      <w:r>
        <w:rPr>
          <w:rFonts w:hint="eastAsia" w:ascii="宋体" w:hAnsi="宋体" w:eastAsia="宋体" w:cs="宋体"/>
          <w:color w:val="auto"/>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4361B7">
      <w:pPr>
        <w:widowControl w:val="0"/>
        <w:spacing w:beforeLines="33"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（三）建筑业。</w:t>
      </w:r>
      <w:r>
        <w:rPr>
          <w:rFonts w:hint="eastAsia" w:ascii="宋体" w:hAnsi="宋体" w:eastAsia="宋体" w:cs="宋体"/>
          <w:color w:val="auto"/>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A74656">
      <w:pPr>
        <w:widowControl w:val="0"/>
        <w:spacing w:beforeLines="32"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（四）批发业。</w:t>
      </w:r>
      <w:r>
        <w:rPr>
          <w:rFonts w:hint="eastAsia" w:ascii="宋体" w:hAnsi="宋体" w:eastAsia="宋体" w:cs="宋体"/>
          <w:color w:val="auto"/>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93034">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（五）零售业。</w:t>
      </w:r>
      <w:r>
        <w:rPr>
          <w:rFonts w:hint="eastAsia" w:ascii="宋体" w:hAnsi="宋体" w:eastAsia="宋体" w:cs="宋体"/>
          <w:color w:val="auto"/>
          <w:sz w:val="24"/>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F1AA51">
      <w:pPr>
        <w:widowControl w:val="0"/>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（六）交通运输业。</w:t>
      </w:r>
      <w:r>
        <w:rPr>
          <w:rFonts w:hint="eastAsia" w:ascii="宋体" w:hAnsi="宋体" w:eastAsia="宋体" w:cs="宋体"/>
          <w:color w:val="auto"/>
          <w:sz w:val="24"/>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D9490A1">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（七）仓储业。</w:t>
      </w:r>
      <w:r>
        <w:rPr>
          <w:rFonts w:hint="eastAsia" w:ascii="宋体" w:hAnsi="宋体" w:eastAsia="宋体" w:cs="宋体"/>
          <w:color w:val="auto"/>
          <w:sz w:val="24"/>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54D609">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（八）邮政业。</w:t>
      </w:r>
      <w:r>
        <w:rPr>
          <w:rFonts w:hint="eastAsia" w:ascii="宋体" w:hAnsi="宋体" w:eastAsia="宋体" w:cs="宋体"/>
          <w:color w:val="auto"/>
          <w:sz w:val="24"/>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8593C1">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（九）住宿业。</w:t>
      </w:r>
      <w:r>
        <w:rPr>
          <w:rFonts w:hint="eastAsia" w:ascii="宋体" w:hAnsi="宋体" w:eastAsia="宋体" w:cs="宋体"/>
          <w:color w:val="auto"/>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3C33B3">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（十）餐饮业。</w:t>
      </w:r>
      <w:r>
        <w:rPr>
          <w:rFonts w:hint="eastAsia" w:ascii="宋体" w:hAnsi="宋体" w:eastAsia="宋体" w:cs="宋体"/>
          <w:color w:val="auto"/>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DA10E5">
      <w:pPr>
        <w:widowControl w:val="0"/>
        <w:spacing w:beforeLines="19"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（十一）信息传输业。</w:t>
      </w:r>
      <w:r>
        <w:rPr>
          <w:rFonts w:hint="eastAsia" w:ascii="宋体" w:hAnsi="宋体" w:eastAsia="宋体" w:cs="宋体"/>
          <w:color w:val="auto"/>
          <w:sz w:val="24"/>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28ADE3">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（十二）软件和信息技术服务业。</w:t>
      </w:r>
      <w:r>
        <w:rPr>
          <w:rFonts w:hint="eastAsia" w:ascii="宋体" w:hAnsi="宋体" w:eastAsia="宋体" w:cs="宋体"/>
          <w:color w:val="auto"/>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BDF962">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（十三）房地产开发经营。</w:t>
      </w:r>
      <w:r>
        <w:rPr>
          <w:rFonts w:hint="eastAsia" w:ascii="宋体" w:hAnsi="宋体" w:eastAsia="宋体" w:cs="宋体"/>
          <w:color w:val="auto"/>
          <w:sz w:val="24"/>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5AEE81">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（十四）物业管理。</w:t>
      </w:r>
      <w:r>
        <w:rPr>
          <w:rFonts w:hint="eastAsia" w:ascii="宋体" w:hAnsi="宋体" w:eastAsia="宋体" w:cs="宋体"/>
          <w:color w:val="auto"/>
          <w:sz w:val="24"/>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E3D833">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（十五）租赁和商务服务业。</w:t>
      </w:r>
      <w:r>
        <w:rPr>
          <w:rFonts w:hint="eastAsia" w:ascii="宋体" w:hAnsi="宋体" w:eastAsia="宋体" w:cs="宋体"/>
          <w:color w:val="auto"/>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17813C">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　（十六）其他未列明行业。</w:t>
      </w:r>
      <w:r>
        <w:rPr>
          <w:rFonts w:hint="eastAsia" w:ascii="宋体" w:hAnsi="宋体" w:eastAsia="宋体" w:cs="宋体"/>
          <w:color w:val="auto"/>
          <w:sz w:val="24"/>
          <w:szCs w:val="24"/>
        </w:rPr>
        <w:t>从业人员300人以下的为中小微型企业。其中，从业人员100人及以上的为中型企业；从业人员10人及以上的为小型企业；从业人员10人以下的为微型企业。</w:t>
      </w:r>
    </w:p>
    <w:p w14:paraId="74DDCFCE">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三、本规定适用于在中华人民共和国境内依法设立的各类所有制和各种组织形式的企业。个体工商户和本规定以外的行业，参照本规定进行划型。</w:t>
      </w:r>
    </w:p>
    <w:p w14:paraId="3EB00228">
      <w:pPr>
        <w:widowControl w:val="0"/>
        <w:spacing w:beforeLines="5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四、本规定的中型企业标准上限即为大型企业标准的下限，国家统计部门据此制定大中小微型企业的统计分类。国务院有关部门据此进行相关数据分析，不得制定与本规定不一致的企业划型标准。</w:t>
      </w:r>
    </w:p>
    <w:p w14:paraId="19EC64BA">
      <w:pPr>
        <w:rPr>
          <w:rFonts w:hint="eastAsia" w:ascii="仿宋_GB2312" w:hAnsi="仿宋" w:eastAsia="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6093F"/>
    <w:multiLevelType w:val="singleLevel"/>
    <w:tmpl w:val="EA3609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91A95"/>
    <w:rsid w:val="107100BE"/>
    <w:rsid w:val="15191A95"/>
    <w:rsid w:val="23C23152"/>
    <w:rsid w:val="27F1192B"/>
    <w:rsid w:val="28487EA9"/>
    <w:rsid w:val="2AF6500D"/>
    <w:rsid w:val="39A45FA8"/>
    <w:rsid w:val="41F44C0F"/>
    <w:rsid w:val="52DB29CF"/>
    <w:rsid w:val="65111736"/>
    <w:rsid w:val="73ED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jc w:val="left"/>
      <w:outlineLvl w:val="1"/>
    </w:pPr>
    <w:rPr>
      <w:rFonts w:ascii="Arial" w:hAnsi="Arial"/>
      <w:b/>
      <w:bCs/>
      <w:snapToGrid w:val="0"/>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Subtitle"/>
    <w:basedOn w:val="1"/>
    <w:next w:val="1"/>
    <w:qFormat/>
    <w:uiPriority w:val="0"/>
    <w:pPr>
      <w:spacing w:line="312" w:lineRule="auto"/>
      <w:jc w:val="center"/>
      <w:outlineLvl w:val="1"/>
    </w:pPr>
    <w:rPr>
      <w:rFonts w:ascii="Arial" w:hAnsi="Arial" w:cs="Arial"/>
      <w:bCs/>
      <w:kern w:val="28"/>
      <w:sz w:val="32"/>
      <w:szCs w:val="32"/>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qFormat/>
    <w:uiPriority w:val="0"/>
    <w:pPr>
      <w:ind w:firstLine="420" w:firstLineChars="100"/>
    </w:pPr>
  </w:style>
  <w:style w:type="paragraph" w:customStyle="1" w:styleId="9">
    <w:name w:val="UserStyle_0"/>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3488</Words>
  <Characters>3778</Characters>
  <Lines>0</Lines>
  <Paragraphs>0</Paragraphs>
  <TotalTime>2</TotalTime>
  <ScaleCrop>false</ScaleCrop>
  <LinksUpToDate>false</LinksUpToDate>
  <CharactersWithSpaces>3887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2024-12-10T01:53:00Z</dcterms:created>
  <dc:creator>Administrator</dc:creator>
  <cp:lastModifiedBy>Administrator</cp:lastModifiedBy>
  <cp:lastPrinted>2024-12-10T01:53:00Z</cp:lastPrinted>
  <dcterms:modified xsi:type="dcterms:W3CDTF">2026-06-17T03:09:44Z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A0EB6F466DC64F42929F47EEC17C7612_13</vt:lpwstr>
  </property>
  <property fmtid="{D5CDD505-2E9C-101B-9397-08002B2CF9AE}" pid="4" name="KSOTemplateDocerSaveRecord">
    <vt:lpwstr>eyJoZGlkIjoiMzA4MmM5MmNjMzI3MTM3MTEzZDgwNGUwYjgyZDc2MTciLCJ1c2VySWQiOiIyNzQ5OTU5MTAifQ==</vt:lpwstr>
  </property>
</Properties>
</file>