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F9250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center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</w:p>
    <w:p w14:paraId="4B694F79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left"/>
        <w:rPr>
          <w:rFonts w:hint="eastAsia" w:ascii="黑体" w:hAnsi="黑体" w:eastAsia="黑体" w:cs="黑体"/>
          <w:kern w:val="0"/>
          <w:sz w:val="28"/>
          <w:szCs w:val="28"/>
          <w:highlight w:val="none"/>
          <w:lang w:val="en-US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2：</w:t>
      </w: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 w:bidi="ar"/>
        </w:rPr>
        <w:t xml:space="preserve">                                    </w:t>
      </w:r>
      <w:bookmarkStart w:id="8" w:name="_GoBack"/>
      <w:bookmarkEnd w:id="8"/>
    </w:p>
    <w:p w14:paraId="4869BBE2">
      <w:pPr>
        <w:pStyle w:val="2"/>
        <w:widowControl/>
        <w:spacing w:before="40" w:beforeAutospacing="0" w:after="40" w:afterAutospacing="0"/>
        <w:ind w:left="0" w:leftChars="0" w:right="0" w:rightChars="0" w:firstLine="629" w:firstLineChars="0"/>
        <w:outlineLvl w:val="9"/>
        <w:rPr>
          <w:rFonts w:hint="eastAsia" w:ascii="黑体" w:hAnsi="黑体" w:eastAsia="黑体" w:cs="黑体"/>
          <w:kern w:val="0"/>
          <w:sz w:val="28"/>
          <w:szCs w:val="28"/>
          <w:highlight w:val="none"/>
          <w:lang w:eastAsia="zh-CN"/>
        </w:rPr>
      </w:pPr>
      <w:bookmarkStart w:id="0" w:name="_Toc485736229"/>
    </w:p>
    <w:bookmarkEnd w:id="0"/>
    <w:p w14:paraId="158C10E2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jc w:val="center"/>
        <w:rPr>
          <w:rFonts w:hint="eastAsia" w:ascii="黑体" w:hAnsi="黑体" w:eastAsia="黑体" w:cs="黑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highlight w:val="none"/>
          <w:lang w:eastAsia="zh-CN"/>
        </w:rPr>
        <w:t>吉安技师学院整体搬迁服务采购项目</w:t>
      </w:r>
    </w:p>
    <w:p w14:paraId="222C808D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jc w:val="center"/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6"/>
          <w:szCs w:val="36"/>
          <w:highlight w:val="none"/>
          <w:lang w:eastAsia="zh-CN"/>
        </w:rPr>
        <w:t>公开调研响应文件</w:t>
      </w:r>
    </w:p>
    <w:p w14:paraId="10E551FF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551" w:firstLineChars="196"/>
        <w:jc w:val="left"/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 w:eastAsia="zh-CN" w:bidi="ar"/>
        </w:rPr>
      </w:pPr>
    </w:p>
    <w:p w14:paraId="78998238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551" w:firstLineChars="196"/>
        <w:jc w:val="left"/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 w:eastAsia="zh-CN" w:bidi="ar"/>
        </w:rPr>
      </w:pPr>
    </w:p>
    <w:p w14:paraId="6C7EFE3D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551" w:firstLineChars="196"/>
        <w:jc w:val="left"/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 w:eastAsia="zh-CN" w:bidi="ar"/>
        </w:rPr>
      </w:pPr>
    </w:p>
    <w:p w14:paraId="0B99E88D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551" w:firstLineChars="196"/>
        <w:jc w:val="left"/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 w:eastAsia="zh-CN" w:bidi="ar"/>
        </w:rPr>
      </w:pPr>
    </w:p>
    <w:p w14:paraId="7FC7B481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jc w:val="left"/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 w:eastAsia="zh-CN" w:bidi="ar"/>
        </w:rPr>
      </w:pPr>
    </w:p>
    <w:p w14:paraId="65949016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1675" w:firstLineChars="596"/>
        <w:jc w:val="left"/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/>
        </w:rPr>
      </w:pPr>
      <w:r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 w:eastAsia="zh-CN" w:bidi="ar"/>
        </w:rPr>
        <w:t>供应商名称：</w:t>
      </w:r>
    </w:p>
    <w:p w14:paraId="3E9D31DB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1675" w:firstLineChars="596"/>
        <w:jc w:val="left"/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 w:eastAsia="zh-CN" w:bidi="ar"/>
        </w:rPr>
        <w:t>联系人：</w:t>
      </w:r>
    </w:p>
    <w:p w14:paraId="42B63A4D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1675" w:firstLineChars="596"/>
        <w:jc w:val="left"/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 w:eastAsia="zh-CN" w:bidi="ar"/>
        </w:rPr>
        <w:t>联系电话：</w:t>
      </w:r>
    </w:p>
    <w:p w14:paraId="18E373FF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1675" w:firstLineChars="596"/>
        <w:jc w:val="left"/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/>
        </w:rPr>
      </w:pPr>
      <w:r>
        <w:rPr>
          <w:rFonts w:hint="eastAsia" w:ascii="黑体" w:hAnsi="黑体" w:eastAsia="黑体" w:cs="黑体"/>
          <w:b/>
          <w:bCs w:val="0"/>
          <w:kern w:val="0"/>
          <w:sz w:val="28"/>
          <w:szCs w:val="28"/>
          <w:highlight w:val="none"/>
          <w:lang w:val="en-US" w:eastAsia="zh-CN" w:bidi="ar"/>
        </w:rPr>
        <w:t>日期：       年    月     日</w:t>
      </w:r>
    </w:p>
    <w:p w14:paraId="363462B6">
      <w:pP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"/>
        </w:rPr>
        <w:br w:type="page"/>
      </w:r>
    </w:p>
    <w:sdt>
      <w:sdtP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id w:val="147454813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sdtEndPr>
      <w:sdtContent>
        <w:p w14:paraId="780A8EB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t>目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  <w:lang w:val="en-US" w:eastAsia="zh-CN"/>
            </w:rPr>
            <w:t xml:space="preserve">      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t>录</w:t>
          </w:r>
        </w:p>
        <w:p w14:paraId="55717BF0">
          <w:pPr>
            <w:pStyle w:val="5"/>
            <w:tabs>
              <w:tab w:val="right" w:leader="dot" w:pos="9524"/>
            </w:tabs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</w:pP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nstrText xml:space="preserve"> HYPERLINK \l _Toc29187 </w:instrText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  <w:lang w:val="en-US" w:eastAsia="zh-CN"/>
            </w:rPr>
            <w:t>一、报价函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instrText xml:space="preserve"> PAGEREF _Toc29187 \h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t>3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end"/>
          </w:r>
        </w:p>
        <w:p w14:paraId="7F74D03C">
          <w:pPr>
            <w:pStyle w:val="5"/>
            <w:tabs>
              <w:tab w:val="right" w:leader="dot" w:pos="9524"/>
            </w:tabs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</w:pP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nstrText xml:space="preserve"> HYPERLINK \l _Toc7363 </w:instrText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kern w:val="0"/>
              <w:sz w:val="28"/>
              <w:szCs w:val="28"/>
              <w:highlight w:val="none"/>
              <w:lang w:val="en-US" w:eastAsia="zh-CN"/>
            </w:rPr>
            <w:t>二</w:t>
          </w:r>
          <w:r>
            <w:rPr>
              <w:rFonts w:hint="eastAsia" w:ascii="仿宋" w:hAnsi="仿宋" w:eastAsia="仿宋" w:cs="仿宋"/>
              <w:b/>
              <w:bCs/>
              <w:kern w:val="0"/>
              <w:sz w:val="28"/>
              <w:szCs w:val="28"/>
              <w:highlight w:val="none"/>
              <w:lang w:eastAsia="zh-CN"/>
            </w:rPr>
            <w:t>、市场调研产品价格承诺函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instrText xml:space="preserve"> PAGEREF _Toc7363 \h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t>4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end"/>
          </w:r>
        </w:p>
        <w:p w14:paraId="39A046F2">
          <w:pPr>
            <w:pStyle w:val="5"/>
            <w:tabs>
              <w:tab w:val="right" w:leader="dot" w:pos="9524"/>
            </w:tabs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</w:pP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nstrText xml:space="preserve"> HYPERLINK \l _Toc2196 </w:instrText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"/>
            </w:rPr>
            <w:t>三、供应商响应资料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instrText xml:space="preserve"> PAGEREF _Toc2196 \h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t>5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end"/>
          </w:r>
        </w:p>
        <w:p w14:paraId="062ABF1B">
          <w:pPr>
            <w:pStyle w:val="5"/>
            <w:tabs>
              <w:tab w:val="right" w:leader="dot" w:pos="9524"/>
            </w:tabs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pP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nstrText xml:space="preserve"> HYPERLINK \l _Toc23283 </w:instrText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kern w:val="0"/>
              <w:sz w:val="28"/>
              <w:szCs w:val="28"/>
              <w:highlight w:val="none"/>
              <w:lang w:val="en-US" w:eastAsia="zh-CN"/>
            </w:rPr>
            <w:t>四、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  <w:lang w:val="en-US" w:eastAsia="zh-CN"/>
            </w:rPr>
            <w:t>技术、商务建议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highlight w:val="none"/>
              <w:lang w:val="en-US" w:eastAsia="zh-CN"/>
            </w:rPr>
            <w:t>6</w:t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end"/>
          </w:r>
        </w:p>
        <w:p w14:paraId="1F9F9544">
          <w:pPr>
            <w:rPr>
              <w:rFonts w:hint="default"/>
              <w:highlight w:val="none"/>
              <w:lang w:val="en-US" w:eastAsia="zh-CN"/>
            </w:rPr>
          </w:pP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t>五、现场踏勘确认函.................................................8</w:t>
          </w:r>
        </w:p>
        <w:p w14:paraId="0636A16D">
          <w:p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pP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fldChar w:fldCharType="end"/>
          </w:r>
        </w:p>
      </w:sdtContent>
    </w:sdt>
    <w:p w14:paraId="74A15406">
      <w:pP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</w:p>
    <w:p w14:paraId="5239C425">
      <w:pP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br w:type="page"/>
      </w:r>
    </w:p>
    <w:p w14:paraId="363749B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1" w:name="_Toc29187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一、报价函</w:t>
      </w:r>
      <w:bookmarkEnd w:id="1"/>
    </w:p>
    <w:tbl>
      <w:tblPr>
        <w:tblStyle w:val="8"/>
        <w:tblW w:w="5122" w:type="pct"/>
        <w:tblInd w:w="-2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2"/>
        <w:gridCol w:w="786"/>
        <w:gridCol w:w="1411"/>
        <w:gridCol w:w="1899"/>
        <w:gridCol w:w="1850"/>
        <w:gridCol w:w="2294"/>
      </w:tblGrid>
      <w:tr w14:paraId="2733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E47C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2F26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DD30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单位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C006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</w:rPr>
              <w:t>总价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2C0E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  <w:t>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期</w:t>
            </w:r>
          </w:p>
        </w:tc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FCDF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供应商规模</w:t>
            </w:r>
          </w:p>
        </w:tc>
      </w:tr>
      <w:tr w14:paraId="4E86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A8A8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吉安技师学院整体搬迁服务采购项目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107E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A5B3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DE98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964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BA73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选填：大、中、小、微型企业</w:t>
            </w:r>
          </w:p>
        </w:tc>
      </w:tr>
    </w:tbl>
    <w:p w14:paraId="3162B67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</w:pPr>
    </w:p>
    <w:p w14:paraId="33B58D5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fill="FFFFFF"/>
          <w:lang w:val="en-US" w:eastAsia="zh-CN"/>
        </w:rPr>
        <w:t>供 应 商：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>            （盖章）</w:t>
      </w:r>
    </w:p>
    <w:p w14:paraId="2047A6A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fill="FFFFFF"/>
          <w:lang w:val="en-US" w:eastAsia="zh-CN"/>
        </w:rPr>
        <w:t> 联 系 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>                       </w:t>
      </w:r>
    </w:p>
    <w:p w14:paraId="6C99EDA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none"/>
          <w:shd w:val="clear" w:fill="FFFFFF"/>
          <w:lang w:val="en-US" w:eastAsia="zh-CN"/>
        </w:rPr>
        <w:t> 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>                      </w:t>
      </w:r>
    </w:p>
    <w:p w14:paraId="1848192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填写要求：</w:t>
      </w:r>
    </w:p>
    <w:p w14:paraId="283BBC2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总价应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包括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所有与完成本项目有关的服务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费用（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包装费、安装费、运费、保修费、税金、利润、保险费等）。</w:t>
      </w:r>
    </w:p>
    <w:p w14:paraId="3FCA9D0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zh-CN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规模填写需参考的相关文件：《关于中小企业划型标准规定的通知》（工信部联企业【2011】300号文）。</w:t>
      </w:r>
    </w:p>
    <w:p w14:paraId="3E28DC4F">
      <w:pP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</w:p>
    <w:p w14:paraId="795E728A">
      <w:pP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br w:type="page"/>
      </w:r>
    </w:p>
    <w:p w14:paraId="0427EF7F">
      <w:pPr>
        <w:pStyle w:val="2"/>
        <w:widowControl/>
        <w:ind w:left="0" w:leftChars="0" w:right="0" w:rightChars="0" w:firstLine="0" w:firstLineChars="0"/>
        <w:outlineLvl w:val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/>
        </w:rPr>
      </w:pPr>
      <w:bookmarkStart w:id="2" w:name="_Toc7363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、市场调研产品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承诺函</w:t>
      </w:r>
      <w:bookmarkEnd w:id="2"/>
    </w:p>
    <w:p w14:paraId="77A29DF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</w:pPr>
    </w:p>
    <w:p w14:paraId="5FEC50C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</w:pPr>
    </w:p>
    <w:p w14:paraId="014F0C2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  <w:t>致：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吉安技师学院</w:t>
      </w:r>
    </w:p>
    <w:p w14:paraId="3E3C237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vertAlign w:val="baseline"/>
        </w:rPr>
        <w:t>我单位在参加贵方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vertAlign w:val="baselin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vertAlign w:val="baseline"/>
          <w:lang w:eastAsia="zh-CN"/>
        </w:rPr>
        <w:t>吉安技师学院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vertAlign w:val="baseline"/>
        </w:rPr>
        <w:t xml:space="preserve">整体搬迁服务采购项目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vertAlign w:val="baseline"/>
        </w:rPr>
        <w:t>的市场调研活动中，郑重承诺如下：</w:t>
      </w:r>
    </w:p>
    <w:p w14:paraId="2873CDD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vertAlign w:val="baseline"/>
        </w:rPr>
        <w:t>我方在此声明，本次市场调研活动中提供的所有资料都是真实、准确完整的。所投服务报价为国内市场同期同类服务的公允价格，已包含本项目所需的所有人工、车辆、耗材、保险及税费等一切费用。如因虚假资料或恶意低价竞标所产生的一切后果完全由我方承担。</w:t>
      </w:r>
    </w:p>
    <w:p w14:paraId="11C7557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vertAlign w:val="baseline"/>
        </w:rPr>
        <w:t>供 应 商： （盖章）</w:t>
      </w:r>
    </w:p>
    <w:p w14:paraId="18D8834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vertAlign w:val="baseline"/>
        </w:rPr>
        <w:t>联 系 人：</w:t>
      </w:r>
    </w:p>
    <w:p w14:paraId="43AE5D9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vertAlign w:val="baseline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  <w:t>                                      </w:t>
      </w:r>
    </w:p>
    <w:p w14:paraId="742111E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560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供 应 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</w:rPr>
        <w:t>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</w:rPr>
        <w:t>（盖章）</w:t>
      </w:r>
    </w:p>
    <w:p w14:paraId="3F29F60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560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  <w:t> 联 系 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</w:rPr>
        <w:t>       </w:t>
      </w:r>
    </w:p>
    <w:p w14:paraId="2C21CCC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560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  <w:t> 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</w:rPr>
        <w:t>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</w:rPr>
        <w:t>    </w:t>
      </w:r>
    </w:p>
    <w:p w14:paraId="116D803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660" w:firstLineChars="950"/>
        <w:jc w:val="both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/>
        </w:rPr>
      </w:pPr>
    </w:p>
    <w:p w14:paraId="31DA4DC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900" w:firstLineChars="17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/>
        </w:rPr>
      </w:pPr>
    </w:p>
    <w:p w14:paraId="44637A6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sectPr>
          <w:footerReference r:id="rId3" w:type="default"/>
          <w:pgSz w:w="11906" w:h="16838"/>
          <w:pgMar w:top="1191" w:right="1191" w:bottom="1191" w:left="1191" w:header="851" w:footer="992" w:gutter="0"/>
          <w:cols w:space="0" w:num="1"/>
          <w:rtlGutter w:val="0"/>
          <w:docGrid w:type="lines" w:linePitch="312" w:charSpace="0"/>
        </w:sectPr>
      </w:pPr>
    </w:p>
    <w:p w14:paraId="03E5A6F0">
      <w:pPr>
        <w:pStyle w:val="2"/>
        <w:widowControl/>
        <w:numPr>
          <w:ilvl w:val="0"/>
          <w:numId w:val="0"/>
        </w:numPr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</w:pPr>
      <w:bookmarkStart w:id="3" w:name="_Toc2196"/>
      <w:bookmarkStart w:id="4" w:name="_Toc265316642"/>
      <w:bookmarkStart w:id="5" w:name="_Toc485736233"/>
      <w:bookmarkStart w:id="6" w:name="_Toc480191544"/>
      <w:r>
        <w:rPr>
          <w:rFonts w:hint="eastAsia" w:ascii="仿宋" w:hAnsi="仿宋" w:eastAsia="仿宋" w:cs="仿宋"/>
          <w:b/>
          <w:kern w:val="2"/>
          <w:sz w:val="28"/>
          <w:szCs w:val="28"/>
          <w:highlight w:val="none"/>
          <w:lang w:val="en-US" w:eastAsia="zh-CN" w:bidi="ar"/>
        </w:rPr>
        <w:t>三、供应商响应</w:t>
      </w:r>
      <w:bookmarkEnd w:id="3"/>
      <w:r>
        <w:rPr>
          <w:rFonts w:hint="eastAsia" w:ascii="仿宋" w:hAnsi="仿宋" w:eastAsia="仿宋" w:cs="仿宋"/>
          <w:b/>
          <w:kern w:val="2"/>
          <w:sz w:val="28"/>
          <w:szCs w:val="28"/>
          <w:highlight w:val="none"/>
          <w:lang w:val="en-US" w:eastAsia="zh-CN" w:bidi="ar"/>
        </w:rPr>
        <w:t>资料</w:t>
      </w:r>
    </w:p>
    <w:p w14:paraId="2A05003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参与本次调查征集的供应商须按要求准备并提交以下响应资料：</w:t>
      </w:r>
    </w:p>
    <w:p w14:paraId="6213D5F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1.有效的营业执照副本复印件（经营范围需包含搬运、物流或相关服务）。</w:t>
      </w:r>
    </w:p>
    <w:p w14:paraId="617BB37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2.法定代表人身份证明书；若由委托代理人办理，还需提供法定代表人授权委托书及代理人身份证复印件。</w:t>
      </w:r>
    </w:p>
    <w:p w14:paraId="74ABD12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3.报价合理性佐证材料（如有）：包括但不限于类似学校、企事业单位整体搬迁项目的成交通知书、采购合同复印件或现场服务照片等。</w:t>
      </w:r>
    </w:p>
    <w:p w14:paraId="0C47325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4.服务方案及资质证明：</w:t>
      </w:r>
    </w:p>
    <w:p w14:paraId="2BB436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针对精密仪器（如无人机、相机、服务器）的防震、防静电包装及运输方案。</w:t>
      </w:r>
    </w:p>
    <w:p w14:paraId="173ED5A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针对重型设备（如自动化生产线、货架）的吊装及移位方案。</w:t>
      </w:r>
    </w:p>
    <w:p w14:paraId="057C620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项目负责人或操作人员的特种设备操作证（如涉及叉车、吊车）或相关从业资格证。</w:t>
      </w:r>
    </w:p>
    <w:p w14:paraId="3FBB790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5.供应商的类似业绩（近三年内类似规模的搬迁项目，提供合同关键页或验收报告）。</w:t>
      </w:r>
    </w:p>
    <w:p w14:paraId="7DE9532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6.技术、商务部分建议：按格式要求填写后并加盖供应商公章。</w:t>
      </w:r>
    </w:p>
    <w:p w14:paraId="1D220C4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br w:type="page"/>
      </w:r>
      <w:bookmarkStart w:id="7" w:name="_Toc23283"/>
    </w:p>
    <w:p w14:paraId="601ED345">
      <w:pPr>
        <w:pStyle w:val="2"/>
        <w:widowControl/>
        <w:numPr>
          <w:ilvl w:val="0"/>
          <w:numId w:val="0"/>
        </w:numPr>
        <w:ind w:left="0" w:leftChars="0" w:right="0" w:rightChars="0" w:firstLine="0" w:firstLineChars="0"/>
        <w:jc w:val="center"/>
        <w:outlineLvl w:val="0"/>
        <w:rPr>
          <w:rFonts w:hint="default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四、</w:t>
      </w:r>
      <w:bookmarkEnd w:id="7"/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技术、商务建议</w:t>
      </w:r>
    </w:p>
    <w:p w14:paraId="40E419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此处提交内容包括：</w:t>
      </w:r>
    </w:p>
    <w:p w14:paraId="2E36D5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8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1.搬迁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  <w:t>方案</w:t>
      </w:r>
    </w:p>
    <w:p w14:paraId="2E38A320">
      <w:pPr>
        <w:ind w:firstLine="280" w:firstLineChars="1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1.1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  <w:t>针对本次技工学校搬迁涉及的精密电子实训设备、无人机及重型机械，供应商可提出以下建议：</w:t>
      </w:r>
    </w:p>
    <w:p w14:paraId="35872377">
      <w:pPr>
        <w:ind w:firstLine="280" w:firstLineChars="1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1.2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  <w:t>打包防护： 建议对精密仪器采用“木箱+气泡柱”双重防护；对电脑显示器采用原厂包装或定制护角。</w:t>
      </w:r>
    </w:p>
    <w:p w14:paraId="5D139E4D">
      <w:pPr>
        <w:ind w:firstLine="280" w:firstLineChars="1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1.3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  <w:t>拆装流程： 建议对多屏互动系统、网络布线进行“一对一”标签标记，确保复原后网络通畅。</w:t>
      </w:r>
    </w:p>
    <w:p w14:paraId="0FAE8610">
      <w:pPr>
        <w:ind w:firstLine="280" w:firstLineChars="1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1.4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bidi="ar"/>
        </w:rPr>
        <w:t>重型搬运： 建议使用液压尾板车或随车吊，确保重型实训台安全装车。</w:t>
      </w:r>
    </w:p>
    <w:p w14:paraId="1574C6A7">
      <w:pPr>
        <w:ind w:firstLine="281" w:firstLineChars="100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2.商务条款建议</w:t>
      </w:r>
    </w:p>
    <w:p w14:paraId="1DEE0F9B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2.1 交付周期： 合同签订后 [ ] 天内完成全部搬迁、安装及调试工作。（建议分批次进行，如办公区、实训区、宿舍区）。</w:t>
      </w:r>
    </w:p>
    <w:p w14:paraId="1FF6A20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2.2 验收标准： 符合国家物流搬运相关标准，且满足学校《搬迁清单》中的数量、位置及功能完好要求。</w:t>
      </w:r>
    </w:p>
    <w:p w14:paraId="0F423E16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2.3 赔偿保证： 提供履约保证金保函或缴纳一定比例的风险抵押金，专项用于应对突发的资产损坏赔偿。</w:t>
      </w:r>
    </w:p>
    <w:p w14:paraId="0A33D97D">
      <w:pPr>
        <w:ind w:firstLine="1120" w:firstLineChars="4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快速理赔： 建立“先赔付、后定责”的机制，若因搬运方责任造成设备损坏或丢失，承诺在 [ ] 个工作日内完成定损并先行赔付，确保学校教学工作不受影响。</w:t>
      </w:r>
    </w:p>
    <w:p w14:paraId="3E3B3FAB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2.4 支付方式： 建议预付 [ ] %，项目完工验收合格后付 [ ] %，质保金 [ ] %。</w:t>
      </w:r>
    </w:p>
    <w:p w14:paraId="5D0937BA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2.5 质保要求： 质保 [ ] 个月（针对因搬运不当导致的设备隐性故障）。</w:t>
      </w:r>
    </w:p>
    <w:bookmarkEnd w:id="4"/>
    <w:bookmarkEnd w:id="5"/>
    <w:bookmarkEnd w:id="6"/>
    <w:p w14:paraId="7F959F7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560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供 应 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</w:rPr>
        <w:t>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</w:rPr>
        <w:t>（盖章）</w:t>
      </w:r>
    </w:p>
    <w:p w14:paraId="3F4A1EF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560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  <w:t> 联 系 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</w:rPr>
        <w:t>       </w:t>
      </w:r>
    </w:p>
    <w:p w14:paraId="60A0E2D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560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  <w:t> 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</w:rPr>
        <w:t>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fill="FFFFFF"/>
        </w:rPr>
        <w:t>    </w:t>
      </w:r>
    </w:p>
    <w:p w14:paraId="0FCB2CA0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1DE53A1C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725F9683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036D802A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5C32F0B9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75013B39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7D0A7A84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27D362DC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4F1DDFC0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655D88A9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486375AC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2E9B0C41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4B27DDC7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72061F60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195319BF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052D6918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2D8C4B3F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0A698432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12C11DF9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3F2ACDBF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五、现场踏勘确认函</w:t>
      </w:r>
    </w:p>
    <w:p w14:paraId="20689ED1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 xml:space="preserve"> 此处提供6月11日供应商前往踏勘现场后，经采购人确认盖章后的踏勘确认函扫描件（格式详见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公开调研公告附件3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）。</w:t>
      </w:r>
    </w:p>
    <w:sectPr>
      <w:pgSz w:w="11906" w:h="16838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0FF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07A5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307A5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jQwMjJiNWFhM2I2ZGZiZWNmZjA3OGY1ZDg5ZTMifQ=="/>
  </w:docVars>
  <w:rsids>
    <w:rsidRoot w:val="00000000"/>
    <w:rsid w:val="0050638A"/>
    <w:rsid w:val="03067E0E"/>
    <w:rsid w:val="036043B1"/>
    <w:rsid w:val="03B66127"/>
    <w:rsid w:val="03E81F20"/>
    <w:rsid w:val="05EF54B6"/>
    <w:rsid w:val="07E90B43"/>
    <w:rsid w:val="08B81721"/>
    <w:rsid w:val="0A20377C"/>
    <w:rsid w:val="0B097CF4"/>
    <w:rsid w:val="0C5A0701"/>
    <w:rsid w:val="0D5D137E"/>
    <w:rsid w:val="11DA72DC"/>
    <w:rsid w:val="11F61A7B"/>
    <w:rsid w:val="12F52B95"/>
    <w:rsid w:val="16E96FA8"/>
    <w:rsid w:val="17460982"/>
    <w:rsid w:val="1B593EEC"/>
    <w:rsid w:val="1BCD7E29"/>
    <w:rsid w:val="1F7312F5"/>
    <w:rsid w:val="1FC90EF8"/>
    <w:rsid w:val="1FD355E4"/>
    <w:rsid w:val="21107A02"/>
    <w:rsid w:val="22E15373"/>
    <w:rsid w:val="231D4DAE"/>
    <w:rsid w:val="244D0366"/>
    <w:rsid w:val="26167E18"/>
    <w:rsid w:val="2B687572"/>
    <w:rsid w:val="2CA73D57"/>
    <w:rsid w:val="2F070BCC"/>
    <w:rsid w:val="32F62C18"/>
    <w:rsid w:val="33FE1FC4"/>
    <w:rsid w:val="34595617"/>
    <w:rsid w:val="34E00A83"/>
    <w:rsid w:val="36E44B5A"/>
    <w:rsid w:val="37923E1B"/>
    <w:rsid w:val="37D409A8"/>
    <w:rsid w:val="38530C64"/>
    <w:rsid w:val="385B52F0"/>
    <w:rsid w:val="3A3A2209"/>
    <w:rsid w:val="3BB60E8E"/>
    <w:rsid w:val="3CDE204C"/>
    <w:rsid w:val="3D030E9B"/>
    <w:rsid w:val="3FFB6A5D"/>
    <w:rsid w:val="43945EE7"/>
    <w:rsid w:val="49DC1D3F"/>
    <w:rsid w:val="52037193"/>
    <w:rsid w:val="53C23E08"/>
    <w:rsid w:val="54447099"/>
    <w:rsid w:val="54564AA4"/>
    <w:rsid w:val="56FF1C5A"/>
    <w:rsid w:val="574A3825"/>
    <w:rsid w:val="5A014B64"/>
    <w:rsid w:val="615B7AC0"/>
    <w:rsid w:val="61ED13F3"/>
    <w:rsid w:val="67DC13E8"/>
    <w:rsid w:val="68055AE3"/>
    <w:rsid w:val="6C610E65"/>
    <w:rsid w:val="6E9C4B53"/>
    <w:rsid w:val="6F752926"/>
    <w:rsid w:val="6FD02422"/>
    <w:rsid w:val="70A31BA6"/>
    <w:rsid w:val="70C3408E"/>
    <w:rsid w:val="710846AE"/>
    <w:rsid w:val="71800A8E"/>
    <w:rsid w:val="7CAB5062"/>
    <w:rsid w:val="7EC2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ind w:left="0" w:right="0" w:firstLine="628"/>
      <w:jc w:val="center"/>
      <w:outlineLvl w:val="1"/>
    </w:pPr>
    <w:rPr>
      <w:rFonts w:ascii="Arial" w:hAnsi="Arial" w:eastAsia="黑体" w:cs="Times New Roman"/>
      <w:b/>
      <w:kern w:val="2"/>
      <w:sz w:val="32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页脚 Char"/>
    <w:basedOn w:val="10"/>
    <w:link w:val="3"/>
    <w:qFormat/>
    <w:uiPriority w:val="0"/>
    <w:rPr>
      <w:kern w:val="2"/>
      <w:sz w:val="18"/>
    </w:rPr>
  </w:style>
  <w:style w:type="character" w:customStyle="1" w:styleId="14">
    <w:name w:val="标题 2 Char"/>
    <w:basedOn w:val="10"/>
    <w:link w:val="2"/>
    <w:qFormat/>
    <w:uiPriority w:val="0"/>
    <w:rPr>
      <w:rFonts w:hint="default" w:ascii="Arial" w:hAnsi="Arial" w:eastAsia="黑体" w:cs="Arial"/>
      <w:b/>
      <w:kern w:val="2"/>
      <w:sz w:val="32"/>
    </w:rPr>
  </w:style>
  <w:style w:type="character" w:customStyle="1" w:styleId="15">
    <w:name w:val="页眉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61"/>
    <w:basedOn w:val="10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e719eb7d-7384-429a-8638-e3b644005ecd</errorID>
      <errorWord>【2011】300号</errorWord>
      <group>L1_Knowledge</group>
      <groupName>知识性问题</groupName>
      <ability>L2_Knowledge</ability>
      <abilityName>其他知识</abilityName>
      <candidateList>
        <item>〔2011〕300号</item>
      </candidateList>
      <explain>发文字号格式错误。</explain>
      <paraID>3FCA9D08</paraID>
      <start>73</start>
      <end>83</end>
      <status>unmodified</status>
      <modifiedWord/>
      <trackRevisions>false</trackRevisions>
    </reviewItem>
    <reviewItem>
      <errorID>ff7e1a1e-cdad-4c6e-a4a2-1f3907414bed</errorID>
      <errorWord>红</errorWord>
      <group>L1_AI</group>
      <groupName>深度校对</groupName>
      <ability>L2_AI_Grammar</ability>
      <abilityName>语法纠错</abilityName>
      <candidateList>
        <item>加盖红</item>
      </candidateList>
      <explain/>
      <paraID>7C052B9D</paraID>
      <start>40</start>
      <end>43</end>
      <status>modified</status>
      <modifiedWord>加盖红</modifiedWord>
      <trackRevisions>false</trackRevisions>
    </reviewItem>
    <reviewItem>
      <errorID>2b7f0d4c-c7c6-40a7-b7af-66679eafeb94</errorID>
      <errorWord>考虑到</errorWord>
      <group>L1_Word</group>
      <groupName>字词问题</groupName>
      <ability>L2_Typo</ability>
      <abilityName>字词错误</abilityName>
      <candidateList>
        <item>考虑</item>
      </candidateList>
      <explain/>
      <paraID>4C3BC0E9</paraID>
      <start>31</start>
      <end>33</end>
      <status>modified</status>
      <modifiedWord>考虑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0091ea-cbe0-4de1-83b4-1056879ae2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1405</Words>
  <Characters>1486</Characters>
  <Lines>0</Lines>
  <Paragraphs>0</Paragraphs>
  <TotalTime>24</TotalTime>
  <ScaleCrop>false</ScaleCrop>
  <LinksUpToDate>false</LinksUpToDate>
  <CharactersWithSpaces>1824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2022-09-05T07:10:00Z</dcterms:created>
  <dc:creator>John</dc:creator>
  <cp:lastModifiedBy>Administrator</cp:lastModifiedBy>
  <cp:lastPrinted>2026-06-03T00:38:00Z</cp:lastPrinted>
  <dcterms:modified xsi:type="dcterms:W3CDTF">2026-06-11T08:52:06Z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8519413D7A724E0FA4BA2167CCFF1EE3_13</vt:lpwstr>
  </property>
  <property fmtid="{D5CDD505-2E9C-101B-9397-08002B2CF9AE}" pid="4" name="KSOTemplateDocerSaveRecord">
    <vt:lpwstr>eyJoZGlkIjoiNjhlYWExYWE0NGM2ZDkzN2NjNTkzZWVjZGJiZjcyNzYiLCJ1c2VySWQiOiIzNzE0NDQwNDAifQ==</vt:lpwstr>
  </property>
</Properties>
</file>