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兴赣赣定龙河龙杨高速公路交通安全设施隐患处治工程</w:t>
      </w:r>
      <w:r>
        <w:rPr>
          <w:rFonts w:hint="eastAsia" w:ascii="宋体" w:hAnsi="宋体" w:eastAsia="宋体" w:cs="宋体"/>
          <w:b/>
          <w:bCs/>
          <w:color w:val="auto"/>
          <w:sz w:val="36"/>
          <w:szCs w:val="36"/>
          <w:highlight w:val="none"/>
          <w:lang w:eastAsia="zh-CN"/>
        </w:rPr>
        <w:t>施工招标关键内容公开</w:t>
      </w:r>
    </w:p>
    <w:p>
      <w:pPr>
        <w:keepNext w:val="0"/>
        <w:keepLines w:val="0"/>
        <w:pageBreakBefore w:val="0"/>
        <w:wordWrap/>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38"/>
          <w:szCs w:val="38"/>
          <w:highlight w:val="none"/>
          <w:lang w:eastAsia="zh-CN"/>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根据《公路工程建设项目招标投标管理办法》的规定，现对</w:t>
      </w:r>
      <w:r>
        <w:rPr>
          <w:rFonts w:hint="eastAsia" w:ascii="宋体" w:hAnsi="宋体" w:cs="宋体"/>
          <w:color w:val="auto"/>
          <w:sz w:val="24"/>
          <w:szCs w:val="24"/>
          <w:highlight w:val="none"/>
          <w:lang w:eastAsia="zh-CN"/>
        </w:rPr>
        <w:t>兴赣赣定龙河龙杨高速公路交通安全设施隐患处治工程施工招标</w:t>
      </w:r>
      <w:r>
        <w:rPr>
          <w:rFonts w:hint="eastAsia" w:ascii="宋体" w:hAnsi="宋体" w:eastAsia="宋体" w:cs="宋体"/>
          <w:color w:val="auto"/>
          <w:sz w:val="24"/>
          <w:szCs w:val="24"/>
          <w:highlight w:val="none"/>
        </w:rPr>
        <w:t>文件中的关键内容进行公开：</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一、项目概况</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详见</w:t>
      </w:r>
      <w:r>
        <w:rPr>
          <w:rFonts w:hint="eastAsia" w:ascii="宋体" w:hAnsi="宋体" w:cs="宋体"/>
          <w:color w:val="auto"/>
          <w:sz w:val="24"/>
          <w:szCs w:val="24"/>
          <w:highlight w:val="none"/>
          <w:lang w:eastAsia="zh-CN"/>
        </w:rPr>
        <w:t>兴赣赣定龙河龙杨高速公路交通安全设施隐患处治工程施工招标</w:t>
      </w:r>
      <w:r>
        <w:rPr>
          <w:rFonts w:hint="eastAsia" w:ascii="宋体" w:hAnsi="宋体" w:eastAsia="宋体" w:cs="宋体"/>
          <w:color w:val="auto"/>
          <w:sz w:val="24"/>
          <w:szCs w:val="24"/>
          <w:highlight w:val="none"/>
        </w:rPr>
        <w:t>公告。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二、投标人资格要求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详见</w:t>
      </w:r>
      <w:r>
        <w:rPr>
          <w:rFonts w:hint="eastAsia" w:ascii="宋体" w:hAnsi="宋体" w:cs="宋体"/>
          <w:color w:val="auto"/>
          <w:sz w:val="24"/>
          <w:szCs w:val="24"/>
          <w:highlight w:val="none"/>
          <w:lang w:eastAsia="zh-CN"/>
        </w:rPr>
        <w:t>兴赣赣定龙河龙杨高速公路交通安全设施隐患处治工程施工招标</w:t>
      </w:r>
      <w:r>
        <w:rPr>
          <w:rFonts w:hint="eastAsia" w:ascii="宋体" w:hAnsi="宋体" w:eastAsia="宋体" w:cs="宋体"/>
          <w:color w:val="auto"/>
          <w:sz w:val="24"/>
          <w:szCs w:val="24"/>
          <w:highlight w:val="none"/>
        </w:rPr>
        <w:t>公告。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三、评标办法</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本次招标采用</w:t>
      </w:r>
      <w:r>
        <w:rPr>
          <w:rFonts w:hint="eastAsia" w:ascii="宋体" w:hAnsi="宋体" w:cs="宋体"/>
          <w:color w:val="auto"/>
          <w:sz w:val="24"/>
          <w:szCs w:val="24"/>
          <w:highlight w:val="none"/>
          <w:lang w:val="en-US" w:eastAsia="zh-CN"/>
        </w:rPr>
        <w:t>合理低价法</w:t>
      </w:r>
      <w:r>
        <w:rPr>
          <w:rFonts w:hint="eastAsia" w:ascii="宋体" w:hAnsi="宋体" w:eastAsia="宋体" w:cs="宋体"/>
          <w:color w:val="auto"/>
          <w:sz w:val="24"/>
          <w:szCs w:val="24"/>
          <w:highlight w:val="none"/>
        </w:rPr>
        <w:t>（详见附件）。</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四、联系方式</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   标   人：</w:t>
      </w:r>
      <w:r>
        <w:rPr>
          <w:rFonts w:hint="eastAsia" w:ascii="宋体" w:hAnsi="宋体" w:eastAsia="宋体" w:cs="宋体"/>
          <w:color w:val="auto"/>
          <w:spacing w:val="0"/>
          <w:sz w:val="24"/>
          <w:szCs w:val="24"/>
          <w:highlight w:val="none"/>
          <w:lang w:eastAsia="zh-CN"/>
        </w:rPr>
        <w:t>赣州高速公路有限责任公司</w:t>
      </w:r>
      <w:r>
        <w:rPr>
          <w:rFonts w:hint="eastAsia" w:ascii="宋体" w:hAnsi="宋体" w:eastAsia="宋体" w:cs="宋体"/>
          <w:color w:val="auto"/>
          <w:spacing w:val="0"/>
          <w:sz w:val="24"/>
          <w:szCs w:val="24"/>
          <w:highlight w:val="none"/>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        址：</w:t>
      </w:r>
      <w:r>
        <w:rPr>
          <w:rFonts w:hint="eastAsia" w:ascii="宋体" w:hAnsi="宋体" w:eastAsia="宋体" w:cs="宋体"/>
          <w:color w:val="auto"/>
          <w:spacing w:val="0"/>
          <w:sz w:val="24"/>
          <w:szCs w:val="24"/>
          <w:highlight w:val="none"/>
          <w:lang w:eastAsia="zh-CN"/>
        </w:rPr>
        <w:t>江西省赣州市章贡区沙河镇赣州绕城高速赣州东出口</w:t>
      </w:r>
      <w:r>
        <w:rPr>
          <w:rFonts w:hint="eastAsia" w:ascii="宋体" w:hAnsi="宋体" w:eastAsia="宋体" w:cs="宋体"/>
          <w:color w:val="auto"/>
          <w:spacing w:val="0"/>
          <w:sz w:val="24"/>
          <w:szCs w:val="24"/>
          <w:highlight w:val="none"/>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   系   人：</w:t>
      </w:r>
      <w:r>
        <w:rPr>
          <w:rFonts w:hint="eastAsia" w:ascii="宋体" w:hAnsi="宋体" w:eastAsia="宋体" w:cs="宋体"/>
          <w:color w:val="auto"/>
          <w:spacing w:val="0"/>
          <w:sz w:val="24"/>
          <w:szCs w:val="24"/>
          <w:highlight w:val="none"/>
          <w:lang w:val="en-US" w:eastAsia="zh-CN"/>
        </w:rPr>
        <w:t>赖女士</w:t>
      </w:r>
      <w:r>
        <w:rPr>
          <w:rFonts w:hint="eastAsia" w:ascii="宋体" w:hAnsi="宋体" w:eastAsia="宋体" w:cs="宋体"/>
          <w:color w:val="auto"/>
          <w:spacing w:val="0"/>
          <w:sz w:val="24"/>
          <w:szCs w:val="24"/>
          <w:highlight w:val="none"/>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电        话：</w:t>
      </w:r>
      <w:r>
        <w:rPr>
          <w:rFonts w:hint="eastAsia" w:ascii="宋体" w:hAnsi="宋体" w:eastAsia="宋体" w:cs="宋体"/>
          <w:color w:val="auto"/>
          <w:spacing w:val="0"/>
          <w:sz w:val="24"/>
          <w:szCs w:val="24"/>
          <w:highlight w:val="none"/>
          <w:lang w:eastAsia="zh-CN"/>
        </w:rPr>
        <w:t>0797-8289692</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邮        编：341000            </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firstLine="480" w:firstLineChars="200"/>
        <w:jc w:val="both"/>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招标代理机构：</w:t>
      </w:r>
      <w:r>
        <w:rPr>
          <w:rFonts w:hint="eastAsia" w:ascii="宋体" w:hAnsi="宋体" w:eastAsia="宋体" w:cs="宋体"/>
          <w:color w:val="auto"/>
          <w:spacing w:val="0"/>
          <w:sz w:val="24"/>
          <w:szCs w:val="24"/>
          <w:highlight w:val="none"/>
          <w:lang w:eastAsia="zh-CN"/>
        </w:rPr>
        <w:t>江西省赣南公路勘察设计院有限公司</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        址：赣州市赞贤路36号金桥花园</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right="0" w:firstLine="480" w:firstLineChars="200"/>
        <w:jc w:val="both"/>
        <w:textAlignment w:val="auto"/>
        <w:rPr>
          <w:rFonts w:hint="eastAsia" w:ascii="宋体" w:hAnsi="宋体" w:eastAsia="宋体" w:cs="宋体"/>
          <w:color w:val="auto"/>
          <w:spacing w:val="0"/>
          <w:sz w:val="24"/>
          <w:szCs w:val="24"/>
          <w:highlight w:val="none"/>
        </w:rPr>
      </w:pPr>
      <w:bookmarkStart w:id="77" w:name="_GoBack"/>
      <w:bookmarkEnd w:id="77"/>
      <w:r>
        <w:rPr>
          <w:rFonts w:hint="eastAsia" w:ascii="宋体" w:hAnsi="宋体" w:eastAsia="宋体" w:cs="宋体"/>
          <w:color w:val="auto"/>
          <w:spacing w:val="0"/>
          <w:sz w:val="24"/>
          <w:szCs w:val="24"/>
          <w:highlight w:val="none"/>
        </w:rPr>
        <w:t>联   系   人：</w:t>
      </w:r>
      <w:r>
        <w:rPr>
          <w:rFonts w:hint="eastAsia" w:ascii="宋体" w:hAnsi="宋体" w:eastAsia="宋体" w:cs="宋体"/>
          <w:color w:val="auto"/>
          <w:spacing w:val="0"/>
          <w:sz w:val="24"/>
          <w:szCs w:val="24"/>
          <w:highlight w:val="none"/>
          <w:lang w:val="en-US" w:eastAsia="zh-CN"/>
        </w:rPr>
        <w:t>谢工</w:t>
      </w:r>
      <w:r>
        <w:rPr>
          <w:rFonts w:hint="eastAsia" w:ascii="宋体" w:hAnsi="宋体" w:eastAsia="宋体" w:cs="宋体"/>
          <w:color w:val="auto"/>
          <w:spacing w:val="0"/>
          <w:sz w:val="24"/>
          <w:szCs w:val="24"/>
          <w:highlight w:val="none"/>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电        话：0797-8088235 </w:t>
      </w:r>
    </w:p>
    <w:p>
      <w:pPr>
        <w:keepNext w:val="0"/>
        <w:keepLines w:val="0"/>
        <w:pageBreakBefore w:val="0"/>
        <w:widowControl w:val="0"/>
        <w:kinsoku/>
        <w:wordWrap/>
        <w:overflowPunct w:val="0"/>
        <w:topLinePunct w:val="0"/>
        <w:autoSpaceDE w:val="0"/>
        <w:autoSpaceDN w:val="0"/>
        <w:bidi w:val="0"/>
        <w:adjustRightInd w:val="0"/>
        <w:snapToGrid w:val="0"/>
        <w:spacing w:line="420" w:lineRule="exact"/>
        <w:ind w:left="0" w:leftChars="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        编：341000</w:t>
      </w:r>
    </w:p>
    <w:p>
      <w:pPr>
        <w:pStyle w:val="3"/>
        <w:keepNext w:val="0"/>
        <w:keepLines w:val="0"/>
        <w:pageBreakBefore w:val="0"/>
        <w:widowControl w:val="0"/>
        <w:kinsoku w:val="0"/>
        <w:wordWrap/>
        <w:overflowPunct w:val="0"/>
        <w:topLinePunct w:val="0"/>
        <w:autoSpaceDE w:val="0"/>
        <w:autoSpaceDN w:val="0"/>
        <w:bidi w:val="0"/>
        <w:adjustRightInd w:val="0"/>
        <w:snapToGrid w:val="0"/>
        <w:spacing w:beforeLines="0" w:afterLines="0" w:line="420" w:lineRule="exact"/>
        <w:ind w:left="0" w:leftChars="0" w:firstLine="476" w:firstLineChars="200"/>
        <w:textAlignment w:val="auto"/>
        <w:rPr>
          <w:color w:val="auto"/>
          <w:spacing w:val="-1"/>
          <w:highlight w:val="none"/>
        </w:rPr>
      </w:pPr>
      <w:r>
        <w:rPr>
          <w:color w:val="auto"/>
          <w:spacing w:val="-1"/>
          <w:highlight w:val="none"/>
        </w:rPr>
        <w:t>电子邮件：</w:t>
      </w:r>
      <w:r>
        <w:rPr>
          <w:color w:val="auto"/>
          <w:spacing w:val="-1"/>
          <w:highlight w:val="none"/>
        </w:rPr>
        <w:fldChar w:fldCharType="begin"/>
      </w:r>
      <w:r>
        <w:rPr>
          <w:color w:val="auto"/>
          <w:spacing w:val="-1"/>
          <w:highlight w:val="none"/>
        </w:rPr>
        <w:instrText xml:space="preserve"> HYPERLINK "mailto:gnglkcsjy@163.com" </w:instrText>
      </w:r>
      <w:r>
        <w:rPr>
          <w:color w:val="auto"/>
          <w:spacing w:val="-1"/>
          <w:highlight w:val="none"/>
        </w:rPr>
        <w:fldChar w:fldCharType="separate"/>
      </w:r>
      <w:r>
        <w:rPr>
          <w:color w:val="auto"/>
          <w:spacing w:val="-1"/>
          <w:highlight w:val="none"/>
        </w:rPr>
        <w:t>gnglkcsjy@163.com</w:t>
      </w:r>
      <w:r>
        <w:rPr>
          <w:color w:val="auto"/>
          <w:spacing w:val="-1"/>
          <w:highlight w:val="none"/>
        </w:rPr>
        <w:fldChar w:fldCharType="end"/>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sz w:val="24"/>
          <w:szCs w:val="24"/>
          <w:highlight w:val="none"/>
          <w:lang w:val="en-US" w:eastAsia="zh-CN"/>
        </w:rPr>
        <w:sectPr>
          <w:pgSz w:w="11906" w:h="16838"/>
          <w:pgMar w:top="1440" w:right="1080" w:bottom="1440" w:left="1080" w:header="851" w:footer="992" w:gutter="0"/>
          <w:cols w:space="425" w:num="1"/>
          <w:docGrid w:type="lines" w:linePitch="312" w:charSpace="0"/>
        </w:sectPr>
      </w:pPr>
    </w:p>
    <w:tbl>
      <w:tblPr>
        <w:tblStyle w:val="9"/>
        <w:tblW w:w="9120"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579"/>
        <w:gridCol w:w="479"/>
        <w:gridCol w:w="2008"/>
        <w:gridCol w:w="5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jc w:val="center"/>
        </w:trPr>
        <w:tc>
          <w:tcPr>
            <w:tcW w:w="1353" w:type="dxa"/>
            <w:gridSpan w:val="2"/>
            <w:noWrap w:val="0"/>
            <w:vAlign w:val="top"/>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pacing w:val="0"/>
                <w:sz w:val="21"/>
                <w:szCs w:val="21"/>
                <w:highlight w:val="none"/>
              </w:rPr>
            </w:pPr>
            <w:r>
              <w:rPr>
                <w:b/>
                <w:bCs/>
                <w:spacing w:val="0"/>
                <w:sz w:val="21"/>
                <w:szCs w:val="21"/>
                <w:highlight w:val="none"/>
              </w:rPr>
              <w:t>条款号</w:t>
            </w:r>
          </w:p>
        </w:tc>
        <w:tc>
          <w:tcPr>
            <w:tcW w:w="7767" w:type="dxa"/>
            <w:gridSpan w:val="3"/>
            <w:noWrap w:val="0"/>
            <w:vAlign w:val="top"/>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rFonts w:hint="eastAsia" w:eastAsia="宋体"/>
                <w:spacing w:val="0"/>
                <w:sz w:val="21"/>
                <w:szCs w:val="21"/>
                <w:highlight w:val="none"/>
                <w:lang w:val="en-US" w:eastAsia="zh-CN"/>
              </w:rPr>
            </w:pPr>
            <w:r>
              <w:rPr>
                <w:b/>
                <w:bCs/>
                <w:spacing w:val="-2"/>
                <w:sz w:val="21"/>
                <w:szCs w:val="21"/>
                <w:highlight w:val="none"/>
              </w:rPr>
              <w:t>评审因素</w:t>
            </w:r>
            <w:r>
              <w:rPr>
                <w:rFonts w:hint="eastAsia"/>
                <w:b/>
                <w:bCs/>
                <w:spacing w:val="-2"/>
                <w:sz w:val="21"/>
                <w:szCs w:val="21"/>
                <w:highlight w:val="none"/>
                <w:lang w:val="en-US" w:eastAsia="zh-CN"/>
              </w:rPr>
              <w:t>及</w:t>
            </w:r>
            <w:r>
              <w:rPr>
                <w:b/>
                <w:bCs/>
                <w:spacing w:val="-2"/>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4" w:hRule="atLeast"/>
          <w:jc w:val="center"/>
        </w:trPr>
        <w:tc>
          <w:tcPr>
            <w:tcW w:w="774"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z w:val="21"/>
                <w:szCs w:val="21"/>
                <w:highlight w:val="none"/>
              </w:rPr>
              <w:t>1</w:t>
            </w:r>
          </w:p>
        </w:tc>
        <w:tc>
          <w:tcPr>
            <w:tcW w:w="579" w:type="dxa"/>
            <w:noWrap w:val="0"/>
            <w:textDirection w:val="tbRlV"/>
            <w:vAlign w:val="center"/>
          </w:tcPr>
          <w:p>
            <w:pPr>
              <w:pStyle w:val="8"/>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jc w:val="center"/>
              <w:textAlignment w:val="baseline"/>
              <w:rPr>
                <w:sz w:val="21"/>
                <w:szCs w:val="21"/>
                <w:highlight w:val="none"/>
              </w:rPr>
            </w:pPr>
            <w:r>
              <w:rPr>
                <w:spacing w:val="0"/>
                <w:sz w:val="21"/>
                <w:szCs w:val="21"/>
                <w:highlight w:val="none"/>
              </w:rPr>
              <w:t>评 标 办 法</w:t>
            </w:r>
          </w:p>
        </w:tc>
        <w:tc>
          <w:tcPr>
            <w:tcW w:w="7767" w:type="dxa"/>
            <w:gridSpan w:val="3"/>
            <w:noWrap w:val="0"/>
            <w:vAlign w:val="center"/>
          </w:tcPr>
          <w:p>
            <w:pPr>
              <w:pStyle w:val="8"/>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jc w:val="both"/>
              <w:textAlignment w:val="baseline"/>
              <w:rPr>
                <w:sz w:val="21"/>
                <w:szCs w:val="21"/>
                <w:highlight w:val="none"/>
              </w:rPr>
            </w:pPr>
            <w:r>
              <w:rPr>
                <w:sz w:val="21"/>
                <w:szCs w:val="21"/>
                <w:highlight w:val="none"/>
              </w:rPr>
              <w:t>评标价相等时，评标委员会依次按照以下优先顺序推荐中</w:t>
            </w:r>
            <w:r>
              <w:rPr>
                <w:spacing w:val="-1"/>
                <w:sz w:val="21"/>
                <w:szCs w:val="21"/>
                <w:highlight w:val="none"/>
              </w:rPr>
              <w:t>标候选人或确定中标</w:t>
            </w:r>
            <w:r>
              <w:rPr>
                <w:spacing w:val="-5"/>
                <w:sz w:val="21"/>
                <w:szCs w:val="21"/>
                <w:highlight w:val="none"/>
              </w:rPr>
              <w:t>人：</w:t>
            </w:r>
          </w:p>
          <w:p>
            <w:pPr>
              <w:pStyle w:val="8"/>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jc w:val="both"/>
              <w:textAlignment w:val="baseline"/>
              <w:rPr>
                <w:sz w:val="21"/>
                <w:szCs w:val="21"/>
                <w:highlight w:val="none"/>
              </w:rPr>
            </w:pPr>
            <w:r>
              <w:rPr>
                <w:spacing w:val="7"/>
                <w:sz w:val="21"/>
                <w:szCs w:val="21"/>
                <w:highlight w:val="none"/>
              </w:rPr>
              <w:t>(1)投标报价低的投标人优先；</w:t>
            </w:r>
          </w:p>
          <w:p>
            <w:pPr>
              <w:pStyle w:val="8"/>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jc w:val="both"/>
              <w:textAlignment w:val="baseline"/>
              <w:rPr>
                <w:sz w:val="21"/>
                <w:szCs w:val="21"/>
                <w:highlight w:val="none"/>
              </w:rPr>
            </w:pPr>
            <w:r>
              <w:rPr>
                <w:spacing w:val="5"/>
                <w:sz w:val="21"/>
                <w:szCs w:val="21"/>
                <w:highlight w:val="none"/>
              </w:rPr>
              <w:t>(2)</w:t>
            </w:r>
            <w:r>
              <w:rPr>
                <w:rFonts w:hint="eastAsia"/>
                <w:spacing w:val="5"/>
                <w:sz w:val="21"/>
                <w:szCs w:val="21"/>
                <w:highlight w:val="none"/>
                <w:lang w:val="en-US" w:eastAsia="zh-CN"/>
              </w:rPr>
              <w:t>抽签</w:t>
            </w:r>
            <w:r>
              <w:rPr>
                <w:rFonts w:hint="eastAsia"/>
                <w:spacing w:val="4"/>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jc w:val="center"/>
        </w:trPr>
        <w:tc>
          <w:tcPr>
            <w:tcW w:w="1353" w:type="dxa"/>
            <w:gridSpan w:val="2"/>
            <w:noWrap w:val="0"/>
            <w:vAlign w:val="top"/>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b/>
                <w:bCs/>
                <w:sz w:val="21"/>
                <w:szCs w:val="21"/>
                <w:highlight w:val="none"/>
              </w:rPr>
            </w:pPr>
            <w:r>
              <w:rPr>
                <w:b/>
                <w:bCs/>
                <w:spacing w:val="4"/>
                <w:sz w:val="21"/>
                <w:szCs w:val="21"/>
                <w:highlight w:val="none"/>
              </w:rPr>
              <w:t>条款号</w:t>
            </w:r>
          </w:p>
        </w:tc>
        <w:tc>
          <w:tcPr>
            <w:tcW w:w="2487" w:type="dxa"/>
            <w:gridSpan w:val="2"/>
            <w:noWrap w:val="0"/>
            <w:vAlign w:val="top"/>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b/>
                <w:bCs/>
                <w:sz w:val="21"/>
                <w:szCs w:val="21"/>
                <w:highlight w:val="none"/>
              </w:rPr>
            </w:pPr>
            <w:r>
              <w:rPr>
                <w:b/>
                <w:bCs/>
                <w:spacing w:val="-2"/>
                <w:sz w:val="21"/>
                <w:szCs w:val="21"/>
                <w:highlight w:val="none"/>
              </w:rPr>
              <w:t>评审因素</w:t>
            </w:r>
          </w:p>
        </w:tc>
        <w:tc>
          <w:tcPr>
            <w:tcW w:w="5280" w:type="dxa"/>
            <w:noWrap w:val="0"/>
            <w:vAlign w:val="top"/>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b/>
                <w:bCs/>
                <w:sz w:val="21"/>
                <w:szCs w:val="21"/>
                <w:highlight w:val="none"/>
              </w:rPr>
            </w:pPr>
            <w:r>
              <w:rPr>
                <w:b/>
                <w:bCs/>
                <w:spacing w:val="-2"/>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jc w:val="center"/>
        </w:trPr>
        <w:tc>
          <w:tcPr>
            <w:tcW w:w="774" w:type="dxa"/>
            <w:vMerge w:val="restart"/>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2.1.1</w:t>
            </w:r>
          </w:p>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2.1.2</w:t>
            </w:r>
          </w:p>
        </w:tc>
        <w:tc>
          <w:tcPr>
            <w:tcW w:w="579" w:type="dxa"/>
            <w:vMerge w:val="restart"/>
            <w:noWrap w:val="0"/>
            <w:textDirection w:val="tbRlV"/>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13"/>
                <w:sz w:val="21"/>
                <w:szCs w:val="21"/>
                <w:highlight w:val="none"/>
              </w:rPr>
              <w:t>第 一</w:t>
            </w:r>
            <w:r>
              <w:rPr>
                <w:spacing w:val="-7"/>
                <w:sz w:val="21"/>
                <w:szCs w:val="21"/>
                <w:highlight w:val="none"/>
              </w:rPr>
              <w:t xml:space="preserve"> </w:t>
            </w:r>
            <w:r>
              <w:rPr>
                <w:spacing w:val="13"/>
                <w:sz w:val="21"/>
                <w:szCs w:val="21"/>
                <w:highlight w:val="none"/>
              </w:rPr>
              <w:t>信</w:t>
            </w:r>
            <w:r>
              <w:rPr>
                <w:spacing w:val="-9"/>
                <w:sz w:val="21"/>
                <w:szCs w:val="21"/>
                <w:highlight w:val="none"/>
              </w:rPr>
              <w:t xml:space="preserve"> </w:t>
            </w:r>
            <w:r>
              <w:rPr>
                <w:spacing w:val="13"/>
                <w:sz w:val="21"/>
                <w:szCs w:val="21"/>
                <w:highlight w:val="none"/>
              </w:rPr>
              <w:t>封</w:t>
            </w:r>
            <w:r>
              <w:rPr>
                <w:spacing w:val="-9"/>
                <w:sz w:val="21"/>
                <w:szCs w:val="21"/>
                <w:highlight w:val="none"/>
              </w:rPr>
              <w:t xml:space="preserve"> </w:t>
            </w:r>
            <w:r>
              <w:rPr>
                <w:spacing w:val="13"/>
                <w:sz w:val="21"/>
                <w:szCs w:val="21"/>
                <w:highlight w:val="none"/>
              </w:rPr>
              <w:t>(</w:t>
            </w:r>
            <w:r>
              <w:rPr>
                <w:spacing w:val="-2"/>
                <w:sz w:val="21"/>
                <w:szCs w:val="21"/>
                <w:highlight w:val="none"/>
              </w:rPr>
              <w:t xml:space="preserve"> </w:t>
            </w:r>
            <w:r>
              <w:rPr>
                <w:spacing w:val="13"/>
                <w:sz w:val="21"/>
                <w:szCs w:val="21"/>
                <w:highlight w:val="none"/>
              </w:rPr>
              <w:t>商</w:t>
            </w:r>
            <w:r>
              <w:rPr>
                <w:spacing w:val="-10"/>
                <w:sz w:val="21"/>
                <w:szCs w:val="21"/>
                <w:highlight w:val="none"/>
              </w:rPr>
              <w:t xml:space="preserve"> </w:t>
            </w:r>
            <w:r>
              <w:rPr>
                <w:spacing w:val="13"/>
                <w:sz w:val="21"/>
                <w:szCs w:val="21"/>
                <w:highlight w:val="none"/>
              </w:rPr>
              <w:t>务</w:t>
            </w:r>
            <w:r>
              <w:rPr>
                <w:spacing w:val="-9"/>
                <w:sz w:val="21"/>
                <w:szCs w:val="21"/>
                <w:highlight w:val="none"/>
              </w:rPr>
              <w:t xml:space="preserve"> </w:t>
            </w:r>
            <w:r>
              <w:rPr>
                <w:spacing w:val="13"/>
                <w:sz w:val="21"/>
                <w:szCs w:val="21"/>
                <w:highlight w:val="none"/>
              </w:rPr>
              <w:t>及</w:t>
            </w:r>
            <w:r>
              <w:rPr>
                <w:spacing w:val="-9"/>
                <w:sz w:val="21"/>
                <w:szCs w:val="21"/>
                <w:highlight w:val="none"/>
              </w:rPr>
              <w:t xml:space="preserve"> </w:t>
            </w:r>
            <w:r>
              <w:rPr>
                <w:spacing w:val="13"/>
                <w:sz w:val="21"/>
                <w:szCs w:val="21"/>
                <w:highlight w:val="none"/>
              </w:rPr>
              <w:t>技</w:t>
            </w:r>
            <w:r>
              <w:rPr>
                <w:spacing w:val="-10"/>
                <w:sz w:val="21"/>
                <w:szCs w:val="21"/>
                <w:highlight w:val="none"/>
              </w:rPr>
              <w:t xml:space="preserve"> </w:t>
            </w:r>
            <w:r>
              <w:rPr>
                <w:spacing w:val="13"/>
                <w:sz w:val="21"/>
                <w:szCs w:val="21"/>
                <w:highlight w:val="none"/>
              </w:rPr>
              <w:t>术</w:t>
            </w:r>
            <w:r>
              <w:rPr>
                <w:spacing w:val="-9"/>
                <w:sz w:val="21"/>
                <w:szCs w:val="21"/>
                <w:highlight w:val="none"/>
              </w:rPr>
              <w:t xml:space="preserve"> </w:t>
            </w:r>
            <w:r>
              <w:rPr>
                <w:spacing w:val="13"/>
                <w:sz w:val="21"/>
                <w:szCs w:val="21"/>
                <w:highlight w:val="none"/>
              </w:rPr>
              <w:t>文</w:t>
            </w:r>
            <w:r>
              <w:rPr>
                <w:spacing w:val="-9"/>
                <w:sz w:val="21"/>
                <w:szCs w:val="21"/>
                <w:highlight w:val="none"/>
              </w:rPr>
              <w:t xml:space="preserve"> </w:t>
            </w:r>
            <w:r>
              <w:rPr>
                <w:spacing w:val="13"/>
                <w:sz w:val="21"/>
                <w:szCs w:val="21"/>
                <w:highlight w:val="none"/>
              </w:rPr>
              <w:t>件</w:t>
            </w:r>
            <w:r>
              <w:rPr>
                <w:spacing w:val="-9"/>
                <w:sz w:val="21"/>
                <w:szCs w:val="21"/>
                <w:highlight w:val="none"/>
              </w:rPr>
              <w:t xml:space="preserve"> </w:t>
            </w:r>
            <w:r>
              <w:rPr>
                <w:spacing w:val="13"/>
                <w:sz w:val="21"/>
                <w:szCs w:val="21"/>
                <w:highlight w:val="none"/>
              </w:rPr>
              <w:t>)</w:t>
            </w:r>
          </w:p>
        </w:tc>
        <w:tc>
          <w:tcPr>
            <w:tcW w:w="479" w:type="dxa"/>
            <w:vMerge w:val="restart"/>
            <w:noWrap w:val="0"/>
            <w:textDirection w:val="tbRlV"/>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3"/>
                <w:sz w:val="21"/>
                <w:szCs w:val="21"/>
                <w:highlight w:val="none"/>
              </w:rPr>
              <w:t>投标函填写</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1"/>
                <w:sz w:val="21"/>
                <w:szCs w:val="21"/>
                <w:highlight w:val="none"/>
              </w:rPr>
              <w:t>段名称、工期、质量标准及安全目标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1"/>
                <w:sz w:val="21"/>
                <w:szCs w:val="21"/>
                <w:highlight w:val="none"/>
              </w:rPr>
              <w:t>投标函附录数据</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9"/>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文件填写及组成</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z w:val="21"/>
                <w:szCs w:val="21"/>
                <w:highlight w:val="none"/>
              </w:rPr>
              <w:t>组成齐全，没有缺项或缺页，内容均按招标文件规定填写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文件签字盖章</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1"/>
                <w:sz w:val="21"/>
                <w:szCs w:val="21"/>
                <w:highlight w:val="none"/>
              </w:rPr>
              <w:t>符合第二章“投标人须知”第3.7.3项规定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投标保证金</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1"/>
                <w:sz w:val="21"/>
                <w:szCs w:val="21"/>
                <w:highlight w:val="none"/>
              </w:rPr>
              <w:t>符合第二章“投标人须知”第3.4.1项规定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4"/>
                <w:sz w:val="21"/>
                <w:szCs w:val="21"/>
                <w:highlight w:val="none"/>
              </w:rPr>
              <w:t>法定代表人身份证明</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z w:val="21"/>
                <w:szCs w:val="21"/>
                <w:highlight w:val="none"/>
              </w:rPr>
              <w:t>由法定代表人电子签名并加盖单位电子公章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0"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1"/>
                <w:sz w:val="21"/>
                <w:szCs w:val="21"/>
                <w:highlight w:val="none"/>
              </w:rPr>
              <w:t>投标文件备选方案</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z w:val="21"/>
                <w:szCs w:val="21"/>
                <w:highlight w:val="none"/>
              </w:rPr>
              <w:t>同一投标人同一标段未提交两个及以上不同的投标文件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联合体投标</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1"/>
                <w:sz w:val="21"/>
                <w:szCs w:val="21"/>
                <w:highlight w:val="none"/>
              </w:rPr>
              <w:t>符合第一章“招标公告”第3.2款规定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3"/>
                <w:sz w:val="21"/>
                <w:szCs w:val="21"/>
                <w:highlight w:val="none"/>
              </w:rPr>
              <w:t>投标报价</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z w:val="21"/>
                <w:szCs w:val="21"/>
                <w:highlight w:val="none"/>
              </w:rPr>
              <w:t>未出现有关投标报价的内容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9"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6"/>
                <w:sz w:val="21"/>
                <w:szCs w:val="21"/>
                <w:highlight w:val="none"/>
              </w:rPr>
              <w:t>工期</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1"/>
                <w:sz w:val="21"/>
                <w:szCs w:val="21"/>
                <w:highlight w:val="none"/>
              </w:rPr>
              <w:t>符合第二章“投标人须知”第1.3.2项</w:t>
            </w:r>
            <w:r>
              <w:rPr>
                <w:sz w:val="21"/>
                <w:szCs w:val="21"/>
                <w:highlight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质量标准</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z w:val="21"/>
                <w:szCs w:val="21"/>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安全目标</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z w:val="21"/>
                <w:szCs w:val="21"/>
                <w:highlight w:val="none"/>
              </w:rPr>
              <w:t>符合第二章“投标人须知”第1.3.4项规定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18"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权利义务</w:t>
            </w:r>
          </w:p>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1"/>
                <w:sz w:val="21"/>
                <w:szCs w:val="21"/>
                <w:highlight w:val="none"/>
              </w:rPr>
              <w:t>符合招标文件规定</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1"/>
                <w:sz w:val="21"/>
                <w:szCs w:val="21"/>
                <w:highlight w:val="none"/>
              </w:rPr>
              <w:t>a.投标人应接受招标文件规定的风险划分原则，未提出新</w:t>
            </w:r>
            <w:r>
              <w:rPr>
                <w:spacing w:val="13"/>
                <w:sz w:val="21"/>
                <w:szCs w:val="21"/>
                <w:highlight w:val="none"/>
              </w:rPr>
              <w:t>的风险划分办法；</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z w:val="21"/>
                <w:szCs w:val="21"/>
                <w:highlight w:val="none"/>
              </w:rPr>
              <w:t>b.投标人未增加发包人的责任范围，或减少投标人义务；</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6"/>
                <w:sz w:val="21"/>
                <w:szCs w:val="21"/>
                <w:highlight w:val="none"/>
              </w:rPr>
              <w:t>c.投标人未提出不同的支付办法；</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4"/>
                <w:sz w:val="21"/>
                <w:szCs w:val="21"/>
                <w:highlight w:val="none"/>
              </w:rPr>
              <w:t>d.投标人对合同纠纷、事故处理办法未提出异议；</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6"/>
                <w:sz w:val="21"/>
                <w:szCs w:val="21"/>
                <w:highlight w:val="none"/>
              </w:rPr>
              <w:t>e.投标人在投标活动中无欺诈行为；</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z w:val="21"/>
                <w:szCs w:val="21"/>
                <w:highlight w:val="none"/>
              </w:rPr>
              <w:t>f.投标人未对合同条款有重要保留。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center"/>
              <w:textAlignment w:val="auto"/>
              <w:rPr>
                <w:sz w:val="21"/>
                <w:szCs w:val="21"/>
                <w:highlight w:val="none"/>
              </w:rPr>
            </w:pPr>
            <w:r>
              <w:rPr>
                <w:spacing w:val="1"/>
                <w:sz w:val="21"/>
                <w:szCs w:val="21"/>
                <w:highlight w:val="none"/>
              </w:rPr>
              <w:t>投标人不得存在的情</w:t>
            </w:r>
            <w:r>
              <w:rPr>
                <w:sz w:val="21"/>
                <w:szCs w:val="21"/>
                <w:highlight w:val="none"/>
              </w:rPr>
              <w:t>形</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z w:val="21"/>
                <w:szCs w:val="21"/>
                <w:highlight w:val="none"/>
              </w:rPr>
            </w:pPr>
            <w:r>
              <w:rPr>
                <w:spacing w:val="-4"/>
                <w:sz w:val="21"/>
                <w:szCs w:val="21"/>
                <w:highlight w:val="none"/>
              </w:rPr>
              <w:t>投标人不得存在第二章“投标人须知”第1.4.3项规定的任</w:t>
            </w:r>
            <w:r>
              <w:rPr>
                <w:spacing w:val="10"/>
                <w:sz w:val="21"/>
                <w:szCs w:val="21"/>
                <w:highlight w:val="none"/>
              </w:rPr>
              <w:t xml:space="preserve"> </w:t>
            </w:r>
            <w:r>
              <w:rPr>
                <w:spacing w:val="1"/>
                <w:sz w:val="21"/>
                <w:szCs w:val="21"/>
                <w:highlight w:val="none"/>
              </w:rPr>
              <w:t>何一种情形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kinsoku/>
              <w:wordWrap/>
              <w:overflowPunct/>
              <w:topLinePunct w:val="0"/>
              <w:autoSpaceDE w:val="0"/>
              <w:autoSpaceDN w:val="0"/>
              <w:bidi w:val="0"/>
              <w:adjustRightInd w:val="0"/>
              <w:snapToGrid w:val="0"/>
              <w:spacing w:line="240" w:lineRule="auto"/>
              <w:ind w:left="0" w:leftChars="0" w:right="0" w:rightChars="0"/>
              <w:jc w:val="center"/>
              <w:rPr>
                <w:spacing w:val="1"/>
                <w:sz w:val="21"/>
                <w:szCs w:val="21"/>
                <w:highlight w:val="none"/>
              </w:rPr>
            </w:pPr>
            <w:r>
              <w:rPr>
                <w:spacing w:val="-3"/>
                <w:sz w:val="21"/>
                <w:szCs w:val="21"/>
                <w:highlight w:val="none"/>
              </w:rPr>
              <w:t>其他</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pacing w:val="-4"/>
                <w:sz w:val="21"/>
                <w:szCs w:val="21"/>
                <w:highlight w:val="none"/>
              </w:rPr>
            </w:pPr>
            <w:r>
              <w:rPr>
                <w:spacing w:val="-1"/>
                <w:sz w:val="21"/>
                <w:szCs w:val="21"/>
                <w:highlight w:val="none"/>
              </w:rPr>
              <w:t>投标文件未附有招标人不能接受的条件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pacing w:val="-3"/>
                <w:sz w:val="21"/>
                <w:szCs w:val="21"/>
                <w:highlight w:val="none"/>
              </w:rPr>
            </w:pPr>
            <w:r>
              <w:rPr>
                <w:spacing w:val="-2"/>
                <w:sz w:val="21"/>
                <w:szCs w:val="21"/>
                <w:highlight w:val="none"/>
              </w:rPr>
              <w:t>投标函中其他补充说</w:t>
            </w:r>
            <w:r>
              <w:rPr>
                <w:spacing w:val="6"/>
                <w:sz w:val="21"/>
                <w:szCs w:val="21"/>
                <w:highlight w:val="none"/>
              </w:rPr>
              <w:t xml:space="preserve"> </w:t>
            </w:r>
            <w:r>
              <w:rPr>
                <w:spacing w:val="3"/>
                <w:sz w:val="21"/>
                <w:szCs w:val="21"/>
                <w:highlight w:val="none"/>
              </w:rPr>
              <w:t>明内容</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spacing w:val="-1"/>
                <w:sz w:val="21"/>
                <w:szCs w:val="21"/>
                <w:highlight w:val="none"/>
              </w:rPr>
            </w:pPr>
            <w:r>
              <w:rPr>
                <w:spacing w:val="-1"/>
                <w:sz w:val="21"/>
                <w:szCs w:val="21"/>
                <w:highlight w:val="none"/>
              </w:rPr>
              <w:t>无招标人不能接受的条件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44" w:hRule="atLeast"/>
          <w:jc w:val="center"/>
        </w:trPr>
        <w:tc>
          <w:tcPr>
            <w:tcW w:w="774" w:type="dxa"/>
            <w:vMerge w:val="continue"/>
            <w:noWrap w:val="0"/>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textDirection w:val="tbRlV"/>
            <w:vAlign w:val="top"/>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08" w:type="dxa"/>
            <w:noWrap w:val="0"/>
            <w:vAlign w:val="center"/>
          </w:tcPr>
          <w:p>
            <w:pPr>
              <w:pStyle w:val="8"/>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jc w:val="center"/>
              <w:textAlignment w:val="baseline"/>
              <w:rPr>
                <w:sz w:val="21"/>
                <w:szCs w:val="21"/>
                <w:highlight w:val="none"/>
              </w:rPr>
            </w:pPr>
            <w:r>
              <w:rPr>
                <w:spacing w:val="-11"/>
                <w:sz w:val="21"/>
                <w:szCs w:val="21"/>
                <w:highlight w:val="none"/>
              </w:rPr>
              <w:t>营业执照、资质证书、</w:t>
            </w:r>
          </w:p>
          <w:p>
            <w:pPr>
              <w:pStyle w:val="8"/>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jc w:val="center"/>
              <w:textAlignment w:val="baseline"/>
              <w:rPr>
                <w:sz w:val="21"/>
                <w:szCs w:val="21"/>
                <w:highlight w:val="none"/>
              </w:rPr>
            </w:pPr>
            <w:r>
              <w:rPr>
                <w:spacing w:val="1"/>
                <w:sz w:val="21"/>
                <w:szCs w:val="21"/>
                <w:highlight w:val="none"/>
              </w:rPr>
              <w:t>安全生产许可证和基</w:t>
            </w:r>
          </w:p>
          <w:p>
            <w:pPr>
              <w:pStyle w:val="8"/>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1"/>
                <w:sz w:val="21"/>
                <w:szCs w:val="21"/>
                <w:highlight w:val="none"/>
              </w:rPr>
              <w:t>本账户开户许可证</w:t>
            </w:r>
          </w:p>
        </w:tc>
        <w:tc>
          <w:tcPr>
            <w:tcW w:w="5280"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72" w:leftChars="30" w:right="0" w:rightChars="0"/>
              <w:jc w:val="both"/>
              <w:textAlignment w:val="auto"/>
              <w:rPr>
                <w:rFonts w:ascii="宋体" w:hAnsi="宋体" w:eastAsia="宋体" w:cs="宋体"/>
                <w:snapToGrid w:val="0"/>
                <w:color w:val="000000"/>
                <w:kern w:val="0"/>
                <w:sz w:val="21"/>
                <w:szCs w:val="21"/>
                <w:highlight w:val="none"/>
                <w:lang w:val="en-US" w:eastAsia="en-US" w:bidi="ar-SA"/>
              </w:rPr>
            </w:pPr>
            <w:r>
              <w:rPr>
                <w:sz w:val="21"/>
                <w:szCs w:val="21"/>
                <w:highlight w:val="none"/>
              </w:rPr>
              <w:t>具备有效的营业执照、资质证书、安全生产许可证和基本</w:t>
            </w:r>
            <w:r>
              <w:rPr>
                <w:spacing w:val="1"/>
                <w:sz w:val="21"/>
                <w:szCs w:val="21"/>
                <w:highlight w:val="none"/>
              </w:rPr>
              <w:t>账户开户许可证</w:t>
            </w:r>
          </w:p>
        </w:tc>
      </w:tr>
    </w:tbl>
    <w:p>
      <w:pPr>
        <w:pStyle w:val="3"/>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jc w:val="center"/>
        <w:textAlignment w:val="auto"/>
        <w:rPr>
          <w:highlight w:val="none"/>
        </w:rPr>
      </w:pPr>
      <w:r>
        <w:rPr>
          <w:highlight w:val="none"/>
        </w:rPr>
        <w:br w:type="page"/>
      </w:r>
    </w:p>
    <w:tbl>
      <w:tblPr>
        <w:tblStyle w:val="9"/>
        <w:tblW w:w="9129" w:type="dxa"/>
        <w:jc w:val="center"/>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579"/>
        <w:gridCol w:w="479"/>
        <w:gridCol w:w="2018"/>
        <w:gridCol w:w="5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jc w:val="center"/>
        </w:trPr>
        <w:tc>
          <w:tcPr>
            <w:tcW w:w="1353" w:type="dxa"/>
            <w:gridSpan w:val="2"/>
            <w:noWrap w:val="0"/>
            <w:vAlign w:val="center"/>
          </w:tcPr>
          <w:p>
            <w:pPr>
              <w:pStyle w:val="3"/>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leftChars="0" w:right="0" w:rightChars="0"/>
              <w:jc w:val="center"/>
              <w:textAlignment w:val="auto"/>
              <w:rPr>
                <w:sz w:val="21"/>
                <w:szCs w:val="21"/>
                <w:highlight w:val="none"/>
              </w:rPr>
            </w:pPr>
            <w:bookmarkStart w:id="0" w:name="bookmark281"/>
            <w:bookmarkEnd w:id="0"/>
            <w:r>
              <w:rPr>
                <w:b/>
                <w:bCs/>
                <w:spacing w:val="-5"/>
                <w:sz w:val="21"/>
                <w:szCs w:val="21"/>
                <w:highlight w:val="none"/>
              </w:rPr>
              <w:t>条款号</w:t>
            </w:r>
          </w:p>
        </w:tc>
        <w:tc>
          <w:tcPr>
            <w:tcW w:w="2497" w:type="dxa"/>
            <w:gridSpan w:val="2"/>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z w:val="21"/>
                <w:szCs w:val="21"/>
                <w:highlight w:val="none"/>
              </w:rPr>
            </w:pPr>
            <w:r>
              <w:rPr>
                <w:b/>
                <w:bCs/>
                <w:spacing w:val="-2"/>
                <w:sz w:val="21"/>
                <w:szCs w:val="21"/>
                <w:highlight w:val="none"/>
              </w:rPr>
              <w:t>评审因素</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z w:val="21"/>
                <w:szCs w:val="21"/>
                <w:highlight w:val="none"/>
              </w:rPr>
            </w:pPr>
            <w:r>
              <w:rPr>
                <w:b/>
                <w:bCs/>
                <w:spacing w:val="-2"/>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jc w:val="center"/>
        </w:trPr>
        <w:tc>
          <w:tcPr>
            <w:tcW w:w="774" w:type="dxa"/>
            <w:vMerge w:val="restart"/>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restart"/>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restart"/>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z w:val="21"/>
                <w:szCs w:val="21"/>
                <w:highlight w:val="none"/>
              </w:rPr>
            </w:pPr>
            <w:r>
              <w:rPr>
                <w:spacing w:val="2"/>
                <w:sz w:val="21"/>
                <w:szCs w:val="21"/>
                <w:highlight w:val="none"/>
              </w:rPr>
              <w:t>资质要求</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pacing w:val="-1"/>
                <w:sz w:val="21"/>
                <w:szCs w:val="21"/>
                <w:highlight w:val="none"/>
              </w:rPr>
              <w:t>符合第二章“投标人须知”第1.4.1项“资质要求”的规</w:t>
            </w:r>
            <w:r>
              <w:rPr>
                <w:sz w:val="21"/>
                <w:szCs w:val="21"/>
                <w:highlight w:val="none"/>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jc w:val="center"/>
        </w:trPr>
        <w:tc>
          <w:tcPr>
            <w:tcW w:w="774"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z w:val="21"/>
                <w:szCs w:val="21"/>
                <w:highlight w:val="none"/>
              </w:rPr>
            </w:pPr>
            <w:r>
              <w:rPr>
                <w:spacing w:val="-2"/>
                <w:sz w:val="21"/>
                <w:szCs w:val="21"/>
                <w:highlight w:val="none"/>
              </w:rPr>
              <w:t>财务要求</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pacing w:val="-1"/>
                <w:sz w:val="21"/>
                <w:szCs w:val="21"/>
                <w:highlight w:val="none"/>
              </w:rPr>
              <w:t>符合第二章“投标人须知”第1.4.1.项“财务要求”的规</w:t>
            </w:r>
            <w:r>
              <w:rPr>
                <w:sz w:val="21"/>
                <w:szCs w:val="21"/>
                <w:highlight w:val="none"/>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9" w:hRule="atLeast"/>
          <w:jc w:val="center"/>
        </w:trPr>
        <w:tc>
          <w:tcPr>
            <w:tcW w:w="774"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z w:val="21"/>
                <w:szCs w:val="21"/>
                <w:highlight w:val="none"/>
              </w:rPr>
            </w:pPr>
            <w:r>
              <w:rPr>
                <w:spacing w:val="-2"/>
                <w:sz w:val="21"/>
                <w:szCs w:val="21"/>
                <w:highlight w:val="none"/>
              </w:rPr>
              <w:t>业绩要求</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pacing w:val="-1"/>
                <w:sz w:val="21"/>
                <w:szCs w:val="21"/>
                <w:highlight w:val="none"/>
              </w:rPr>
              <w:t>符合第二章“投标人须知”第1.4.1项“业绩要求”的规</w:t>
            </w:r>
            <w:r>
              <w:rPr>
                <w:sz w:val="21"/>
                <w:szCs w:val="21"/>
                <w:highlight w:val="none"/>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jc w:val="center"/>
        </w:trPr>
        <w:tc>
          <w:tcPr>
            <w:tcW w:w="774"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z w:val="21"/>
                <w:szCs w:val="21"/>
                <w:highlight w:val="none"/>
              </w:rPr>
            </w:pPr>
            <w:r>
              <w:rPr>
                <w:spacing w:val="-2"/>
                <w:sz w:val="21"/>
                <w:szCs w:val="21"/>
                <w:highlight w:val="none"/>
              </w:rPr>
              <w:t>信誉要求</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pacing w:val="-1"/>
                <w:sz w:val="21"/>
                <w:szCs w:val="21"/>
                <w:highlight w:val="none"/>
              </w:rPr>
              <w:t>符合第二章“投标人须知”第.1.4.1项“信誉要求”的规</w:t>
            </w:r>
            <w:r>
              <w:rPr>
                <w:sz w:val="21"/>
                <w:szCs w:val="21"/>
                <w:highlight w:val="none"/>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774"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center"/>
              <w:textAlignment w:val="auto"/>
              <w:rPr>
                <w:sz w:val="21"/>
                <w:szCs w:val="21"/>
                <w:highlight w:val="none"/>
              </w:rPr>
            </w:pPr>
            <w:r>
              <w:rPr>
                <w:spacing w:val="1"/>
                <w:sz w:val="21"/>
                <w:szCs w:val="21"/>
                <w:highlight w:val="none"/>
              </w:rPr>
              <w:t>项目经理及项目总工</w:t>
            </w:r>
            <w:r>
              <w:rPr>
                <w:spacing w:val="-3"/>
                <w:sz w:val="21"/>
                <w:szCs w:val="21"/>
                <w:highlight w:val="none"/>
              </w:rPr>
              <w:t>要求</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z w:val="21"/>
                <w:szCs w:val="21"/>
                <w:highlight w:val="none"/>
              </w:rPr>
              <w:t>符合第二章“投标人须知”第1.4.1.项“项目经理及项目总工”的规定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774"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z w:val="21"/>
                <w:szCs w:val="21"/>
                <w:highlight w:val="none"/>
              </w:rPr>
            </w:pPr>
            <w:r>
              <w:rPr>
                <w:spacing w:val="5"/>
                <w:sz w:val="21"/>
                <w:szCs w:val="21"/>
                <w:highlight w:val="none"/>
              </w:rPr>
              <w:t>其他</w:t>
            </w:r>
            <w:r>
              <w:rPr>
                <w:rFonts w:hint="eastAsia"/>
                <w:spacing w:val="5"/>
                <w:sz w:val="21"/>
                <w:szCs w:val="21"/>
                <w:highlight w:val="none"/>
                <w:lang w:val="en-US" w:eastAsia="zh-CN"/>
              </w:rPr>
              <w:t>人员</w:t>
            </w:r>
            <w:r>
              <w:rPr>
                <w:spacing w:val="5"/>
                <w:sz w:val="21"/>
                <w:szCs w:val="21"/>
                <w:highlight w:val="none"/>
              </w:rPr>
              <w:t>要求(如有)</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pacing w:val="-1"/>
                <w:sz w:val="21"/>
                <w:szCs w:val="21"/>
                <w:highlight w:val="none"/>
              </w:rPr>
              <w:t>符合第二章“投标人须知”第1.4.1.项“其他</w:t>
            </w:r>
            <w:r>
              <w:rPr>
                <w:rFonts w:hint="eastAsia"/>
                <w:spacing w:val="-1"/>
                <w:sz w:val="21"/>
                <w:szCs w:val="21"/>
                <w:highlight w:val="none"/>
                <w:lang w:val="en-US" w:eastAsia="zh-CN"/>
              </w:rPr>
              <w:t>人员</w:t>
            </w:r>
            <w:r>
              <w:rPr>
                <w:spacing w:val="-1"/>
                <w:sz w:val="21"/>
                <w:szCs w:val="21"/>
                <w:highlight w:val="none"/>
              </w:rPr>
              <w:t>要求”的规</w:t>
            </w:r>
            <w:r>
              <w:rPr>
                <w:sz w:val="21"/>
                <w:szCs w:val="21"/>
                <w:highlight w:val="none"/>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0" w:hRule="atLeast"/>
          <w:jc w:val="center"/>
        </w:trPr>
        <w:tc>
          <w:tcPr>
            <w:tcW w:w="774"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pacing w:val="5"/>
                <w:sz w:val="21"/>
                <w:szCs w:val="21"/>
                <w:highlight w:val="none"/>
              </w:rPr>
            </w:pPr>
            <w:r>
              <w:rPr>
                <w:rFonts w:hint="eastAsia"/>
                <w:color w:val="auto"/>
                <w:sz w:val="21"/>
                <w:highlight w:val="none"/>
              </w:rPr>
              <w:t>具备竞争性</w:t>
            </w:r>
          </w:p>
        </w:tc>
        <w:tc>
          <w:tcPr>
            <w:tcW w:w="527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pacing w:val="-1"/>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 w:hRule="atLeast"/>
          <w:jc w:val="center"/>
        </w:trPr>
        <w:tc>
          <w:tcPr>
            <w:tcW w:w="774"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参与</w:t>
            </w:r>
            <w:r>
              <w:rPr>
                <w:rFonts w:hint="eastAsia" w:ascii="Times New Roman" w:hAnsi="Times New Roman" w:eastAsia="宋体" w:cs="Times New Roman"/>
                <w:color w:val="auto"/>
                <w:sz w:val="21"/>
                <w:highlight w:val="none"/>
              </w:rPr>
              <w:t>现场答辩</w:t>
            </w:r>
          </w:p>
        </w:tc>
        <w:tc>
          <w:tcPr>
            <w:tcW w:w="527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在规定时间到场答辩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6" w:hRule="atLeast"/>
          <w:jc w:val="center"/>
        </w:trPr>
        <w:tc>
          <w:tcPr>
            <w:tcW w:w="774"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答辩合格</w:t>
            </w:r>
          </w:p>
        </w:tc>
        <w:tc>
          <w:tcPr>
            <w:tcW w:w="527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zh-CN"/>
              </w:rPr>
              <w:t>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出现空白、涉嫌违法违规的，评标委员会可以否决该投标人答辩内容，其余情况一般应对答辩内容做符合制判定。存在因答辩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否决投标的，评标委员会应书面记录否决理由并纳入招标投标书面情况报告中。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jc w:val="center"/>
        </w:trPr>
        <w:tc>
          <w:tcPr>
            <w:tcW w:w="774" w:type="dxa"/>
            <w:vMerge w:val="restart"/>
            <w:tcBorders>
              <w:bottom w:val="nil"/>
            </w:tcBorders>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b/>
                <w:bCs/>
                <w:spacing w:val="-4"/>
                <w:sz w:val="21"/>
                <w:szCs w:val="21"/>
                <w:highlight w:val="none"/>
              </w:rPr>
              <w:t>2.1.3</w:t>
            </w:r>
          </w:p>
        </w:tc>
        <w:tc>
          <w:tcPr>
            <w:tcW w:w="579" w:type="dxa"/>
            <w:vMerge w:val="restart"/>
            <w:tcBorders>
              <w:bottom w:val="nil"/>
            </w:tcBorders>
            <w:noWrap w:val="0"/>
            <w:textDirection w:val="tbRlV"/>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17"/>
                <w:sz w:val="21"/>
                <w:szCs w:val="21"/>
                <w:highlight w:val="none"/>
              </w:rPr>
              <w:t>第</w:t>
            </w:r>
            <w:r>
              <w:rPr>
                <w:spacing w:val="-1"/>
                <w:sz w:val="21"/>
                <w:szCs w:val="21"/>
                <w:highlight w:val="none"/>
              </w:rPr>
              <w:t xml:space="preserve"> </w:t>
            </w:r>
            <w:r>
              <w:rPr>
                <w:spacing w:val="17"/>
                <w:sz w:val="21"/>
                <w:szCs w:val="21"/>
                <w:highlight w:val="none"/>
              </w:rPr>
              <w:t>二</w:t>
            </w:r>
            <w:r>
              <w:rPr>
                <w:spacing w:val="-7"/>
                <w:sz w:val="21"/>
                <w:szCs w:val="21"/>
                <w:highlight w:val="none"/>
              </w:rPr>
              <w:t xml:space="preserve"> </w:t>
            </w:r>
            <w:r>
              <w:rPr>
                <w:spacing w:val="17"/>
                <w:sz w:val="21"/>
                <w:szCs w:val="21"/>
                <w:highlight w:val="none"/>
              </w:rPr>
              <w:t>信</w:t>
            </w:r>
            <w:r>
              <w:rPr>
                <w:spacing w:val="-8"/>
                <w:sz w:val="21"/>
                <w:szCs w:val="21"/>
                <w:highlight w:val="none"/>
              </w:rPr>
              <w:t xml:space="preserve"> </w:t>
            </w:r>
            <w:r>
              <w:rPr>
                <w:spacing w:val="17"/>
                <w:sz w:val="21"/>
                <w:szCs w:val="21"/>
                <w:highlight w:val="none"/>
              </w:rPr>
              <w:t>封</w:t>
            </w:r>
            <w:r>
              <w:rPr>
                <w:spacing w:val="-7"/>
                <w:sz w:val="21"/>
                <w:szCs w:val="21"/>
                <w:highlight w:val="none"/>
              </w:rPr>
              <w:t xml:space="preserve"> </w:t>
            </w:r>
            <w:r>
              <w:rPr>
                <w:spacing w:val="17"/>
                <w:sz w:val="21"/>
                <w:szCs w:val="21"/>
                <w:highlight w:val="none"/>
              </w:rPr>
              <w:t>( 报</w:t>
            </w:r>
            <w:r>
              <w:rPr>
                <w:spacing w:val="-7"/>
                <w:sz w:val="21"/>
                <w:szCs w:val="21"/>
                <w:highlight w:val="none"/>
              </w:rPr>
              <w:t xml:space="preserve"> </w:t>
            </w:r>
            <w:r>
              <w:rPr>
                <w:spacing w:val="17"/>
                <w:sz w:val="21"/>
                <w:szCs w:val="21"/>
                <w:highlight w:val="none"/>
              </w:rPr>
              <w:t>价</w:t>
            </w:r>
            <w:r>
              <w:rPr>
                <w:spacing w:val="-8"/>
                <w:sz w:val="21"/>
                <w:szCs w:val="21"/>
                <w:highlight w:val="none"/>
              </w:rPr>
              <w:t xml:space="preserve"> </w:t>
            </w:r>
            <w:r>
              <w:rPr>
                <w:spacing w:val="17"/>
                <w:sz w:val="21"/>
                <w:szCs w:val="21"/>
                <w:highlight w:val="none"/>
              </w:rPr>
              <w:t>文</w:t>
            </w:r>
            <w:r>
              <w:rPr>
                <w:spacing w:val="-7"/>
                <w:sz w:val="21"/>
                <w:szCs w:val="21"/>
                <w:highlight w:val="none"/>
              </w:rPr>
              <w:t xml:space="preserve"> </w:t>
            </w:r>
            <w:r>
              <w:rPr>
                <w:spacing w:val="17"/>
                <w:sz w:val="21"/>
                <w:szCs w:val="21"/>
                <w:highlight w:val="none"/>
              </w:rPr>
              <w:t>件</w:t>
            </w:r>
            <w:r>
              <w:rPr>
                <w:spacing w:val="-8"/>
                <w:sz w:val="21"/>
                <w:szCs w:val="21"/>
                <w:highlight w:val="none"/>
              </w:rPr>
              <w:t xml:space="preserve"> </w:t>
            </w:r>
            <w:r>
              <w:rPr>
                <w:spacing w:val="17"/>
                <w:sz w:val="21"/>
                <w:szCs w:val="21"/>
                <w:highlight w:val="none"/>
              </w:rPr>
              <w:t>)</w:t>
            </w:r>
          </w:p>
        </w:tc>
        <w:tc>
          <w:tcPr>
            <w:tcW w:w="479" w:type="dxa"/>
            <w:vMerge w:val="restart"/>
            <w:tcBorders>
              <w:bottom w:val="nil"/>
            </w:tcBorders>
            <w:noWrap w:val="0"/>
            <w:textDirection w:val="tbRlV"/>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18"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3"/>
                <w:sz w:val="21"/>
                <w:szCs w:val="21"/>
                <w:highlight w:val="none"/>
              </w:rPr>
              <w:t>投标函填写</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6"/>
                <w:sz w:val="21"/>
                <w:szCs w:val="21"/>
                <w:highlight w:val="none"/>
              </w:rPr>
              <w:t>段号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atLeast"/>
          <w:jc w:val="center"/>
        </w:trPr>
        <w:tc>
          <w:tcPr>
            <w:tcW w:w="774" w:type="dxa"/>
            <w:vMerge w:val="continue"/>
            <w:tcBorders>
              <w:top w:val="nil"/>
              <w:bottom w:val="nil"/>
            </w:tcBorders>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center"/>
              <w:textAlignment w:val="auto"/>
              <w:rPr>
                <w:spacing w:val="1"/>
                <w:sz w:val="21"/>
                <w:szCs w:val="21"/>
                <w:highlight w:val="none"/>
              </w:rPr>
            </w:pPr>
            <w:r>
              <w:rPr>
                <w:spacing w:val="1"/>
                <w:sz w:val="21"/>
                <w:szCs w:val="21"/>
                <w:highlight w:val="none"/>
              </w:rPr>
              <w:t>已标价工程量清单</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center"/>
              <w:textAlignment w:val="auto"/>
              <w:rPr>
                <w:sz w:val="21"/>
                <w:szCs w:val="21"/>
                <w:highlight w:val="none"/>
              </w:rPr>
            </w:pPr>
            <w:r>
              <w:rPr>
                <w:spacing w:val="1"/>
                <w:sz w:val="21"/>
                <w:szCs w:val="21"/>
                <w:highlight w:val="none"/>
              </w:rPr>
              <w:t>文</w:t>
            </w:r>
            <w:r>
              <w:rPr>
                <w:spacing w:val="7"/>
                <w:sz w:val="21"/>
                <w:szCs w:val="21"/>
                <w:highlight w:val="none"/>
              </w:rPr>
              <w:t>字说明</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z w:val="21"/>
                <w:szCs w:val="21"/>
                <w:highlight w:val="none"/>
              </w:rPr>
              <w:t>已标价工程量清单文字说明与招标文件规定一致，未进行</w:t>
            </w:r>
            <w:r>
              <w:rPr>
                <w:spacing w:val="-2"/>
                <w:sz w:val="21"/>
                <w:szCs w:val="21"/>
                <w:highlight w:val="none"/>
              </w:rPr>
              <w:t>修改或删除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jc w:val="center"/>
        </w:trPr>
        <w:tc>
          <w:tcPr>
            <w:tcW w:w="774" w:type="dxa"/>
            <w:vMerge w:val="continue"/>
            <w:tcBorders>
              <w:top w:val="nil"/>
              <w:bottom w:val="nil"/>
            </w:tcBorders>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文件填写及组成</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z w:val="21"/>
                <w:szCs w:val="21"/>
                <w:highlight w:val="none"/>
              </w:rPr>
              <w:t>组成齐全，没有缺项或缺页，内容均按招标文件规定填写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atLeast"/>
          <w:jc w:val="center"/>
        </w:trPr>
        <w:tc>
          <w:tcPr>
            <w:tcW w:w="774" w:type="dxa"/>
            <w:vMerge w:val="continue"/>
            <w:tcBorders>
              <w:top w:val="nil"/>
              <w:bottom w:val="nil"/>
            </w:tcBorders>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文件签字盖章</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pacing w:val="-1"/>
                <w:sz w:val="21"/>
                <w:szCs w:val="21"/>
                <w:highlight w:val="none"/>
              </w:rPr>
              <w:t>符合第二章“投标人须知”第3.7.3项规定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jc w:val="center"/>
        </w:trPr>
        <w:tc>
          <w:tcPr>
            <w:tcW w:w="774" w:type="dxa"/>
            <w:vMerge w:val="continue"/>
            <w:tcBorders>
              <w:top w:val="nil"/>
              <w:bottom w:val="nil"/>
            </w:tcBorders>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1"/>
                <w:sz w:val="21"/>
                <w:szCs w:val="21"/>
                <w:highlight w:val="none"/>
              </w:rPr>
              <w:t>已标价工程量清单</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z w:val="21"/>
                <w:szCs w:val="21"/>
                <w:highlight w:val="none"/>
              </w:rPr>
              <w:t>未对工程量固化清单电子文件中的数据、格式和运算定义</w:t>
            </w:r>
            <w:r>
              <w:rPr>
                <w:spacing w:val="-2"/>
                <w:sz w:val="21"/>
                <w:szCs w:val="21"/>
                <w:highlight w:val="none"/>
              </w:rPr>
              <w:t>进行修改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jc w:val="center"/>
        </w:trPr>
        <w:tc>
          <w:tcPr>
            <w:tcW w:w="774" w:type="dxa"/>
            <w:vMerge w:val="continue"/>
            <w:tcBorders>
              <w:top w:val="nil"/>
              <w:bottom w:val="nil"/>
            </w:tcBorders>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3"/>
                <w:sz w:val="21"/>
                <w:szCs w:val="21"/>
                <w:highlight w:val="none"/>
              </w:rPr>
              <w:t>投标报价</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rFonts w:hint="eastAsia" w:ascii="宋体" w:hAnsi="宋体" w:eastAsia="宋体" w:cs="宋体"/>
                <w:sz w:val="21"/>
                <w:szCs w:val="21"/>
                <w:highlight w:val="none"/>
              </w:rPr>
              <w:t>未超过招标人公布的最高投标限价，且每个路段未超过其路段的投标控制价上限。每个路段的投标报价之和应与投标函中的投标报价相同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atLeast"/>
          <w:jc w:val="center"/>
        </w:trPr>
        <w:tc>
          <w:tcPr>
            <w:tcW w:w="774" w:type="dxa"/>
            <w:vMerge w:val="continue"/>
            <w:tcBorders>
              <w:top w:val="nil"/>
              <w:bottom w:val="nil"/>
            </w:tcBorders>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tcBorders>
              <w:top w:val="nil"/>
              <w:bottom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12"/>
                <w:sz w:val="21"/>
                <w:szCs w:val="21"/>
                <w:highlight w:val="none"/>
              </w:rPr>
              <w:t>开标一览表</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spacing w:val="-1"/>
                <w:sz w:val="21"/>
                <w:szCs w:val="21"/>
                <w:highlight w:val="none"/>
              </w:rPr>
              <w:t>工程量清单中填报的投标总报价与开标一览表中填报的投</w:t>
            </w:r>
            <w:r>
              <w:rPr>
                <w:spacing w:val="-2"/>
                <w:sz w:val="21"/>
                <w:szCs w:val="21"/>
                <w:highlight w:val="none"/>
              </w:rPr>
              <w:t>标报价必须一致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jc w:val="center"/>
        </w:trPr>
        <w:tc>
          <w:tcPr>
            <w:tcW w:w="774" w:type="dxa"/>
            <w:vMerge w:val="continue"/>
            <w:tcBorders>
              <w:top w:val="nil"/>
            </w:tcBorders>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tcBorders>
              <w:top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tcBorders>
              <w:top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投标报价唯一性</w:t>
            </w:r>
          </w:p>
        </w:tc>
        <w:tc>
          <w:tcPr>
            <w:tcW w:w="5279"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rFonts w:ascii="宋体" w:hAnsi="宋体" w:eastAsia="宋体" w:cs="宋体"/>
                <w:snapToGrid w:val="0"/>
                <w:color w:val="000000"/>
                <w:kern w:val="0"/>
                <w:sz w:val="21"/>
                <w:szCs w:val="21"/>
                <w:highlight w:val="none"/>
                <w:lang w:val="en-US" w:eastAsia="en-US" w:bidi="ar-SA"/>
              </w:rPr>
            </w:pPr>
            <w:r>
              <w:rPr>
                <w:sz w:val="21"/>
                <w:szCs w:val="21"/>
                <w:highlight w:val="none"/>
              </w:rPr>
              <w:t>同一投标人同一标段未提交两个及以上不同的投标报价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jc w:val="center"/>
        </w:trPr>
        <w:tc>
          <w:tcPr>
            <w:tcW w:w="774" w:type="dxa"/>
            <w:vMerge w:val="continue"/>
            <w:tcBorders>
              <w:top w:val="nil"/>
            </w:tcBorders>
            <w:noWrap w:val="0"/>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579" w:type="dxa"/>
            <w:vMerge w:val="continue"/>
            <w:tcBorders>
              <w:top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479" w:type="dxa"/>
            <w:vMerge w:val="continue"/>
            <w:tcBorders>
              <w:top w:val="nil"/>
            </w:tcBorders>
            <w:noWrap w:val="0"/>
            <w:textDirection w:val="tbRlV"/>
            <w:vAlign w:val="top"/>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rPr>
                <w:rFonts w:ascii="Arial"/>
                <w:sz w:val="21"/>
                <w:highlight w:val="none"/>
              </w:rPr>
            </w:pPr>
          </w:p>
        </w:tc>
        <w:tc>
          <w:tcPr>
            <w:tcW w:w="2018" w:type="dxa"/>
            <w:noWrap w:val="0"/>
            <w:vAlign w:val="center"/>
          </w:tcPr>
          <w:p>
            <w:pPr>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rFonts w:hint="eastAsia"/>
                <w:color w:val="auto"/>
                <w:sz w:val="21"/>
                <w:highlight w:val="none"/>
              </w:rPr>
              <w:t>具备竞争性</w:t>
            </w:r>
          </w:p>
        </w:tc>
        <w:tc>
          <w:tcPr>
            <w:tcW w:w="527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line="240" w:lineRule="auto"/>
              <w:ind w:left="72" w:leftChars="30" w:right="0" w:rightChars="0"/>
              <w:jc w:val="both"/>
              <w:textAlignment w:val="auto"/>
              <w:rPr>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bl>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b/>
          <w:bCs/>
          <w:spacing w:val="4"/>
          <w:sz w:val="21"/>
          <w:szCs w:val="21"/>
          <w:highlight w:val="none"/>
        </w:rPr>
      </w:pPr>
      <w:r>
        <w:rPr>
          <w:b/>
          <w:bCs/>
          <w:spacing w:val="4"/>
          <w:sz w:val="21"/>
          <w:szCs w:val="21"/>
          <w:highlight w:val="none"/>
        </w:rPr>
        <w:br w:type="page"/>
      </w:r>
    </w:p>
    <w:tbl>
      <w:tblPr>
        <w:tblStyle w:val="9"/>
        <w:tblW w:w="9132" w:type="dxa"/>
        <w:jc w:val="center"/>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1373"/>
        <w:gridCol w:w="1543"/>
        <w:gridCol w:w="6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3" w:type="dxa"/>
          <w:trHeight w:val="386" w:hRule="atLeast"/>
          <w:jc w:val="center"/>
        </w:trPr>
        <w:tc>
          <w:tcPr>
            <w:tcW w:w="1373" w:type="dxa"/>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b/>
                <w:bCs/>
                <w:sz w:val="21"/>
                <w:szCs w:val="21"/>
                <w:highlight w:val="none"/>
              </w:rPr>
            </w:pPr>
            <w:r>
              <w:rPr>
                <w:b/>
                <w:bCs/>
                <w:spacing w:val="4"/>
                <w:sz w:val="21"/>
                <w:szCs w:val="21"/>
                <w:highlight w:val="none"/>
              </w:rPr>
              <w:t>条款号</w:t>
            </w:r>
          </w:p>
        </w:tc>
        <w:tc>
          <w:tcPr>
            <w:tcW w:w="1543" w:type="dxa"/>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b/>
                <w:bCs/>
                <w:sz w:val="21"/>
                <w:szCs w:val="21"/>
                <w:highlight w:val="none"/>
              </w:rPr>
            </w:pPr>
            <w:r>
              <w:rPr>
                <w:b/>
                <w:bCs/>
                <w:spacing w:val="2"/>
                <w:sz w:val="21"/>
                <w:szCs w:val="21"/>
                <w:highlight w:val="none"/>
              </w:rPr>
              <w:t>条款内容</w:t>
            </w:r>
          </w:p>
        </w:tc>
        <w:tc>
          <w:tcPr>
            <w:tcW w:w="6213" w:type="dxa"/>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b/>
                <w:bCs/>
                <w:sz w:val="21"/>
                <w:szCs w:val="21"/>
                <w:highlight w:val="none"/>
              </w:rPr>
            </w:pPr>
            <w:r>
              <w:rPr>
                <w:b/>
                <w:bCs/>
                <w:spacing w:val="2"/>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3" w:type="dxa"/>
          <w:trHeight w:val="479" w:hRule="atLeast"/>
          <w:jc w:val="center"/>
        </w:trPr>
        <w:tc>
          <w:tcPr>
            <w:tcW w:w="1373" w:type="dxa"/>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sz w:val="21"/>
                <w:szCs w:val="21"/>
                <w:highlight w:val="none"/>
              </w:rPr>
            </w:pPr>
            <w:r>
              <w:rPr>
                <w:spacing w:val="-2"/>
                <w:sz w:val="21"/>
                <w:szCs w:val="21"/>
                <w:highlight w:val="none"/>
              </w:rPr>
              <w:t>2.2.1</w:t>
            </w:r>
          </w:p>
        </w:tc>
        <w:tc>
          <w:tcPr>
            <w:tcW w:w="1543" w:type="dxa"/>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sz w:val="21"/>
                <w:szCs w:val="21"/>
                <w:highlight w:val="none"/>
              </w:rPr>
            </w:pPr>
            <w:r>
              <w:rPr>
                <w:spacing w:val="2"/>
                <w:sz w:val="21"/>
                <w:szCs w:val="21"/>
                <w:highlight w:val="none"/>
              </w:rPr>
              <w:t>分值构成</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sz w:val="21"/>
                <w:szCs w:val="21"/>
                <w:highlight w:val="none"/>
              </w:rPr>
            </w:pPr>
            <w:r>
              <w:rPr>
                <w:spacing w:val="6"/>
                <w:sz w:val="21"/>
                <w:szCs w:val="21"/>
                <w:highlight w:val="none"/>
              </w:rPr>
              <w:t>(总分100分)</w:t>
            </w:r>
          </w:p>
        </w:tc>
        <w:tc>
          <w:tcPr>
            <w:tcW w:w="6213" w:type="dxa"/>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both"/>
              <w:textAlignment w:val="baseline"/>
              <w:rPr>
                <w:sz w:val="21"/>
                <w:szCs w:val="21"/>
                <w:highlight w:val="none"/>
              </w:rPr>
            </w:pPr>
            <w:r>
              <w:rPr>
                <w:spacing w:val="-24"/>
                <w:sz w:val="21"/>
                <w:szCs w:val="21"/>
                <w:highlight w:val="none"/>
              </w:rPr>
              <w:t>评</w:t>
            </w:r>
            <w:r>
              <w:rPr>
                <w:spacing w:val="-40"/>
                <w:sz w:val="21"/>
                <w:szCs w:val="21"/>
                <w:highlight w:val="none"/>
              </w:rPr>
              <w:t xml:space="preserve"> </w:t>
            </w:r>
            <w:r>
              <w:rPr>
                <w:spacing w:val="-24"/>
                <w:sz w:val="21"/>
                <w:szCs w:val="21"/>
                <w:highlight w:val="none"/>
              </w:rPr>
              <w:t>标</w:t>
            </w:r>
            <w:r>
              <w:rPr>
                <w:spacing w:val="-45"/>
                <w:sz w:val="21"/>
                <w:szCs w:val="21"/>
                <w:highlight w:val="none"/>
              </w:rPr>
              <w:t xml:space="preserve"> </w:t>
            </w:r>
            <w:r>
              <w:rPr>
                <w:spacing w:val="-24"/>
                <w:sz w:val="21"/>
                <w:szCs w:val="21"/>
                <w:highlight w:val="none"/>
              </w:rPr>
              <w:t>价</w:t>
            </w:r>
            <w:r>
              <w:rPr>
                <w:spacing w:val="-55"/>
                <w:sz w:val="21"/>
                <w:szCs w:val="21"/>
                <w:highlight w:val="none"/>
              </w:rPr>
              <w:t xml:space="preserve"> </w:t>
            </w:r>
            <w:r>
              <w:rPr>
                <w:spacing w:val="-24"/>
                <w:sz w:val="21"/>
                <w:szCs w:val="21"/>
                <w:highlight w:val="none"/>
              </w:rPr>
              <w:t>：</w:t>
            </w:r>
            <w:r>
              <w:rPr>
                <w:spacing w:val="0"/>
                <w:sz w:val="21"/>
                <w:szCs w:val="21"/>
                <w:highlight w:val="none"/>
                <w:u w:val="single" w:color="auto"/>
              </w:rPr>
              <w:t>100</w:t>
            </w:r>
            <w:r>
              <w:rPr>
                <w:spacing w:val="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3" w:type="dxa"/>
          <w:trHeight w:val="366" w:hRule="atLeast"/>
          <w:jc w:val="center"/>
        </w:trPr>
        <w:tc>
          <w:tcPr>
            <w:tcW w:w="1373"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2.2.2</w:t>
            </w:r>
          </w:p>
        </w:tc>
        <w:tc>
          <w:tcPr>
            <w:tcW w:w="154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ascii="Arial"/>
                <w:sz w:val="21"/>
                <w:highlight w:val="none"/>
              </w:rPr>
            </w:pP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hanging="99"/>
              <w:jc w:val="center"/>
              <w:textAlignment w:val="auto"/>
              <w:rPr>
                <w:spacing w:val="-2"/>
                <w:sz w:val="21"/>
                <w:szCs w:val="21"/>
                <w:highlight w:val="none"/>
              </w:rPr>
            </w:pPr>
            <w:r>
              <w:rPr>
                <w:spacing w:val="-2"/>
                <w:sz w:val="21"/>
                <w:szCs w:val="21"/>
                <w:highlight w:val="none"/>
              </w:rPr>
              <w:t>评标基准价</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hanging="99"/>
              <w:jc w:val="center"/>
              <w:textAlignment w:val="auto"/>
              <w:rPr>
                <w:sz w:val="21"/>
                <w:szCs w:val="21"/>
                <w:highlight w:val="none"/>
              </w:rPr>
            </w:pPr>
            <w:r>
              <w:rPr>
                <w:spacing w:val="-2"/>
                <w:sz w:val="21"/>
                <w:szCs w:val="21"/>
                <w:highlight w:val="none"/>
              </w:rPr>
              <w:t>计算方法</w:t>
            </w:r>
          </w:p>
        </w:tc>
        <w:tc>
          <w:tcPr>
            <w:tcW w:w="6213" w:type="dxa"/>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本次招标设定的评标基准价计算方法，在第二个信封（报价文件）开标现场，每个标段随机抽取其中的一种作为该标段评标基准价的计算方法。</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评标价E=投标函文字报价。</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当采用方法一、二、三、四时，评标基准价计算时去掉n1个最高评标价和n2个最低评标价。</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①当 N&lt;6 时，n1、n2 均取0；</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②当 N≥6 时，去掉n1个最高评标价，去掉n2个最低评标价；</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n1、n2 在取值区间 1～M 中随机抽取（最小为 1）；M=N/5，M 向下取整。</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N 为某标段第二个信封（报价文件）开标有效的投标人数量，超过最高投标限价的投标人不参与计算。</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根据上述规则去除 n1 个最高值和 n2 个最低值后，其余评标价参与评标基准价的计算，评标基准价保留两位小数，小数点后第三位“四舍五入”。</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 方法一：二次平均法</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对参与评标基准价计算的所有评标价进行第一次平均，对所有小于或等于第一次平均值的评标价（不包括去掉的 n2 个最低评标价）进行第二次平均，第二次平均值即为评标基准价 P。</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 方法二：随机平均法</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评标基准价 P＝（E1+E2+E3 ）/3</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E1 、E2 、E3——参与评标基准价计算的所有评标价中随机抽取的 3 个评标价。</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 方法三：随机权重法</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评标基准价 P＝A×K+B×(1-K)</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A——去掉 n1 个最高评标价后的最大值</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B——参与评标基准价计算的所有评标价的平均值</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K——权重系数，由在第二个信封（报价文件）开标现场随机抽取的 X、Y 两个系数构成，K=(X+Y/10)/10，其中 X 有 5 个系数，分别为 0、1、2、3、4；Y 有 10 个系数分别为 0、1、2、3、4、5、6、7、8、9。</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 方法四：随机步距法（适用于 N≥8）</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将参与评标基准价计算的所有评标价中第 1 低、第 1+a 低、第1+2a 低……和第 1+na 低的评标价进行平均，平均值乘以下浮系数 Z，即为评标基准价 P。</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n——步距个数，n=（N-n1-n2-1）/a,n 向下取整。</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a——随机步距，在第二个信封（报价文件）开标现场随机抽取，取值范围为 3、4、5。</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Z——下浮系数,在第二个信封（报价文件）开标现场随机抽取，取值范围为 0.96、0.97、0.98、0.99。</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 方法五：随机低价法（适用于 N≥8）</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评标基准价 P＝去掉 m 个最低评标价的最低价</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m——在第二个信封（报价文件）开标现场随机抽取，取值范围为n3～n4,步距为 1。</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spacing w:val="0"/>
                <w:sz w:val="21"/>
                <w:szCs w:val="21"/>
                <w:highlight w:val="none"/>
              </w:rPr>
            </w:pPr>
            <w:r>
              <w:rPr>
                <w:rFonts w:hint="eastAsia"/>
                <w:spacing w:val="0"/>
                <w:sz w:val="21"/>
                <w:szCs w:val="21"/>
                <w:highlight w:val="none"/>
              </w:rPr>
              <w:t>n3=N×0.2，n4=N×0.7，n3、n4 向下取整。</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2" w:leftChars="30" w:right="0" w:rightChars="0" w:firstLine="0"/>
              <w:jc w:val="left"/>
              <w:textAlignment w:val="baseline"/>
              <w:rPr>
                <w:rFonts w:hint="eastAsia" w:eastAsia="宋体"/>
                <w:spacing w:val="-1"/>
                <w:sz w:val="21"/>
                <w:szCs w:val="21"/>
                <w:highlight w:val="none"/>
                <w:lang w:eastAsia="zh-CN"/>
              </w:rPr>
            </w:pPr>
            <w:r>
              <w:rPr>
                <w:rFonts w:hint="eastAsia"/>
                <w:spacing w:val="0"/>
                <w:sz w:val="21"/>
                <w:szCs w:val="21"/>
                <w:highlight w:val="none"/>
              </w:rPr>
              <w:t>在评标过程中，评标委员会应对评标基准价进行复核，存在计算错误的应予以修正并在评标报告中作出说明。除此之外，评标基准价在整个评标期间保持不变，不随任何因素发生变化。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jc w:val="center"/>
        </w:trPr>
        <w:tc>
          <w:tcPr>
            <w:tcW w:w="1376" w:type="dxa"/>
            <w:gridSpan w:val="2"/>
            <w:tcBorders>
              <w:left w:val="single" w:color="000000" w:sz="2" w:space="0"/>
            </w:tcBorders>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b/>
                <w:bCs/>
                <w:sz w:val="21"/>
                <w:szCs w:val="21"/>
                <w:highlight w:val="none"/>
              </w:rPr>
            </w:pPr>
            <w:bookmarkStart w:id="1" w:name="bookmark282"/>
            <w:bookmarkEnd w:id="1"/>
            <w:r>
              <w:rPr>
                <w:b/>
                <w:bCs/>
                <w:spacing w:val="4"/>
                <w:sz w:val="21"/>
                <w:szCs w:val="21"/>
                <w:highlight w:val="none"/>
              </w:rPr>
              <w:t>条款号</w:t>
            </w:r>
          </w:p>
        </w:tc>
        <w:tc>
          <w:tcPr>
            <w:tcW w:w="1543"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b/>
                <w:bCs/>
                <w:sz w:val="21"/>
                <w:szCs w:val="21"/>
                <w:highlight w:val="none"/>
              </w:rPr>
            </w:pPr>
            <w:r>
              <w:rPr>
                <w:b/>
                <w:bCs/>
                <w:spacing w:val="2"/>
                <w:sz w:val="21"/>
                <w:szCs w:val="21"/>
                <w:highlight w:val="none"/>
              </w:rPr>
              <w:t>条款内容</w:t>
            </w:r>
          </w:p>
        </w:tc>
        <w:tc>
          <w:tcPr>
            <w:tcW w:w="6213" w:type="dxa"/>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b/>
                <w:bCs/>
                <w:sz w:val="21"/>
                <w:szCs w:val="21"/>
                <w:highlight w:val="none"/>
              </w:rPr>
            </w:pPr>
            <w:r>
              <w:rPr>
                <w:b/>
                <w:bCs/>
                <w:spacing w:val="15"/>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5" w:hRule="atLeast"/>
          <w:jc w:val="center"/>
        </w:trPr>
        <w:tc>
          <w:tcPr>
            <w:tcW w:w="1376" w:type="dxa"/>
            <w:gridSpan w:val="2"/>
            <w:tcBorders>
              <w:left w:val="single" w:color="000000" w:sz="2" w:space="0"/>
            </w:tcBorders>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2.2.3</w:t>
            </w:r>
          </w:p>
        </w:tc>
        <w:tc>
          <w:tcPr>
            <w:tcW w:w="1543"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center"/>
              <w:textAlignment w:val="auto"/>
              <w:rPr>
                <w:sz w:val="21"/>
                <w:szCs w:val="21"/>
                <w:highlight w:val="none"/>
              </w:rPr>
            </w:pPr>
            <w:r>
              <w:rPr>
                <w:spacing w:val="-2"/>
                <w:sz w:val="21"/>
                <w:szCs w:val="21"/>
                <w:highlight w:val="none"/>
              </w:rPr>
              <w:t>评标价的偏差率</w:t>
            </w:r>
            <w:r>
              <w:rPr>
                <w:spacing w:val="5"/>
                <w:sz w:val="21"/>
                <w:szCs w:val="21"/>
                <w:highlight w:val="none"/>
              </w:rPr>
              <w:t xml:space="preserve"> </w:t>
            </w:r>
            <w:r>
              <w:rPr>
                <w:spacing w:val="-2"/>
                <w:sz w:val="21"/>
                <w:szCs w:val="21"/>
                <w:highlight w:val="none"/>
              </w:rPr>
              <w:t>计算公式</w:t>
            </w:r>
          </w:p>
        </w:tc>
        <w:tc>
          <w:tcPr>
            <w:tcW w:w="6213" w:type="dxa"/>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rFonts w:hint="eastAsia"/>
                <w:sz w:val="21"/>
                <w:szCs w:val="21"/>
                <w:highlight w:val="none"/>
                <w:lang w:val="en-US" w:eastAsia="zh-CN"/>
              </w:rPr>
            </w:pPr>
            <w:r>
              <w:rPr>
                <w:sz w:val="21"/>
                <w:szCs w:val="21"/>
                <w:highlight w:val="none"/>
              </w:rPr>
              <w:t>偏差率=100%×(投标人评标价-评标</w:t>
            </w:r>
            <w:r>
              <w:rPr>
                <w:spacing w:val="-1"/>
                <w:sz w:val="21"/>
                <w:szCs w:val="21"/>
                <w:highlight w:val="none"/>
              </w:rPr>
              <w:t>基准价)/评标基准价</w:t>
            </w:r>
            <w:r>
              <w:rPr>
                <w:sz w:val="21"/>
                <w:szCs w:val="21"/>
                <w:highlight w:val="none"/>
              </w:rPr>
              <w:t xml:space="preserve"> </w:t>
            </w:r>
            <w:r>
              <w:rPr>
                <w:rFonts w:hint="eastAsia"/>
                <w:sz w:val="21"/>
                <w:szCs w:val="21"/>
                <w:highlight w:val="none"/>
                <w:lang w:val="en-US"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pacing w:val="-1"/>
                <w:sz w:val="21"/>
                <w:szCs w:val="21"/>
                <w:highlight w:val="none"/>
              </w:rPr>
              <w:t>偏差率保留小数点后9位(四舍五入法)。</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z w:val="21"/>
                <w:szCs w:val="21"/>
                <w:highlight w:val="none"/>
              </w:rPr>
              <w:t>示例：偏差率保留小数点后9位，表示为0.123456789%。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8" w:hRule="atLeast"/>
          <w:jc w:val="center"/>
        </w:trPr>
        <w:tc>
          <w:tcPr>
            <w:tcW w:w="1376" w:type="dxa"/>
            <w:gridSpan w:val="2"/>
            <w:tcBorders>
              <w:left w:val="single" w:color="000000" w:sz="2" w:space="0"/>
            </w:tcBorders>
            <w:noWrap w:val="0"/>
            <w:vAlign w:val="center"/>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jc w:val="center"/>
              <w:rPr>
                <w:sz w:val="21"/>
                <w:szCs w:val="21"/>
                <w:highlight w:val="none"/>
              </w:rPr>
            </w:pPr>
            <w:r>
              <w:rPr>
                <w:spacing w:val="-2"/>
                <w:sz w:val="21"/>
                <w:szCs w:val="21"/>
                <w:highlight w:val="none"/>
              </w:rPr>
              <w:t>2.2.4</w:t>
            </w:r>
          </w:p>
        </w:tc>
        <w:tc>
          <w:tcPr>
            <w:tcW w:w="1543"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center"/>
              <w:textAlignment w:val="auto"/>
              <w:rPr>
                <w:sz w:val="21"/>
                <w:szCs w:val="21"/>
                <w:highlight w:val="none"/>
              </w:rPr>
            </w:pPr>
            <w:r>
              <w:rPr>
                <w:spacing w:val="-2"/>
                <w:sz w:val="21"/>
                <w:szCs w:val="21"/>
                <w:highlight w:val="none"/>
              </w:rPr>
              <w:t>评标价</w:t>
            </w:r>
          </w:p>
        </w:tc>
        <w:tc>
          <w:tcPr>
            <w:tcW w:w="6213" w:type="dxa"/>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pacing w:val="-2"/>
                <w:sz w:val="21"/>
                <w:szCs w:val="21"/>
                <w:highlight w:val="none"/>
              </w:rPr>
              <w:t>评标价</w:t>
            </w:r>
            <w:r>
              <w:rPr>
                <w:rFonts w:hint="eastAsia"/>
                <w:spacing w:val="-2"/>
                <w:sz w:val="21"/>
                <w:szCs w:val="21"/>
                <w:highlight w:val="none"/>
                <w:lang w:eastAsia="zh-CN"/>
              </w:rPr>
              <w:t>：</w:t>
            </w:r>
            <w:r>
              <w:rPr>
                <w:spacing w:val="1"/>
                <w:sz w:val="21"/>
                <w:szCs w:val="21"/>
                <w:highlight w:val="none"/>
              </w:rPr>
              <w:t>100分</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pacing w:val="-1"/>
                <w:sz w:val="21"/>
                <w:szCs w:val="21"/>
                <w:highlight w:val="none"/>
              </w:rPr>
              <w:t>评标价得分计算：</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z w:val="21"/>
                <w:szCs w:val="21"/>
                <w:highlight w:val="none"/>
              </w:rPr>
              <w:t>a.如果投标人的评标价&gt;评标基准价，</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pacing w:val="2"/>
                <w:sz w:val="21"/>
                <w:szCs w:val="21"/>
                <w:highlight w:val="none"/>
              </w:rPr>
              <w:t>则评标价得分=100一偏差率×100×E1;</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pacing w:val="-1"/>
                <w:sz w:val="21"/>
                <w:szCs w:val="21"/>
                <w:highlight w:val="none"/>
              </w:rPr>
              <w:t>b.如果投标人的评标价≤评标基准价，</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pacing w:val="-1"/>
                <w:sz w:val="21"/>
                <w:szCs w:val="21"/>
                <w:highlight w:val="none"/>
              </w:rPr>
              <w:t>则评标价得分=100+偏差率×100×E2。</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pacing w:val="-7"/>
                <w:sz w:val="21"/>
                <w:szCs w:val="21"/>
                <w:highlight w:val="none"/>
              </w:rPr>
              <w:t>本项目E1=</w:t>
            </w:r>
            <w:r>
              <w:rPr>
                <w:spacing w:val="-7"/>
                <w:sz w:val="21"/>
                <w:szCs w:val="21"/>
                <w:highlight w:val="none"/>
                <w:u w:val="single" w:color="auto"/>
              </w:rPr>
              <w:t>1.</w:t>
            </w:r>
            <w:r>
              <w:rPr>
                <w:rFonts w:hint="eastAsia"/>
                <w:spacing w:val="-7"/>
                <w:sz w:val="21"/>
                <w:szCs w:val="21"/>
                <w:highlight w:val="none"/>
                <w:u w:val="single" w:color="auto"/>
                <w:lang w:val="en-US" w:eastAsia="zh-CN"/>
              </w:rPr>
              <w:t>5</w:t>
            </w:r>
            <w:r>
              <w:rPr>
                <w:spacing w:val="-7"/>
                <w:sz w:val="21"/>
                <w:szCs w:val="21"/>
                <w:highlight w:val="none"/>
              </w:rPr>
              <w:t>;E2=</w:t>
            </w:r>
            <w:r>
              <w:rPr>
                <w:rFonts w:hint="eastAsia"/>
                <w:spacing w:val="-7"/>
                <w:sz w:val="21"/>
                <w:szCs w:val="21"/>
                <w:highlight w:val="none"/>
                <w:u w:val="single" w:color="auto"/>
                <w:lang w:val="en-US" w:eastAsia="zh-CN"/>
              </w:rPr>
              <w:t>1.0</w:t>
            </w:r>
            <w:r>
              <w:rPr>
                <w:spacing w:val="-7"/>
                <w:sz w:val="21"/>
                <w:szCs w:val="21"/>
                <w:highlight w:val="none"/>
              </w:rPr>
              <w:t>。</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pacing w:val="3"/>
                <w:sz w:val="21"/>
                <w:szCs w:val="21"/>
                <w:highlight w:val="none"/>
              </w:rPr>
              <w:t>其中：E1是评标价每高于评标基准价一个百分点的扣分值</w:t>
            </w:r>
            <w:r>
              <w:rPr>
                <w:rFonts w:hint="eastAsia"/>
                <w:spacing w:val="3"/>
                <w:sz w:val="21"/>
                <w:szCs w:val="21"/>
                <w:highlight w:val="none"/>
                <w:lang w:eastAsia="zh-CN"/>
              </w:rPr>
              <w:t>；</w:t>
            </w:r>
            <w:r>
              <w:rPr>
                <w:spacing w:val="-1"/>
                <w:sz w:val="21"/>
                <w:szCs w:val="21"/>
                <w:highlight w:val="none"/>
              </w:rPr>
              <w:t>E2是评标价每低于评标基准价一个百分点的扣分值。</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sz w:val="21"/>
                <w:szCs w:val="21"/>
                <w:highlight w:val="none"/>
              </w:rPr>
            </w:pPr>
            <w:r>
              <w:rPr>
                <w:sz w:val="21"/>
                <w:szCs w:val="21"/>
                <w:highlight w:val="none"/>
              </w:rPr>
              <w:t>所有评标价得分分值计算保留小数点后4位(四舍五入法</w:t>
            </w:r>
            <w:r>
              <w:rPr>
                <w:spacing w:val="-1"/>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jc w:val="center"/>
        </w:trPr>
        <w:tc>
          <w:tcPr>
            <w:tcW w:w="9132" w:type="dxa"/>
            <w:gridSpan w:val="4"/>
            <w:tcBorders>
              <w:left w:val="single" w:color="000000" w:sz="2" w:space="0"/>
            </w:tcBorders>
            <w:noWrap w:val="0"/>
            <w:vAlign w:val="top"/>
          </w:tcPr>
          <w:p>
            <w:pPr>
              <w:pStyle w:val="8"/>
              <w:keepNext w:val="0"/>
              <w:keepLines w:val="0"/>
              <w:pageBreakBefore w:val="0"/>
              <w:wordWrap/>
              <w:overflowPunct/>
              <w:topLinePunct w:val="0"/>
              <w:autoSpaceDE w:val="0"/>
              <w:autoSpaceDN w:val="0"/>
              <w:bidi w:val="0"/>
              <w:adjustRightInd w:val="0"/>
              <w:snapToGrid w:val="0"/>
              <w:spacing w:line="240" w:lineRule="auto"/>
              <w:ind w:left="0" w:leftChars="0" w:right="0" w:rightChars="0"/>
              <w:rPr>
                <w:sz w:val="21"/>
                <w:szCs w:val="21"/>
                <w:highlight w:val="none"/>
              </w:rPr>
            </w:pPr>
            <w:r>
              <w:rPr>
                <w:spacing w:val="-1"/>
                <w:sz w:val="21"/>
                <w:szCs w:val="21"/>
                <w:highlight w:val="none"/>
              </w:rPr>
              <w:t>需要补充的其他内容：无。</w:t>
            </w:r>
          </w:p>
        </w:tc>
      </w:tr>
    </w:tbl>
    <w:p>
      <w:pPr>
        <w:pStyle w:val="3"/>
        <w:rPr>
          <w:highlight w:val="none"/>
        </w:rPr>
      </w:pPr>
    </w:p>
    <w:p>
      <w:pPr>
        <w:rPr>
          <w:highlight w:val="none"/>
        </w:rPr>
        <w:sectPr>
          <w:footerReference r:id="rId4" w:type="first"/>
          <w:footerReference r:id="rId3" w:type="default"/>
          <w:pgSz w:w="11905" w:h="16838"/>
          <w:pgMar w:top="1361" w:right="1134" w:bottom="1361" w:left="1134" w:header="850" w:footer="992" w:gutter="0"/>
          <w:pgBorders>
            <w:top w:val="none" w:sz="0" w:space="0"/>
            <w:left w:val="none" w:sz="0" w:space="0"/>
            <w:bottom w:val="none" w:sz="0" w:space="0"/>
            <w:right w:val="none" w:sz="0" w:space="0"/>
          </w:pgBorders>
          <w:pgNumType w:fmt="decimal"/>
          <w:cols w:space="720" w:num="1"/>
          <w:titlePg/>
          <w:rtlGutter w:val="0"/>
          <w:docGrid w:linePitch="1" w:charSpace="0"/>
        </w:sectPr>
      </w:pPr>
    </w:p>
    <w:p>
      <w:pPr>
        <w:keepNext w:val="0"/>
        <w:keepLines w:val="0"/>
        <w:pageBreakBefore w:val="0"/>
        <w:widowControl w:val="0"/>
        <w:kinsoku/>
        <w:wordWrap/>
        <w:overflowPunct/>
        <w:topLinePunct w:val="0"/>
        <w:autoSpaceDE w:val="0"/>
        <w:autoSpaceDN w:val="0"/>
        <w:bidi w:val="0"/>
        <w:adjustRightInd w:val="0"/>
        <w:snapToGrid w:val="0"/>
        <w:spacing w:before="97" w:line="220" w:lineRule="auto"/>
        <w:jc w:val="both"/>
        <w:textAlignment w:val="auto"/>
        <w:outlineLvl w:val="1"/>
        <w:rPr>
          <w:rFonts w:hint="eastAsia" w:ascii="宋体" w:hAnsi="宋体" w:eastAsia="宋体" w:cs="宋体"/>
          <w:sz w:val="24"/>
          <w:szCs w:val="24"/>
          <w:highlight w:val="none"/>
        </w:rPr>
      </w:pPr>
      <w:bookmarkStart w:id="2" w:name="_Toc4967_WPSOffice_Level2"/>
      <w:bookmarkStart w:id="3" w:name="_Toc24416"/>
      <w:bookmarkStart w:id="4" w:name="_Toc9940"/>
      <w:bookmarkStart w:id="5" w:name="_Toc12356"/>
      <w:bookmarkStart w:id="6" w:name="_Toc9290"/>
      <w:bookmarkStart w:id="7" w:name="_Toc28131"/>
      <w:r>
        <w:rPr>
          <w:rFonts w:hint="eastAsia" w:ascii="宋体" w:hAnsi="宋体" w:eastAsia="宋体" w:cs="宋体"/>
          <w:b/>
          <w:bCs/>
          <w:spacing w:val="-11"/>
          <w:sz w:val="24"/>
          <w:szCs w:val="24"/>
          <w:highlight w:val="none"/>
        </w:rPr>
        <w:t>1.</w:t>
      </w:r>
      <w:r>
        <w:rPr>
          <w:rFonts w:hint="eastAsia" w:ascii="宋体" w:hAnsi="宋体" w:eastAsia="宋体" w:cs="宋体"/>
          <w:spacing w:val="-82"/>
          <w:sz w:val="24"/>
          <w:szCs w:val="24"/>
          <w:highlight w:val="none"/>
        </w:rPr>
        <w:t xml:space="preserve"> </w:t>
      </w:r>
      <w:r>
        <w:rPr>
          <w:rFonts w:hint="eastAsia" w:ascii="宋体" w:hAnsi="宋体" w:eastAsia="宋体" w:cs="宋体"/>
          <w:b/>
          <w:bCs/>
          <w:spacing w:val="-11"/>
          <w:sz w:val="24"/>
          <w:szCs w:val="24"/>
          <w:highlight w:val="none"/>
        </w:rPr>
        <w:t>评标方法</w:t>
      </w:r>
      <w:bookmarkEnd w:id="2"/>
      <w:bookmarkEnd w:id="3"/>
      <w:bookmarkEnd w:id="4"/>
      <w:bookmarkEnd w:id="5"/>
      <w:bookmarkEnd w:id="6"/>
      <w:bookmarkEnd w:id="7"/>
    </w:p>
    <w:p>
      <w:pPr>
        <w:keepNext w:val="0"/>
        <w:keepLines w:val="0"/>
        <w:pageBreakBefore w:val="0"/>
        <w:widowControl w:val="0"/>
        <w:kinsoku/>
        <w:wordWrap/>
        <w:overflowPunct/>
        <w:topLinePunct w:val="0"/>
        <w:autoSpaceDE w:val="0"/>
        <w:autoSpaceDN w:val="0"/>
        <w:bidi w:val="0"/>
        <w:adjustRightInd w:val="0"/>
        <w:snapToGrid w:val="0"/>
        <w:spacing w:before="78" w:line="218" w:lineRule="auto"/>
        <w:jc w:val="both"/>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本次评标采用合理低价法。</w:t>
      </w:r>
    </w:p>
    <w:p>
      <w:pPr>
        <w:keepNext w:val="0"/>
        <w:keepLines w:val="0"/>
        <w:pageBreakBefore w:val="0"/>
        <w:widowControl w:val="0"/>
        <w:kinsoku/>
        <w:wordWrap/>
        <w:overflowPunct/>
        <w:topLinePunct w:val="0"/>
        <w:autoSpaceDE w:val="0"/>
        <w:autoSpaceDN w:val="0"/>
        <w:bidi w:val="0"/>
        <w:adjustRightInd w:val="0"/>
        <w:snapToGrid w:val="0"/>
        <w:spacing w:before="198" w:line="369" w:lineRule="auto"/>
        <w:ind w:right="163"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评标委员会根据第二个信封(报价文件)开标现场随机确定的评标基准价</w:t>
      </w:r>
      <w:r>
        <w:rPr>
          <w:rFonts w:hint="eastAsia" w:ascii="宋体" w:hAnsi="宋体" w:eastAsia="宋体" w:cs="宋体"/>
          <w:spacing w:val="4"/>
          <w:sz w:val="24"/>
          <w:szCs w:val="24"/>
          <w:highlight w:val="none"/>
        </w:rPr>
        <w:t>计算方法和相应参数确定评标基准价(投标报价超过最高投</w:t>
      </w:r>
      <w:r>
        <w:rPr>
          <w:rFonts w:hint="eastAsia" w:ascii="宋体" w:hAnsi="宋体" w:eastAsia="宋体" w:cs="宋体"/>
          <w:spacing w:val="3"/>
          <w:sz w:val="24"/>
          <w:szCs w:val="24"/>
          <w:highlight w:val="none"/>
        </w:rPr>
        <w:t>标限价的，不参与</w:t>
      </w:r>
      <w:r>
        <w:rPr>
          <w:rFonts w:hint="eastAsia" w:ascii="宋体" w:hAnsi="宋体" w:eastAsia="宋体" w:cs="宋体"/>
          <w:spacing w:val="9"/>
          <w:sz w:val="24"/>
          <w:szCs w:val="24"/>
          <w:highlight w:val="none"/>
        </w:rPr>
        <w:t>评标基准价的计算),对第二次开标有效的投标文件</w:t>
      </w:r>
      <w:r>
        <w:rPr>
          <w:rFonts w:hint="eastAsia" w:ascii="宋体" w:hAnsi="宋体" w:eastAsia="宋体" w:cs="宋体"/>
          <w:spacing w:val="8"/>
          <w:sz w:val="24"/>
          <w:szCs w:val="24"/>
          <w:highlight w:val="none"/>
        </w:rPr>
        <w:t>第二个信封(报价文件),</w:t>
      </w:r>
      <w:r>
        <w:rPr>
          <w:rFonts w:hint="eastAsia" w:ascii="宋体" w:hAnsi="宋体" w:eastAsia="宋体" w:cs="宋体"/>
          <w:spacing w:val="3"/>
          <w:sz w:val="24"/>
          <w:szCs w:val="24"/>
          <w:highlight w:val="none"/>
        </w:rPr>
        <w:t>按照本章第2.2款规定的标准进行评分，并按得分由高到低的顺序进行排名，</w:t>
      </w:r>
      <w:r>
        <w:rPr>
          <w:rFonts w:hint="eastAsia" w:ascii="宋体" w:hAnsi="宋体" w:eastAsia="宋体" w:cs="宋体"/>
          <w:sz w:val="24"/>
          <w:szCs w:val="24"/>
          <w:highlight w:val="none"/>
        </w:rPr>
        <w:t>但投标报价低于其成本的除外。综合评分相等时，评标委员会应按照评标办法</w:t>
      </w:r>
      <w:r>
        <w:rPr>
          <w:rFonts w:hint="eastAsia" w:ascii="宋体" w:hAnsi="宋体" w:eastAsia="宋体" w:cs="宋体"/>
          <w:spacing w:val="-3"/>
          <w:sz w:val="24"/>
          <w:szCs w:val="24"/>
          <w:highlight w:val="none"/>
        </w:rPr>
        <w:t>前附表规定的优先次序确定投标人的排名。</w:t>
      </w:r>
    </w:p>
    <w:p>
      <w:pPr>
        <w:keepNext w:val="0"/>
        <w:keepLines w:val="0"/>
        <w:pageBreakBefore w:val="0"/>
        <w:widowControl w:val="0"/>
        <w:kinsoku/>
        <w:wordWrap/>
        <w:overflowPunct/>
        <w:topLinePunct w:val="0"/>
        <w:autoSpaceDE w:val="0"/>
        <w:autoSpaceDN w:val="0"/>
        <w:bidi w:val="0"/>
        <w:adjustRightInd w:val="0"/>
        <w:snapToGrid w:val="0"/>
        <w:spacing w:before="2" w:line="369" w:lineRule="auto"/>
        <w:ind w:right="162" w:firstLine="496"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根据第一章“招标公告”或“投标邀请书”第3.3款规定的投标人最多可</w:t>
      </w:r>
      <w:r>
        <w:rPr>
          <w:rFonts w:hint="eastAsia" w:ascii="宋体" w:hAnsi="宋体" w:eastAsia="宋体" w:cs="宋体"/>
          <w:spacing w:val="1"/>
          <w:sz w:val="24"/>
          <w:szCs w:val="24"/>
          <w:highlight w:val="none"/>
        </w:rPr>
        <w:t>中标标段数量，若某个投标人排名第一的中</w:t>
      </w:r>
      <w:r>
        <w:rPr>
          <w:rFonts w:hint="eastAsia" w:ascii="宋体" w:hAnsi="宋体" w:eastAsia="宋体" w:cs="宋体"/>
          <w:sz w:val="24"/>
          <w:szCs w:val="24"/>
          <w:highlight w:val="none"/>
        </w:rPr>
        <w:t>标候选标段数量超出或满足最多可</w:t>
      </w:r>
      <w:r>
        <w:rPr>
          <w:rFonts w:hint="eastAsia" w:ascii="宋体" w:hAnsi="宋体" w:eastAsia="宋体" w:cs="宋体"/>
          <w:spacing w:val="1"/>
          <w:sz w:val="24"/>
          <w:szCs w:val="24"/>
          <w:highlight w:val="none"/>
        </w:rPr>
        <w:t>中标标段数量时，评标委员会按照以下步骤确</w:t>
      </w:r>
      <w:r>
        <w:rPr>
          <w:rFonts w:hint="eastAsia" w:ascii="宋体" w:hAnsi="宋体" w:eastAsia="宋体" w:cs="宋体"/>
          <w:sz w:val="24"/>
          <w:szCs w:val="24"/>
          <w:highlight w:val="none"/>
        </w:rPr>
        <w:t>定各标段推荐的中标候选人，或</w:t>
      </w:r>
      <w:r>
        <w:rPr>
          <w:rFonts w:hint="eastAsia" w:ascii="宋体" w:hAnsi="宋体" w:eastAsia="宋体" w:cs="宋体"/>
          <w:spacing w:val="-5"/>
          <w:sz w:val="24"/>
          <w:szCs w:val="24"/>
          <w:highlight w:val="none"/>
        </w:rPr>
        <w:t>根据招标人授权直接确定中标人：</w:t>
      </w:r>
    </w:p>
    <w:p>
      <w:pPr>
        <w:keepNext w:val="0"/>
        <w:keepLines w:val="0"/>
        <w:pageBreakBefore w:val="0"/>
        <w:widowControl w:val="0"/>
        <w:kinsoku/>
        <w:wordWrap/>
        <w:overflowPunct/>
        <w:topLinePunct w:val="0"/>
        <w:autoSpaceDE w:val="0"/>
        <w:autoSpaceDN w:val="0"/>
        <w:bidi w:val="0"/>
        <w:adjustRightInd w:val="0"/>
        <w:snapToGrid w:val="0"/>
        <w:spacing w:before="1" w:line="332" w:lineRule="auto"/>
        <w:ind w:right="162"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(1)依据各投标人投标函中承诺的优先选择次序确定其排名第一的中标候</w:t>
      </w:r>
      <w:r>
        <w:rPr>
          <w:rFonts w:hint="eastAsia" w:ascii="宋体" w:hAnsi="宋体" w:eastAsia="宋体" w:cs="宋体"/>
          <w:spacing w:val="1"/>
          <w:sz w:val="24"/>
          <w:szCs w:val="24"/>
          <w:highlight w:val="none"/>
        </w:rPr>
        <w:t>选标段，当投标人第一中标候选标段数量满</w:t>
      </w:r>
      <w:r>
        <w:rPr>
          <w:rFonts w:hint="eastAsia" w:ascii="宋体" w:hAnsi="宋体" w:eastAsia="宋体" w:cs="宋体"/>
          <w:sz w:val="24"/>
          <w:szCs w:val="24"/>
          <w:highlight w:val="none"/>
        </w:rPr>
        <w:t>足最多可中标标段数量时，则该投</w:t>
      </w:r>
      <w:r>
        <w:rPr>
          <w:rFonts w:hint="eastAsia" w:ascii="宋体" w:hAnsi="宋体" w:eastAsia="宋体" w:cs="宋体"/>
          <w:spacing w:val="4"/>
          <w:sz w:val="24"/>
          <w:szCs w:val="24"/>
          <w:highlight w:val="none"/>
        </w:rPr>
        <w:t>标人放弃其他标段的中标资格(即在其他标段中该投标人不再参与排名，该排</w:t>
      </w:r>
      <w:r>
        <w:rPr>
          <w:rFonts w:hint="eastAsia" w:ascii="宋体" w:hAnsi="宋体" w:eastAsia="宋体" w:cs="宋体"/>
          <w:spacing w:val="-1"/>
          <w:sz w:val="24"/>
          <w:szCs w:val="24"/>
          <w:highlight w:val="none"/>
        </w:rPr>
        <w:t>名也不由其他投标人递补);</w:t>
      </w:r>
    </w:p>
    <w:p>
      <w:pPr>
        <w:keepNext w:val="0"/>
        <w:keepLines w:val="0"/>
        <w:pageBreakBefore w:val="0"/>
        <w:widowControl w:val="0"/>
        <w:kinsoku/>
        <w:wordWrap/>
        <w:overflowPunct/>
        <w:topLinePunct w:val="0"/>
        <w:autoSpaceDE w:val="0"/>
        <w:autoSpaceDN w:val="0"/>
        <w:bidi w:val="0"/>
        <w:adjustRightInd w:val="0"/>
        <w:snapToGrid w:val="0"/>
        <w:spacing w:before="192" w:line="294" w:lineRule="auto"/>
        <w:ind w:right="155"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(2)在确定了上述排名第一的投标人的中标候选标段后，所有放弃中标资</w:t>
      </w:r>
      <w:r>
        <w:rPr>
          <w:rFonts w:hint="eastAsia" w:ascii="宋体" w:hAnsi="宋体" w:eastAsia="宋体" w:cs="宋体"/>
          <w:spacing w:val="8"/>
          <w:sz w:val="24"/>
          <w:szCs w:val="24"/>
          <w:highlight w:val="none"/>
        </w:rPr>
        <w:t>格的标段排名由相应标段的投标人依次递补(只向</w:t>
      </w:r>
      <w:r>
        <w:rPr>
          <w:rFonts w:hint="eastAsia" w:ascii="宋体" w:hAnsi="宋体" w:eastAsia="宋体" w:cs="宋体"/>
          <w:spacing w:val="7"/>
          <w:sz w:val="24"/>
          <w:szCs w:val="24"/>
          <w:highlight w:val="none"/>
        </w:rPr>
        <w:t>上递补1个名次);</w:t>
      </w:r>
    </w:p>
    <w:p>
      <w:pPr>
        <w:keepNext w:val="0"/>
        <w:keepLines w:val="0"/>
        <w:pageBreakBefore w:val="0"/>
        <w:widowControl w:val="0"/>
        <w:kinsoku/>
        <w:wordWrap/>
        <w:overflowPunct/>
        <w:topLinePunct w:val="0"/>
        <w:autoSpaceDE w:val="0"/>
        <w:autoSpaceDN w:val="0"/>
        <w:bidi w:val="0"/>
        <w:adjustRightInd w:val="0"/>
        <w:snapToGrid w:val="0"/>
        <w:spacing w:before="195" w:line="219" w:lineRule="auto"/>
        <w:ind w:firstLine="52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(3)重复上述(1)、(2)步骤，直至确定所有</w:t>
      </w:r>
      <w:r>
        <w:rPr>
          <w:rFonts w:hint="eastAsia" w:ascii="宋体" w:hAnsi="宋体" w:eastAsia="宋体" w:cs="宋体"/>
          <w:spacing w:val="9"/>
          <w:sz w:val="24"/>
          <w:szCs w:val="24"/>
          <w:highlight w:val="none"/>
        </w:rPr>
        <w:t>标段推荐的中标候选人。</w:t>
      </w:r>
    </w:p>
    <w:p>
      <w:pPr>
        <w:keepNext w:val="0"/>
        <w:keepLines w:val="0"/>
        <w:pageBreakBefore w:val="0"/>
        <w:widowControl w:val="0"/>
        <w:kinsoku/>
        <w:wordWrap/>
        <w:overflowPunct/>
        <w:topLinePunct w:val="0"/>
        <w:autoSpaceDE w:val="0"/>
        <w:autoSpaceDN w:val="0"/>
        <w:bidi w:val="0"/>
        <w:adjustRightInd w:val="0"/>
        <w:snapToGrid w:val="0"/>
        <w:spacing w:before="98" w:line="220" w:lineRule="auto"/>
        <w:jc w:val="both"/>
        <w:textAlignment w:val="auto"/>
        <w:outlineLvl w:val="1"/>
        <w:rPr>
          <w:rFonts w:hint="eastAsia" w:ascii="宋体" w:hAnsi="宋体" w:eastAsia="宋体" w:cs="宋体"/>
          <w:sz w:val="24"/>
          <w:szCs w:val="24"/>
          <w:highlight w:val="none"/>
        </w:rPr>
      </w:pPr>
      <w:bookmarkStart w:id="8" w:name="_Toc25383"/>
      <w:bookmarkStart w:id="9" w:name="_Toc22418"/>
      <w:bookmarkStart w:id="10" w:name="_Toc15191_WPSOffice_Level2"/>
      <w:bookmarkStart w:id="11" w:name="_Toc26108"/>
      <w:bookmarkStart w:id="12" w:name="_Toc28118"/>
      <w:bookmarkStart w:id="13" w:name="_Toc25567"/>
      <w:r>
        <w:rPr>
          <w:rFonts w:hint="eastAsia" w:ascii="宋体" w:hAnsi="宋体" w:eastAsia="宋体" w:cs="宋体"/>
          <w:b/>
          <w:bCs/>
          <w:spacing w:val="-8"/>
          <w:sz w:val="24"/>
          <w:szCs w:val="24"/>
          <w:highlight w:val="none"/>
        </w:rPr>
        <w:t>2.</w:t>
      </w:r>
      <w:r>
        <w:rPr>
          <w:rFonts w:hint="eastAsia" w:ascii="宋体" w:hAnsi="宋体" w:eastAsia="宋体" w:cs="宋体"/>
          <w:spacing w:val="-60"/>
          <w:sz w:val="24"/>
          <w:szCs w:val="24"/>
          <w:highlight w:val="none"/>
        </w:rPr>
        <w:t xml:space="preserve"> </w:t>
      </w:r>
      <w:r>
        <w:rPr>
          <w:rFonts w:hint="eastAsia" w:ascii="宋体" w:hAnsi="宋体" w:eastAsia="宋体" w:cs="宋体"/>
          <w:b/>
          <w:bCs/>
          <w:spacing w:val="-8"/>
          <w:sz w:val="24"/>
          <w:szCs w:val="24"/>
          <w:highlight w:val="none"/>
        </w:rPr>
        <w:t>评审标准</w:t>
      </w:r>
      <w:bookmarkEnd w:id="8"/>
      <w:bookmarkEnd w:id="9"/>
      <w:bookmarkEnd w:id="10"/>
      <w:bookmarkEnd w:id="11"/>
      <w:bookmarkEnd w:id="12"/>
      <w:bookmarkEnd w:id="13"/>
    </w:p>
    <w:p>
      <w:pPr>
        <w:keepNext w:val="0"/>
        <w:keepLines w:val="0"/>
        <w:pageBreakBefore w:val="0"/>
        <w:widowControl w:val="0"/>
        <w:kinsoku/>
        <w:wordWrap/>
        <w:overflowPunct/>
        <w:topLinePunct w:val="0"/>
        <w:autoSpaceDE w:val="0"/>
        <w:autoSpaceDN w:val="0"/>
        <w:bidi w:val="0"/>
        <w:adjustRightInd w:val="0"/>
        <w:snapToGrid w:val="0"/>
        <w:spacing w:before="79" w:line="219" w:lineRule="auto"/>
        <w:ind w:left="3" w:firstLine="450" w:firstLineChars="200"/>
        <w:jc w:val="both"/>
        <w:textAlignment w:val="auto"/>
        <w:outlineLvl w:val="2"/>
        <w:rPr>
          <w:rFonts w:hint="eastAsia" w:ascii="宋体" w:hAnsi="宋体" w:eastAsia="宋体" w:cs="宋体"/>
          <w:sz w:val="24"/>
          <w:szCs w:val="24"/>
          <w:highlight w:val="none"/>
        </w:rPr>
      </w:pPr>
      <w:bookmarkStart w:id="14" w:name="_Toc18908"/>
      <w:bookmarkStart w:id="15" w:name="_Toc5514"/>
      <w:bookmarkStart w:id="16" w:name="_Toc22407"/>
      <w:bookmarkStart w:id="17" w:name="_Toc5393"/>
      <w:bookmarkStart w:id="18" w:name="_Toc4849"/>
      <w:r>
        <w:rPr>
          <w:rFonts w:hint="eastAsia" w:ascii="宋体" w:hAnsi="宋体" w:eastAsia="宋体" w:cs="宋体"/>
          <w:b/>
          <w:bCs/>
          <w:spacing w:val="-8"/>
          <w:sz w:val="24"/>
          <w:szCs w:val="24"/>
          <w:highlight w:val="none"/>
        </w:rPr>
        <w:t>2.1</w:t>
      </w:r>
      <w:r>
        <w:rPr>
          <w:rFonts w:hint="eastAsia" w:ascii="宋体" w:hAnsi="宋体" w:eastAsia="宋体" w:cs="宋体"/>
          <w:spacing w:val="-8"/>
          <w:sz w:val="24"/>
          <w:szCs w:val="24"/>
          <w:highlight w:val="none"/>
        </w:rPr>
        <w:t xml:space="preserve"> </w:t>
      </w:r>
      <w:r>
        <w:rPr>
          <w:rFonts w:hint="eastAsia" w:ascii="宋体" w:hAnsi="宋体" w:eastAsia="宋体" w:cs="宋体"/>
          <w:b/>
          <w:bCs/>
          <w:spacing w:val="-8"/>
          <w:sz w:val="24"/>
          <w:szCs w:val="24"/>
          <w:highlight w:val="none"/>
        </w:rPr>
        <w:t>初步评审标准</w:t>
      </w:r>
      <w:bookmarkEnd w:id="14"/>
      <w:bookmarkEnd w:id="15"/>
      <w:bookmarkEnd w:id="16"/>
      <w:bookmarkEnd w:id="17"/>
      <w:bookmarkEnd w:id="18"/>
    </w:p>
    <w:p>
      <w:pPr>
        <w:keepNext w:val="0"/>
        <w:keepLines w:val="0"/>
        <w:pageBreakBefore w:val="0"/>
        <w:widowControl w:val="0"/>
        <w:kinsoku/>
        <w:wordWrap/>
        <w:overflowPunct/>
        <w:topLinePunct w:val="0"/>
        <w:autoSpaceDE w:val="0"/>
        <w:autoSpaceDN w:val="0"/>
        <w:bidi w:val="0"/>
        <w:adjustRightInd w:val="0"/>
        <w:snapToGrid w:val="0"/>
        <w:spacing w:before="237" w:line="219" w:lineRule="auto"/>
        <w:ind w:left="480" w:firstLine="476"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2.1.1.商务及技术文件初步评审标准：见评标办法前附表。</w:t>
      </w:r>
    </w:p>
    <w:p>
      <w:pPr>
        <w:keepNext w:val="0"/>
        <w:keepLines w:val="0"/>
        <w:pageBreakBefore w:val="0"/>
        <w:widowControl w:val="0"/>
        <w:kinsoku/>
        <w:wordWrap/>
        <w:overflowPunct/>
        <w:topLinePunct w:val="0"/>
        <w:autoSpaceDE w:val="0"/>
        <w:autoSpaceDN w:val="0"/>
        <w:bidi w:val="0"/>
        <w:adjustRightInd w:val="0"/>
        <w:snapToGrid w:val="0"/>
        <w:spacing w:before="195" w:line="218" w:lineRule="auto"/>
        <w:ind w:left="480" w:firstLine="476"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2.1.2 报价文件初步评审标准：见评标办法前附表。</w:t>
      </w:r>
    </w:p>
    <w:p>
      <w:pPr>
        <w:keepNext w:val="0"/>
        <w:keepLines w:val="0"/>
        <w:pageBreakBefore w:val="0"/>
        <w:widowControl w:val="0"/>
        <w:kinsoku/>
        <w:wordWrap/>
        <w:overflowPunct/>
        <w:topLinePunct w:val="0"/>
        <w:autoSpaceDE w:val="0"/>
        <w:autoSpaceDN w:val="0"/>
        <w:bidi w:val="0"/>
        <w:adjustRightInd w:val="0"/>
        <w:snapToGrid w:val="0"/>
        <w:spacing w:before="285" w:line="219" w:lineRule="auto"/>
        <w:ind w:left="3" w:firstLine="494" w:firstLineChars="200"/>
        <w:jc w:val="both"/>
        <w:textAlignment w:val="auto"/>
        <w:outlineLvl w:val="2"/>
        <w:rPr>
          <w:rFonts w:hint="eastAsia" w:ascii="宋体" w:hAnsi="宋体" w:eastAsia="宋体" w:cs="宋体"/>
          <w:sz w:val="24"/>
          <w:szCs w:val="24"/>
          <w:highlight w:val="none"/>
        </w:rPr>
      </w:pPr>
      <w:bookmarkStart w:id="19" w:name="_Toc16720"/>
      <w:bookmarkStart w:id="20" w:name="_Toc4128"/>
      <w:bookmarkStart w:id="21" w:name="_Toc20412"/>
      <w:bookmarkStart w:id="22" w:name="_Toc14441"/>
      <w:bookmarkStart w:id="23" w:name="_Toc24445"/>
      <w:r>
        <w:rPr>
          <w:rFonts w:hint="eastAsia" w:ascii="宋体" w:hAnsi="宋体" w:eastAsia="宋体" w:cs="宋体"/>
          <w:b/>
          <w:bCs/>
          <w:spacing w:val="3"/>
          <w:sz w:val="24"/>
          <w:szCs w:val="24"/>
          <w:highlight w:val="none"/>
        </w:rPr>
        <w:t>2.2分值构成与评分标准</w:t>
      </w:r>
      <w:bookmarkEnd w:id="19"/>
      <w:bookmarkEnd w:id="20"/>
      <w:bookmarkEnd w:id="21"/>
      <w:bookmarkEnd w:id="22"/>
      <w:bookmarkEnd w:id="23"/>
    </w:p>
    <w:p>
      <w:pPr>
        <w:keepNext w:val="0"/>
        <w:keepLines w:val="0"/>
        <w:pageBreakBefore w:val="0"/>
        <w:widowControl w:val="0"/>
        <w:kinsoku/>
        <w:wordWrap/>
        <w:overflowPunct/>
        <w:topLinePunct w:val="0"/>
        <w:autoSpaceDE w:val="0"/>
        <w:autoSpaceDN w:val="0"/>
        <w:bidi w:val="0"/>
        <w:adjustRightInd w:val="0"/>
        <w:snapToGrid w:val="0"/>
        <w:spacing w:before="259" w:line="219" w:lineRule="auto"/>
        <w:ind w:left="480" w:firstLine="49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2.2.1.分值构成</w:t>
      </w:r>
    </w:p>
    <w:p>
      <w:pPr>
        <w:keepNext w:val="0"/>
        <w:keepLines w:val="0"/>
        <w:pageBreakBefore w:val="0"/>
        <w:widowControl w:val="0"/>
        <w:kinsoku/>
        <w:wordWrap/>
        <w:overflowPunct/>
        <w:topLinePunct w:val="0"/>
        <w:autoSpaceDE w:val="0"/>
        <w:autoSpaceDN w:val="0"/>
        <w:bidi w:val="0"/>
        <w:adjustRightInd w:val="0"/>
        <w:snapToGrid w:val="0"/>
        <w:spacing w:before="183" w:line="218" w:lineRule="auto"/>
        <w:ind w:left="480" w:firstLine="476"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评标价：见评标办法前附表。</w:t>
      </w:r>
    </w:p>
    <w:p>
      <w:pPr>
        <w:keepNext w:val="0"/>
        <w:keepLines w:val="0"/>
        <w:pageBreakBefore w:val="0"/>
        <w:widowControl w:val="0"/>
        <w:kinsoku/>
        <w:wordWrap/>
        <w:overflowPunct/>
        <w:topLinePunct w:val="0"/>
        <w:autoSpaceDE w:val="0"/>
        <w:autoSpaceDN w:val="0"/>
        <w:bidi w:val="0"/>
        <w:adjustRightInd w:val="0"/>
        <w:snapToGrid w:val="0"/>
        <w:spacing w:before="78" w:line="218" w:lineRule="auto"/>
        <w:ind w:left="480" w:firstLine="500" w:firstLineChars="200"/>
        <w:jc w:val="both"/>
        <w:textAlignment w:val="auto"/>
        <w:rPr>
          <w:rFonts w:hint="eastAsia" w:ascii="宋体" w:hAnsi="宋体" w:eastAsia="宋体" w:cs="宋体"/>
          <w:sz w:val="24"/>
          <w:szCs w:val="24"/>
          <w:highlight w:val="none"/>
        </w:rPr>
      </w:pPr>
      <w:bookmarkStart w:id="24" w:name="bookmark283"/>
      <w:bookmarkEnd w:id="24"/>
      <w:r>
        <w:rPr>
          <w:rFonts w:hint="eastAsia" w:ascii="宋体" w:hAnsi="宋体" w:eastAsia="宋体" w:cs="宋体"/>
          <w:spacing w:val="5"/>
          <w:sz w:val="24"/>
          <w:szCs w:val="24"/>
          <w:highlight w:val="none"/>
        </w:rPr>
        <w:t>2.2.2评标基准价计算</w:t>
      </w:r>
    </w:p>
    <w:p>
      <w:pPr>
        <w:keepNext w:val="0"/>
        <w:keepLines w:val="0"/>
        <w:pageBreakBefore w:val="0"/>
        <w:widowControl w:val="0"/>
        <w:kinsoku/>
        <w:wordWrap/>
        <w:overflowPunct/>
        <w:topLinePunct w:val="0"/>
        <w:autoSpaceDE w:val="0"/>
        <w:autoSpaceDN w:val="0"/>
        <w:bidi w:val="0"/>
        <w:adjustRightInd w:val="0"/>
        <w:snapToGrid w:val="0"/>
        <w:spacing w:before="216" w:line="218" w:lineRule="auto"/>
        <w:ind w:left="480" w:firstLine="468" w:firstLineChars="200"/>
        <w:jc w:val="both"/>
        <w:textAlignment w:val="auto"/>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评标基准价计算方法：见评标办法前附表。</w:t>
      </w:r>
    </w:p>
    <w:p>
      <w:pPr>
        <w:keepNext w:val="0"/>
        <w:keepLines w:val="0"/>
        <w:pageBreakBefore w:val="0"/>
        <w:widowControl w:val="0"/>
        <w:kinsoku/>
        <w:wordWrap/>
        <w:overflowPunct/>
        <w:topLinePunct w:val="0"/>
        <w:autoSpaceDE w:val="0"/>
        <w:autoSpaceDN w:val="0"/>
        <w:bidi w:val="0"/>
        <w:adjustRightInd w:val="0"/>
        <w:snapToGrid w:val="0"/>
        <w:spacing w:before="196" w:line="218" w:lineRule="auto"/>
        <w:ind w:left="480" w:firstLine="49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2.2.3评标价的偏差率计算</w:t>
      </w:r>
    </w:p>
    <w:p>
      <w:pPr>
        <w:keepNext w:val="0"/>
        <w:keepLines w:val="0"/>
        <w:pageBreakBefore w:val="0"/>
        <w:widowControl w:val="0"/>
        <w:kinsoku/>
        <w:wordWrap/>
        <w:overflowPunct/>
        <w:topLinePunct w:val="0"/>
        <w:autoSpaceDE w:val="0"/>
        <w:autoSpaceDN w:val="0"/>
        <w:bidi w:val="0"/>
        <w:adjustRightInd w:val="0"/>
        <w:snapToGrid w:val="0"/>
        <w:spacing w:before="196" w:line="218" w:lineRule="auto"/>
        <w:ind w:left="480" w:firstLine="47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评标价的偏差率计算公式：见评标办法前附表。</w:t>
      </w:r>
    </w:p>
    <w:p>
      <w:pPr>
        <w:keepNext w:val="0"/>
        <w:keepLines w:val="0"/>
        <w:pageBreakBefore w:val="0"/>
        <w:widowControl w:val="0"/>
        <w:kinsoku/>
        <w:wordWrap/>
        <w:overflowPunct/>
        <w:topLinePunct w:val="0"/>
        <w:autoSpaceDE w:val="0"/>
        <w:autoSpaceDN w:val="0"/>
        <w:bidi w:val="0"/>
        <w:adjustRightInd w:val="0"/>
        <w:snapToGrid w:val="0"/>
        <w:spacing w:before="200" w:line="220" w:lineRule="auto"/>
        <w:ind w:left="480" w:firstLine="50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2.2.4评分标准</w:t>
      </w:r>
    </w:p>
    <w:p>
      <w:pPr>
        <w:keepNext w:val="0"/>
        <w:keepLines w:val="0"/>
        <w:pageBreakBefore w:val="0"/>
        <w:widowControl w:val="0"/>
        <w:kinsoku/>
        <w:wordWrap/>
        <w:overflowPunct/>
        <w:topLinePunct w:val="0"/>
        <w:autoSpaceDE w:val="0"/>
        <w:autoSpaceDN w:val="0"/>
        <w:bidi w:val="0"/>
        <w:adjustRightInd w:val="0"/>
        <w:snapToGrid w:val="0"/>
        <w:spacing w:before="191" w:line="218" w:lineRule="auto"/>
        <w:ind w:left="480" w:firstLine="46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评标价评分标准：见评标办法前附表。</w:t>
      </w:r>
    </w:p>
    <w:p>
      <w:pPr>
        <w:keepNext w:val="0"/>
        <w:keepLines w:val="0"/>
        <w:pageBreakBefore w:val="0"/>
        <w:widowControl w:val="0"/>
        <w:kinsoku/>
        <w:wordWrap/>
        <w:overflowPunct/>
        <w:topLinePunct w:val="0"/>
        <w:autoSpaceDE w:val="0"/>
        <w:autoSpaceDN w:val="0"/>
        <w:bidi w:val="0"/>
        <w:adjustRightInd w:val="0"/>
        <w:snapToGrid w:val="0"/>
        <w:spacing w:before="98" w:line="220" w:lineRule="auto"/>
        <w:jc w:val="both"/>
        <w:textAlignment w:val="auto"/>
        <w:outlineLvl w:val="1"/>
        <w:rPr>
          <w:rFonts w:hint="eastAsia" w:ascii="宋体" w:hAnsi="宋体" w:eastAsia="宋体" w:cs="宋体"/>
          <w:sz w:val="24"/>
          <w:szCs w:val="24"/>
          <w:highlight w:val="none"/>
        </w:rPr>
      </w:pPr>
      <w:bookmarkStart w:id="25" w:name="_Toc22583"/>
      <w:bookmarkStart w:id="26" w:name="_Toc17154"/>
      <w:bookmarkStart w:id="27" w:name="_Toc22210"/>
      <w:bookmarkStart w:id="28" w:name="_Toc23228"/>
      <w:bookmarkStart w:id="29" w:name="_Toc6953"/>
      <w:bookmarkStart w:id="30" w:name="_Toc20033_WPSOffice_Level2"/>
      <w:r>
        <w:rPr>
          <w:rFonts w:hint="eastAsia" w:ascii="宋体" w:hAnsi="宋体" w:eastAsia="宋体" w:cs="宋体"/>
          <w:b/>
          <w:bCs/>
          <w:spacing w:val="-8"/>
          <w:sz w:val="24"/>
          <w:szCs w:val="24"/>
          <w:highlight w:val="none"/>
        </w:rPr>
        <w:t>3.</w:t>
      </w:r>
      <w:r>
        <w:rPr>
          <w:rFonts w:hint="eastAsia" w:ascii="宋体" w:hAnsi="宋体" w:eastAsia="宋体" w:cs="宋体"/>
          <w:spacing w:val="-60"/>
          <w:sz w:val="24"/>
          <w:szCs w:val="24"/>
          <w:highlight w:val="none"/>
        </w:rPr>
        <w:t xml:space="preserve"> </w:t>
      </w:r>
      <w:r>
        <w:rPr>
          <w:rFonts w:hint="eastAsia" w:ascii="宋体" w:hAnsi="宋体" w:eastAsia="宋体" w:cs="宋体"/>
          <w:b/>
          <w:bCs/>
          <w:spacing w:val="-8"/>
          <w:sz w:val="24"/>
          <w:szCs w:val="24"/>
          <w:highlight w:val="none"/>
        </w:rPr>
        <w:t>评标程序</w:t>
      </w:r>
      <w:bookmarkEnd w:id="25"/>
      <w:bookmarkEnd w:id="26"/>
      <w:bookmarkEnd w:id="27"/>
      <w:bookmarkEnd w:id="28"/>
      <w:bookmarkEnd w:id="29"/>
      <w:bookmarkEnd w:id="30"/>
    </w:p>
    <w:p>
      <w:pPr>
        <w:keepNext w:val="0"/>
        <w:keepLines w:val="0"/>
        <w:pageBreakBefore w:val="0"/>
        <w:widowControl w:val="0"/>
        <w:kinsoku/>
        <w:wordWrap/>
        <w:overflowPunct/>
        <w:topLinePunct w:val="0"/>
        <w:autoSpaceDE w:val="0"/>
        <w:autoSpaceDN w:val="0"/>
        <w:bidi w:val="0"/>
        <w:adjustRightInd w:val="0"/>
        <w:snapToGrid w:val="0"/>
        <w:spacing w:before="79" w:line="219" w:lineRule="auto"/>
        <w:ind w:left="3" w:firstLine="522" w:firstLineChars="200"/>
        <w:jc w:val="both"/>
        <w:textAlignment w:val="auto"/>
        <w:outlineLvl w:val="2"/>
        <w:rPr>
          <w:rFonts w:hint="eastAsia" w:ascii="宋体" w:hAnsi="宋体" w:eastAsia="宋体" w:cs="宋体"/>
          <w:sz w:val="24"/>
          <w:szCs w:val="24"/>
          <w:highlight w:val="none"/>
        </w:rPr>
      </w:pPr>
      <w:bookmarkStart w:id="31" w:name="_Toc20959"/>
      <w:bookmarkStart w:id="32" w:name="_Toc11018"/>
      <w:bookmarkStart w:id="33" w:name="_Toc31148"/>
      <w:bookmarkStart w:id="34" w:name="_Toc2432"/>
      <w:bookmarkStart w:id="35" w:name="_Toc17457"/>
      <w:r>
        <w:rPr>
          <w:rFonts w:hint="eastAsia" w:ascii="宋体" w:hAnsi="宋体" w:eastAsia="宋体" w:cs="宋体"/>
          <w:b/>
          <w:bCs/>
          <w:spacing w:val="10"/>
          <w:sz w:val="24"/>
          <w:szCs w:val="24"/>
          <w:highlight w:val="none"/>
        </w:rPr>
        <w:t>3.1第一个信封(商务及技术文件)初步评审</w:t>
      </w:r>
      <w:bookmarkEnd w:id="31"/>
      <w:bookmarkEnd w:id="32"/>
      <w:bookmarkEnd w:id="33"/>
      <w:bookmarkEnd w:id="34"/>
      <w:bookmarkEnd w:id="35"/>
    </w:p>
    <w:p>
      <w:pPr>
        <w:keepNext w:val="0"/>
        <w:keepLines w:val="0"/>
        <w:pageBreakBefore w:val="0"/>
        <w:widowControl w:val="0"/>
        <w:kinsoku/>
        <w:wordWrap/>
        <w:overflowPunct/>
        <w:topLinePunct w:val="0"/>
        <w:autoSpaceDE w:val="0"/>
        <w:autoSpaceDN w:val="0"/>
        <w:bidi w:val="0"/>
        <w:adjustRightInd w:val="0"/>
        <w:snapToGrid w:val="0"/>
        <w:spacing w:before="235" w:line="332" w:lineRule="auto"/>
        <w:ind w:right="145"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3.1.1评标委员会可以要求投标人提交第二</w:t>
      </w:r>
      <w:r>
        <w:rPr>
          <w:rFonts w:hint="eastAsia" w:ascii="宋体" w:hAnsi="宋体" w:eastAsia="宋体" w:cs="宋体"/>
          <w:spacing w:val="7"/>
          <w:sz w:val="24"/>
          <w:szCs w:val="24"/>
          <w:highlight w:val="none"/>
        </w:rPr>
        <w:t>章“投标人须知”第3.5.1项</w:t>
      </w:r>
      <w:r>
        <w:rPr>
          <w:rFonts w:hint="eastAsia" w:ascii="宋体" w:hAnsi="宋体" w:eastAsia="宋体" w:cs="宋体"/>
          <w:spacing w:val="4"/>
          <w:sz w:val="24"/>
          <w:szCs w:val="24"/>
          <w:highlight w:val="none"/>
        </w:rPr>
        <w:t>至第3.5.9项规定的有关证明和证件的原件，以便核验。评标委员会依据本章</w:t>
      </w:r>
      <w:r>
        <w:rPr>
          <w:rFonts w:hint="eastAsia" w:ascii="宋体" w:hAnsi="宋体" w:eastAsia="宋体" w:cs="宋体"/>
          <w:spacing w:val="11"/>
          <w:sz w:val="24"/>
          <w:szCs w:val="24"/>
          <w:highlight w:val="none"/>
        </w:rPr>
        <w:t>第2.1.1项规定的标准对投标文件第一个信封(商务及技术</w:t>
      </w:r>
      <w:r>
        <w:rPr>
          <w:rFonts w:hint="eastAsia" w:ascii="宋体" w:hAnsi="宋体" w:eastAsia="宋体" w:cs="宋体"/>
          <w:spacing w:val="10"/>
          <w:sz w:val="24"/>
          <w:szCs w:val="24"/>
          <w:highlight w:val="none"/>
        </w:rPr>
        <w:t>文件)进行初步评</w:t>
      </w:r>
      <w:r>
        <w:rPr>
          <w:rFonts w:hint="eastAsia" w:ascii="宋体" w:hAnsi="宋体" w:eastAsia="宋体" w:cs="宋体"/>
          <w:spacing w:val="-2"/>
          <w:sz w:val="24"/>
          <w:szCs w:val="24"/>
          <w:highlight w:val="none"/>
        </w:rPr>
        <w:t>审。有一项不符合评审标准的，评标委员会应否决</w:t>
      </w:r>
      <w:r>
        <w:rPr>
          <w:rFonts w:hint="eastAsia" w:ascii="宋体" w:hAnsi="宋体" w:eastAsia="宋体" w:cs="宋体"/>
          <w:spacing w:val="-3"/>
          <w:sz w:val="24"/>
          <w:szCs w:val="24"/>
          <w:highlight w:val="none"/>
        </w:rPr>
        <w:t>其投标。</w:t>
      </w:r>
    </w:p>
    <w:p>
      <w:pPr>
        <w:keepNext w:val="0"/>
        <w:keepLines w:val="0"/>
        <w:pageBreakBefore w:val="0"/>
        <w:widowControl w:val="0"/>
        <w:kinsoku/>
        <w:wordWrap/>
        <w:overflowPunct/>
        <w:topLinePunct w:val="0"/>
        <w:autoSpaceDE w:val="0"/>
        <w:autoSpaceDN w:val="0"/>
        <w:bidi w:val="0"/>
        <w:adjustRightInd w:val="0"/>
        <w:snapToGrid w:val="0"/>
        <w:spacing w:before="194" w:line="295" w:lineRule="auto"/>
        <w:ind w:right="147"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3.1.2 评标委员会根据第一个信封(商务及技术文件)初步评</w:t>
      </w:r>
      <w:r>
        <w:rPr>
          <w:rFonts w:hint="eastAsia" w:ascii="宋体" w:hAnsi="宋体" w:eastAsia="宋体" w:cs="宋体"/>
          <w:spacing w:val="7"/>
          <w:sz w:val="24"/>
          <w:szCs w:val="24"/>
          <w:highlight w:val="none"/>
        </w:rPr>
        <w:t>审结果确定通过和不通过第一个信封(商务及技术文件)初步评审的投标人名单。</w:t>
      </w:r>
    </w:p>
    <w:p>
      <w:pPr>
        <w:keepNext w:val="0"/>
        <w:keepLines w:val="0"/>
        <w:pageBreakBefore w:val="0"/>
        <w:widowControl w:val="0"/>
        <w:kinsoku/>
        <w:wordWrap/>
        <w:overflowPunct/>
        <w:topLinePunct w:val="0"/>
        <w:autoSpaceDE w:val="0"/>
        <w:autoSpaceDN w:val="0"/>
        <w:bidi w:val="0"/>
        <w:adjustRightInd w:val="0"/>
        <w:snapToGrid w:val="0"/>
        <w:spacing w:before="300" w:line="218" w:lineRule="auto"/>
        <w:ind w:left="3" w:firstLine="534" w:firstLineChars="200"/>
        <w:jc w:val="both"/>
        <w:textAlignment w:val="auto"/>
        <w:outlineLvl w:val="2"/>
        <w:rPr>
          <w:rFonts w:hint="eastAsia" w:ascii="宋体" w:hAnsi="宋体" w:eastAsia="宋体" w:cs="宋体"/>
          <w:sz w:val="24"/>
          <w:szCs w:val="24"/>
          <w:highlight w:val="none"/>
        </w:rPr>
      </w:pPr>
      <w:bookmarkStart w:id="36" w:name="_Toc31997"/>
      <w:bookmarkStart w:id="37" w:name="_Toc19354"/>
      <w:bookmarkStart w:id="38" w:name="_Toc32719"/>
      <w:bookmarkStart w:id="39" w:name="_Toc15344"/>
      <w:bookmarkStart w:id="40" w:name="_Toc5014"/>
      <w:r>
        <w:rPr>
          <w:rFonts w:hint="eastAsia" w:ascii="宋体" w:hAnsi="宋体" w:eastAsia="宋体" w:cs="宋体"/>
          <w:b/>
          <w:bCs/>
          <w:spacing w:val="13"/>
          <w:sz w:val="24"/>
          <w:szCs w:val="24"/>
          <w:highlight w:val="none"/>
        </w:rPr>
        <w:t>3.2第二个信封(报价文件)开标</w:t>
      </w:r>
      <w:bookmarkEnd w:id="36"/>
      <w:bookmarkEnd w:id="37"/>
      <w:bookmarkEnd w:id="38"/>
      <w:bookmarkEnd w:id="39"/>
      <w:bookmarkEnd w:id="40"/>
    </w:p>
    <w:p>
      <w:pPr>
        <w:keepNext w:val="0"/>
        <w:keepLines w:val="0"/>
        <w:pageBreakBefore w:val="0"/>
        <w:widowControl w:val="0"/>
        <w:kinsoku/>
        <w:wordWrap/>
        <w:overflowPunct/>
        <w:topLinePunct w:val="0"/>
        <w:autoSpaceDE w:val="0"/>
        <w:autoSpaceDN w:val="0"/>
        <w:bidi w:val="0"/>
        <w:adjustRightInd w:val="0"/>
        <w:snapToGrid w:val="0"/>
        <w:spacing w:before="240" w:line="370" w:lineRule="auto"/>
        <w:ind w:right="151"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第一个信封(商务及技术文件)评审结束后，招标人将按照第二章“投标人须知”第5.1款规定的时间和地点对通过投标文件第</w:t>
      </w:r>
      <w:r>
        <w:rPr>
          <w:rFonts w:hint="eastAsia" w:ascii="宋体" w:hAnsi="宋体" w:eastAsia="宋体" w:cs="宋体"/>
          <w:spacing w:val="7"/>
          <w:sz w:val="24"/>
          <w:szCs w:val="24"/>
          <w:highlight w:val="none"/>
        </w:rPr>
        <w:t>一个信封(商务及技术</w:t>
      </w:r>
      <w:r>
        <w:rPr>
          <w:rFonts w:hint="eastAsia" w:ascii="宋体" w:hAnsi="宋体" w:eastAsia="宋体" w:cs="宋体"/>
          <w:spacing w:val="13"/>
          <w:sz w:val="24"/>
          <w:szCs w:val="24"/>
          <w:highlight w:val="none"/>
        </w:rPr>
        <w:t>文件)评审的投标文件第二个信封(报价文件)进行开标。</w:t>
      </w:r>
    </w:p>
    <w:p>
      <w:pPr>
        <w:keepNext w:val="0"/>
        <w:keepLines w:val="0"/>
        <w:pageBreakBefore w:val="0"/>
        <w:widowControl w:val="0"/>
        <w:kinsoku/>
        <w:wordWrap/>
        <w:overflowPunct/>
        <w:topLinePunct w:val="0"/>
        <w:autoSpaceDE w:val="0"/>
        <w:autoSpaceDN w:val="0"/>
        <w:bidi w:val="0"/>
        <w:adjustRightInd w:val="0"/>
        <w:snapToGrid w:val="0"/>
        <w:spacing w:before="94" w:line="218" w:lineRule="auto"/>
        <w:ind w:left="3" w:firstLine="526" w:firstLineChars="200"/>
        <w:jc w:val="both"/>
        <w:textAlignment w:val="auto"/>
        <w:outlineLvl w:val="2"/>
        <w:rPr>
          <w:rFonts w:hint="eastAsia" w:ascii="宋体" w:hAnsi="宋体" w:eastAsia="宋体" w:cs="宋体"/>
          <w:sz w:val="24"/>
          <w:szCs w:val="24"/>
          <w:highlight w:val="none"/>
        </w:rPr>
      </w:pPr>
      <w:bookmarkStart w:id="41" w:name="bookmark88"/>
      <w:bookmarkEnd w:id="41"/>
      <w:bookmarkStart w:id="42" w:name="_Toc27530"/>
      <w:bookmarkStart w:id="43" w:name="_Toc21654"/>
      <w:bookmarkStart w:id="44" w:name="_Toc25655"/>
      <w:bookmarkStart w:id="45" w:name="_Toc1401"/>
      <w:bookmarkStart w:id="46" w:name="_Toc25739"/>
      <w:r>
        <w:rPr>
          <w:rFonts w:hint="eastAsia" w:ascii="宋体" w:hAnsi="宋体" w:eastAsia="宋体" w:cs="宋体"/>
          <w:b/>
          <w:bCs/>
          <w:spacing w:val="11"/>
          <w:sz w:val="24"/>
          <w:szCs w:val="24"/>
          <w:highlight w:val="none"/>
        </w:rPr>
        <w:t>3.3第二个信封(报价文件)初步评审</w:t>
      </w:r>
      <w:bookmarkEnd w:id="42"/>
      <w:bookmarkEnd w:id="43"/>
      <w:bookmarkEnd w:id="44"/>
      <w:bookmarkEnd w:id="45"/>
      <w:bookmarkEnd w:id="46"/>
    </w:p>
    <w:p>
      <w:pPr>
        <w:keepNext w:val="0"/>
        <w:keepLines w:val="0"/>
        <w:pageBreakBefore w:val="0"/>
        <w:widowControl w:val="0"/>
        <w:tabs>
          <w:tab w:val="left" w:pos="130"/>
        </w:tabs>
        <w:kinsoku/>
        <w:wordWrap/>
        <w:overflowPunct/>
        <w:topLinePunct w:val="0"/>
        <w:autoSpaceDE w:val="0"/>
        <w:autoSpaceDN w:val="0"/>
        <w:bidi w:val="0"/>
        <w:adjustRightInd w:val="0"/>
        <w:snapToGrid w:val="0"/>
        <w:spacing w:before="241" w:line="369" w:lineRule="auto"/>
        <w:ind w:right="153" w:firstLine="50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3.3.1评标委员会依据本章第2.1.2项规定的评审标准对通过第一个信封</w:t>
      </w:r>
      <w:r>
        <w:rPr>
          <w:rFonts w:hint="eastAsia" w:ascii="宋体" w:hAnsi="宋体" w:eastAsia="宋体" w:cs="宋体"/>
          <w:spacing w:val="11"/>
          <w:sz w:val="24"/>
          <w:szCs w:val="24"/>
          <w:highlight w:val="none"/>
        </w:rPr>
        <w:t>(商务及技术文件)评审、经第二个信封(报价文件)开标现场确认有效的投</w:t>
      </w:r>
      <w:r>
        <w:rPr>
          <w:rFonts w:hint="eastAsia" w:ascii="宋体" w:hAnsi="宋体" w:eastAsia="宋体" w:cs="宋体"/>
          <w:spacing w:val="8"/>
          <w:sz w:val="24"/>
          <w:szCs w:val="24"/>
          <w:highlight w:val="none"/>
        </w:rPr>
        <w:t>标文件第二个信封(报价文件)进行初步评审。有一项不符合评审标</w:t>
      </w:r>
      <w:r>
        <w:rPr>
          <w:rFonts w:hint="eastAsia" w:ascii="宋体" w:hAnsi="宋体" w:eastAsia="宋体" w:cs="宋体"/>
          <w:spacing w:val="7"/>
          <w:sz w:val="24"/>
          <w:szCs w:val="24"/>
          <w:highlight w:val="none"/>
        </w:rPr>
        <w:t>准的，评</w:t>
      </w:r>
      <w:r>
        <w:rPr>
          <w:rFonts w:hint="eastAsia" w:ascii="宋体" w:hAnsi="宋体" w:eastAsia="宋体" w:cs="宋体"/>
          <w:spacing w:val="-4"/>
          <w:sz w:val="24"/>
          <w:szCs w:val="24"/>
          <w:highlight w:val="none"/>
        </w:rPr>
        <w:t>标委员会应否决其投标。</w:t>
      </w:r>
    </w:p>
    <w:p>
      <w:pPr>
        <w:keepNext w:val="0"/>
        <w:keepLines w:val="0"/>
        <w:pageBreakBefore w:val="0"/>
        <w:widowControl w:val="0"/>
        <w:kinsoku/>
        <w:wordWrap/>
        <w:overflowPunct/>
        <w:topLinePunct w:val="0"/>
        <w:autoSpaceDE w:val="0"/>
        <w:autoSpaceDN w:val="0"/>
        <w:bidi w:val="0"/>
        <w:adjustRightInd w:val="0"/>
        <w:snapToGrid w:val="0"/>
        <w:spacing w:before="1" w:line="369" w:lineRule="auto"/>
        <w:ind w:right="166"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被否决投标的投标文件第二个信封(报价文件)不进入下一步的第二个信</w:t>
      </w:r>
      <w:r>
        <w:rPr>
          <w:rFonts w:hint="eastAsia" w:ascii="宋体" w:hAnsi="宋体" w:eastAsia="宋体" w:cs="宋体"/>
          <w:spacing w:val="16"/>
          <w:sz w:val="24"/>
          <w:szCs w:val="24"/>
          <w:highlight w:val="none"/>
        </w:rPr>
        <w:t>封(报价文件)详细评审。</w:t>
      </w:r>
    </w:p>
    <w:p>
      <w:pPr>
        <w:keepNext w:val="0"/>
        <w:keepLines w:val="0"/>
        <w:pageBreakBefore w:val="0"/>
        <w:widowControl w:val="0"/>
        <w:kinsoku/>
        <w:wordWrap/>
        <w:overflowPunct/>
        <w:topLinePunct w:val="0"/>
        <w:autoSpaceDE w:val="0"/>
        <w:autoSpaceDN w:val="0"/>
        <w:bidi w:val="0"/>
        <w:adjustRightInd w:val="0"/>
        <w:snapToGrid w:val="0"/>
        <w:spacing w:before="1" w:line="370" w:lineRule="auto"/>
        <w:ind w:right="143"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3.3.2 评标委员会根据第二个信封(报价文件)初步评审结果确定通</w:t>
      </w:r>
      <w:r>
        <w:rPr>
          <w:rFonts w:hint="eastAsia" w:ascii="宋体" w:hAnsi="宋体" w:eastAsia="宋体" w:cs="宋体"/>
          <w:spacing w:val="7"/>
          <w:sz w:val="24"/>
          <w:szCs w:val="24"/>
          <w:highlight w:val="none"/>
        </w:rPr>
        <w:t>过和</w:t>
      </w:r>
      <w:r>
        <w:rPr>
          <w:rFonts w:hint="eastAsia" w:ascii="宋体" w:hAnsi="宋体" w:eastAsia="宋体" w:cs="宋体"/>
          <w:spacing w:val="8"/>
          <w:sz w:val="24"/>
          <w:szCs w:val="24"/>
          <w:highlight w:val="none"/>
        </w:rPr>
        <w:t>不通过第二个信封(报价文件)初步评审的投标人名单。</w:t>
      </w:r>
    </w:p>
    <w:p>
      <w:pPr>
        <w:keepNext w:val="0"/>
        <w:keepLines w:val="0"/>
        <w:pageBreakBefore w:val="0"/>
        <w:widowControl w:val="0"/>
        <w:kinsoku/>
        <w:wordWrap/>
        <w:overflowPunct/>
        <w:topLinePunct w:val="0"/>
        <w:autoSpaceDE w:val="0"/>
        <w:autoSpaceDN w:val="0"/>
        <w:bidi w:val="0"/>
        <w:adjustRightInd w:val="0"/>
        <w:snapToGrid w:val="0"/>
        <w:spacing w:before="75" w:line="218" w:lineRule="auto"/>
        <w:ind w:left="3" w:firstLine="562" w:firstLineChars="200"/>
        <w:jc w:val="both"/>
        <w:textAlignment w:val="auto"/>
        <w:outlineLvl w:val="2"/>
        <w:rPr>
          <w:rFonts w:hint="eastAsia" w:ascii="宋体" w:hAnsi="宋体" w:eastAsia="宋体" w:cs="宋体"/>
          <w:sz w:val="24"/>
          <w:szCs w:val="24"/>
          <w:highlight w:val="none"/>
        </w:rPr>
      </w:pPr>
      <w:bookmarkStart w:id="47" w:name="bookmark89"/>
      <w:bookmarkEnd w:id="47"/>
      <w:bookmarkStart w:id="48" w:name="_Toc23085"/>
      <w:bookmarkStart w:id="49" w:name="_Toc241"/>
      <w:bookmarkStart w:id="50" w:name="_Toc20285"/>
      <w:bookmarkStart w:id="51" w:name="_Toc30195"/>
      <w:bookmarkStart w:id="52" w:name="_Toc9388"/>
      <w:r>
        <w:rPr>
          <w:rFonts w:hint="eastAsia" w:ascii="宋体" w:hAnsi="宋体" w:eastAsia="宋体" w:cs="宋体"/>
          <w:b/>
          <w:bCs/>
          <w:spacing w:val="20"/>
          <w:sz w:val="24"/>
          <w:szCs w:val="24"/>
          <w:highlight w:val="none"/>
        </w:rPr>
        <w:t>3.4第二个信封(报价文件)详细评审</w:t>
      </w:r>
      <w:bookmarkEnd w:id="48"/>
      <w:bookmarkEnd w:id="49"/>
      <w:bookmarkEnd w:id="50"/>
      <w:bookmarkEnd w:id="51"/>
      <w:bookmarkEnd w:id="52"/>
    </w:p>
    <w:p>
      <w:pPr>
        <w:keepNext w:val="0"/>
        <w:keepLines w:val="0"/>
        <w:pageBreakBefore w:val="0"/>
        <w:widowControl w:val="0"/>
        <w:kinsoku/>
        <w:wordWrap/>
        <w:overflowPunct/>
        <w:topLinePunct w:val="0"/>
        <w:autoSpaceDE w:val="0"/>
        <w:autoSpaceDN w:val="0"/>
        <w:bidi w:val="0"/>
        <w:adjustRightInd w:val="0"/>
        <w:snapToGrid w:val="0"/>
        <w:spacing w:before="263" w:line="301" w:lineRule="auto"/>
        <w:ind w:right="143" w:firstLine="53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3.4.1.评标委员会按本章第2.2款规定的量化因素和分值进行打分，并计算出综合评估得分(即评标价得分)。</w:t>
      </w:r>
    </w:p>
    <w:p>
      <w:pPr>
        <w:keepNext w:val="0"/>
        <w:keepLines w:val="0"/>
        <w:pageBreakBefore w:val="0"/>
        <w:widowControl w:val="0"/>
        <w:kinsoku/>
        <w:wordWrap/>
        <w:overflowPunct/>
        <w:topLinePunct w:val="0"/>
        <w:autoSpaceDE w:val="0"/>
        <w:autoSpaceDN w:val="0"/>
        <w:bidi w:val="0"/>
        <w:adjustRightInd w:val="0"/>
        <w:snapToGrid w:val="0"/>
        <w:spacing w:before="210" w:line="343" w:lineRule="auto"/>
        <w:ind w:right="144" w:firstLine="52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3.4.2.评标委员会发现投标人的报价明显低于其他投标报价，使得其投标</w:t>
      </w:r>
      <w:r>
        <w:rPr>
          <w:rFonts w:hint="eastAsia" w:ascii="宋体" w:hAnsi="宋体" w:eastAsia="宋体" w:cs="宋体"/>
          <w:spacing w:val="11"/>
          <w:sz w:val="24"/>
          <w:szCs w:val="24"/>
          <w:highlight w:val="none"/>
        </w:rPr>
        <w:t>报价可能低于其个别成本的，应要求该投标人作出书面</w:t>
      </w:r>
      <w:r>
        <w:rPr>
          <w:rFonts w:hint="eastAsia" w:ascii="宋体" w:hAnsi="宋体" w:eastAsia="宋体" w:cs="宋体"/>
          <w:spacing w:val="10"/>
          <w:sz w:val="24"/>
          <w:szCs w:val="24"/>
          <w:highlight w:val="none"/>
        </w:rPr>
        <w:t>说明并提供相应的证明材料。投标人不能合理说明或不能提供相应证明材料的，评标委员会应认定该</w:t>
      </w:r>
      <w:r>
        <w:rPr>
          <w:rFonts w:hint="eastAsia" w:ascii="宋体" w:hAnsi="宋体" w:eastAsia="宋体" w:cs="宋体"/>
          <w:spacing w:val="7"/>
          <w:sz w:val="24"/>
          <w:szCs w:val="24"/>
          <w:highlight w:val="none"/>
        </w:rPr>
        <w:t>投标人以低于成本报价竞标，并否决其投标。</w:t>
      </w:r>
    </w:p>
    <w:p>
      <w:pPr>
        <w:keepNext w:val="0"/>
        <w:keepLines w:val="0"/>
        <w:pageBreakBefore w:val="0"/>
        <w:widowControl w:val="0"/>
        <w:kinsoku/>
        <w:wordWrap/>
        <w:overflowPunct/>
        <w:topLinePunct w:val="0"/>
        <w:autoSpaceDE w:val="0"/>
        <w:autoSpaceDN w:val="0"/>
        <w:bidi w:val="0"/>
        <w:adjustRightInd w:val="0"/>
        <w:snapToGrid w:val="0"/>
        <w:spacing w:before="297" w:line="219" w:lineRule="auto"/>
        <w:ind w:left="3" w:firstLine="506" w:firstLineChars="200"/>
        <w:jc w:val="both"/>
        <w:textAlignment w:val="auto"/>
        <w:outlineLvl w:val="2"/>
        <w:rPr>
          <w:rFonts w:hint="eastAsia" w:ascii="宋体" w:hAnsi="宋体" w:eastAsia="宋体" w:cs="宋体"/>
          <w:sz w:val="24"/>
          <w:szCs w:val="24"/>
          <w:highlight w:val="none"/>
        </w:rPr>
      </w:pPr>
      <w:bookmarkStart w:id="53" w:name="bookmark90"/>
      <w:bookmarkEnd w:id="53"/>
      <w:bookmarkStart w:id="54" w:name="_Toc23740"/>
      <w:bookmarkStart w:id="55" w:name="_Toc21441"/>
      <w:bookmarkStart w:id="56" w:name="_Toc5676"/>
      <w:bookmarkStart w:id="57" w:name="_Toc16566"/>
      <w:bookmarkStart w:id="58" w:name="_Toc2912"/>
      <w:r>
        <w:rPr>
          <w:rFonts w:hint="eastAsia" w:ascii="宋体" w:hAnsi="宋体" w:eastAsia="宋体" w:cs="宋体"/>
          <w:b/>
          <w:bCs/>
          <w:spacing w:val="6"/>
          <w:sz w:val="24"/>
          <w:szCs w:val="24"/>
          <w:highlight w:val="none"/>
        </w:rPr>
        <w:t>3.5投标文件相关信息的核查</w:t>
      </w:r>
      <w:bookmarkEnd w:id="54"/>
      <w:bookmarkEnd w:id="55"/>
      <w:bookmarkEnd w:id="56"/>
      <w:bookmarkEnd w:id="57"/>
      <w:bookmarkEnd w:id="58"/>
    </w:p>
    <w:p>
      <w:pPr>
        <w:keepNext w:val="0"/>
        <w:keepLines w:val="0"/>
        <w:pageBreakBefore w:val="0"/>
        <w:widowControl w:val="0"/>
        <w:kinsoku/>
        <w:wordWrap/>
        <w:overflowPunct/>
        <w:topLinePunct w:val="0"/>
        <w:autoSpaceDE w:val="0"/>
        <w:autoSpaceDN w:val="0"/>
        <w:bidi w:val="0"/>
        <w:adjustRightInd w:val="0"/>
        <w:snapToGrid w:val="0"/>
        <w:spacing w:before="258" w:line="386" w:lineRule="auto"/>
        <w:ind w:right="143" w:firstLine="52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3.5.1.评标委员会应对在评标过程中发现的投标人与投标人之间、投标人</w:t>
      </w:r>
      <w:r>
        <w:rPr>
          <w:rFonts w:hint="eastAsia" w:ascii="宋体" w:hAnsi="宋体" w:eastAsia="宋体" w:cs="宋体"/>
          <w:spacing w:val="9"/>
          <w:sz w:val="24"/>
          <w:szCs w:val="24"/>
          <w:highlight w:val="none"/>
        </w:rPr>
        <w:t>与招标人之间存在的串通投标的情形进行评审和认定。投标人存在串通投标、</w:t>
      </w:r>
      <w:r>
        <w:rPr>
          <w:rFonts w:hint="eastAsia" w:ascii="宋体" w:hAnsi="宋体" w:eastAsia="宋体" w:cs="宋体"/>
          <w:spacing w:val="8"/>
          <w:sz w:val="24"/>
          <w:szCs w:val="24"/>
          <w:highlight w:val="none"/>
        </w:rPr>
        <w:t>弄虚作假、行贿等违法行为的，评标委员会应否决其投标。</w:t>
      </w:r>
    </w:p>
    <w:p>
      <w:pPr>
        <w:keepNext w:val="0"/>
        <w:keepLines w:val="0"/>
        <w:pageBreakBefore w:val="0"/>
        <w:widowControl w:val="0"/>
        <w:kinsoku/>
        <w:wordWrap/>
        <w:overflowPunct/>
        <w:topLinePunct w:val="0"/>
        <w:autoSpaceDE w:val="0"/>
        <w:autoSpaceDN w:val="0"/>
        <w:bidi w:val="0"/>
        <w:adjustRightInd w:val="0"/>
        <w:snapToGrid w:val="0"/>
        <w:spacing w:line="220" w:lineRule="auto"/>
        <w:ind w:left="620" w:firstLine="52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(1)有下列情形之一的，属于投标人相互串通投标：</w:t>
      </w:r>
    </w:p>
    <w:p>
      <w:pPr>
        <w:keepNext w:val="0"/>
        <w:keepLines w:val="0"/>
        <w:pageBreakBefore w:val="0"/>
        <w:widowControl w:val="0"/>
        <w:kinsoku/>
        <w:wordWrap/>
        <w:overflowPunct/>
        <w:topLinePunct w:val="0"/>
        <w:autoSpaceDE w:val="0"/>
        <w:autoSpaceDN w:val="0"/>
        <w:bidi w:val="0"/>
        <w:adjustRightInd w:val="0"/>
        <w:snapToGrid w:val="0"/>
        <w:spacing w:before="203" w:line="218" w:lineRule="auto"/>
        <w:ind w:left="480"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a.投标人之间协商投标报价等投标文件的</w:t>
      </w:r>
      <w:r>
        <w:rPr>
          <w:rFonts w:hint="eastAsia" w:ascii="宋体" w:hAnsi="宋体" w:eastAsia="宋体" w:cs="宋体"/>
          <w:spacing w:val="7"/>
          <w:sz w:val="24"/>
          <w:szCs w:val="24"/>
          <w:highlight w:val="none"/>
        </w:rPr>
        <w:t>实质性内容；</w:t>
      </w:r>
    </w:p>
    <w:p>
      <w:pPr>
        <w:keepNext w:val="0"/>
        <w:keepLines w:val="0"/>
        <w:pageBreakBefore w:val="0"/>
        <w:widowControl w:val="0"/>
        <w:kinsoku/>
        <w:wordWrap/>
        <w:overflowPunct/>
        <w:topLinePunct w:val="0"/>
        <w:autoSpaceDE w:val="0"/>
        <w:autoSpaceDN w:val="0"/>
        <w:bidi w:val="0"/>
        <w:adjustRightInd w:val="0"/>
        <w:snapToGrid w:val="0"/>
        <w:spacing w:before="221" w:line="220" w:lineRule="auto"/>
        <w:ind w:left="480" w:firstLine="50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b.投标人之间约定中标人；</w:t>
      </w:r>
    </w:p>
    <w:p>
      <w:pPr>
        <w:keepNext w:val="0"/>
        <w:keepLines w:val="0"/>
        <w:pageBreakBefore w:val="0"/>
        <w:widowControl w:val="0"/>
        <w:kinsoku/>
        <w:wordWrap/>
        <w:overflowPunct/>
        <w:topLinePunct w:val="0"/>
        <w:autoSpaceDE w:val="0"/>
        <w:autoSpaceDN w:val="0"/>
        <w:bidi w:val="0"/>
        <w:adjustRightInd w:val="0"/>
        <w:snapToGrid w:val="0"/>
        <w:spacing w:before="195" w:line="219" w:lineRule="auto"/>
        <w:ind w:left="480" w:firstLine="504" w:firstLineChars="2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c.投标人之间约定部分投标人放弃投标或中标；</w:t>
      </w:r>
    </w:p>
    <w:p>
      <w:pPr>
        <w:keepNext w:val="0"/>
        <w:keepLines w:val="0"/>
        <w:pageBreakBefore w:val="0"/>
        <w:widowControl w:val="0"/>
        <w:kinsoku/>
        <w:wordWrap/>
        <w:overflowPunct/>
        <w:topLinePunct w:val="0"/>
        <w:autoSpaceDE w:val="0"/>
        <w:autoSpaceDN w:val="0"/>
        <w:bidi w:val="0"/>
        <w:adjustRightInd w:val="0"/>
        <w:snapToGrid w:val="0"/>
        <w:spacing w:before="195" w:line="219" w:lineRule="auto"/>
        <w:ind w:left="480" w:firstLine="52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d.属于同一集团、协会、商会等组织成员的投标人按照该</w:t>
      </w:r>
      <w:r>
        <w:rPr>
          <w:rFonts w:hint="eastAsia" w:ascii="宋体" w:hAnsi="宋体" w:eastAsia="宋体" w:cs="宋体"/>
          <w:spacing w:val="9"/>
          <w:sz w:val="24"/>
          <w:szCs w:val="24"/>
          <w:highlight w:val="none"/>
        </w:rPr>
        <w:t>组织要求协同投</w:t>
      </w:r>
      <w:r>
        <w:rPr>
          <w:rFonts w:hint="eastAsia" w:ascii="宋体" w:hAnsi="宋体" w:eastAsia="宋体" w:cs="宋体"/>
          <w:spacing w:val="-7"/>
          <w:sz w:val="24"/>
          <w:szCs w:val="24"/>
          <w:highlight w:val="none"/>
        </w:rPr>
        <w:t>标；</w:t>
      </w:r>
    </w:p>
    <w:p>
      <w:pPr>
        <w:keepNext w:val="0"/>
        <w:keepLines w:val="0"/>
        <w:pageBreakBefore w:val="0"/>
        <w:widowControl w:val="0"/>
        <w:kinsoku/>
        <w:wordWrap/>
        <w:overflowPunct/>
        <w:topLinePunct w:val="0"/>
        <w:autoSpaceDE w:val="0"/>
        <w:autoSpaceDN w:val="0"/>
        <w:bidi w:val="0"/>
        <w:adjustRightInd w:val="0"/>
        <w:snapToGrid w:val="0"/>
        <w:spacing w:before="194" w:line="219" w:lineRule="auto"/>
        <w:ind w:left="480" w:firstLine="516"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e.投标人之间为谋取中标或排斥特定投标人而采取的其他</w:t>
      </w:r>
      <w:r>
        <w:rPr>
          <w:rFonts w:hint="eastAsia" w:ascii="宋体" w:hAnsi="宋体" w:eastAsia="宋体" w:cs="宋体"/>
          <w:spacing w:val="8"/>
          <w:sz w:val="24"/>
          <w:szCs w:val="24"/>
          <w:highlight w:val="none"/>
        </w:rPr>
        <w:t>联合行动。</w:t>
      </w:r>
    </w:p>
    <w:p>
      <w:pPr>
        <w:keepNext w:val="0"/>
        <w:keepLines w:val="0"/>
        <w:pageBreakBefore w:val="0"/>
        <w:widowControl w:val="0"/>
        <w:kinsoku/>
        <w:wordWrap/>
        <w:overflowPunct/>
        <w:topLinePunct w:val="0"/>
        <w:autoSpaceDE w:val="0"/>
        <w:autoSpaceDN w:val="0"/>
        <w:bidi w:val="0"/>
        <w:adjustRightInd w:val="0"/>
        <w:snapToGrid w:val="0"/>
        <w:spacing w:before="219" w:line="220" w:lineRule="auto"/>
        <w:ind w:left="620" w:firstLine="52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(2)有下列情形之一的，视为投标人相互串通投标：</w:t>
      </w:r>
    </w:p>
    <w:p>
      <w:pPr>
        <w:keepNext w:val="0"/>
        <w:keepLines w:val="0"/>
        <w:pageBreakBefore w:val="0"/>
        <w:widowControl w:val="0"/>
        <w:kinsoku/>
        <w:wordWrap/>
        <w:overflowPunct/>
        <w:topLinePunct w:val="0"/>
        <w:autoSpaceDE w:val="0"/>
        <w:autoSpaceDN w:val="0"/>
        <w:bidi w:val="0"/>
        <w:adjustRightInd w:val="0"/>
        <w:snapToGrid w:val="0"/>
        <w:spacing w:before="205" w:line="219" w:lineRule="auto"/>
        <w:ind w:left="480" w:firstLine="504"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a.不同投标人的投标文件由同一单位或个人编制；</w:t>
      </w:r>
    </w:p>
    <w:p>
      <w:pPr>
        <w:keepNext w:val="0"/>
        <w:keepLines w:val="0"/>
        <w:pageBreakBefore w:val="0"/>
        <w:widowControl w:val="0"/>
        <w:kinsoku/>
        <w:wordWrap/>
        <w:overflowPunct/>
        <w:topLinePunct w:val="0"/>
        <w:autoSpaceDE w:val="0"/>
        <w:autoSpaceDN w:val="0"/>
        <w:bidi w:val="0"/>
        <w:adjustRightInd w:val="0"/>
        <w:snapToGrid w:val="0"/>
        <w:spacing w:before="208" w:line="219" w:lineRule="auto"/>
        <w:ind w:left="480" w:firstLine="50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b.不同投标人委托同一单位或个人办理投标事宜；</w:t>
      </w:r>
    </w:p>
    <w:p>
      <w:pPr>
        <w:keepNext w:val="0"/>
        <w:keepLines w:val="0"/>
        <w:pageBreakBefore w:val="0"/>
        <w:widowControl w:val="0"/>
        <w:kinsoku/>
        <w:wordWrap/>
        <w:overflowPunct/>
        <w:topLinePunct w:val="0"/>
        <w:autoSpaceDE w:val="0"/>
        <w:autoSpaceDN w:val="0"/>
        <w:bidi w:val="0"/>
        <w:adjustRightInd w:val="0"/>
        <w:snapToGrid w:val="0"/>
        <w:spacing w:before="197" w:line="219" w:lineRule="auto"/>
        <w:ind w:left="480"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c.不同投标人的投标文件载明的项目管理</w:t>
      </w:r>
      <w:r>
        <w:rPr>
          <w:rFonts w:hint="eastAsia" w:ascii="宋体" w:hAnsi="宋体" w:eastAsia="宋体" w:cs="宋体"/>
          <w:spacing w:val="7"/>
          <w:sz w:val="24"/>
          <w:szCs w:val="24"/>
          <w:highlight w:val="none"/>
        </w:rPr>
        <w:t>成员为同一人；</w:t>
      </w:r>
    </w:p>
    <w:p>
      <w:pPr>
        <w:keepNext w:val="0"/>
        <w:keepLines w:val="0"/>
        <w:pageBreakBefore w:val="0"/>
        <w:widowControl w:val="0"/>
        <w:kinsoku/>
        <w:wordWrap/>
        <w:overflowPunct/>
        <w:topLinePunct w:val="0"/>
        <w:autoSpaceDE w:val="0"/>
        <w:autoSpaceDN w:val="0"/>
        <w:bidi w:val="0"/>
        <w:adjustRightInd w:val="0"/>
        <w:snapToGrid w:val="0"/>
        <w:spacing w:before="205" w:line="218" w:lineRule="auto"/>
        <w:ind w:left="480" w:firstLine="50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d.不同投标人的投标文件异常一致或投标报价呈规律性差异；</w:t>
      </w:r>
    </w:p>
    <w:p>
      <w:pPr>
        <w:keepNext w:val="0"/>
        <w:keepLines w:val="0"/>
        <w:pageBreakBefore w:val="0"/>
        <w:widowControl w:val="0"/>
        <w:kinsoku/>
        <w:wordWrap/>
        <w:overflowPunct/>
        <w:topLinePunct w:val="0"/>
        <w:autoSpaceDE w:val="0"/>
        <w:autoSpaceDN w:val="0"/>
        <w:bidi w:val="0"/>
        <w:adjustRightInd w:val="0"/>
        <w:snapToGrid w:val="0"/>
        <w:spacing w:before="220" w:line="219" w:lineRule="auto"/>
        <w:ind w:left="480" w:firstLine="504"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e.不同投标人的投标文件相互混装；</w:t>
      </w:r>
    </w:p>
    <w:p>
      <w:pPr>
        <w:keepNext w:val="0"/>
        <w:keepLines w:val="0"/>
        <w:pageBreakBefore w:val="0"/>
        <w:widowControl w:val="0"/>
        <w:kinsoku/>
        <w:wordWrap/>
        <w:overflowPunct/>
        <w:topLinePunct w:val="0"/>
        <w:autoSpaceDE w:val="0"/>
        <w:autoSpaceDN w:val="0"/>
        <w:bidi w:val="0"/>
        <w:adjustRightInd w:val="0"/>
        <w:snapToGrid w:val="0"/>
        <w:spacing w:before="197" w:line="219" w:lineRule="auto"/>
        <w:ind w:left="480"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f.不同投标人的投标保证金从同一单位或个人的账户转</w:t>
      </w:r>
      <w:r>
        <w:rPr>
          <w:rFonts w:hint="eastAsia" w:ascii="宋体" w:hAnsi="宋体" w:eastAsia="宋体" w:cs="宋体"/>
          <w:spacing w:val="7"/>
          <w:sz w:val="24"/>
          <w:szCs w:val="24"/>
          <w:highlight w:val="none"/>
        </w:rPr>
        <w:t>出。</w:t>
      </w:r>
    </w:p>
    <w:p>
      <w:pPr>
        <w:keepNext w:val="0"/>
        <w:keepLines w:val="0"/>
        <w:pageBreakBefore w:val="0"/>
        <w:widowControl w:val="0"/>
        <w:kinsoku/>
        <w:wordWrap/>
        <w:overflowPunct/>
        <w:topLinePunct w:val="0"/>
        <w:autoSpaceDE w:val="0"/>
        <w:autoSpaceDN w:val="0"/>
        <w:bidi w:val="0"/>
        <w:adjustRightInd w:val="0"/>
        <w:snapToGrid w:val="0"/>
        <w:spacing w:before="208" w:line="220" w:lineRule="auto"/>
        <w:ind w:left="620" w:firstLine="52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(3)有下列情形之一的，属于招标人与投标人串通</w:t>
      </w:r>
      <w:r>
        <w:rPr>
          <w:rFonts w:hint="eastAsia" w:ascii="宋体" w:hAnsi="宋体" w:eastAsia="宋体" w:cs="宋体"/>
          <w:spacing w:val="11"/>
          <w:sz w:val="24"/>
          <w:szCs w:val="24"/>
          <w:highlight w:val="none"/>
        </w:rPr>
        <w:t>投标：</w:t>
      </w:r>
    </w:p>
    <w:p>
      <w:pPr>
        <w:keepNext w:val="0"/>
        <w:keepLines w:val="0"/>
        <w:pageBreakBefore w:val="0"/>
        <w:widowControl w:val="0"/>
        <w:kinsoku/>
        <w:wordWrap/>
        <w:overflowPunct/>
        <w:topLinePunct w:val="0"/>
        <w:autoSpaceDE w:val="0"/>
        <w:autoSpaceDN w:val="0"/>
        <w:bidi w:val="0"/>
        <w:adjustRightInd w:val="0"/>
        <w:snapToGrid w:val="0"/>
        <w:spacing w:before="206" w:line="219" w:lineRule="auto"/>
        <w:ind w:left="480" w:firstLine="516"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a.招标人在开标前开启投标文件并将有关信息泄露给其他投标人；</w:t>
      </w:r>
    </w:p>
    <w:p>
      <w:pPr>
        <w:keepNext w:val="0"/>
        <w:keepLines w:val="0"/>
        <w:pageBreakBefore w:val="0"/>
        <w:widowControl w:val="0"/>
        <w:kinsoku/>
        <w:wordWrap/>
        <w:overflowPunct/>
        <w:topLinePunct w:val="0"/>
        <w:autoSpaceDE w:val="0"/>
        <w:autoSpaceDN w:val="0"/>
        <w:bidi w:val="0"/>
        <w:adjustRightInd w:val="0"/>
        <w:snapToGrid w:val="0"/>
        <w:spacing w:before="205" w:line="219" w:lineRule="auto"/>
        <w:ind w:left="480"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b.招标人直接或间接向投标人泄露标底、评标委员会成</w:t>
      </w:r>
      <w:r>
        <w:rPr>
          <w:rFonts w:hint="eastAsia" w:ascii="宋体" w:hAnsi="宋体" w:eastAsia="宋体" w:cs="宋体"/>
          <w:spacing w:val="7"/>
          <w:sz w:val="24"/>
          <w:szCs w:val="24"/>
          <w:highlight w:val="none"/>
        </w:rPr>
        <w:t>员等信息；</w:t>
      </w:r>
    </w:p>
    <w:p>
      <w:pPr>
        <w:keepNext w:val="0"/>
        <w:keepLines w:val="0"/>
        <w:pageBreakBefore w:val="0"/>
        <w:widowControl w:val="0"/>
        <w:kinsoku/>
        <w:wordWrap/>
        <w:overflowPunct/>
        <w:topLinePunct w:val="0"/>
        <w:autoSpaceDE w:val="0"/>
        <w:autoSpaceDN w:val="0"/>
        <w:bidi w:val="0"/>
        <w:adjustRightInd w:val="0"/>
        <w:snapToGrid w:val="0"/>
        <w:spacing w:before="75" w:line="218" w:lineRule="auto"/>
        <w:ind w:left="490" w:firstLine="50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c.招标人明示或暗示投标人压低或抬高投标报价；</w:t>
      </w:r>
    </w:p>
    <w:p>
      <w:pPr>
        <w:keepNext w:val="0"/>
        <w:keepLines w:val="0"/>
        <w:pageBreakBefore w:val="0"/>
        <w:widowControl w:val="0"/>
        <w:kinsoku/>
        <w:wordWrap/>
        <w:overflowPunct/>
        <w:topLinePunct w:val="0"/>
        <w:autoSpaceDE w:val="0"/>
        <w:autoSpaceDN w:val="0"/>
        <w:bidi w:val="0"/>
        <w:adjustRightInd w:val="0"/>
        <w:snapToGrid w:val="0"/>
        <w:spacing w:before="210" w:line="219" w:lineRule="auto"/>
        <w:ind w:left="490" w:firstLine="504"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d.招标人授意投标人撤换、修改投标文件；</w:t>
      </w:r>
    </w:p>
    <w:p>
      <w:pPr>
        <w:keepNext w:val="0"/>
        <w:keepLines w:val="0"/>
        <w:pageBreakBefore w:val="0"/>
        <w:widowControl w:val="0"/>
        <w:kinsoku/>
        <w:wordWrap/>
        <w:overflowPunct/>
        <w:topLinePunct w:val="0"/>
        <w:autoSpaceDE w:val="0"/>
        <w:autoSpaceDN w:val="0"/>
        <w:bidi w:val="0"/>
        <w:adjustRightInd w:val="0"/>
        <w:snapToGrid w:val="0"/>
        <w:spacing w:before="205" w:line="219" w:lineRule="auto"/>
        <w:ind w:left="490" w:firstLine="50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e.招标人明示或暗示投标人为特定投标人中标提供方便；</w:t>
      </w:r>
    </w:p>
    <w:p>
      <w:pPr>
        <w:keepNext w:val="0"/>
        <w:keepLines w:val="0"/>
        <w:pageBreakBefore w:val="0"/>
        <w:widowControl w:val="0"/>
        <w:kinsoku/>
        <w:wordWrap/>
        <w:overflowPunct/>
        <w:topLinePunct w:val="0"/>
        <w:autoSpaceDE w:val="0"/>
        <w:autoSpaceDN w:val="0"/>
        <w:bidi w:val="0"/>
        <w:adjustRightInd w:val="0"/>
        <w:snapToGrid w:val="0"/>
        <w:spacing w:before="207" w:line="219" w:lineRule="auto"/>
        <w:ind w:left="490"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f.招标人与投标人为谋求特定投标人中标而采取的其他串通行为。</w:t>
      </w:r>
    </w:p>
    <w:p>
      <w:pPr>
        <w:keepNext w:val="0"/>
        <w:keepLines w:val="0"/>
        <w:pageBreakBefore w:val="0"/>
        <w:widowControl w:val="0"/>
        <w:kinsoku/>
        <w:wordWrap/>
        <w:overflowPunct/>
        <w:topLinePunct w:val="0"/>
        <w:autoSpaceDE w:val="0"/>
        <w:autoSpaceDN w:val="0"/>
        <w:bidi w:val="0"/>
        <w:adjustRightInd w:val="0"/>
        <w:snapToGrid w:val="0"/>
        <w:spacing w:before="197" w:line="219" w:lineRule="auto"/>
        <w:ind w:left="610" w:firstLine="52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(4)投标人有下列情形之一的，属于弄虚作假的行为：</w:t>
      </w:r>
    </w:p>
    <w:p>
      <w:pPr>
        <w:keepNext w:val="0"/>
        <w:keepLines w:val="0"/>
        <w:pageBreakBefore w:val="0"/>
        <w:widowControl w:val="0"/>
        <w:kinsoku/>
        <w:wordWrap/>
        <w:overflowPunct/>
        <w:topLinePunct w:val="0"/>
        <w:autoSpaceDE w:val="0"/>
        <w:autoSpaceDN w:val="0"/>
        <w:bidi w:val="0"/>
        <w:adjustRightInd w:val="0"/>
        <w:snapToGrid w:val="0"/>
        <w:spacing w:before="207" w:line="219" w:lineRule="auto"/>
        <w:ind w:left="490"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a.使用通过受让或租借等方式获取的资格、资质证书</w:t>
      </w:r>
      <w:r>
        <w:rPr>
          <w:rFonts w:hint="eastAsia" w:ascii="宋体" w:hAnsi="宋体" w:eastAsia="宋体" w:cs="宋体"/>
          <w:spacing w:val="7"/>
          <w:sz w:val="24"/>
          <w:szCs w:val="24"/>
          <w:highlight w:val="none"/>
        </w:rPr>
        <w:t>投标；</w:t>
      </w:r>
    </w:p>
    <w:p>
      <w:pPr>
        <w:keepNext w:val="0"/>
        <w:keepLines w:val="0"/>
        <w:pageBreakBefore w:val="0"/>
        <w:widowControl w:val="0"/>
        <w:kinsoku/>
        <w:wordWrap/>
        <w:overflowPunct/>
        <w:topLinePunct w:val="0"/>
        <w:autoSpaceDE w:val="0"/>
        <w:autoSpaceDN w:val="0"/>
        <w:bidi w:val="0"/>
        <w:adjustRightInd w:val="0"/>
        <w:snapToGrid w:val="0"/>
        <w:spacing w:before="218" w:line="219" w:lineRule="auto"/>
        <w:ind w:left="490" w:firstLine="504"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b.使用伪造、变造的许可证件；</w:t>
      </w:r>
    </w:p>
    <w:p>
      <w:pPr>
        <w:keepNext w:val="0"/>
        <w:keepLines w:val="0"/>
        <w:pageBreakBefore w:val="0"/>
        <w:widowControl w:val="0"/>
        <w:kinsoku/>
        <w:wordWrap/>
        <w:overflowPunct/>
        <w:topLinePunct w:val="0"/>
        <w:autoSpaceDE w:val="0"/>
        <w:autoSpaceDN w:val="0"/>
        <w:bidi w:val="0"/>
        <w:adjustRightInd w:val="0"/>
        <w:snapToGrid w:val="0"/>
        <w:spacing w:before="206" w:line="219" w:lineRule="auto"/>
        <w:ind w:left="490" w:firstLine="504"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c. 提供虚假的财务状况或业绩；</w:t>
      </w:r>
    </w:p>
    <w:p>
      <w:pPr>
        <w:keepNext w:val="0"/>
        <w:keepLines w:val="0"/>
        <w:pageBreakBefore w:val="0"/>
        <w:widowControl w:val="0"/>
        <w:kinsoku/>
        <w:wordWrap/>
        <w:overflowPunct/>
        <w:topLinePunct w:val="0"/>
        <w:autoSpaceDE w:val="0"/>
        <w:autoSpaceDN w:val="0"/>
        <w:bidi w:val="0"/>
        <w:adjustRightInd w:val="0"/>
        <w:snapToGrid w:val="0"/>
        <w:spacing w:before="197" w:line="219" w:lineRule="auto"/>
        <w:ind w:left="490" w:firstLine="51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d.提供虚假的项目负责人或主要技术人员简历、劳动关系证明；</w:t>
      </w:r>
    </w:p>
    <w:p>
      <w:pPr>
        <w:keepNext w:val="0"/>
        <w:keepLines w:val="0"/>
        <w:pageBreakBefore w:val="0"/>
        <w:widowControl w:val="0"/>
        <w:kinsoku/>
        <w:wordWrap/>
        <w:overflowPunct/>
        <w:topLinePunct w:val="0"/>
        <w:autoSpaceDE w:val="0"/>
        <w:autoSpaceDN w:val="0"/>
        <w:bidi w:val="0"/>
        <w:adjustRightInd w:val="0"/>
        <w:snapToGrid w:val="0"/>
        <w:spacing w:before="217" w:line="219" w:lineRule="auto"/>
        <w:ind w:left="490" w:firstLine="492"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e.提供虚假的信用状况；</w:t>
      </w:r>
    </w:p>
    <w:p>
      <w:pPr>
        <w:keepNext w:val="0"/>
        <w:keepLines w:val="0"/>
        <w:pageBreakBefore w:val="0"/>
        <w:widowControl w:val="0"/>
        <w:kinsoku/>
        <w:wordWrap/>
        <w:overflowPunct/>
        <w:topLinePunct w:val="0"/>
        <w:autoSpaceDE w:val="0"/>
        <w:autoSpaceDN w:val="0"/>
        <w:bidi w:val="0"/>
        <w:adjustRightInd w:val="0"/>
        <w:snapToGrid w:val="0"/>
        <w:spacing w:before="207" w:line="219" w:lineRule="auto"/>
        <w:ind w:left="490" w:firstLine="496"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f.其他弄虚作假的行为。</w:t>
      </w:r>
    </w:p>
    <w:p>
      <w:pPr>
        <w:keepNext w:val="0"/>
        <w:keepLines w:val="0"/>
        <w:pageBreakBefore w:val="0"/>
        <w:widowControl w:val="0"/>
        <w:kinsoku/>
        <w:wordWrap/>
        <w:overflowPunct/>
        <w:topLinePunct w:val="0"/>
        <w:autoSpaceDE w:val="0"/>
        <w:autoSpaceDN w:val="0"/>
        <w:bidi w:val="0"/>
        <w:adjustRightInd w:val="0"/>
        <w:snapToGrid w:val="0"/>
        <w:spacing w:before="296" w:line="219" w:lineRule="auto"/>
        <w:ind w:left="3" w:firstLine="514" w:firstLineChars="200"/>
        <w:jc w:val="both"/>
        <w:textAlignment w:val="auto"/>
        <w:outlineLvl w:val="2"/>
        <w:rPr>
          <w:rFonts w:hint="eastAsia" w:ascii="宋体" w:hAnsi="宋体" w:eastAsia="宋体" w:cs="宋体"/>
          <w:sz w:val="24"/>
          <w:szCs w:val="24"/>
          <w:highlight w:val="none"/>
        </w:rPr>
      </w:pPr>
      <w:bookmarkStart w:id="59" w:name="bookmark91"/>
      <w:bookmarkEnd w:id="59"/>
      <w:bookmarkStart w:id="60" w:name="_Toc6805"/>
      <w:bookmarkStart w:id="61" w:name="_Toc10553"/>
      <w:bookmarkStart w:id="62" w:name="_Toc18988"/>
      <w:bookmarkStart w:id="63" w:name="_Toc30328"/>
      <w:bookmarkStart w:id="64" w:name="_Toc18511"/>
      <w:r>
        <w:rPr>
          <w:rFonts w:hint="eastAsia" w:ascii="宋体" w:hAnsi="宋体" w:eastAsia="宋体" w:cs="宋体"/>
          <w:b/>
          <w:bCs/>
          <w:spacing w:val="8"/>
          <w:sz w:val="24"/>
          <w:szCs w:val="24"/>
          <w:highlight w:val="none"/>
        </w:rPr>
        <w:t>3.6投标文件的澄清和说明</w:t>
      </w:r>
      <w:bookmarkEnd w:id="60"/>
      <w:bookmarkEnd w:id="61"/>
      <w:bookmarkEnd w:id="62"/>
      <w:bookmarkEnd w:id="63"/>
      <w:bookmarkEnd w:id="64"/>
    </w:p>
    <w:p>
      <w:pPr>
        <w:keepNext w:val="0"/>
        <w:keepLines w:val="0"/>
        <w:pageBreakBefore w:val="0"/>
        <w:widowControl w:val="0"/>
        <w:kinsoku/>
        <w:wordWrap/>
        <w:overflowPunct/>
        <w:topLinePunct w:val="0"/>
        <w:autoSpaceDE w:val="0"/>
        <w:autoSpaceDN w:val="0"/>
        <w:bidi w:val="0"/>
        <w:adjustRightInd w:val="0"/>
        <w:snapToGrid w:val="0"/>
        <w:spacing w:before="247" w:line="344" w:lineRule="auto"/>
        <w:ind w:right="153" w:firstLine="52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3.6.1.在评标过程中，评标委员会可以书面形式要求投标人对所提交</w:t>
      </w:r>
      <w:r>
        <w:rPr>
          <w:rFonts w:hint="eastAsia" w:ascii="宋体" w:hAnsi="宋体" w:eastAsia="宋体" w:cs="宋体"/>
          <w:spacing w:val="9"/>
          <w:sz w:val="24"/>
          <w:szCs w:val="24"/>
          <w:highlight w:val="none"/>
        </w:rPr>
        <w:t>投标</w:t>
      </w:r>
      <w:r>
        <w:rPr>
          <w:rFonts w:hint="eastAsia" w:ascii="宋体" w:hAnsi="宋体" w:eastAsia="宋体" w:cs="宋体"/>
          <w:spacing w:val="11"/>
          <w:sz w:val="24"/>
          <w:szCs w:val="24"/>
          <w:highlight w:val="none"/>
        </w:rPr>
        <w:t>文件中含义不明确的内容、明显文字或计算错误进行书面澄清或说明。评标委</w:t>
      </w:r>
      <w:r>
        <w:rPr>
          <w:rFonts w:hint="eastAsia" w:ascii="宋体" w:hAnsi="宋体" w:eastAsia="宋体" w:cs="宋体"/>
          <w:spacing w:val="10"/>
          <w:sz w:val="24"/>
          <w:szCs w:val="24"/>
          <w:highlight w:val="none"/>
        </w:rPr>
        <w:t>员会不接受投标人主动提出的澄清、说明。投标人不按评标委员会要求澄清或</w:t>
      </w:r>
      <w:r>
        <w:rPr>
          <w:rFonts w:hint="eastAsia" w:ascii="宋体" w:hAnsi="宋体" w:eastAsia="宋体" w:cs="宋体"/>
          <w:spacing w:val="5"/>
          <w:sz w:val="24"/>
          <w:szCs w:val="24"/>
          <w:highlight w:val="none"/>
        </w:rPr>
        <w:t>说明的，评标委员会应否决其投标。</w:t>
      </w:r>
    </w:p>
    <w:p>
      <w:pPr>
        <w:keepNext w:val="0"/>
        <w:keepLines w:val="0"/>
        <w:pageBreakBefore w:val="0"/>
        <w:widowControl w:val="0"/>
        <w:kinsoku/>
        <w:wordWrap/>
        <w:overflowPunct/>
        <w:topLinePunct w:val="0"/>
        <w:autoSpaceDE w:val="0"/>
        <w:autoSpaceDN w:val="0"/>
        <w:bidi w:val="0"/>
        <w:adjustRightInd w:val="0"/>
        <w:snapToGrid w:val="0"/>
        <w:spacing w:before="208" w:line="306" w:lineRule="auto"/>
        <w:ind w:right="132" w:firstLine="544"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3.6.2.</w:t>
      </w:r>
      <w:r>
        <w:rPr>
          <w:rFonts w:hint="eastAsia" w:ascii="宋体" w:hAnsi="宋体" w:eastAsia="宋体" w:cs="宋体"/>
          <w:spacing w:val="-59"/>
          <w:sz w:val="24"/>
          <w:szCs w:val="24"/>
          <w:highlight w:val="none"/>
        </w:rPr>
        <w:t xml:space="preserve"> </w:t>
      </w:r>
      <w:r>
        <w:rPr>
          <w:rFonts w:hint="eastAsia" w:ascii="宋体" w:hAnsi="宋体" w:eastAsia="宋体" w:cs="宋体"/>
          <w:spacing w:val="16"/>
          <w:sz w:val="24"/>
          <w:szCs w:val="24"/>
          <w:highlight w:val="none"/>
        </w:rPr>
        <w:t>澄清和说明不得超出投标文件的范围或改变投标文件的实质性内</w:t>
      </w:r>
      <w:r>
        <w:rPr>
          <w:rFonts w:hint="eastAsia" w:ascii="宋体" w:hAnsi="宋体" w:eastAsia="宋体" w:cs="宋体"/>
          <w:spacing w:val="8"/>
          <w:sz w:val="24"/>
          <w:szCs w:val="24"/>
          <w:highlight w:val="none"/>
        </w:rPr>
        <w:t>容。投标人的书面澄清、说明属于投标文件的组成部分。</w:t>
      </w:r>
    </w:p>
    <w:p>
      <w:pPr>
        <w:keepNext w:val="0"/>
        <w:keepLines w:val="0"/>
        <w:pageBreakBefore w:val="0"/>
        <w:widowControl w:val="0"/>
        <w:kinsoku/>
        <w:wordWrap/>
        <w:overflowPunct/>
        <w:topLinePunct w:val="0"/>
        <w:autoSpaceDE w:val="0"/>
        <w:autoSpaceDN w:val="0"/>
        <w:bidi w:val="0"/>
        <w:adjustRightInd w:val="0"/>
        <w:snapToGrid w:val="0"/>
        <w:spacing w:before="196" w:line="330" w:lineRule="auto"/>
        <w:ind w:right="153" w:firstLine="52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3.6.3.评标委员会不得暗示或诱导投标人作出澄清、说明，对投标人</w:t>
      </w:r>
      <w:r>
        <w:rPr>
          <w:rFonts w:hint="eastAsia" w:ascii="宋体" w:hAnsi="宋体" w:eastAsia="宋体" w:cs="宋体"/>
          <w:spacing w:val="9"/>
          <w:sz w:val="24"/>
          <w:szCs w:val="24"/>
          <w:highlight w:val="none"/>
        </w:rPr>
        <w:t>提交</w:t>
      </w:r>
      <w:r>
        <w:rPr>
          <w:rFonts w:hint="eastAsia" w:ascii="宋体" w:hAnsi="宋体" w:eastAsia="宋体" w:cs="宋体"/>
          <w:spacing w:val="10"/>
          <w:sz w:val="24"/>
          <w:szCs w:val="24"/>
          <w:highlight w:val="none"/>
        </w:rPr>
        <w:t>的澄清、说明有疑问的，可以要求投标人进一步澄清或说明，直至满足评标委</w:t>
      </w:r>
      <w:r>
        <w:rPr>
          <w:rFonts w:hint="eastAsia" w:ascii="宋体" w:hAnsi="宋体" w:eastAsia="宋体" w:cs="宋体"/>
          <w:sz w:val="24"/>
          <w:szCs w:val="24"/>
          <w:highlight w:val="none"/>
        </w:rPr>
        <w:t>员会的要求。</w:t>
      </w:r>
    </w:p>
    <w:p>
      <w:pPr>
        <w:keepNext w:val="0"/>
        <w:keepLines w:val="0"/>
        <w:pageBreakBefore w:val="0"/>
        <w:widowControl w:val="0"/>
        <w:kinsoku/>
        <w:wordWrap/>
        <w:overflowPunct/>
        <w:topLinePunct w:val="0"/>
        <w:autoSpaceDE w:val="0"/>
        <w:autoSpaceDN w:val="0"/>
        <w:bidi w:val="0"/>
        <w:adjustRightInd w:val="0"/>
        <w:snapToGrid w:val="0"/>
        <w:spacing w:before="208" w:line="302" w:lineRule="auto"/>
        <w:ind w:right="150" w:firstLine="52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3.6.4.凡超出招标文件规定的或给发包人带来未曾要求的利益的变化、偏</w:t>
      </w:r>
      <w:r>
        <w:rPr>
          <w:rFonts w:hint="eastAsia" w:ascii="宋体" w:hAnsi="宋体" w:eastAsia="宋体" w:cs="宋体"/>
          <w:spacing w:val="8"/>
          <w:sz w:val="24"/>
          <w:szCs w:val="24"/>
          <w:highlight w:val="none"/>
        </w:rPr>
        <w:t>差或其他因素在评标时不予考虑。</w:t>
      </w:r>
    </w:p>
    <w:p>
      <w:pPr>
        <w:keepNext w:val="0"/>
        <w:keepLines w:val="0"/>
        <w:pageBreakBefore w:val="0"/>
        <w:widowControl w:val="0"/>
        <w:kinsoku/>
        <w:wordWrap/>
        <w:overflowPunct/>
        <w:topLinePunct w:val="0"/>
        <w:autoSpaceDE w:val="0"/>
        <w:autoSpaceDN w:val="0"/>
        <w:bidi w:val="0"/>
        <w:adjustRightInd w:val="0"/>
        <w:snapToGrid w:val="0"/>
        <w:spacing w:before="315" w:line="219" w:lineRule="auto"/>
        <w:ind w:left="3" w:firstLine="502" w:firstLineChars="200"/>
        <w:jc w:val="both"/>
        <w:textAlignment w:val="auto"/>
        <w:outlineLvl w:val="2"/>
        <w:rPr>
          <w:rFonts w:hint="eastAsia" w:ascii="宋体" w:hAnsi="宋体" w:eastAsia="宋体" w:cs="宋体"/>
          <w:sz w:val="24"/>
          <w:szCs w:val="24"/>
          <w:highlight w:val="none"/>
        </w:rPr>
      </w:pPr>
      <w:bookmarkStart w:id="65" w:name="bookmark92"/>
      <w:bookmarkEnd w:id="65"/>
      <w:bookmarkStart w:id="66" w:name="_Toc31108"/>
      <w:bookmarkStart w:id="67" w:name="_Toc19041"/>
      <w:bookmarkStart w:id="68" w:name="_Toc563"/>
      <w:bookmarkStart w:id="69" w:name="_Toc11611"/>
      <w:bookmarkStart w:id="70" w:name="_Toc6349"/>
      <w:r>
        <w:rPr>
          <w:rFonts w:hint="eastAsia" w:ascii="宋体" w:hAnsi="宋体" w:eastAsia="宋体" w:cs="宋体"/>
          <w:b/>
          <w:bCs/>
          <w:spacing w:val="5"/>
          <w:sz w:val="24"/>
          <w:szCs w:val="24"/>
          <w:highlight w:val="none"/>
        </w:rPr>
        <w:t>3.7</w:t>
      </w:r>
      <w:r>
        <w:rPr>
          <w:rFonts w:hint="eastAsia" w:ascii="宋体" w:hAnsi="宋体" w:eastAsia="宋体" w:cs="宋体"/>
          <w:spacing w:val="-16"/>
          <w:sz w:val="24"/>
          <w:szCs w:val="24"/>
          <w:highlight w:val="none"/>
        </w:rPr>
        <w:t xml:space="preserve"> </w:t>
      </w:r>
      <w:r>
        <w:rPr>
          <w:rFonts w:hint="eastAsia" w:ascii="宋体" w:hAnsi="宋体" w:eastAsia="宋体" w:cs="宋体"/>
          <w:b/>
          <w:bCs/>
          <w:spacing w:val="5"/>
          <w:sz w:val="24"/>
          <w:szCs w:val="24"/>
          <w:highlight w:val="none"/>
        </w:rPr>
        <w:t>不得否决投标的情形</w:t>
      </w:r>
      <w:bookmarkEnd w:id="66"/>
      <w:bookmarkEnd w:id="67"/>
      <w:bookmarkEnd w:id="68"/>
      <w:bookmarkEnd w:id="69"/>
      <w:bookmarkEnd w:id="70"/>
    </w:p>
    <w:p>
      <w:pPr>
        <w:keepNext w:val="0"/>
        <w:keepLines w:val="0"/>
        <w:pageBreakBefore w:val="0"/>
        <w:widowControl w:val="0"/>
        <w:kinsoku/>
        <w:wordWrap/>
        <w:overflowPunct/>
        <w:topLinePunct w:val="0"/>
        <w:autoSpaceDE w:val="0"/>
        <w:autoSpaceDN w:val="0"/>
        <w:bidi w:val="0"/>
        <w:adjustRightInd w:val="0"/>
        <w:snapToGrid w:val="0"/>
        <w:spacing w:before="248" w:line="388" w:lineRule="auto"/>
        <w:ind w:right="149" w:firstLine="52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投标文件存在第二章“投标人须知”第1.12款所列情形的，均视为细微偏</w:t>
      </w:r>
      <w:r>
        <w:rPr>
          <w:rFonts w:hint="eastAsia" w:ascii="宋体" w:hAnsi="宋体" w:eastAsia="宋体" w:cs="宋体"/>
          <w:spacing w:val="11"/>
          <w:sz w:val="24"/>
          <w:szCs w:val="24"/>
          <w:highlight w:val="none"/>
        </w:rPr>
        <w:t>差，评标委员会不得否决投标人的投标，应按照第二</w:t>
      </w:r>
      <w:r>
        <w:rPr>
          <w:rFonts w:hint="eastAsia" w:ascii="宋体" w:hAnsi="宋体" w:eastAsia="宋体" w:cs="宋体"/>
          <w:spacing w:val="10"/>
          <w:sz w:val="24"/>
          <w:szCs w:val="24"/>
          <w:highlight w:val="none"/>
        </w:rPr>
        <w:t>章“投标人须知”第1.12</w:t>
      </w:r>
      <w:r>
        <w:rPr>
          <w:rFonts w:hint="eastAsia" w:ascii="宋体" w:hAnsi="宋体" w:eastAsia="宋体" w:cs="宋体"/>
          <w:spacing w:val="7"/>
          <w:sz w:val="24"/>
          <w:szCs w:val="24"/>
          <w:highlight w:val="none"/>
        </w:rPr>
        <w:t>款项规定的原则处理。</w:t>
      </w:r>
    </w:p>
    <w:p>
      <w:pPr>
        <w:keepNext w:val="0"/>
        <w:keepLines w:val="0"/>
        <w:pageBreakBefore w:val="0"/>
        <w:widowControl w:val="0"/>
        <w:kinsoku/>
        <w:wordWrap/>
        <w:overflowPunct/>
        <w:topLinePunct w:val="0"/>
        <w:autoSpaceDE w:val="0"/>
        <w:autoSpaceDN w:val="0"/>
        <w:bidi w:val="0"/>
        <w:adjustRightInd w:val="0"/>
        <w:snapToGrid w:val="0"/>
        <w:spacing w:before="78" w:line="220" w:lineRule="auto"/>
        <w:ind w:firstLine="486" w:firstLineChars="200"/>
        <w:jc w:val="both"/>
        <w:textAlignment w:val="auto"/>
        <w:outlineLvl w:val="2"/>
        <w:rPr>
          <w:rFonts w:hint="eastAsia" w:ascii="宋体" w:hAnsi="宋体" w:eastAsia="宋体" w:cs="宋体"/>
          <w:sz w:val="24"/>
          <w:szCs w:val="24"/>
          <w:highlight w:val="none"/>
        </w:rPr>
      </w:pPr>
      <w:bookmarkStart w:id="71" w:name="bookmark93"/>
      <w:bookmarkEnd w:id="71"/>
      <w:bookmarkStart w:id="72" w:name="_Toc7054"/>
      <w:bookmarkStart w:id="73" w:name="_Toc24523"/>
      <w:bookmarkStart w:id="74" w:name="_Toc6900"/>
      <w:bookmarkStart w:id="75" w:name="_Toc163"/>
      <w:bookmarkStart w:id="76" w:name="_Toc10228"/>
      <w:r>
        <w:rPr>
          <w:rFonts w:hint="eastAsia" w:ascii="宋体" w:hAnsi="宋体" w:eastAsia="宋体" w:cs="宋体"/>
          <w:b/>
          <w:bCs/>
          <w:spacing w:val="1"/>
          <w:sz w:val="24"/>
          <w:szCs w:val="24"/>
          <w:highlight w:val="none"/>
        </w:rPr>
        <w:t>3.8评标结果</w:t>
      </w:r>
      <w:bookmarkEnd w:id="72"/>
      <w:bookmarkEnd w:id="73"/>
      <w:bookmarkEnd w:id="74"/>
      <w:bookmarkEnd w:id="75"/>
      <w:bookmarkEnd w:id="76"/>
    </w:p>
    <w:p>
      <w:pPr>
        <w:keepNext w:val="0"/>
        <w:keepLines w:val="0"/>
        <w:pageBreakBefore w:val="0"/>
        <w:widowControl w:val="0"/>
        <w:kinsoku/>
        <w:wordWrap/>
        <w:overflowPunct/>
        <w:topLinePunct w:val="0"/>
        <w:autoSpaceDE w:val="0"/>
        <w:autoSpaceDN w:val="0"/>
        <w:bidi w:val="0"/>
        <w:adjustRightInd w:val="0"/>
        <w:snapToGrid w:val="0"/>
        <w:spacing w:before="248" w:line="388" w:lineRule="auto"/>
        <w:ind w:right="149" w:firstLine="520" w:firstLineChars="200"/>
        <w:jc w:val="both"/>
        <w:textAlignment w:val="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3.8.1.除第二章“投标人须知”前附表授权直接确定中标人外，评标委员会依据本章第1条规定的标准，推荐中标候选人。</w:t>
      </w:r>
    </w:p>
    <w:p>
      <w:pPr>
        <w:keepNext w:val="0"/>
        <w:keepLines w:val="0"/>
        <w:pageBreakBefore w:val="0"/>
        <w:widowControl w:val="0"/>
        <w:kinsoku/>
        <w:wordWrap/>
        <w:overflowPunct/>
        <w:topLinePunct w:val="0"/>
        <w:autoSpaceDE w:val="0"/>
        <w:autoSpaceDN w:val="0"/>
        <w:bidi w:val="0"/>
        <w:adjustRightInd w:val="0"/>
        <w:snapToGrid w:val="0"/>
        <w:spacing w:before="248" w:line="388" w:lineRule="auto"/>
        <w:ind w:right="149" w:firstLine="520" w:firstLineChars="200"/>
        <w:jc w:val="both"/>
        <w:textAlignment w:val="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3.8.2.评标委员会完成评标后，应向招标人提交书面评标报告。</w:t>
      </w:r>
    </w:p>
    <w:p>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7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bq0EcAgAAIwQAAA4AAABkcnMvZTJvRG9jLnhtbK1Ty47TMBTdI/EP&#10;lvc0aUcM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C226tBHAIAACMEAAAO&#10;AAAAAAAAAAEAIAAAAB8BAABkcnMvZTJvRG9jLnhtbFBLBQYAAAAABgAGAFkBAACtBQAAAAA=&#10;">
              <v:path/>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path/>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F000D"/>
    <w:rsid w:val="11CF0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hint="eastAsia" w:ascii="Times New Roman" w:hAnsi="Times New Roman" w:eastAsia="宋体" w:cs="Times New Roman"/>
      <w:sz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next w:val="1"/>
    <w:unhideWhenUsed/>
    <w:qFormat/>
    <w:uiPriority w:val="1"/>
    <w:pPr>
      <w:spacing w:beforeLines="0" w:afterLines="0"/>
      <w:ind w:left="149"/>
    </w:pPr>
    <w:rPr>
      <w:rFonts w:hint="eastAsia" w:ascii="宋体"/>
      <w:sz w:val="24"/>
    </w:rPr>
  </w:style>
  <w:style w:type="paragraph" w:styleId="4">
    <w:name w:val="footer"/>
    <w:basedOn w:val="1"/>
    <w:unhideWhenUsed/>
    <w:qFormat/>
    <w:uiPriority w:val="99"/>
    <w:pPr>
      <w:tabs>
        <w:tab w:val="center" w:pos="4153"/>
        <w:tab w:val="right" w:pos="8306"/>
      </w:tabs>
      <w:snapToGrid w:val="0"/>
      <w:spacing w:beforeLines="0" w:afterLines="0"/>
    </w:pPr>
    <w:rPr>
      <w:rFonts w:hint="eastAsia"/>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Table Text"/>
    <w:basedOn w:val="1"/>
    <w:semiHidden/>
    <w:qFormat/>
    <w:uiPriority w:val="0"/>
    <w:rPr>
      <w:rFonts w:ascii="宋体" w:hAnsi="宋体" w:eastAsia="宋体" w:cs="宋体"/>
      <w:sz w:val="25"/>
      <w:szCs w:val="25"/>
      <w:lang w:val="en-US" w:eastAsia="en-US" w:bidi="ar-SA"/>
    </w:rPr>
  </w:style>
  <w:style w:type="table" w:customStyle="1" w:styleId="9">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2026-05-19T01:26:00Z</dcterms:created>
  <dc:creator>Sol</dc:creator>
  <cp:lastModifiedBy>Sol</cp:lastModifiedBy>
  <dcterms:modified xsi:type="dcterms:W3CDTF">2026-05-19T01:28:58Z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