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项目名称：某单位某单位2026年度校园基础设施维护项目设计及造价咨询服务项目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某单位某单位2026年度校园基础设施维护项目设计及造价咨询服务项目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4BFC2D87">
      <w:pPr>
        <w:numPr>
          <w:ilvl w:val="0"/>
          <w:numId w:val="1"/>
        </w:numPr>
        <w:spacing w:before="31" w:line="360" w:lineRule="auto"/>
        <w:ind w:left="50"/>
        <w:rPr>
          <w:rStyle w:val="26"/>
          <w:rFonts w:hint="eastAsia" w:ascii="仿宋" w:hAnsi="仿宋" w:eastAsia="仿宋" w:cs="仿宋"/>
          <w:sz w:val="28"/>
          <w:szCs w:val="28"/>
        </w:rPr>
      </w:pPr>
      <w:r>
        <w:rPr>
          <w:rFonts w:hint="eastAsia" w:ascii="仿宋" w:hAnsi="仿宋" w:eastAsia="仿宋" w:cs="仿宋"/>
          <w:b/>
          <w:bCs/>
          <w:spacing w:val="-6"/>
          <w:sz w:val="28"/>
          <w:szCs w:val="28"/>
        </w:rPr>
        <w:t>采购项目内容：</w:t>
      </w:r>
      <w:r>
        <w:rPr>
          <w:rStyle w:val="26"/>
          <w:rFonts w:hint="eastAsia" w:ascii="仿宋" w:hAnsi="仿宋" w:eastAsia="仿宋" w:cs="仿宋"/>
          <w:sz w:val="28"/>
          <w:szCs w:val="28"/>
        </w:rPr>
        <w:t>总额</w:t>
      </w:r>
      <w:r>
        <w:rPr>
          <w:rStyle w:val="26"/>
          <w:rFonts w:hint="eastAsia" w:ascii="仿宋" w:hAnsi="仿宋" w:eastAsia="仿宋" w:cs="仿宋"/>
          <w:sz w:val="28"/>
          <w:szCs w:val="28"/>
          <w:lang w:val="en-US" w:eastAsia="zh-CN"/>
        </w:rPr>
        <w:t>20</w:t>
      </w:r>
      <w:bookmarkStart w:id="0" w:name="_GoBack"/>
      <w:bookmarkEnd w:id="0"/>
      <w:r>
        <w:rPr>
          <w:rStyle w:val="26"/>
          <w:rFonts w:hint="eastAsia" w:ascii="仿宋" w:hAnsi="仿宋" w:eastAsia="仿宋" w:cs="仿宋"/>
          <w:sz w:val="28"/>
          <w:szCs w:val="28"/>
          <w:lang w:val="en-US" w:eastAsia="zh-CN"/>
        </w:rPr>
        <w:t>万</w:t>
      </w:r>
      <w:r>
        <w:rPr>
          <w:rStyle w:val="26"/>
          <w:rFonts w:hint="eastAsia" w:ascii="仿宋" w:hAnsi="仿宋" w:eastAsia="仿宋" w:cs="仿宋"/>
          <w:sz w:val="28"/>
          <w:szCs w:val="28"/>
        </w:rPr>
        <w:t>元</w:t>
      </w:r>
    </w:p>
    <w:tbl>
      <w:tblPr>
        <w:tblStyle w:val="23"/>
        <w:tblW w:w="1435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3"/>
        <w:gridCol w:w="1135"/>
        <w:gridCol w:w="10047"/>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983"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35"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47"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983"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某单位2026年度校园基础设施维护项目设计及造价咨询服务项目</w:t>
            </w:r>
          </w:p>
        </w:tc>
        <w:tc>
          <w:tcPr>
            <w:tcW w:w="1135"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1项</w:t>
            </w:r>
          </w:p>
        </w:tc>
        <w:tc>
          <w:tcPr>
            <w:tcW w:w="10047" w:type="dxa"/>
            <w:shd w:val="clear" w:color="auto" w:fill="auto"/>
            <w:vAlign w:val="center"/>
          </w:tcPr>
          <w:p w14:paraId="3B4A266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一、</w:t>
            </w:r>
            <w:r>
              <w:rPr>
                <w:rFonts w:hint="eastAsia" w:ascii="仿宋" w:hAnsi="仿宋" w:eastAsia="仿宋" w:cs="仿宋"/>
                <w:b w:val="0"/>
                <w:bCs w:val="0"/>
                <w:color w:val="000000"/>
                <w:sz w:val="28"/>
                <w:szCs w:val="28"/>
                <w:lang w:eastAsia="zh-CN"/>
              </w:rPr>
              <w:t>服务范围与成果深度要求</w:t>
            </w:r>
          </w:p>
          <w:p w14:paraId="4F22CFA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中标人须作为年度定点设计及造价咨询服务单位，针对每一项由采购人书面委托的具体工程任务，出具完整、合规、严谨的技术文件。</w:t>
            </w:r>
          </w:p>
          <w:p w14:paraId="1069BEA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一</w:t>
            </w:r>
            <w:r>
              <w:rPr>
                <w:rFonts w:hint="eastAsia" w:ascii="仿宋" w:hAnsi="仿宋" w:eastAsia="仿宋" w:cs="仿宋"/>
                <w:b w:val="0"/>
                <w:bCs w:val="0"/>
                <w:color w:val="000000"/>
                <w:sz w:val="28"/>
                <w:szCs w:val="28"/>
                <w:lang w:eastAsia="zh-CN"/>
              </w:rPr>
              <w:t>）设计服务</w:t>
            </w:r>
          </w:p>
          <w:p w14:paraId="5C4A92A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 适用范围：</w:t>
            </w:r>
          </w:p>
          <w:p w14:paraId="245D7CD3">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 采购人委托的各类日常零星维修、专项维修、应急维修工程。</w:t>
            </w:r>
          </w:p>
          <w:p w14:paraId="27F3A2D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 补充条款： 单个项目审定施工图预算在50万元人民币以下的大型修缮工程或装饰装修工程，其设计任务也可直接委托中标人承担，设计服务费统一按本合同约定的折扣率进行结算。</w:t>
            </w:r>
          </w:p>
          <w:p w14:paraId="6B99573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 效果图绘制： 对校方指定的重点区域或关键节点，出具能够准确反映竣工效果的效果图（规格、数量及视角，由各子项任务书另行明确）。</w:t>
            </w:r>
          </w:p>
          <w:p w14:paraId="74A6B95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3. 施工图设计： 依据国家现行《建筑工程设计文件编制深度规定》及采购人使用需求，完成达到施工要求深度的全套施工图，须涵盖建筑、结构、给排水、电气、暖通、消防及装饰装修等所涉全部专业。图纸表达须清晰、准确，各专业图纸相互闭合，能满足现场施工指导和工程量精确计量的要求。</w:t>
            </w:r>
          </w:p>
          <w:p w14:paraId="590062EB">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二</w:t>
            </w:r>
            <w:r>
              <w:rPr>
                <w:rFonts w:hint="eastAsia" w:ascii="仿宋" w:hAnsi="仿宋" w:eastAsia="仿宋" w:cs="仿宋"/>
                <w:b w:val="0"/>
                <w:bCs w:val="0"/>
                <w:color w:val="000000"/>
                <w:sz w:val="28"/>
                <w:szCs w:val="28"/>
                <w:lang w:eastAsia="zh-CN"/>
              </w:rPr>
              <w:t>）造价咨询服务</w:t>
            </w:r>
          </w:p>
          <w:p w14:paraId="1944067B">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 预算编制依据： 严格依据经确认的施工图设计文件，套用江西省现行建设工程计价依据（包括但不限于《江西省房屋建筑与装饰工程消耗量定额及统一基价表》《江西省通用安装工程消耗量定额及统一基价表》等各专业定额）、最新版《建设工程工程量清单计价规范》及项目所在地同期建设工程造价管理部门发布的信息价。无信息价的材料，须提供充分的市场询价记录作为定价依据。</w:t>
            </w:r>
          </w:p>
          <w:p w14:paraId="70E70BEA">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 造价成果编制要求：</w:t>
            </w:r>
          </w:p>
          <w:p w14:paraId="7ED5CAA8">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 完整性： 编制的工程量清单及预算书，必须全面、完整地反映施工图纸及现场踏勘所涵盖的全部工作内容，严禁出现故意漏项、多项或错项。</w:t>
            </w:r>
          </w:p>
          <w:p w14:paraId="04CAE4A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）准确性： 每项清单子目的工程量计算，必须有可追溯的详细底稿，每一组数据均能对应到施工图的具体图号与尺寸标注。工程量计算误差率须严格控制在国家及行业标准允许的范围内。</w:t>
            </w:r>
          </w:p>
          <w:p w14:paraId="4F02407A">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）合规性： 预算编制必须客观、公允，组价准确，取费规范，能够顺利通过采购人委托的第三方独立审计机构审核。</w:t>
            </w:r>
          </w:p>
          <w:p w14:paraId="49018F9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二、</w:t>
            </w:r>
            <w:r>
              <w:rPr>
                <w:rFonts w:hint="eastAsia" w:ascii="仿宋" w:hAnsi="仿宋" w:eastAsia="仿宋" w:cs="仿宋"/>
                <w:b w:val="0"/>
                <w:bCs w:val="0"/>
                <w:color w:val="000000"/>
                <w:sz w:val="28"/>
                <w:szCs w:val="28"/>
                <w:lang w:eastAsia="zh-CN"/>
              </w:rPr>
              <w:t>核心计价、报价与结算机制</w:t>
            </w:r>
          </w:p>
          <w:p w14:paraId="674BD92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本项目采用基于“工程施工造价服务费率”的折扣率报价模式，并实行预算上限下的据实结算。</w:t>
            </w:r>
          </w:p>
          <w:p w14:paraId="5C7BD88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一</w:t>
            </w:r>
            <w:r>
              <w:rPr>
                <w:rFonts w:hint="eastAsia" w:ascii="仿宋" w:hAnsi="仿宋" w:eastAsia="仿宋" w:cs="仿宋"/>
                <w:b w:val="0"/>
                <w:bCs w:val="0"/>
                <w:color w:val="000000"/>
                <w:sz w:val="28"/>
                <w:szCs w:val="28"/>
                <w:lang w:eastAsia="zh-CN"/>
              </w:rPr>
              <w:t>）服务费计价基础：</w:t>
            </w:r>
          </w:p>
          <w:p w14:paraId="7E02F3F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每个子项工程的设计及造价咨询服务费，以其最终经第三方审计机构审定的施工图预算价（或招标控制价）作为计费基数，乘以固定服务费率10% 作为该项目的基准服务费。</w:t>
            </w:r>
          </w:p>
          <w:p w14:paraId="71364D8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公式：单项基准服务费 = 审定预算价 × 10%。</w:t>
            </w:r>
          </w:p>
          <w:p w14:paraId="0D35A7A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二</w:t>
            </w:r>
            <w:r>
              <w:rPr>
                <w:rFonts w:hint="eastAsia" w:ascii="仿宋" w:hAnsi="仿宋" w:eastAsia="仿宋" w:cs="仿宋"/>
                <w:b w:val="0"/>
                <w:bCs w:val="0"/>
                <w:color w:val="000000"/>
                <w:sz w:val="28"/>
                <w:szCs w:val="28"/>
                <w:lang w:eastAsia="zh-CN"/>
              </w:rPr>
              <w:t>）投标报价方式：</w:t>
            </w:r>
          </w:p>
          <w:p w14:paraId="2D434983">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各投标人对上述“10%的固定基准服务费率”进行整体折扣率报价。</w:t>
            </w:r>
          </w:p>
          <w:p w14:paraId="2EA81E6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）报价要求： 折扣率应是一个大于0%且不高于95%的百分比，超出此区间的报价将按无效标处理。</w:t>
            </w:r>
          </w:p>
          <w:p w14:paraId="0919904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）举例：若中标折扣率为90%，则某个审定预算价为40万元的项目，其结算服务费 = 40万 × 10% × 90% = 3.6万元。</w:t>
            </w:r>
          </w:p>
          <w:p w14:paraId="5E952D6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三</w:t>
            </w:r>
            <w:r>
              <w:rPr>
                <w:rFonts w:hint="eastAsia" w:ascii="仿宋" w:hAnsi="仿宋" w:eastAsia="仿宋" w:cs="仿宋"/>
                <w:b w:val="0"/>
                <w:bCs w:val="0"/>
                <w:color w:val="000000"/>
                <w:sz w:val="28"/>
                <w:szCs w:val="28"/>
                <w:lang w:eastAsia="zh-CN"/>
              </w:rPr>
              <w:t>）中标规则：</w:t>
            </w:r>
          </w:p>
          <w:p w14:paraId="6226B61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在通过全部资格性和符合性审查的投标人中，投标折扣率最低者，推荐为中标候选人。若出现两家及以上投标人报出相同的最低折扣率，则由评审委员会根据其校园同类项目业绩、拟派驻人员经验或服务方案的优劣，择优确定中标人。</w:t>
            </w:r>
          </w:p>
          <w:p w14:paraId="742D81FB">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四</w:t>
            </w:r>
            <w:r>
              <w:rPr>
                <w:rFonts w:hint="eastAsia" w:ascii="仿宋" w:hAnsi="仿宋" w:eastAsia="仿宋" w:cs="仿宋"/>
                <w:b w:val="0"/>
                <w:bCs w:val="0"/>
                <w:color w:val="000000"/>
                <w:sz w:val="28"/>
                <w:szCs w:val="28"/>
                <w:lang w:eastAsia="zh-CN"/>
              </w:rPr>
              <w:t>）结算与支付：</w:t>
            </w:r>
          </w:p>
          <w:p w14:paraId="221E456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）据实结算： 无预付款。每个单项任务完成并验收合格后，由采购人委托的第三方审计机构进行结算审核。经审核确认的咨询服务费，即为该子项的最终支付金额。</w:t>
            </w:r>
          </w:p>
          <w:p w14:paraId="6B709D28">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）总预算控制： 服务期内，所有已完成并结算的子项咨询服务费累计总额，严格控制在人民币20万元以内。一经达到此上限，当期合同关系自动终止，超出部分不予结算。</w:t>
            </w:r>
          </w:p>
          <w:p w14:paraId="0BAD3DA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三、</w:t>
            </w:r>
            <w:r>
              <w:rPr>
                <w:rFonts w:hint="eastAsia" w:ascii="仿宋" w:hAnsi="仿宋" w:eastAsia="仿宋" w:cs="仿宋"/>
                <w:b w:val="0"/>
                <w:bCs w:val="0"/>
                <w:color w:val="000000"/>
                <w:sz w:val="28"/>
                <w:szCs w:val="28"/>
                <w:lang w:eastAsia="zh-CN"/>
              </w:rPr>
              <w:t>核心服务承诺与保密要求（刚性条款）</w:t>
            </w:r>
          </w:p>
          <w:p w14:paraId="487A880D">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一</w:t>
            </w:r>
            <w:r>
              <w:rPr>
                <w:rFonts w:hint="eastAsia" w:ascii="仿宋" w:hAnsi="仿宋" w:eastAsia="仿宋" w:cs="仿宋"/>
                <w:b w:val="0"/>
                <w:bCs w:val="0"/>
                <w:color w:val="000000"/>
                <w:sz w:val="28"/>
                <w:szCs w:val="28"/>
                <w:lang w:eastAsia="zh-CN"/>
              </w:rPr>
              <w:t>）时效性响应承诺</w:t>
            </w:r>
          </w:p>
          <w:p w14:paraId="69FCA6A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中标人须建立校园项目极速响应机制，并写入合同作为考核依据：</w:t>
            </w:r>
          </w:p>
          <w:p w14:paraId="4DA3A45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）常规项目： 自接到采购人书面或指令明确的委托通知起，须在24小时内指派项目负责人到场完成现场勘察，并形成书面记录。</w:t>
            </w:r>
          </w:p>
          <w:p w14:paraId="6034CAC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）小型零星及应急项目： 对于采购人明确要求加急的，自任务下达后，须在1个日历天内，出具完整、规范的施工图、工程量清单及预算编制报告，严禁以任何借口拖延，影响后续招标或施工进度。</w:t>
            </w:r>
          </w:p>
          <w:p w14:paraId="166A8AE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二</w:t>
            </w:r>
            <w:r>
              <w:rPr>
                <w:rFonts w:hint="eastAsia" w:ascii="仿宋" w:hAnsi="仿宋" w:eastAsia="仿宋" w:cs="仿宋"/>
                <w:b w:val="0"/>
                <w:bCs w:val="0"/>
                <w:color w:val="000000"/>
                <w:sz w:val="28"/>
                <w:szCs w:val="28"/>
                <w:lang w:eastAsia="zh-CN"/>
              </w:rPr>
              <w:t>）项目信息保密协议</w:t>
            </w:r>
          </w:p>
          <w:p w14:paraId="6DE270B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 保密内容界定： 服务过程中接触到的全部工程设计底图、效果图、施工蓝图、造价书（含底稿）、招标控制价、工程量计算底稿、工程现场影像资料及采购人提供的一切基础数据，均属本协议项下的严格保密信息。</w:t>
            </w:r>
          </w:p>
          <w:p w14:paraId="6E2684E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2. 保密义务：</w:t>
            </w:r>
          </w:p>
          <w:p w14:paraId="5D71271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）人员备案制： 须将直接接触上述保密信息的服务团队成员名单，在采购人后勤管理处进行书面备案，并严格执行最小化授权原则。</w:t>
            </w:r>
          </w:p>
          <w:p w14:paraId="275B009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禁止泄露与另作他用：未经采购人书面许可，绝对禁止以任何方式（包括口头、书面、电子文件、图形等）将任何保密信息泄露、透露或暗示给任何与本项目无关的第三方；更不得利用此信息为自身或他人谋取利益。</w:t>
            </w:r>
          </w:p>
          <w:p w14:paraId="167537F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3. 违约责任：本保密条款为项目合同的“生命线”条款。一旦发生泄密行为，无论有无造成实质性损失，均视为根本性违约。采购人有权单方立即解除合同，中标方须在5日内全额返还此前已收取的全部服务费用，并承担因此给校方造成的一切直接及间接经济损失的赔偿责任，且采购人保留追究其法律责任的权利。</w:t>
            </w:r>
          </w:p>
          <w:p w14:paraId="649682A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三</w:t>
            </w:r>
            <w:r>
              <w:rPr>
                <w:rFonts w:hint="eastAsia" w:ascii="仿宋" w:hAnsi="仿宋" w:eastAsia="仿宋" w:cs="仿宋"/>
                <w:b w:val="0"/>
                <w:bCs w:val="0"/>
                <w:color w:val="000000"/>
                <w:sz w:val="28"/>
                <w:szCs w:val="28"/>
                <w:lang w:eastAsia="zh-CN"/>
              </w:rPr>
              <w:t>）文件交付与服务质量验收</w:t>
            </w:r>
          </w:p>
          <w:p w14:paraId="5B7E3B9D">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1. 交付物清单（每个子项）：</w:t>
            </w:r>
          </w:p>
          <w:p w14:paraId="1AADD703">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lang w:eastAsia="zh-CN"/>
              </w:rPr>
              <w:t>）装订成册的纸质盖章版效果图。</w:t>
            </w:r>
          </w:p>
          <w:p w14:paraId="4B7A744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eastAsia="zh-CN"/>
              </w:rPr>
              <w:t>）加盖出图章、注册建筑师或结构工程师执业印章的专业施工蓝图（套数按任务书约定）。</w:t>
            </w:r>
          </w:p>
          <w:p w14:paraId="62BF981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lang w:eastAsia="zh-CN"/>
              </w:rPr>
              <w:t>）盖有执业专用章及单位公章的全套《工程量清单》与《工程预算书》。</w:t>
            </w:r>
          </w:p>
          <w:p w14:paraId="1104073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 xml:space="preserve">   （</w:t>
            </w: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lang w:eastAsia="zh-CN"/>
              </w:rPr>
              <w:t>）以上全部资料的对应可编辑电子文件（设计为DWG格式，造价为广联达或神机妙算等可直接读取的源格式）。</w:t>
            </w:r>
          </w:p>
          <w:p w14:paraId="572B7DA1">
            <w:pPr>
              <w:keepNext w:val="0"/>
              <w:keepLines w:val="0"/>
              <w:widowControl/>
              <w:suppressLineNumbers w:val="0"/>
              <w:spacing w:line="240" w:lineRule="auto"/>
              <w:jc w:val="left"/>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eastAsia="zh-CN"/>
              </w:rPr>
              <w:t>2. 验收与追责标准： 施工图设计须通过采购人组织的技术符合性审查，预算书须能顺利通过第三方审计。若经审计，单个项目的预算造价因编制方责任导致的重大误差率连续两次超出约定标准，或设计图纸存在严重错漏、碰、缺而影响后续招投标工作，采购人有权暂停委托新项目，并要求其限期整改，整改不合格的，有权终止合同。</w:t>
            </w:r>
          </w:p>
        </w:tc>
      </w:tr>
    </w:tbl>
    <w:p w14:paraId="5A5AF109">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5A840875">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7D5EA0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91A57EB">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0A6F5F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（4）技术评分表；</w:t>
      </w:r>
    </w:p>
    <w:p w14:paraId="0E7A0E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（5）相关配套设备；</w:t>
      </w:r>
    </w:p>
    <w:p w14:paraId="13858E2E">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9"/>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9"/>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9"/>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9"/>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9"/>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9"/>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某单位某单位2026年度校园基础设施维护项目设计及造价咨询服务项目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3"/>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2"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某单位某单位2026年度校园基础设施维护项目设计及造价咨询服务项目</w:t>
            </w:r>
          </w:p>
        </w:tc>
        <w:tc>
          <w:tcPr>
            <w:tcW w:w="1847" w:type="pct"/>
            <w:shd w:val="clear" w:color="auto" w:fill="FFFFFF"/>
            <w:tcMar>
              <w:left w:w="105" w:type="dxa"/>
              <w:right w:w="105" w:type="dxa"/>
            </w:tcMar>
            <w:vAlign w:val="center"/>
          </w:tcPr>
          <w:p w14:paraId="6F333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numPr>
          <w:ilvl w:val="0"/>
          <w:numId w:val="2"/>
        </w:numPr>
        <w:spacing w:line="221" w:lineRule="auto"/>
        <w:ind w:left="0" w:leftChars="0" w:firstLine="0" w:firstLineChars="0"/>
        <w:jc w:val="center"/>
        <w:rPr>
          <w:rFonts w:hint="eastAsia" w:ascii="仿宋" w:hAnsi="仿宋" w:eastAsia="仿宋" w:cs="仿宋"/>
          <w:b/>
          <w:bCs/>
          <w:spacing w:val="-2"/>
          <w:sz w:val="28"/>
          <w:szCs w:val="28"/>
          <w:lang w:eastAsia="zh-CN"/>
        </w:rPr>
      </w:pPr>
      <w:r>
        <w:rPr>
          <w:rFonts w:hint="eastAsia" w:ascii="仿宋" w:hAnsi="仿宋" w:eastAsia="仿宋" w:cs="仿宋"/>
          <w:b/>
          <w:bCs/>
          <w:spacing w:val="-2"/>
          <w:sz w:val="28"/>
          <w:szCs w:val="28"/>
          <w:lang w:eastAsia="zh-CN"/>
        </w:rPr>
        <w:t>技术评分表</w:t>
      </w:r>
    </w:p>
    <w:p w14:paraId="45A1595A">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pPr>
    </w:p>
    <w:tbl>
      <w:tblPr>
        <w:tblStyle w:val="2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155"/>
        <w:gridCol w:w="966"/>
      </w:tblGrid>
      <w:tr w14:paraId="06C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5CE56352">
            <w:pPr>
              <w:pStyle w:val="12"/>
              <w:spacing w:line="460" w:lineRule="exact"/>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评标指标</w:t>
            </w:r>
          </w:p>
        </w:tc>
        <w:tc>
          <w:tcPr>
            <w:tcW w:w="8121" w:type="dxa"/>
            <w:gridSpan w:val="2"/>
            <w:noWrap w:val="0"/>
            <w:vAlign w:val="center"/>
          </w:tcPr>
          <w:p w14:paraId="2402DBFF">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4A6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466" w:type="dxa"/>
            <w:gridSpan w:val="3"/>
            <w:noWrap w:val="0"/>
            <w:vAlign w:val="center"/>
          </w:tcPr>
          <w:p w14:paraId="68534E1C">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一、价格部分（</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分）</w:t>
            </w:r>
          </w:p>
        </w:tc>
      </w:tr>
      <w:tr w14:paraId="783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0A3EFEE9">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报价得分</w:t>
            </w:r>
          </w:p>
        </w:tc>
        <w:tc>
          <w:tcPr>
            <w:tcW w:w="8121" w:type="dxa"/>
            <w:gridSpan w:val="2"/>
            <w:noWrap w:val="0"/>
            <w:vAlign w:val="center"/>
          </w:tcPr>
          <w:p w14:paraId="44225328">
            <w:pPr>
              <w:pStyle w:val="50"/>
              <w:rPr>
                <w:rFonts w:hint="eastAsia" w:ascii="仿宋" w:hAnsi="仿宋" w:eastAsia="仿宋" w:cs="仿宋"/>
              </w:rPr>
            </w:pPr>
          </w:p>
        </w:tc>
      </w:tr>
      <w:tr w14:paraId="7F3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6" w:type="dxa"/>
            <w:gridSpan w:val="3"/>
            <w:noWrap w:val="0"/>
            <w:vAlign w:val="center"/>
          </w:tcPr>
          <w:p w14:paraId="6A99F3DC">
            <w:pPr>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二、技术部分（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6E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7BC3CDA0">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3DB84D1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2EB6ABE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594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6271317D">
            <w:pPr>
              <w:spacing w:line="440" w:lineRule="exact"/>
              <w:jc w:val="center"/>
              <w:rPr>
                <w:rFonts w:hint="eastAsia" w:ascii="仿宋" w:hAnsi="仿宋" w:eastAsia="仿宋" w:cs="仿宋"/>
                <w:b/>
                <w:bCs/>
                <w:color w:val="auto"/>
                <w:sz w:val="24"/>
                <w:szCs w:val="24"/>
                <w:highlight w:val="none"/>
              </w:rPr>
            </w:pPr>
          </w:p>
        </w:tc>
        <w:tc>
          <w:tcPr>
            <w:tcW w:w="7155" w:type="dxa"/>
            <w:noWrap w:val="0"/>
            <w:vAlign w:val="top"/>
          </w:tcPr>
          <w:p w14:paraId="55E0C25E">
            <w:pPr>
              <w:spacing w:line="440" w:lineRule="exact"/>
              <w:rPr>
                <w:rFonts w:hint="eastAsia" w:ascii="仿宋" w:hAnsi="仿宋" w:eastAsia="仿宋" w:cs="仿宋"/>
                <w:b/>
                <w:color w:val="auto"/>
                <w:sz w:val="24"/>
                <w:szCs w:val="24"/>
                <w:highlight w:val="none"/>
              </w:rPr>
            </w:pPr>
          </w:p>
        </w:tc>
        <w:tc>
          <w:tcPr>
            <w:tcW w:w="966" w:type="dxa"/>
            <w:noWrap w:val="0"/>
            <w:vAlign w:val="center"/>
          </w:tcPr>
          <w:p w14:paraId="708ED8DD">
            <w:pPr>
              <w:spacing w:line="440" w:lineRule="exact"/>
              <w:jc w:val="center"/>
              <w:rPr>
                <w:rFonts w:hint="eastAsia" w:ascii="仿宋" w:hAnsi="仿宋" w:eastAsia="仿宋" w:cs="仿宋"/>
                <w:b/>
                <w:bCs/>
                <w:color w:val="auto"/>
                <w:sz w:val="24"/>
                <w:szCs w:val="24"/>
                <w:highlight w:val="none"/>
              </w:rPr>
            </w:pPr>
          </w:p>
        </w:tc>
      </w:tr>
      <w:tr w14:paraId="06A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1A699DCE">
            <w:pPr>
              <w:spacing w:line="450" w:lineRule="exact"/>
              <w:jc w:val="center"/>
              <w:rPr>
                <w:rFonts w:hint="eastAsia" w:ascii="仿宋" w:hAnsi="仿宋" w:eastAsia="仿宋" w:cs="仿宋"/>
                <w:b/>
                <w:bCs/>
                <w:sz w:val="24"/>
                <w:szCs w:val="24"/>
                <w:lang w:eastAsia="zh-CN"/>
              </w:rPr>
            </w:pPr>
          </w:p>
        </w:tc>
        <w:tc>
          <w:tcPr>
            <w:tcW w:w="7155" w:type="dxa"/>
            <w:noWrap w:val="0"/>
            <w:vAlign w:val="center"/>
          </w:tcPr>
          <w:p w14:paraId="3FCA7FA2">
            <w:pPr>
              <w:autoSpaceDE w:val="0"/>
              <w:spacing w:line="400" w:lineRule="exact"/>
              <w:jc w:val="both"/>
              <w:rPr>
                <w:rFonts w:hint="eastAsia" w:ascii="仿宋" w:hAnsi="仿宋" w:eastAsia="仿宋" w:cs="仿宋"/>
                <w:b/>
                <w:sz w:val="24"/>
                <w:szCs w:val="24"/>
                <w:lang w:val="en-GB"/>
              </w:rPr>
            </w:pPr>
          </w:p>
        </w:tc>
        <w:tc>
          <w:tcPr>
            <w:tcW w:w="966" w:type="dxa"/>
            <w:noWrap w:val="0"/>
            <w:vAlign w:val="center"/>
          </w:tcPr>
          <w:p w14:paraId="3701FBE0">
            <w:pPr>
              <w:spacing w:line="450" w:lineRule="exact"/>
              <w:jc w:val="center"/>
              <w:rPr>
                <w:rFonts w:hint="eastAsia" w:ascii="仿宋" w:hAnsi="仿宋" w:eastAsia="仿宋" w:cs="仿宋"/>
                <w:bCs/>
                <w:sz w:val="24"/>
                <w:szCs w:val="24"/>
                <w:lang w:val="en-US" w:eastAsia="zh-CN"/>
              </w:rPr>
            </w:pPr>
          </w:p>
        </w:tc>
      </w:tr>
      <w:tr w14:paraId="597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5365DDC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360" w:lineRule="auto"/>
              <w:jc w:val="center"/>
              <w:textAlignment w:val="center"/>
              <w:rPr>
                <w:rFonts w:hint="eastAsia" w:ascii="仿宋" w:hAnsi="仿宋" w:eastAsia="仿宋" w:cs="仿宋"/>
                <w:b/>
                <w:bCs/>
                <w:sz w:val="24"/>
                <w:szCs w:val="24"/>
                <w:lang w:eastAsia="zh-CN"/>
              </w:rPr>
            </w:pPr>
          </w:p>
        </w:tc>
        <w:tc>
          <w:tcPr>
            <w:tcW w:w="7155" w:type="dxa"/>
            <w:noWrap w:val="0"/>
            <w:vAlign w:val="center"/>
          </w:tcPr>
          <w:p w14:paraId="3C9920D3">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outlineLvl w:val="1"/>
              <w:rPr>
                <w:rFonts w:hint="eastAsia" w:ascii="仿宋" w:hAnsi="仿宋" w:eastAsia="仿宋" w:cs="仿宋"/>
                <w:b/>
                <w:bCs/>
                <w:color w:val="auto"/>
                <w:sz w:val="24"/>
                <w:szCs w:val="24"/>
                <w:highlight w:val="none"/>
                <w:lang w:val="en-US" w:eastAsia="zh-CN"/>
              </w:rPr>
            </w:pPr>
          </w:p>
        </w:tc>
        <w:tc>
          <w:tcPr>
            <w:tcW w:w="966" w:type="dxa"/>
            <w:noWrap w:val="0"/>
            <w:vAlign w:val="center"/>
          </w:tcPr>
          <w:p w14:paraId="21D1A3ED">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center"/>
              <w:outlineLvl w:val="1"/>
              <w:rPr>
                <w:rFonts w:hint="eastAsia" w:ascii="仿宋" w:hAnsi="仿宋" w:eastAsia="仿宋" w:cs="仿宋"/>
                <w:color w:val="auto"/>
                <w:sz w:val="24"/>
                <w:szCs w:val="24"/>
                <w:highlight w:val="none"/>
                <w:lang w:val="en-US"/>
              </w:rPr>
            </w:pPr>
          </w:p>
        </w:tc>
      </w:tr>
      <w:tr w14:paraId="3FF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466" w:type="dxa"/>
            <w:gridSpan w:val="3"/>
            <w:noWrap w:val="0"/>
            <w:vAlign w:val="center"/>
          </w:tcPr>
          <w:p w14:paraId="7495FC2A">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三、商务部分（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3A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45" w:type="dxa"/>
            <w:noWrap w:val="0"/>
            <w:vAlign w:val="center"/>
          </w:tcPr>
          <w:p w14:paraId="48538A9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205AFB5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415F0164">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r>
      <w:tr w14:paraId="067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45" w:type="dxa"/>
            <w:noWrap w:val="0"/>
            <w:vAlign w:val="center"/>
          </w:tcPr>
          <w:p w14:paraId="7B50E8A1">
            <w:pPr>
              <w:spacing w:line="440" w:lineRule="exact"/>
              <w:jc w:val="center"/>
              <w:rPr>
                <w:rFonts w:hint="eastAsia" w:ascii="仿宋" w:hAnsi="仿宋" w:eastAsia="仿宋" w:cs="仿宋"/>
                <w:b/>
                <w:bCs/>
                <w:color w:val="auto"/>
                <w:sz w:val="24"/>
                <w:szCs w:val="24"/>
                <w:highlight w:val="none"/>
              </w:rPr>
            </w:pPr>
          </w:p>
        </w:tc>
        <w:tc>
          <w:tcPr>
            <w:tcW w:w="7155" w:type="dxa"/>
            <w:noWrap w:val="0"/>
            <w:vAlign w:val="center"/>
          </w:tcPr>
          <w:p w14:paraId="1C8E0157">
            <w:pPr>
              <w:pStyle w:val="51"/>
              <w:autoSpaceDE/>
              <w:autoSpaceDN/>
              <w:adjustRightInd/>
              <w:spacing w:line="440" w:lineRule="exact"/>
              <w:rPr>
                <w:rFonts w:hint="eastAsia" w:ascii="仿宋" w:hAnsi="仿宋" w:eastAsia="仿宋" w:cs="仿宋"/>
                <w:b/>
                <w:bCs/>
                <w:color w:val="auto"/>
                <w:sz w:val="24"/>
                <w:szCs w:val="24"/>
                <w:highlight w:val="none"/>
              </w:rPr>
            </w:pPr>
          </w:p>
        </w:tc>
        <w:tc>
          <w:tcPr>
            <w:tcW w:w="966" w:type="dxa"/>
            <w:noWrap w:val="0"/>
            <w:vAlign w:val="center"/>
          </w:tcPr>
          <w:p w14:paraId="67F28868">
            <w:pPr>
              <w:spacing w:line="440" w:lineRule="exact"/>
              <w:jc w:val="center"/>
              <w:rPr>
                <w:rFonts w:hint="eastAsia" w:ascii="仿宋" w:hAnsi="仿宋" w:eastAsia="仿宋" w:cs="仿宋"/>
                <w:b/>
                <w:bCs/>
                <w:color w:val="auto"/>
                <w:sz w:val="24"/>
                <w:szCs w:val="24"/>
                <w:highlight w:val="none"/>
              </w:rPr>
            </w:pPr>
          </w:p>
        </w:tc>
      </w:tr>
      <w:tr w14:paraId="28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3ECD58F">
            <w:pPr>
              <w:spacing w:line="440" w:lineRule="exact"/>
              <w:jc w:val="center"/>
              <w:rPr>
                <w:rFonts w:hint="eastAsia" w:ascii="仿宋" w:hAnsi="仿宋" w:eastAsia="仿宋" w:cs="仿宋"/>
                <w:b/>
                <w:bCs/>
                <w:color w:val="auto"/>
                <w:kern w:val="2"/>
                <w:sz w:val="24"/>
                <w:szCs w:val="24"/>
                <w:highlight w:val="none"/>
                <w:lang w:val="en-US" w:eastAsia="zh-CN" w:bidi="ar-SA"/>
              </w:rPr>
            </w:pPr>
          </w:p>
        </w:tc>
        <w:tc>
          <w:tcPr>
            <w:tcW w:w="7155" w:type="dxa"/>
            <w:noWrap w:val="0"/>
            <w:vAlign w:val="center"/>
          </w:tcPr>
          <w:p w14:paraId="1E4D84A8">
            <w:pPr>
              <w:autoSpaceDE w:val="0"/>
              <w:spacing w:line="400" w:lineRule="exact"/>
              <w:jc w:val="both"/>
              <w:rPr>
                <w:rFonts w:hint="eastAsia" w:ascii="仿宋" w:hAnsi="仿宋" w:eastAsia="仿宋" w:cs="仿宋"/>
                <w:b/>
                <w:bCs w:val="0"/>
                <w:kern w:val="2"/>
                <w:sz w:val="24"/>
                <w:szCs w:val="24"/>
                <w:highlight w:val="none"/>
                <w:lang w:val="en-US" w:eastAsia="zh-CN" w:bidi="ar-SA"/>
              </w:rPr>
            </w:pPr>
          </w:p>
        </w:tc>
        <w:tc>
          <w:tcPr>
            <w:tcW w:w="966" w:type="dxa"/>
            <w:noWrap w:val="0"/>
            <w:vAlign w:val="center"/>
          </w:tcPr>
          <w:p w14:paraId="4A2BCBCF">
            <w:pPr>
              <w:spacing w:line="450" w:lineRule="exact"/>
              <w:jc w:val="center"/>
              <w:rPr>
                <w:rFonts w:hint="eastAsia" w:ascii="仿宋" w:hAnsi="仿宋" w:eastAsia="仿宋" w:cs="仿宋"/>
                <w:kern w:val="2"/>
                <w:sz w:val="24"/>
                <w:szCs w:val="24"/>
                <w:highlight w:val="none"/>
                <w:lang w:val="en-US" w:eastAsia="zh-CN" w:bidi="ar-SA"/>
              </w:rPr>
            </w:pPr>
          </w:p>
        </w:tc>
      </w:tr>
      <w:tr w14:paraId="06A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FE48E57">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b/>
                <w:bCs w:val="0"/>
                <w:color w:val="auto"/>
                <w:sz w:val="24"/>
                <w:szCs w:val="24"/>
                <w:highlight w:val="none"/>
              </w:rPr>
            </w:pPr>
          </w:p>
        </w:tc>
        <w:tc>
          <w:tcPr>
            <w:tcW w:w="7155" w:type="dxa"/>
            <w:noWrap w:val="0"/>
            <w:vAlign w:val="center"/>
          </w:tcPr>
          <w:p w14:paraId="5D2F6DAC">
            <w:pPr>
              <w:keepNext w:val="0"/>
              <w:keepLines w:val="0"/>
              <w:pageBreakBefore w:val="0"/>
              <w:kinsoku/>
              <w:wordWrap/>
              <w:overflowPunct/>
              <w:topLinePunct w:val="0"/>
              <w:autoSpaceDE/>
              <w:autoSpaceDN/>
              <w:bidi w:val="0"/>
              <w:spacing w:line="360" w:lineRule="auto"/>
              <w:jc w:val="left"/>
              <w:textAlignment w:val="baseline"/>
              <w:rPr>
                <w:rFonts w:hint="eastAsia" w:ascii="仿宋" w:hAnsi="仿宋" w:eastAsia="仿宋" w:cs="仿宋"/>
                <w:b/>
                <w:bCs w:val="0"/>
                <w:sz w:val="24"/>
                <w:szCs w:val="24"/>
                <w:lang w:val="en-US"/>
              </w:rPr>
            </w:pPr>
          </w:p>
        </w:tc>
        <w:tc>
          <w:tcPr>
            <w:tcW w:w="966" w:type="dxa"/>
            <w:noWrap w:val="0"/>
            <w:vAlign w:val="center"/>
          </w:tcPr>
          <w:p w14:paraId="37202A4A">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sz w:val="24"/>
                <w:szCs w:val="24"/>
                <w:lang w:val="en-US" w:eastAsia="zh-CN"/>
              </w:rPr>
            </w:pPr>
          </w:p>
        </w:tc>
      </w:tr>
    </w:tbl>
    <w:p w14:paraId="4C6352C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sectPr>
          <w:pgSz w:w="11905" w:h="16839"/>
          <w:pgMar w:top="1431" w:right="1785" w:bottom="882" w:left="1785" w:header="850" w:footer="850" w:gutter="0"/>
          <w:cols w:space="720" w:num="1"/>
          <w:docGrid w:linePitch="286" w:charSpace="0"/>
        </w:sectPr>
      </w:pP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（5）相关配套设备</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C75647F-5FC7-4F90-8DE0-98F3D8742FF2}"/>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71B1414-75EC-444F-939A-F31523D4B7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36358AE"/>
    <w:rsid w:val="143329BA"/>
    <w:rsid w:val="1AF37BE5"/>
    <w:rsid w:val="1CC935F7"/>
    <w:rsid w:val="1EF12658"/>
    <w:rsid w:val="1FCE106E"/>
    <w:rsid w:val="1FF62A1D"/>
    <w:rsid w:val="1FFE5062"/>
    <w:rsid w:val="224E3596"/>
    <w:rsid w:val="279525AA"/>
    <w:rsid w:val="2A4A712A"/>
    <w:rsid w:val="2AF75C96"/>
    <w:rsid w:val="311D118B"/>
    <w:rsid w:val="31B1601B"/>
    <w:rsid w:val="33666065"/>
    <w:rsid w:val="33DD0E8D"/>
    <w:rsid w:val="393F13B6"/>
    <w:rsid w:val="3D695935"/>
    <w:rsid w:val="4074002B"/>
    <w:rsid w:val="42821601"/>
    <w:rsid w:val="436F4CB9"/>
    <w:rsid w:val="43A65325"/>
    <w:rsid w:val="453F4FCD"/>
    <w:rsid w:val="4CD95365"/>
    <w:rsid w:val="4E6F4E89"/>
    <w:rsid w:val="4F832ED3"/>
    <w:rsid w:val="524C2520"/>
    <w:rsid w:val="54FD6FAA"/>
    <w:rsid w:val="5F750471"/>
    <w:rsid w:val="60002976"/>
    <w:rsid w:val="641D73D4"/>
    <w:rsid w:val="6863673C"/>
    <w:rsid w:val="6B480E55"/>
    <w:rsid w:val="6BBE6052"/>
    <w:rsid w:val="6CE72613"/>
    <w:rsid w:val="722D3F99"/>
    <w:rsid w:val="77EF50EB"/>
    <w:rsid w:val="7B010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3"/>
    <w:link w:val="2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3"/>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30"/>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7">
    <w:name w:val="heading 5"/>
    <w:basedOn w:val="1"/>
    <w:next w:val="1"/>
    <w:link w:val="31"/>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8">
    <w:name w:val="heading 6"/>
    <w:basedOn w:val="1"/>
    <w:next w:val="1"/>
    <w:link w:val="32"/>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9">
    <w:name w:val="heading 7"/>
    <w:basedOn w:val="1"/>
    <w:next w:val="1"/>
    <w:link w:val="3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semiHidden/>
    <w:qFormat/>
    <w:uiPriority w:val="0"/>
  </w:style>
  <w:style w:type="paragraph" w:styleId="12">
    <w:name w:val="table of authorities"/>
    <w:basedOn w:val="1"/>
    <w:next w:val="1"/>
    <w:qFormat/>
    <w:uiPriority w:val="0"/>
    <w:pPr>
      <w:ind w:left="420" w:leftChars="200"/>
    </w:pPr>
  </w:style>
  <w:style w:type="paragraph" w:styleId="13">
    <w:name w:val="annotation text"/>
    <w:basedOn w:val="1"/>
    <w:link w:val="47"/>
    <w:unhideWhenUsed/>
    <w:qFormat/>
    <w:uiPriority w:val="99"/>
  </w:style>
  <w:style w:type="paragraph" w:styleId="14">
    <w:name w:val="Plain Text"/>
    <w:basedOn w:val="1"/>
    <w:next w:val="3"/>
    <w:qFormat/>
    <w:uiPriority w:val="0"/>
    <w:rPr>
      <w:rFonts w:ascii="宋体" w:hAnsi="Courier New"/>
      <w:kern w:val="0"/>
      <w:sz w:val="20"/>
    </w:rPr>
  </w:style>
  <w:style w:type="paragraph" w:styleId="15">
    <w:name w:val="footer"/>
    <w:basedOn w:val="1"/>
    <w:link w:val="46"/>
    <w:unhideWhenUsed/>
    <w:qFormat/>
    <w:uiPriority w:val="99"/>
    <w:pPr>
      <w:tabs>
        <w:tab w:val="center" w:pos="4153"/>
        <w:tab w:val="right" w:pos="8306"/>
      </w:tabs>
    </w:pPr>
    <w:rPr>
      <w:sz w:val="18"/>
      <w:szCs w:val="18"/>
    </w:rPr>
  </w:style>
  <w:style w:type="paragraph" w:styleId="16">
    <w:name w:val="header"/>
    <w:basedOn w:val="1"/>
    <w:link w:val="45"/>
    <w:unhideWhenUsed/>
    <w:qFormat/>
    <w:uiPriority w:val="99"/>
    <w:pPr>
      <w:tabs>
        <w:tab w:val="center" w:pos="4153"/>
        <w:tab w:val="right" w:pos="8306"/>
      </w:tabs>
      <w:jc w:val="center"/>
    </w:pPr>
    <w:rPr>
      <w:sz w:val="18"/>
      <w:szCs w:val="18"/>
    </w:rPr>
  </w:style>
  <w:style w:type="paragraph" w:styleId="17">
    <w:name w:val="toc 1"/>
    <w:basedOn w:val="18"/>
    <w:next w:val="1"/>
    <w:qFormat/>
    <w:uiPriority w:val="39"/>
    <w:pPr>
      <w:spacing w:before="360"/>
      <w:jc w:val="left"/>
    </w:pPr>
    <w:rPr>
      <w:rFonts w:ascii="Cambria" w:hAnsi="Cambria" w:eastAsia="宋体" w:cs="Times New Roman"/>
      <w:b/>
      <w:bCs/>
      <w:caps/>
      <w:sz w:val="24"/>
    </w:rPr>
  </w:style>
  <w:style w:type="paragraph" w:styleId="18">
    <w:name w:val="index 1"/>
    <w:basedOn w:val="1"/>
    <w:next w:val="1"/>
    <w:qFormat/>
    <w:uiPriority w:val="0"/>
    <w:pPr>
      <w:outlineLvl w:val="1"/>
    </w:pPr>
    <w:rPr>
      <w:rFonts w:ascii="Times New Roman" w:hAnsi="Times New Roman" w:eastAsia="宋体" w:cs="Times New Roman"/>
      <w:color w:val="000000"/>
    </w:rPr>
  </w:style>
  <w:style w:type="paragraph" w:styleId="19">
    <w:name w:val="Subtitle"/>
    <w:basedOn w:val="1"/>
    <w:next w:val="1"/>
    <w:link w:val="37"/>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0">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21">
    <w:name w:val="Title"/>
    <w:basedOn w:val="1"/>
    <w:next w:val="1"/>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Body Text First Indent"/>
    <w:basedOn w:val="3"/>
    <w:qFormat/>
    <w:uiPriority w:val="0"/>
    <w:pPr>
      <w:ind w:firstLine="420" w:firstLineChars="100"/>
    </w:pPr>
    <w:rPr>
      <w:rFonts w:ascii="宋体" w:hAnsi="Times New Roman" w:cs="Times New Roman"/>
      <w:kern w:val="0"/>
      <w:sz w:val="3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customStyle="1" w:styleId="27">
    <w:name w:val="标题 1 字符"/>
    <w:basedOn w:val="25"/>
    <w:link w:val="2"/>
    <w:qFormat/>
    <w:uiPriority w:val="9"/>
    <w:rPr>
      <w:rFonts w:asciiTheme="majorHAnsi" w:hAnsiTheme="majorHAnsi" w:eastAsiaTheme="majorEastAsia" w:cstheme="majorBidi"/>
      <w:color w:val="2F5597" w:themeColor="accent1" w:themeShade="BF"/>
      <w:sz w:val="48"/>
      <w:szCs w:val="48"/>
    </w:rPr>
  </w:style>
  <w:style w:type="character" w:customStyle="1" w:styleId="28">
    <w:name w:val="标题 2 字符"/>
    <w:basedOn w:val="2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9">
    <w:name w:val="标题 3 字符"/>
    <w:basedOn w:val="2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30">
    <w:name w:val="标题 4 字符"/>
    <w:basedOn w:val="25"/>
    <w:link w:val="6"/>
    <w:semiHidden/>
    <w:qFormat/>
    <w:uiPriority w:val="9"/>
    <w:rPr>
      <w:rFonts w:cstheme="majorBidi"/>
      <w:color w:val="2F5597" w:themeColor="accent1" w:themeShade="BF"/>
      <w:sz w:val="28"/>
      <w:szCs w:val="28"/>
    </w:rPr>
  </w:style>
  <w:style w:type="character" w:customStyle="1" w:styleId="31">
    <w:name w:val="标题 5 字符"/>
    <w:basedOn w:val="25"/>
    <w:link w:val="7"/>
    <w:semiHidden/>
    <w:qFormat/>
    <w:uiPriority w:val="9"/>
    <w:rPr>
      <w:rFonts w:cstheme="majorBidi"/>
      <w:color w:val="2F5597" w:themeColor="accent1" w:themeShade="BF"/>
      <w:sz w:val="24"/>
    </w:rPr>
  </w:style>
  <w:style w:type="character" w:customStyle="1" w:styleId="32">
    <w:name w:val="标题 6 字符"/>
    <w:basedOn w:val="25"/>
    <w:link w:val="8"/>
    <w:semiHidden/>
    <w:qFormat/>
    <w:uiPriority w:val="9"/>
    <w:rPr>
      <w:rFonts w:cstheme="majorBidi"/>
      <w:b/>
      <w:bCs/>
      <w:color w:val="2F5597" w:themeColor="accent1" w:themeShade="BF"/>
      <w:sz w:val="28"/>
    </w:rPr>
  </w:style>
  <w:style w:type="character" w:customStyle="1" w:styleId="33">
    <w:name w:val="标题 7 字符"/>
    <w:basedOn w:val="25"/>
    <w:link w:val="9"/>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4">
    <w:name w:val="标题 8 字符"/>
    <w:basedOn w:val="25"/>
    <w:link w:val="10"/>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5">
    <w:name w:val="标题 9 字符"/>
    <w:basedOn w:val="25"/>
    <w:link w:val="11"/>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6">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5"/>
    <w:link w:val="38"/>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
    <w:basedOn w:val="25"/>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5"/>
    <w:link w:val="42"/>
    <w:qFormat/>
    <w:uiPriority w:val="30"/>
    <w:rPr>
      <w:rFonts w:eastAsia="仿宋"/>
      <w:i/>
      <w:iCs/>
      <w:color w:val="2F5597" w:themeColor="accent1" w:themeShade="BF"/>
      <w:sz w:val="28"/>
    </w:rPr>
  </w:style>
  <w:style w:type="character" w:customStyle="1" w:styleId="44">
    <w:name w:val="Intense Reference"/>
    <w:basedOn w:val="25"/>
    <w:qFormat/>
    <w:uiPriority w:val="32"/>
    <w:rPr>
      <w:b/>
      <w:bCs/>
      <w:smallCaps/>
      <w:color w:val="2F5597" w:themeColor="accent1" w:themeShade="BF"/>
      <w:spacing w:val="5"/>
    </w:rPr>
  </w:style>
  <w:style w:type="character" w:customStyle="1" w:styleId="45">
    <w:name w:val="页眉 字符"/>
    <w:basedOn w:val="25"/>
    <w:link w:val="16"/>
    <w:qFormat/>
    <w:uiPriority w:val="99"/>
    <w:rPr>
      <w:rFonts w:eastAsia="仿宋"/>
      <w:sz w:val="18"/>
      <w:szCs w:val="18"/>
    </w:rPr>
  </w:style>
  <w:style w:type="character" w:customStyle="1" w:styleId="46">
    <w:name w:val="页脚 字符"/>
    <w:basedOn w:val="25"/>
    <w:link w:val="15"/>
    <w:qFormat/>
    <w:uiPriority w:val="99"/>
    <w:rPr>
      <w:rFonts w:eastAsia="仿宋"/>
      <w:sz w:val="18"/>
      <w:szCs w:val="18"/>
    </w:rPr>
  </w:style>
  <w:style w:type="character" w:customStyle="1" w:styleId="47">
    <w:name w:val="批注文字 字符"/>
    <w:basedOn w:val="25"/>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8">
    <w:name w:val="正文文本 字符"/>
    <w:basedOn w:val="25"/>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9">
    <w:name w:val="Table Text"/>
    <w:basedOn w:val="1"/>
    <w:semiHidden/>
    <w:qFormat/>
    <w:uiPriority w:val="0"/>
    <w:rPr>
      <w:rFonts w:ascii="宋体" w:hAnsi="宋体" w:eastAsia="宋体" w:cs="宋体"/>
      <w:sz w:val="24"/>
      <w:szCs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paragraph" w:customStyle="1" w:styleId="51">
    <w:name w:val="Default"/>
    <w:basedOn w:val="14"/>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2700</Words>
  <Characters>2759</Characters>
  <Lines>169</Lines>
  <Paragraphs>196</Paragraphs>
  <TotalTime>0</TotalTime>
  <ScaleCrop>false</ScaleCrop>
  <LinksUpToDate>false</LinksUpToDate>
  <CharactersWithSpaces>2836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2026-05-12T09:53:32Z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