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项目名称：某单位2026年度校园基础设施维护服务项目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某单位2026年度校园基础设施维护服务项目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4BFC2D87">
      <w:pPr>
        <w:numPr>
          <w:ilvl w:val="0"/>
          <w:numId w:val="1"/>
        </w:numPr>
        <w:spacing w:before="31" w:line="360" w:lineRule="auto"/>
        <w:ind w:left="50"/>
        <w:rPr>
          <w:rStyle w:val="26"/>
          <w:rFonts w:hint="eastAsia" w:ascii="仿宋" w:hAnsi="仿宋" w:eastAsia="仿宋" w:cs="仿宋"/>
          <w:sz w:val="28"/>
          <w:szCs w:val="28"/>
        </w:rPr>
      </w:pPr>
      <w:r>
        <w:rPr>
          <w:rFonts w:hint="eastAsia" w:ascii="仿宋" w:hAnsi="仿宋" w:eastAsia="仿宋" w:cs="仿宋"/>
          <w:b/>
          <w:bCs/>
          <w:spacing w:val="-6"/>
          <w:sz w:val="28"/>
          <w:szCs w:val="28"/>
        </w:rPr>
        <w:t>采购项目内容：</w:t>
      </w:r>
      <w:r>
        <w:rPr>
          <w:rStyle w:val="26"/>
          <w:rFonts w:hint="eastAsia" w:ascii="仿宋" w:hAnsi="仿宋" w:eastAsia="仿宋" w:cs="仿宋"/>
          <w:sz w:val="28"/>
          <w:szCs w:val="28"/>
        </w:rPr>
        <w:t>总额</w:t>
      </w:r>
      <w:r>
        <w:rPr>
          <w:rStyle w:val="26"/>
          <w:rFonts w:hint="eastAsia" w:ascii="仿宋" w:hAnsi="仿宋" w:eastAsia="仿宋" w:cs="仿宋"/>
          <w:sz w:val="28"/>
          <w:szCs w:val="28"/>
          <w:lang w:val="en-US" w:eastAsia="zh-CN"/>
        </w:rPr>
        <w:t>200万</w:t>
      </w:r>
      <w:r>
        <w:rPr>
          <w:rStyle w:val="26"/>
          <w:rFonts w:hint="eastAsia" w:ascii="仿宋" w:hAnsi="仿宋" w:eastAsia="仿宋" w:cs="仿宋"/>
          <w:sz w:val="28"/>
          <w:szCs w:val="28"/>
        </w:rPr>
        <w:t>元</w:t>
      </w:r>
    </w:p>
    <w:tbl>
      <w:tblPr>
        <w:tblStyle w:val="23"/>
        <w:tblW w:w="1435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3"/>
        <w:gridCol w:w="1135"/>
        <w:gridCol w:w="10047"/>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983"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35"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47"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983"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2026年度校园基础设施维护服务项目</w:t>
            </w:r>
          </w:p>
        </w:tc>
        <w:tc>
          <w:tcPr>
            <w:tcW w:w="1135"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47" w:type="dxa"/>
            <w:shd w:val="clear" w:color="auto" w:fill="auto"/>
            <w:vAlign w:val="center"/>
          </w:tcPr>
          <w:p w14:paraId="747FDBF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一、项目背景与概述</w:t>
            </w:r>
          </w:p>
          <w:p w14:paraId="01BBAF0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为保障学校教学、科研及生活秩序，确保校园建（构）筑物及附属设施安全、完好，现以年度服务总包模式，引入壹家具备相应资质与综合施工能力的专业企业，承担校内各类日常维修、专项改造及应急抢修任务。项目年度采购预算上限为200万元，属非固定总价合约，所有子项均按实计量、按约结算。</w:t>
            </w:r>
          </w:p>
          <w:p w14:paraId="7618C00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2DD7F3B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二、服务范围及内容</w:t>
            </w:r>
          </w:p>
          <w:p w14:paraId="6A25EEC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中标人须作为本年度校园基础设施维护定点服务单位，承接采购人委托的单项预算在限额以下的各类维修、改造、装修及抢修工程，包括但不限于：</w:t>
            </w:r>
          </w:p>
          <w:p w14:paraId="6219FF5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房屋建筑类：主体结构加固，墙体、屋面及地下室渗漏修缮，内外檐装饰装修，门窗更换，建筑防雷系统检修等。</w:t>
            </w:r>
          </w:p>
          <w:p w14:paraId="493FD5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安装工程类：给排水管道、供暖（或空调水）系统、卫生洁具、电气照明、动力配电、弱电预埋管、通风防排烟、消防设施等更新与维修。</w:t>
            </w:r>
          </w:p>
          <w:p w14:paraId="762357A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室外附属及环境类：校园道路广场铺装、围墙护栏、室外管网、绿化景观及配套设施、人造构筑物等的维修改造。</w:t>
            </w:r>
          </w:p>
          <w:p w14:paraId="162D951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 专项与小型零星工程：教研办公用房功能调整与装饰改造，校舍附属设施安全整治，以及年度计划内的小型新建或拆改项目。</w:t>
            </w:r>
          </w:p>
          <w:p w14:paraId="66E6684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 应急抢修工程：因自然灾害、突发事故造成的建筑结构、管网破裂、电路故障等抢险修复工程，须在接报后2小时内到场处置。</w:t>
            </w:r>
          </w:p>
          <w:p w14:paraId="6C47B42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7905295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三、投标人资质要求</w:t>
            </w:r>
          </w:p>
          <w:p w14:paraId="071E2AB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投标人须在中华人民共和国境内注册，具备独立法人资格，且满足以下条件：</w:t>
            </w:r>
          </w:p>
          <w:p w14:paraId="45F5DFB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施工资质：持有建设行政主管部门核发的有效的建筑工程施工总承包二级或以上资质。</w:t>
            </w:r>
          </w:p>
          <w:p w14:paraId="4A102F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安全生产许可：持有有效的《建筑施工企业安全生产许可证》。</w:t>
            </w:r>
          </w:p>
          <w:p w14:paraId="7E31040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综合能力：按资质标准可承担地基基础、主体结构、屋面、土石方、建筑装饰装修、给排水、供暖、电气、卫生洁具、通风、照明、消防、防雷等各分部工程的施工，并具备建筑渗漏修缮的专业技术能力与业绩。</w:t>
            </w:r>
          </w:p>
          <w:p w14:paraId="6F3353F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 其他要求：拟派驻的项目负责人需具备建筑工程专业二级及以上注册建造师执业资格及有效的安全生产考核合格证书（B证）；且投标人在近三年内无重大质量、安全事故及不良信用记录。</w:t>
            </w:r>
          </w:p>
          <w:p w14:paraId="6EA76FC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5、投标人须提供三年内（2023年5月7日-2026年5月7日）至少两个类似校园维修改造服务的业绩。须提供以下任一有效证明文件：</w:t>
            </w:r>
          </w:p>
          <w:p w14:paraId="5B1B239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与采购单位签订的服务合同（关键页复印件，含合同首页、服务内容页、金额页、签章页）；</w:t>
            </w:r>
          </w:p>
          <w:p w14:paraId="106E796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委托单位出具的委托服务授权函或中标（成交）通知书；</w:t>
            </w:r>
          </w:p>
          <w:p w14:paraId="58CB737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已完工项目的验收单或成果确认文件。</w:t>
            </w:r>
          </w:p>
          <w:p w14:paraId="4437B97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0F18406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四、报价与定价机制</w:t>
            </w:r>
          </w:p>
          <w:p w14:paraId="0F1C52E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报价方式：投标人采用 综合折扣率 进行唯一报价。该折扣率定义为：以结算审计时采用的国家及江西省现行建设工程计价依据（包括但不限于《建设工程工程量清单计价规范》及各专业定额）计算出的 可竞争费用（税前） 为基数，进行整体下浮的比例。折扣率报价示例：所报折扣率为95%，即结算总价 = 预算或结算审定总额 × 90%。</w:t>
            </w:r>
          </w:p>
          <w:p w14:paraId="74BE033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最高限价：折扣率不得高于95%，否则作无效标处理（由采购人视市行情设定）。</w:t>
            </w:r>
          </w:p>
          <w:p w14:paraId="2765542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中标规则：所有通过资格性与符合性审查的投标人中，综合折扣率最低者为中标候选人。若出现报价相同情形，由评审委员会根据其校园修缮业绩或应急响应方案择优确定。如明显低于其他有效报价，可能影响履约质量的，须提供合理书面说明，否则作无效标处理。</w:t>
            </w:r>
          </w:p>
          <w:p w14:paraId="181FE12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五、预算执行与结算模式</w:t>
            </w:r>
          </w:p>
          <w:p w14:paraId="6EA3310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预算总量控制：合同年度内所有委托项目的累计结算审定金额之和，不得超过人民币200万元。一旦达到此限额，当年度服务合同即时终止，超出部分不予结算。</w:t>
            </w:r>
          </w:p>
          <w:p w14:paraId="4E2C5C3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据实结算原则：本项目无预付款，按单结算。采购人每次按照预算审核报告下达任务，双方共同现场核量，形成书面《工程任务确认单》。工程竣工经双方验收合格，若无工程量变化则按预算审计价X折扣率进行结算，不在送结算审计；若工程量发生变化，则送结算审计，最终以结算审计价X折扣率进行结算。</w:t>
            </w:r>
          </w:p>
          <w:p w14:paraId="0C092A2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一单项一结算：严格执行 “完成一个、验收一个、审计一个、支付一个” 的流程，按经审批的结算报告在约定期限内支付款项。</w:t>
            </w:r>
          </w:p>
          <w:p w14:paraId="0198439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1E7DC1C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六、履约管理要求</w:t>
            </w:r>
          </w:p>
          <w:p w14:paraId="56EF3DA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工期与质量：各子项工程须按双方约定工期完成，质量达到国家现行工程施工验收规范合格标准。</w:t>
            </w:r>
          </w:p>
          <w:p w14:paraId="3659063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 安全文明：施工期间须严格遵守校园安全管理规定，落实环保降尘降噪措施，因施工造成的设施损坏须无偿恢复。</w:t>
            </w:r>
          </w:p>
          <w:p w14:paraId="1BE4C3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 响应承诺：除应急抢修外，日常报修须24小时内勘察，小型零星项目自任务下达起72小时内启动。</w:t>
            </w:r>
          </w:p>
          <w:p w14:paraId="595897C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 考核与退出：后勤管理处将定期对维修质量、时效、安全等进行综合评价。累计两次评价不合格或发生重大安全责任事故的，校方有权单方解除合同，并追究违约责任。</w:t>
            </w:r>
          </w:p>
          <w:p w14:paraId="4C98859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093FFC5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七、其他要求</w:t>
            </w:r>
          </w:p>
          <w:p w14:paraId="46D779D1">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 现场勘察： 采购方要求现场勘察，投标人在规定时间内自行前往校园，由后勤管理处相关人员带领进行实地踏勘，了解校园基础设施现状及服务环境。踏勘费用由投标人自理，踏勘结束后由后勤管理处开具踏勘函给投标方，且踏勘函作为投标的资格材料。</w:t>
            </w: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A840875">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7D5EA0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91A57EB">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0A6F5F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p>
    <w:p w14:paraId="0E7A0E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13858E2E">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9"/>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9"/>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9"/>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9"/>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9"/>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9"/>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某单位2026年度校园基础设施维护服务项目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3"/>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2"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某单位2026年度校园基础设施维护服务项目</w:t>
            </w:r>
          </w:p>
        </w:tc>
        <w:tc>
          <w:tcPr>
            <w:tcW w:w="1847" w:type="pct"/>
            <w:shd w:val="clear" w:color="auto" w:fill="FFFFFF"/>
            <w:tcMar>
              <w:left w:w="105" w:type="dxa"/>
              <w:right w:w="105" w:type="dxa"/>
            </w:tcMar>
            <w:vAlign w:val="center"/>
          </w:tcPr>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p w14:paraId="45A1595A">
      <w:pPr>
        <w:numPr>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2"/>
              <w:spacing w:line="460" w:lineRule="exact"/>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50"/>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1"/>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4C6352C8">
      <w:pPr>
        <w:numPr>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w:t>
      </w:r>
      <w:bookmarkStart w:id="0" w:name="_GoBack"/>
      <w:bookmarkEnd w:id="0"/>
      <w:r>
        <w:rPr>
          <w:rFonts w:hint="eastAsia" w:ascii="仿宋" w:hAnsi="仿宋" w:eastAsia="仿宋" w:cs="仿宋"/>
          <w:b/>
          <w:color w:val="0D0D0D"/>
          <w:spacing w:val="-3"/>
          <w:sz w:val="28"/>
          <w:szCs w:val="28"/>
          <w:lang w:eastAsia="zh-CN"/>
        </w:rPr>
        <w:t>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6E37FE5-CE35-4116-8E7E-009C80D0A4BF}"/>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E66445A-F1C2-4A4E-B35E-3925784AEFC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43329BA"/>
    <w:rsid w:val="1AF37BE5"/>
    <w:rsid w:val="1EF12658"/>
    <w:rsid w:val="1FCE106E"/>
    <w:rsid w:val="1FF62A1D"/>
    <w:rsid w:val="1FFE5062"/>
    <w:rsid w:val="224E3596"/>
    <w:rsid w:val="279525AA"/>
    <w:rsid w:val="2AF75C96"/>
    <w:rsid w:val="311D118B"/>
    <w:rsid w:val="31B1601B"/>
    <w:rsid w:val="33666065"/>
    <w:rsid w:val="393F13B6"/>
    <w:rsid w:val="3D695935"/>
    <w:rsid w:val="4074002B"/>
    <w:rsid w:val="42821601"/>
    <w:rsid w:val="436F4CB9"/>
    <w:rsid w:val="43A65325"/>
    <w:rsid w:val="453F4FCD"/>
    <w:rsid w:val="4CD95365"/>
    <w:rsid w:val="4E6F4E89"/>
    <w:rsid w:val="4F832ED3"/>
    <w:rsid w:val="524C2520"/>
    <w:rsid w:val="54FD6FAA"/>
    <w:rsid w:val="5F750471"/>
    <w:rsid w:val="60002976"/>
    <w:rsid w:val="641D73D4"/>
    <w:rsid w:val="6863673C"/>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3"/>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31"/>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32"/>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48"/>
    <w:semiHidden/>
    <w:qFormat/>
    <w:uiPriority w:val="0"/>
  </w:style>
  <w:style w:type="paragraph" w:styleId="12">
    <w:name w:val="table of authorities"/>
    <w:basedOn w:val="1"/>
    <w:next w:val="1"/>
    <w:qFormat/>
    <w:uiPriority w:val="0"/>
    <w:pPr>
      <w:ind w:left="420" w:leftChars="200"/>
    </w:pPr>
  </w:style>
  <w:style w:type="paragraph" w:styleId="13">
    <w:name w:val="annotation text"/>
    <w:basedOn w:val="1"/>
    <w:link w:val="47"/>
    <w:unhideWhenUsed/>
    <w:qFormat/>
    <w:uiPriority w:val="99"/>
  </w:style>
  <w:style w:type="paragraph" w:styleId="14">
    <w:name w:val="Plain Text"/>
    <w:basedOn w:val="1"/>
    <w:next w:val="3"/>
    <w:qFormat/>
    <w:uiPriority w:val="0"/>
    <w:rPr>
      <w:rFonts w:ascii="宋体" w:hAnsi="Courier New"/>
      <w:kern w:val="0"/>
      <w:sz w:val="20"/>
    </w:rPr>
  </w:style>
  <w:style w:type="paragraph" w:styleId="15">
    <w:name w:val="footer"/>
    <w:basedOn w:val="1"/>
    <w:link w:val="46"/>
    <w:unhideWhenUsed/>
    <w:qFormat/>
    <w:uiPriority w:val="99"/>
    <w:pPr>
      <w:tabs>
        <w:tab w:val="center" w:pos="4153"/>
        <w:tab w:val="right" w:pos="8306"/>
      </w:tabs>
    </w:pPr>
    <w:rPr>
      <w:sz w:val="18"/>
      <w:szCs w:val="18"/>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3"/>
    <w:qFormat/>
    <w:uiPriority w:val="0"/>
    <w:pPr>
      <w:ind w:firstLine="420" w:firstLineChars="100"/>
    </w:pPr>
    <w:rPr>
      <w:rFonts w:ascii="宋体" w:hAnsi="Times New Roman" w:cs="Times New Roman"/>
      <w:kern w:val="0"/>
      <w:sz w:val="3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customStyle="1" w:styleId="27">
    <w:name w:val="标题 1 字符"/>
    <w:basedOn w:val="25"/>
    <w:link w:val="2"/>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5"/>
    <w:link w:val="6"/>
    <w:semiHidden/>
    <w:qFormat/>
    <w:uiPriority w:val="9"/>
    <w:rPr>
      <w:rFonts w:cstheme="majorBidi"/>
      <w:color w:val="2F5597" w:themeColor="accent1" w:themeShade="BF"/>
      <w:sz w:val="28"/>
      <w:szCs w:val="28"/>
    </w:rPr>
  </w:style>
  <w:style w:type="character" w:customStyle="1" w:styleId="31">
    <w:name w:val="标题 5 字符"/>
    <w:basedOn w:val="25"/>
    <w:link w:val="7"/>
    <w:semiHidden/>
    <w:qFormat/>
    <w:uiPriority w:val="9"/>
    <w:rPr>
      <w:rFonts w:cstheme="majorBidi"/>
      <w:color w:val="2F5597" w:themeColor="accent1" w:themeShade="BF"/>
      <w:sz w:val="24"/>
    </w:rPr>
  </w:style>
  <w:style w:type="character" w:customStyle="1" w:styleId="32">
    <w:name w:val="标题 6 字符"/>
    <w:basedOn w:val="25"/>
    <w:link w:val="8"/>
    <w:semiHidden/>
    <w:qFormat/>
    <w:uiPriority w:val="9"/>
    <w:rPr>
      <w:rFonts w:cstheme="majorBidi"/>
      <w:b/>
      <w:bCs/>
      <w:color w:val="2F5597" w:themeColor="accent1" w:themeShade="BF"/>
      <w:sz w:val="28"/>
    </w:rPr>
  </w:style>
  <w:style w:type="character" w:customStyle="1" w:styleId="33">
    <w:name w:val="标题 7 字符"/>
    <w:basedOn w:val="25"/>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4">
    <w:name w:val="标题 8 字符"/>
    <w:basedOn w:val="25"/>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9 字符"/>
    <w:basedOn w:val="25"/>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6">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5"/>
    <w:link w:val="3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5"/>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5"/>
    <w:link w:val="42"/>
    <w:qFormat/>
    <w:uiPriority w:val="30"/>
    <w:rPr>
      <w:rFonts w:eastAsia="仿宋"/>
      <w:i/>
      <w:iCs/>
      <w:color w:val="2F5597" w:themeColor="accent1" w:themeShade="BF"/>
      <w:sz w:val="28"/>
    </w:rPr>
  </w:style>
  <w:style w:type="character" w:customStyle="1" w:styleId="44">
    <w:name w:val="Intense Reference"/>
    <w:basedOn w:val="25"/>
    <w:qFormat/>
    <w:uiPriority w:val="32"/>
    <w:rPr>
      <w:b/>
      <w:bCs/>
      <w:smallCaps/>
      <w:color w:val="2F5597" w:themeColor="accent1" w:themeShade="BF"/>
      <w:spacing w:val="5"/>
    </w:rPr>
  </w:style>
  <w:style w:type="character" w:customStyle="1" w:styleId="45">
    <w:name w:val="页眉 字符"/>
    <w:basedOn w:val="25"/>
    <w:link w:val="16"/>
    <w:qFormat/>
    <w:uiPriority w:val="99"/>
    <w:rPr>
      <w:rFonts w:eastAsia="仿宋"/>
      <w:sz w:val="18"/>
      <w:szCs w:val="18"/>
    </w:rPr>
  </w:style>
  <w:style w:type="character" w:customStyle="1" w:styleId="46">
    <w:name w:val="页脚 字符"/>
    <w:basedOn w:val="25"/>
    <w:link w:val="15"/>
    <w:qFormat/>
    <w:uiPriority w:val="99"/>
    <w:rPr>
      <w:rFonts w:eastAsia="仿宋"/>
      <w:sz w:val="18"/>
      <w:szCs w:val="18"/>
    </w:rPr>
  </w:style>
  <w:style w:type="character" w:customStyle="1" w:styleId="47">
    <w:name w:val="批注文字 字符"/>
    <w:basedOn w:val="25"/>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8">
    <w:name w:val="正文文本 字符"/>
    <w:basedOn w:val="25"/>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9">
    <w:name w:val="Table Text"/>
    <w:basedOn w:val="1"/>
    <w:semiHidden/>
    <w:qFormat/>
    <w:uiPriority w:val="0"/>
    <w:rPr>
      <w:rFonts w:ascii="宋体" w:hAnsi="宋体" w:eastAsia="宋体" w:cs="宋体"/>
      <w:sz w:val="24"/>
      <w:szCs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paragraph" w:customStyle="1" w:styleId="51">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2567</Words>
  <Characters>2932</Characters>
  <Lines>169</Lines>
  <Paragraphs>196</Paragraphs>
  <TotalTime>0</TotalTime>
  <ScaleCrop>false</ScaleCrop>
  <LinksUpToDate>false</LinksUpToDate>
  <CharactersWithSpaces>3063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2026-05-12T09:40:48Z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