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56254">
      <w:pPr>
        <w:keepNext w:val="0"/>
        <w:keepLines w:val="0"/>
        <w:pageBreakBefore w:val="0"/>
        <w:widowControl/>
        <w:shd w:val="clear"/>
        <w:kinsoku/>
        <w:wordWrap w:val="0"/>
        <w:overflowPunct/>
        <w:topLinePunct/>
        <w:autoSpaceDE/>
        <w:autoSpaceDN/>
        <w:bidi w:val="0"/>
        <w:adjustRightInd/>
        <w:snapToGrid/>
        <w:spacing w:line="360" w:lineRule="auto"/>
        <w:jc w:val="center"/>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
          <w:bCs/>
          <w:color w:val="auto"/>
          <w:sz w:val="30"/>
          <w:szCs w:val="30"/>
          <w:highlight w:val="none"/>
          <w:lang w:eastAsia="zh-CN"/>
        </w:rPr>
        <w:t>吉安市青原区人民医院（吉安市青原区总医院）结核分子生物学耐药检测等设备采购项目</w:t>
      </w:r>
      <w:r>
        <w:rPr>
          <w:rFonts w:hint="eastAsia" w:ascii="仿宋" w:hAnsi="仿宋" w:eastAsia="仿宋" w:cs="仿宋"/>
          <w:b/>
          <w:bCs/>
          <w:color w:val="auto"/>
          <w:sz w:val="30"/>
          <w:szCs w:val="30"/>
          <w:highlight w:val="none"/>
        </w:rPr>
        <w:t>技术方案征集公告</w:t>
      </w:r>
    </w:p>
    <w:p w14:paraId="56078277">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各医疗设备厂家、经营企业：</w:t>
      </w:r>
    </w:p>
    <w:p w14:paraId="6E5E3961">
      <w:pPr>
        <w:keepNext w:val="0"/>
        <w:keepLines w:val="0"/>
        <w:pageBreakBefore w:val="0"/>
        <w:widowControl/>
        <w:shd w:val="clear"/>
        <w:kinsoku/>
        <w:wordWrap w:val="0"/>
        <w:overflowPunct/>
        <w:topLinePunct/>
        <w:autoSpaceDE/>
        <w:autoSpaceDN/>
        <w:bidi w:val="0"/>
        <w:adjustRightInd/>
        <w:snapToGrid/>
        <w:spacing w:line="360" w:lineRule="auto"/>
        <w:ind w:firstLine="480" w:firstLineChars="200"/>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根据医院采购工作内控管理制度及相关法律法规要求，结合临床需要，现对</w:t>
      </w:r>
      <w:r>
        <w:rPr>
          <w:rFonts w:hint="eastAsia" w:ascii="仿宋" w:hAnsi="仿宋" w:eastAsia="仿宋" w:cs="仿宋"/>
          <w:b w:val="0"/>
          <w:bCs/>
          <w:color w:val="auto"/>
          <w:kern w:val="0"/>
          <w:sz w:val="24"/>
          <w:szCs w:val="24"/>
          <w:highlight w:val="none"/>
          <w:lang w:val="en-US" w:eastAsia="zh-CN" w:bidi="ar-SA"/>
        </w:rPr>
        <w:t>吉安市青原区人民医院（吉安市青原区总医院）检验科设备采购项目</w:t>
      </w:r>
      <w:r>
        <w:rPr>
          <w:rFonts w:hint="eastAsia" w:ascii="仿宋" w:hAnsi="仿宋" w:eastAsia="仿宋" w:cs="仿宋"/>
          <w:bCs/>
          <w:snapToGrid/>
          <w:color w:val="auto"/>
          <w:kern w:val="2"/>
          <w:sz w:val="24"/>
          <w:szCs w:val="24"/>
          <w:highlight w:val="none"/>
          <w:lang w:val="en-US" w:eastAsia="zh-CN"/>
        </w:rPr>
        <w:t>进行公开方案征集，欢迎广大符合要求的潜在供应商本着"公平、公开、公正"和诚心让利优惠的原则积极参与竞争。我们将组织专家小组对各单位提供的设备参数、技术性能及价格情况等进行综合评定，并结合实际工作需求，确定性价比最优的设备配置方案进行政采招标。现向潜在</w:t>
      </w:r>
      <w:bookmarkStart w:id="0" w:name="_GoBack"/>
      <w:bookmarkEnd w:id="0"/>
      <w:r>
        <w:rPr>
          <w:rFonts w:hint="eastAsia" w:ascii="仿宋" w:hAnsi="仿宋" w:eastAsia="仿宋" w:cs="仿宋"/>
          <w:bCs/>
          <w:snapToGrid/>
          <w:color w:val="auto"/>
          <w:kern w:val="2"/>
          <w:sz w:val="24"/>
          <w:szCs w:val="24"/>
          <w:highlight w:val="none"/>
          <w:lang w:val="en-US" w:eastAsia="zh-CN"/>
        </w:rPr>
        <w:t>供应商公开采购需求并征集技术方案。</w:t>
      </w:r>
    </w:p>
    <w:p w14:paraId="575D17F4">
      <w:pPr>
        <w:keepNext w:val="0"/>
        <w:keepLines w:val="0"/>
        <w:pageBreakBefore w:val="0"/>
        <w:widowControl/>
        <w:numPr>
          <w:ilvl w:val="0"/>
          <w:numId w:val="1"/>
        </w:numPr>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bCs w:val="0"/>
          <w:snapToGrid/>
          <w:color w:val="auto"/>
          <w:kern w:val="2"/>
          <w:sz w:val="24"/>
          <w:szCs w:val="24"/>
          <w:highlight w:val="none"/>
          <w:lang w:val="en-US" w:eastAsia="zh-CN"/>
        </w:rPr>
        <w:t>项目名</w:t>
      </w:r>
      <w:r>
        <w:rPr>
          <w:rFonts w:hint="eastAsia" w:ascii="仿宋" w:hAnsi="仿宋" w:eastAsia="仿宋" w:cs="仿宋"/>
          <w:b w:val="0"/>
          <w:bCs/>
          <w:snapToGrid/>
          <w:color w:val="auto"/>
          <w:kern w:val="2"/>
          <w:sz w:val="24"/>
          <w:szCs w:val="24"/>
          <w:highlight w:val="none"/>
          <w:lang w:val="en-US" w:eastAsia="zh-CN"/>
        </w:rPr>
        <w:t>称：</w:t>
      </w:r>
      <w:r>
        <w:rPr>
          <w:rFonts w:hint="eastAsia" w:ascii="仿宋" w:hAnsi="仿宋" w:eastAsia="仿宋" w:cs="仿宋"/>
          <w:b w:val="0"/>
          <w:bCs/>
          <w:color w:val="auto"/>
          <w:sz w:val="24"/>
          <w:szCs w:val="24"/>
          <w:highlight w:val="none"/>
          <w:lang w:eastAsia="zh-CN"/>
        </w:rPr>
        <w:t>吉安市青原区人民医院（吉安市青原区总医院）结核分子生物学耐药检测等设备采购项目</w:t>
      </w:r>
    </w:p>
    <w:p w14:paraId="71C051CE">
      <w:pPr>
        <w:keepNext w:val="0"/>
        <w:keepLines w:val="0"/>
        <w:pageBreakBefore w:val="0"/>
        <w:widowControl/>
        <w:numPr>
          <w:ilvl w:val="0"/>
          <w:numId w:val="0"/>
        </w:numPr>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二、预算金额：40万元</w:t>
      </w:r>
    </w:p>
    <w:p w14:paraId="4FAC39FA">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三、采购清单及要求：</w:t>
      </w:r>
    </w:p>
    <w:tbl>
      <w:tblPr>
        <w:tblStyle w:val="3"/>
        <w:tblW w:w="87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4350"/>
        <w:gridCol w:w="1126"/>
        <w:gridCol w:w="1177"/>
        <w:gridCol w:w="1131"/>
      </w:tblGrid>
      <w:tr w14:paraId="63053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7"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13351">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73C21">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设备名称</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08AA7">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单位</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F716D">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数量</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A23B0">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b/>
                <w:bCs/>
                <w:i w:val="0"/>
                <w:iCs w:val="0"/>
                <w:color w:val="000000"/>
                <w:sz w:val="28"/>
                <w:szCs w:val="28"/>
                <w:u w:val="none"/>
                <w:lang w:val="en-US" w:eastAsia="zh-CN"/>
              </w:rPr>
            </w:pPr>
            <w:r>
              <w:rPr>
                <w:rFonts w:hint="eastAsia" w:ascii="仿宋" w:hAnsi="仿宋" w:eastAsia="仿宋" w:cs="仿宋"/>
                <w:b/>
                <w:bCs/>
                <w:i w:val="0"/>
                <w:iCs w:val="0"/>
                <w:color w:val="000000"/>
                <w:sz w:val="28"/>
                <w:szCs w:val="28"/>
                <w:u w:val="none"/>
                <w:lang w:val="en-US" w:eastAsia="zh-CN"/>
              </w:rPr>
              <w:t>备注</w:t>
            </w:r>
          </w:p>
        </w:tc>
      </w:tr>
      <w:tr w14:paraId="73464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CACE2">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ACE5C">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sz w:val="28"/>
                <w:szCs w:val="28"/>
                <w:vertAlign w:val="baseline"/>
                <w:lang w:val="en-US" w:eastAsia="zh-CN"/>
              </w:rPr>
              <w:t>结核分子生物学耐药检测设备</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676B4">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F7D4D">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sz w:val="28"/>
                <w:szCs w:val="28"/>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A8A91">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rPr>
            </w:pPr>
          </w:p>
        </w:tc>
      </w:tr>
      <w:tr w14:paraId="08852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9A07D">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2</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41912">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sz w:val="28"/>
                <w:szCs w:val="28"/>
                <w:vertAlign w:val="baseline"/>
                <w:lang w:val="en-US" w:eastAsia="zh-CN"/>
              </w:rPr>
              <w:t>高压消毒锅</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8AD1E">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sz w:val="28"/>
                <w:szCs w:val="28"/>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36B58">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2</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54000">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75L</w:t>
            </w:r>
          </w:p>
        </w:tc>
      </w:tr>
      <w:tr w14:paraId="44C81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C0414">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3</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84D13">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sz w:val="28"/>
                <w:szCs w:val="28"/>
                <w:vertAlign w:val="baseline"/>
                <w:lang w:val="en-US" w:eastAsia="zh-CN"/>
              </w:rPr>
              <w:t>电热恒温培养箱</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BB355">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sz w:val="28"/>
                <w:szCs w:val="28"/>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0CC73">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1</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55954">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rPr>
            </w:pPr>
          </w:p>
        </w:tc>
      </w:tr>
      <w:tr w14:paraId="781FC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4"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1CBB4">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4</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9FAAD">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sz w:val="28"/>
                <w:szCs w:val="28"/>
                <w:vertAlign w:val="baseline"/>
                <w:lang w:val="en-US" w:eastAsia="zh-CN"/>
              </w:rPr>
              <w:t>显微镜</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D52DE">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sz w:val="28"/>
                <w:szCs w:val="28"/>
                <w:u w:val="none"/>
                <w:lang w:val="en-US" w:eastAsia="zh-CN"/>
              </w:rPr>
              <w:t>台</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178AC">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2</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5E8E4">
            <w:pPr>
              <w:keepNext w:val="0"/>
              <w:keepLines w:val="0"/>
              <w:pageBreakBefore w:val="0"/>
              <w:widowControl/>
              <w:suppressLineNumbers w:val="0"/>
              <w:kinsoku/>
              <w:wordWrap w:val="0"/>
              <w:overflowPunct/>
              <w:topLinePunct/>
              <w:autoSpaceDE/>
              <w:autoSpaceDN/>
              <w:bidi w:val="0"/>
              <w:adjustRightInd/>
              <w:snapToGrid/>
              <w:jc w:val="center"/>
              <w:textAlignment w:val="center"/>
              <w:rPr>
                <w:rFonts w:hint="eastAsia" w:ascii="仿宋" w:hAnsi="仿宋" w:eastAsia="仿宋" w:cs="仿宋"/>
                <w:i w:val="0"/>
                <w:iCs w:val="0"/>
                <w:color w:val="000000"/>
                <w:sz w:val="28"/>
                <w:szCs w:val="28"/>
                <w:u w:val="none"/>
              </w:rPr>
            </w:pPr>
          </w:p>
        </w:tc>
      </w:tr>
    </w:tbl>
    <w:p w14:paraId="77AB8E77">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注：本项目不允许提供进口产品参与方案征集。各供应商可根据征集项目要求，提供相当于或优于以上货物的技术参数。</w:t>
      </w:r>
    </w:p>
    <w:p w14:paraId="79697430">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四、回复意见的供应商资格：</w:t>
      </w:r>
    </w:p>
    <w:p w14:paraId="5024D002">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1、能够提供相关产品及服务的供应商并符合政府采购法二十二条之规定；</w:t>
      </w:r>
      <w:r>
        <w:rPr>
          <w:rFonts w:hint="eastAsia" w:ascii="仿宋" w:hAnsi="仿宋" w:eastAsia="仿宋" w:cs="仿宋"/>
          <w:b/>
          <w:bCs w:val="0"/>
          <w:snapToGrid/>
          <w:color w:val="auto"/>
          <w:kern w:val="2"/>
          <w:sz w:val="24"/>
          <w:szCs w:val="24"/>
          <w:highlight w:val="none"/>
          <w:lang w:val="en-US" w:eastAsia="zh-CN"/>
        </w:rPr>
        <w:t>【提供资格信用承诺函，详见附件回复函格式】</w:t>
      </w:r>
    </w:p>
    <w:p w14:paraId="05EF4656">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2、本次方案征集接受厂家或厂家代理商参与；</w:t>
      </w:r>
      <w:r>
        <w:rPr>
          <w:rFonts w:hint="eastAsia" w:ascii="仿宋" w:hAnsi="仿宋" w:eastAsia="仿宋" w:cs="仿宋"/>
          <w:b/>
          <w:bCs w:val="0"/>
          <w:snapToGrid/>
          <w:color w:val="auto"/>
          <w:kern w:val="2"/>
          <w:sz w:val="24"/>
          <w:szCs w:val="24"/>
          <w:highlight w:val="none"/>
          <w:lang w:val="en-US" w:eastAsia="zh-CN"/>
        </w:rPr>
        <w:t>【提供相关证明文件】</w:t>
      </w:r>
    </w:p>
    <w:p w14:paraId="292B2539">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3、特殊资格要求：（1）二、三类医疗器械产品须具有医疗器械注册证，一类医疗器械产品须具有产品备案登记凭证；（2）在中华人民共和国境内生产的二、三类医疗器械产品的须具有医疗器械生产许可证,一类医疗器械产品须具有医疗器械生产备案凭证；（3）经营三类医疗器械的须具有医疗器械经营企业许可证，二类医疗器械须具有医疗器械经营企业备案登记凭证。</w:t>
      </w:r>
      <w:r>
        <w:rPr>
          <w:rFonts w:hint="eastAsia" w:ascii="仿宋" w:hAnsi="仿宋" w:eastAsia="仿宋" w:cs="仿宋"/>
          <w:b/>
          <w:bCs w:val="0"/>
          <w:snapToGrid/>
          <w:color w:val="auto"/>
          <w:kern w:val="2"/>
          <w:sz w:val="24"/>
          <w:szCs w:val="24"/>
          <w:highlight w:val="none"/>
          <w:lang w:val="en-US" w:eastAsia="zh-CN"/>
        </w:rPr>
        <w:t>【提供复印件加盖供应商公章】</w:t>
      </w:r>
    </w:p>
    <w:p w14:paraId="5B8F66AD">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五、回复意见要求（详见附件回复函格式）：</w:t>
      </w:r>
    </w:p>
    <w:p w14:paraId="3A0DFD93">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1、各供应商须提供所有产品的技术方案，该方案将作为采购人重要参考依据。</w:t>
      </w:r>
    </w:p>
    <w:p w14:paraId="603C9125">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2、各供应商应提供目前市场上主流产品并</w:t>
      </w:r>
      <w:r>
        <w:rPr>
          <w:rFonts w:hint="eastAsia" w:ascii="仿宋" w:hAnsi="仿宋" w:eastAsia="仿宋" w:cs="仿宋"/>
          <w:b/>
          <w:bCs w:val="0"/>
          <w:snapToGrid/>
          <w:color w:val="auto"/>
          <w:kern w:val="2"/>
          <w:sz w:val="24"/>
          <w:szCs w:val="24"/>
          <w:highlight w:val="none"/>
          <w:lang w:val="en-US" w:eastAsia="zh-CN"/>
        </w:rPr>
        <w:t>提供省内装机名单</w:t>
      </w:r>
      <w:r>
        <w:rPr>
          <w:rFonts w:hint="eastAsia" w:ascii="仿宋" w:hAnsi="仿宋" w:eastAsia="仿宋" w:cs="仿宋"/>
          <w:bCs/>
          <w:snapToGrid/>
          <w:color w:val="auto"/>
          <w:kern w:val="2"/>
          <w:sz w:val="24"/>
          <w:szCs w:val="24"/>
          <w:highlight w:val="none"/>
          <w:lang w:val="en-US" w:eastAsia="zh-CN"/>
        </w:rPr>
        <w:t>，结合医院配置要求</w:t>
      </w:r>
      <w:r>
        <w:rPr>
          <w:rFonts w:hint="eastAsia" w:ascii="仿宋" w:hAnsi="仿宋" w:eastAsia="仿宋" w:cs="仿宋"/>
          <w:b/>
          <w:bCs w:val="0"/>
          <w:snapToGrid/>
          <w:color w:val="auto"/>
          <w:kern w:val="2"/>
          <w:sz w:val="24"/>
          <w:szCs w:val="24"/>
          <w:highlight w:val="none"/>
          <w:lang w:val="en-US" w:eastAsia="zh-CN"/>
        </w:rPr>
        <w:t>提交科学方案</w:t>
      </w:r>
      <w:r>
        <w:rPr>
          <w:rFonts w:hint="eastAsia" w:ascii="仿宋" w:hAnsi="仿宋" w:eastAsia="仿宋" w:cs="仿宋"/>
          <w:bCs/>
          <w:snapToGrid/>
          <w:color w:val="auto"/>
          <w:kern w:val="2"/>
          <w:sz w:val="24"/>
          <w:szCs w:val="24"/>
          <w:highlight w:val="none"/>
          <w:lang w:val="en-US" w:eastAsia="zh-CN"/>
        </w:rPr>
        <w:t>，且须</w:t>
      </w:r>
      <w:r>
        <w:rPr>
          <w:rFonts w:hint="eastAsia" w:ascii="仿宋" w:hAnsi="仿宋" w:eastAsia="仿宋" w:cs="仿宋"/>
          <w:b/>
          <w:bCs w:val="0"/>
          <w:snapToGrid/>
          <w:color w:val="auto"/>
          <w:kern w:val="2"/>
          <w:sz w:val="24"/>
          <w:szCs w:val="24"/>
          <w:highlight w:val="none"/>
          <w:lang w:val="en-US" w:eastAsia="zh-CN"/>
        </w:rPr>
        <w:t>提供近期成交价格案例</w:t>
      </w:r>
      <w:r>
        <w:rPr>
          <w:rFonts w:hint="eastAsia" w:ascii="仿宋" w:hAnsi="仿宋" w:eastAsia="仿宋" w:cs="仿宋"/>
          <w:bCs/>
          <w:snapToGrid/>
          <w:color w:val="auto"/>
          <w:kern w:val="2"/>
          <w:sz w:val="24"/>
          <w:szCs w:val="24"/>
          <w:highlight w:val="none"/>
          <w:lang w:val="en-US" w:eastAsia="zh-CN"/>
        </w:rPr>
        <w:t>参考。</w:t>
      </w:r>
    </w:p>
    <w:p w14:paraId="22DDA901">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3、各供应商可根据本项目征集要求，自行提供货物的品牌型号、一次性报价（包含总价及各产品的单价）、技术参数要求、售后服务（如质保期、人员培训等）、货物技术性能优势和技术加分条款等。</w:t>
      </w:r>
    </w:p>
    <w:p w14:paraId="14603DD5">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4、本次报价总价不得超过总预算金额，各产品单价可参照建议参考金额自行上下浮动调整报价，报价包含设备、维保、人工、安装、利润、培训、对接医院信息化系统扩建费用、管理费和税金等完成本项目所需的全部费用。</w:t>
      </w:r>
    </w:p>
    <w:p w14:paraId="50DD2DE8">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5、本次征集无现场二次报价环节。</w:t>
      </w:r>
    </w:p>
    <w:p w14:paraId="28DCABCD">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6、特别声明：本公告仅作为本项目采购前期市场调研，所有征集的方案仅供采购单位参考，不作为正式采购依据。</w:t>
      </w:r>
    </w:p>
    <w:p w14:paraId="531ACB58">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六、回复意见递交方式：各供应商须在回复意见递交截止时间前将回复材料盖章原件胶装及U盘一个（U盘中放入可编辑word版本的回复材料）一起密封后（一正三副）递交至采购代理机构，逾期将不予接收。</w:t>
      </w:r>
    </w:p>
    <w:p w14:paraId="4DC675F2">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七、回复意见递交截止时间：2026年5月9日18:00时止。</w:t>
      </w:r>
    </w:p>
    <w:p w14:paraId="53C16499">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
          <w:bCs w:val="0"/>
          <w:snapToGrid/>
          <w:color w:val="auto"/>
          <w:kern w:val="2"/>
          <w:sz w:val="24"/>
          <w:szCs w:val="24"/>
          <w:highlight w:val="none"/>
          <w:lang w:val="en-US" w:eastAsia="zh-CN"/>
        </w:rPr>
      </w:pPr>
      <w:r>
        <w:rPr>
          <w:rFonts w:hint="eastAsia" w:ascii="仿宋" w:hAnsi="仿宋" w:eastAsia="仿宋" w:cs="仿宋"/>
          <w:b/>
          <w:bCs w:val="0"/>
          <w:snapToGrid/>
          <w:color w:val="auto"/>
          <w:kern w:val="2"/>
          <w:sz w:val="24"/>
          <w:szCs w:val="24"/>
          <w:highlight w:val="none"/>
          <w:lang w:val="en-US" w:eastAsia="zh-CN"/>
        </w:rPr>
        <w:t>八、联系方式：</w:t>
      </w:r>
    </w:p>
    <w:p w14:paraId="6ADF70BC">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采购单位：吉安市青原区人民医院（吉安市青原区总医院）</w:t>
      </w:r>
    </w:p>
    <w:p w14:paraId="6A2EAEBA">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联系人：罗先生  15007969735</w:t>
      </w:r>
    </w:p>
    <w:p w14:paraId="273AFE73">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地址：江西省吉安市青原区下水东路</w:t>
      </w:r>
    </w:p>
    <w:p w14:paraId="478AC202">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监管部门：吉安市青原区政府采购委员会采购管理办公室</w:t>
      </w:r>
    </w:p>
    <w:p w14:paraId="1FF3C937">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联系人：李女士   0796-8203859</w:t>
      </w:r>
    </w:p>
    <w:p w14:paraId="4BF085DD">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地址：江西省吉安市青原区东冈路与青原大道交叉口东120米</w:t>
      </w:r>
    </w:p>
    <w:p w14:paraId="6CF13360">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代理机构：</w:t>
      </w:r>
      <w:r>
        <w:rPr>
          <w:rFonts w:hint="eastAsia" w:ascii="仿宋" w:hAnsi="仿宋" w:eastAsia="仿宋" w:cs="仿宋"/>
          <w:b w:val="0"/>
          <w:bCs/>
          <w:color w:val="auto"/>
          <w:kern w:val="0"/>
          <w:sz w:val="24"/>
          <w:szCs w:val="24"/>
          <w:highlight w:val="none"/>
          <w:lang w:val="en-US" w:eastAsia="zh-CN" w:bidi="ar-SA"/>
        </w:rPr>
        <w:t>江西省朝旭企业管理咨询有限公司</w:t>
      </w:r>
    </w:p>
    <w:p w14:paraId="3914F39B">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联系人：</w:t>
      </w:r>
      <w:r>
        <w:rPr>
          <w:rFonts w:hint="eastAsia" w:ascii="仿宋" w:hAnsi="仿宋" w:eastAsia="仿宋" w:cs="仿宋"/>
          <w:b w:val="0"/>
          <w:bCs/>
          <w:color w:val="auto"/>
          <w:kern w:val="0"/>
          <w:sz w:val="24"/>
          <w:szCs w:val="24"/>
          <w:highlight w:val="none"/>
          <w:lang w:val="en-US" w:eastAsia="zh-CN" w:bidi="ar-SA"/>
        </w:rPr>
        <w:t>杨女士   0796-8831066</w:t>
      </w:r>
    </w:p>
    <w:p w14:paraId="3D50EABA">
      <w:pPr>
        <w:keepNext w:val="0"/>
        <w:keepLines w:val="0"/>
        <w:pageBreakBefore w:val="0"/>
        <w:widowControl/>
        <w:shd w:val="clear"/>
        <w:kinsoku/>
        <w:wordWrap w:val="0"/>
        <w:overflowPunct/>
        <w:topLinePunct/>
        <w:autoSpaceDE/>
        <w:autoSpaceDN/>
        <w:bidi w:val="0"/>
        <w:adjustRightInd/>
        <w:snapToGrid/>
        <w:spacing w:line="360" w:lineRule="auto"/>
        <w:jc w:val="both"/>
        <w:textAlignment w:val="auto"/>
        <w:rPr>
          <w:rFonts w:hint="eastAsia" w:ascii="仿宋" w:hAnsi="仿宋" w:eastAsia="仿宋" w:cs="仿宋"/>
          <w:bCs/>
          <w:snapToGrid/>
          <w:color w:val="auto"/>
          <w:kern w:val="2"/>
          <w:sz w:val="24"/>
          <w:szCs w:val="24"/>
          <w:highlight w:val="none"/>
          <w:lang w:val="en-US" w:eastAsia="zh-CN"/>
        </w:rPr>
      </w:pPr>
      <w:r>
        <w:rPr>
          <w:rFonts w:hint="eastAsia" w:ascii="仿宋" w:hAnsi="仿宋" w:eastAsia="仿宋" w:cs="仿宋"/>
          <w:bCs/>
          <w:snapToGrid/>
          <w:color w:val="auto"/>
          <w:kern w:val="2"/>
          <w:sz w:val="24"/>
          <w:szCs w:val="24"/>
          <w:highlight w:val="none"/>
          <w:lang w:val="en-US" w:eastAsia="zh-CN"/>
        </w:rPr>
        <w:t>地　　址：</w:t>
      </w:r>
      <w:r>
        <w:rPr>
          <w:rFonts w:hint="eastAsia" w:ascii="仿宋" w:hAnsi="仿宋" w:eastAsia="仿宋" w:cs="仿宋"/>
          <w:b w:val="0"/>
          <w:bCs/>
          <w:color w:val="auto"/>
          <w:kern w:val="0"/>
          <w:sz w:val="24"/>
          <w:szCs w:val="24"/>
          <w:highlight w:val="none"/>
          <w:lang w:val="en-US" w:eastAsia="zh-CN" w:bidi="ar-SA"/>
        </w:rPr>
        <w:t>吉安市吉州区井冈山大道201号三楼</w:t>
      </w:r>
    </w:p>
    <w:p w14:paraId="6E4D14AD">
      <w:pPr>
        <w:pStyle w:val="2"/>
        <w:keepNext w:val="0"/>
        <w:keepLines w:val="0"/>
        <w:widowControl/>
        <w:suppressLineNumbers w:val="0"/>
        <w:shd w:val="clear" w:fill="FFFFFF"/>
        <w:spacing w:before="0" w:beforeAutospacing="1" w:after="0" w:afterAutospacing="1" w:line="360" w:lineRule="auto"/>
        <w:jc w:val="both"/>
        <w:rPr>
          <w:rFonts w:hint="eastAsia" w:ascii="仿宋" w:hAnsi="仿宋" w:eastAsia="仿宋" w:cs="仿宋"/>
          <w:b w:val="0"/>
          <w:bCs w:val="0"/>
          <w:sz w:val="24"/>
          <w:szCs w:val="24"/>
        </w:rPr>
      </w:pPr>
    </w:p>
    <w:p w14:paraId="52B17BD7">
      <w:pPr>
        <w:pStyle w:val="2"/>
        <w:keepNext w:val="0"/>
        <w:keepLines w:val="0"/>
        <w:widowControl/>
        <w:suppressLineNumbers w:val="0"/>
        <w:shd w:val="clear" w:fill="FFFFFF"/>
        <w:spacing w:before="0" w:beforeAutospacing="1" w:after="0" w:afterAutospacing="1" w:line="360" w:lineRule="auto"/>
        <w:ind w:left="0" w:firstLine="420"/>
        <w:jc w:val="right"/>
        <w:rPr>
          <w:rFonts w:hint="eastAsia" w:ascii="仿宋" w:hAnsi="仿宋" w:eastAsia="仿宋" w:cs="仿宋"/>
          <w:b w:val="0"/>
          <w:bCs w:val="0"/>
          <w:sz w:val="24"/>
          <w:szCs w:val="24"/>
        </w:rPr>
      </w:pPr>
      <w:r>
        <w:rPr>
          <w:rFonts w:hint="eastAsia" w:ascii="仿宋" w:hAnsi="仿宋" w:eastAsia="仿宋" w:cs="仿宋"/>
          <w:b w:val="0"/>
          <w:bCs w:val="0"/>
          <w:caps w:val="0"/>
          <w:color w:val="000000"/>
          <w:kern w:val="0"/>
          <w:sz w:val="24"/>
          <w:szCs w:val="24"/>
          <w:shd w:val="clear" w:fill="FFFFFF"/>
          <w:lang w:val="en-US" w:eastAsia="zh-CN"/>
        </w:rPr>
        <w:t>2026</w:t>
      </w:r>
      <w:r>
        <w:rPr>
          <w:rFonts w:hint="eastAsia" w:ascii="仿宋" w:hAnsi="仿宋" w:eastAsia="仿宋" w:cs="仿宋"/>
          <w:b w:val="0"/>
          <w:bCs w:val="0"/>
          <w:caps w:val="0"/>
          <w:color w:val="000000"/>
          <w:kern w:val="0"/>
          <w:sz w:val="24"/>
          <w:szCs w:val="24"/>
          <w:shd w:val="clear" w:fill="FFFFFF"/>
        </w:rPr>
        <w:t>年</w:t>
      </w:r>
      <w:r>
        <w:rPr>
          <w:rFonts w:hint="eastAsia" w:ascii="仿宋" w:hAnsi="仿宋" w:eastAsia="仿宋" w:cs="仿宋"/>
          <w:b w:val="0"/>
          <w:bCs w:val="0"/>
          <w:caps w:val="0"/>
          <w:color w:val="000000"/>
          <w:kern w:val="0"/>
          <w:sz w:val="24"/>
          <w:szCs w:val="24"/>
          <w:shd w:val="clear" w:fill="FFFFFF"/>
          <w:lang w:val="en-US" w:eastAsia="zh-CN"/>
        </w:rPr>
        <w:t>4</w:t>
      </w:r>
      <w:r>
        <w:rPr>
          <w:rFonts w:hint="eastAsia" w:ascii="仿宋" w:hAnsi="仿宋" w:eastAsia="仿宋" w:cs="仿宋"/>
          <w:b w:val="0"/>
          <w:bCs w:val="0"/>
          <w:caps w:val="0"/>
          <w:color w:val="000000"/>
          <w:kern w:val="0"/>
          <w:sz w:val="24"/>
          <w:szCs w:val="24"/>
          <w:shd w:val="clear" w:fill="FFFFFF"/>
        </w:rPr>
        <w:t>月</w:t>
      </w:r>
      <w:r>
        <w:rPr>
          <w:rFonts w:hint="eastAsia" w:ascii="仿宋" w:hAnsi="仿宋" w:eastAsia="仿宋" w:cs="仿宋"/>
          <w:b w:val="0"/>
          <w:bCs w:val="0"/>
          <w:caps w:val="0"/>
          <w:color w:val="000000"/>
          <w:kern w:val="0"/>
          <w:sz w:val="24"/>
          <w:szCs w:val="24"/>
          <w:shd w:val="clear" w:fill="FFFFFF"/>
          <w:lang w:val="en-US" w:eastAsia="zh-CN"/>
        </w:rPr>
        <w:t>30</w:t>
      </w:r>
      <w:r>
        <w:rPr>
          <w:rFonts w:hint="eastAsia" w:ascii="仿宋" w:hAnsi="仿宋" w:eastAsia="仿宋" w:cs="仿宋"/>
          <w:b w:val="0"/>
          <w:bCs w:val="0"/>
          <w:caps w:val="0"/>
          <w:color w:val="000000"/>
          <w:kern w:val="0"/>
          <w:sz w:val="24"/>
          <w:szCs w:val="24"/>
          <w:shd w:val="clear" w:fill="FFFFFF"/>
        </w:rPr>
        <w:t>日</w:t>
      </w:r>
    </w:p>
    <w:p w14:paraId="1327BFA7">
      <w:pPr>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F3A0C"/>
    <w:multiLevelType w:val="singleLevel"/>
    <w:tmpl w:val="FFEF3A0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731F5"/>
    <w:rsid w:val="207A3152"/>
    <w:rsid w:val="240731F5"/>
    <w:rsid w:val="AF787466"/>
    <w:rsid w:val="EEFF8446"/>
    <w:rsid w:val="F4FB7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1363</Words>
  <Characters>1416</Characters>
  <Lines>0</Lines>
  <Paragraphs>0</Paragraphs>
  <TotalTime>0</TotalTime>
  <ScaleCrop>false</ScaleCrop>
  <LinksUpToDate>false</LinksUpToDate>
  <CharactersWithSpaces>1426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2026-05-01T00:56:00Z</dcterms:created>
  <dc:creator>Administrator</dc:creator>
  <cp:lastModifiedBy>Administrator</cp:lastModifiedBy>
  <dcterms:modified xsi:type="dcterms:W3CDTF">2026-04-30T09:11:29Z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25976FBC896644F695FB35741E4A8711_13</vt:lpwstr>
  </property>
  <property fmtid="{D5CDD505-2E9C-101B-9397-08002B2CF9AE}" pid="4" name="KSOTemplateDocerSaveRecord">
    <vt:lpwstr>eyJoZGlkIjoiNjBhN2EyNjhjMDVmYmIzNWE3NTJmZjQwNTg3ZDk0ZDEiLCJ1c2VySWQiOiI4MTU1MDMxNzMifQ==</vt:lpwstr>
  </property>
</Properties>
</file>