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4"/>
        <w:spacing w:line="261" w:lineRule="auto"/>
        <w:rPr>
          <w:rFonts w:hint="eastAsia" w:ascii="仿宋" w:hAnsi="仿宋" w:eastAsia="仿宋" w:cs="仿宋"/>
        </w:rPr>
      </w:pPr>
    </w:p>
    <w:p w14:paraId="3F7444BD">
      <w:pPr>
        <w:pStyle w:val="14"/>
        <w:spacing w:line="261" w:lineRule="auto"/>
        <w:rPr>
          <w:rFonts w:hint="eastAsia" w:ascii="仿宋" w:hAnsi="仿宋" w:eastAsia="仿宋" w:cs="仿宋"/>
        </w:rPr>
      </w:pPr>
    </w:p>
    <w:p w14:paraId="6A7DCC1E">
      <w:pPr>
        <w:pStyle w:val="14"/>
        <w:spacing w:line="261" w:lineRule="auto"/>
        <w:rPr>
          <w:rFonts w:hint="eastAsia" w:ascii="仿宋" w:hAnsi="仿宋" w:eastAsia="仿宋" w:cs="仿宋"/>
        </w:rPr>
      </w:pPr>
    </w:p>
    <w:p w14:paraId="770C8358">
      <w:pPr>
        <w:pStyle w:val="14"/>
        <w:spacing w:line="261" w:lineRule="auto"/>
        <w:rPr>
          <w:rFonts w:hint="eastAsia" w:ascii="仿宋" w:hAnsi="仿宋" w:eastAsia="仿宋" w:cs="仿宋"/>
        </w:rPr>
      </w:pPr>
    </w:p>
    <w:p w14:paraId="3617CF1D">
      <w:pPr>
        <w:pStyle w:val="14"/>
        <w:spacing w:line="261" w:lineRule="auto"/>
        <w:rPr>
          <w:rFonts w:hint="eastAsia" w:ascii="仿宋" w:hAnsi="仿宋" w:eastAsia="仿宋" w:cs="仿宋"/>
        </w:rPr>
      </w:pPr>
    </w:p>
    <w:p w14:paraId="4A716706">
      <w:pPr>
        <w:pStyle w:val="14"/>
        <w:spacing w:line="262" w:lineRule="auto"/>
        <w:rPr>
          <w:rFonts w:hint="eastAsia" w:ascii="仿宋" w:hAnsi="仿宋" w:eastAsia="仿宋" w:cs="仿宋"/>
        </w:rPr>
      </w:pPr>
    </w:p>
    <w:p w14:paraId="7B8A22B3">
      <w:pPr>
        <w:pStyle w:val="14"/>
        <w:spacing w:line="262" w:lineRule="auto"/>
        <w:rPr>
          <w:rFonts w:hint="eastAsia" w:ascii="仿宋" w:hAnsi="仿宋" w:eastAsia="仿宋" w:cs="仿宋"/>
        </w:rPr>
      </w:pPr>
    </w:p>
    <w:p w14:paraId="7D621ED7">
      <w:pPr>
        <w:pStyle w:val="14"/>
        <w:spacing w:line="262" w:lineRule="auto"/>
        <w:rPr>
          <w:rFonts w:hint="eastAsia" w:ascii="仿宋" w:hAnsi="仿宋" w:eastAsia="仿宋" w:cs="仿宋"/>
        </w:rPr>
      </w:pPr>
    </w:p>
    <w:p w14:paraId="38461B03">
      <w:pPr>
        <w:pStyle w:val="14"/>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4"/>
        <w:spacing w:line="269" w:lineRule="auto"/>
        <w:rPr>
          <w:rFonts w:hint="eastAsia" w:ascii="仿宋" w:hAnsi="仿宋" w:eastAsia="仿宋" w:cs="仿宋"/>
          <w:lang w:eastAsia="zh-CN"/>
        </w:rPr>
      </w:pPr>
    </w:p>
    <w:p w14:paraId="437F2C43">
      <w:pPr>
        <w:pStyle w:val="14"/>
        <w:spacing w:line="269" w:lineRule="auto"/>
        <w:rPr>
          <w:rFonts w:hint="eastAsia" w:ascii="仿宋" w:hAnsi="仿宋" w:eastAsia="仿宋" w:cs="仿宋"/>
          <w:lang w:eastAsia="zh-CN"/>
        </w:rPr>
      </w:pPr>
    </w:p>
    <w:p w14:paraId="00D1E1FB">
      <w:pPr>
        <w:pStyle w:val="14"/>
        <w:spacing w:line="269" w:lineRule="auto"/>
        <w:rPr>
          <w:rFonts w:hint="eastAsia" w:ascii="仿宋" w:hAnsi="仿宋" w:eastAsia="仿宋" w:cs="仿宋"/>
          <w:lang w:eastAsia="zh-CN"/>
        </w:rPr>
      </w:pPr>
    </w:p>
    <w:p w14:paraId="0ED71348">
      <w:pPr>
        <w:pStyle w:val="14"/>
        <w:spacing w:line="269" w:lineRule="auto"/>
        <w:rPr>
          <w:rFonts w:hint="eastAsia" w:ascii="仿宋" w:hAnsi="仿宋" w:eastAsia="仿宋" w:cs="仿宋"/>
          <w:lang w:eastAsia="zh-CN"/>
        </w:rPr>
      </w:pPr>
    </w:p>
    <w:p w14:paraId="6C0B745E">
      <w:pPr>
        <w:pStyle w:val="14"/>
        <w:spacing w:line="269" w:lineRule="auto"/>
        <w:rPr>
          <w:rFonts w:hint="eastAsia" w:ascii="仿宋" w:hAnsi="仿宋" w:eastAsia="仿宋" w:cs="仿宋"/>
          <w:lang w:eastAsia="zh-CN"/>
        </w:rPr>
      </w:pPr>
    </w:p>
    <w:p w14:paraId="0E7C1CDF">
      <w:pPr>
        <w:pStyle w:val="14"/>
        <w:spacing w:line="269" w:lineRule="auto"/>
        <w:rPr>
          <w:rFonts w:hint="eastAsia" w:ascii="仿宋" w:hAnsi="仿宋" w:eastAsia="仿宋" w:cs="仿宋"/>
          <w:lang w:eastAsia="zh-CN"/>
        </w:rPr>
      </w:pPr>
    </w:p>
    <w:p w14:paraId="4A6C434B">
      <w:pPr>
        <w:pStyle w:val="14"/>
        <w:spacing w:line="269" w:lineRule="auto"/>
        <w:rPr>
          <w:rFonts w:hint="eastAsia" w:ascii="仿宋" w:hAnsi="仿宋" w:eastAsia="仿宋" w:cs="仿宋"/>
          <w:lang w:eastAsia="zh-CN"/>
        </w:rPr>
      </w:pPr>
    </w:p>
    <w:p w14:paraId="365E7B80">
      <w:pPr>
        <w:pStyle w:val="14"/>
        <w:spacing w:line="480" w:lineRule="auto"/>
        <w:rPr>
          <w:rFonts w:hint="eastAsia" w:ascii="仿宋" w:hAnsi="仿宋" w:eastAsia="仿宋" w:cs="仿宋"/>
          <w:lang w:eastAsia="zh-CN"/>
        </w:rPr>
      </w:pPr>
    </w:p>
    <w:p w14:paraId="61B49C83">
      <w:pPr>
        <w:pStyle w:val="14"/>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项目名称：某单位2026年工业机器人教学科研仪器设备采购项目</w:t>
      </w:r>
    </w:p>
    <w:p w14:paraId="009DFF74">
      <w:pPr>
        <w:pStyle w:val="14"/>
        <w:spacing w:line="243" w:lineRule="auto"/>
        <w:rPr>
          <w:rFonts w:hint="eastAsia" w:ascii="仿宋" w:hAnsi="仿宋" w:eastAsia="仿宋" w:cs="仿宋"/>
          <w:lang w:eastAsia="zh-CN"/>
        </w:rPr>
      </w:pPr>
    </w:p>
    <w:p w14:paraId="485DB685">
      <w:pPr>
        <w:pStyle w:val="14"/>
        <w:spacing w:line="243" w:lineRule="auto"/>
        <w:rPr>
          <w:rFonts w:hint="eastAsia" w:ascii="仿宋" w:hAnsi="仿宋" w:eastAsia="仿宋" w:cs="仿宋"/>
          <w:lang w:eastAsia="zh-CN"/>
        </w:rPr>
      </w:pPr>
    </w:p>
    <w:p w14:paraId="4E2FDAB1">
      <w:pPr>
        <w:pStyle w:val="14"/>
        <w:spacing w:line="243" w:lineRule="auto"/>
        <w:rPr>
          <w:rFonts w:hint="eastAsia" w:ascii="仿宋" w:hAnsi="仿宋" w:eastAsia="仿宋" w:cs="仿宋"/>
          <w:lang w:eastAsia="zh-CN"/>
        </w:rPr>
      </w:pPr>
    </w:p>
    <w:p w14:paraId="1CE59D75">
      <w:pPr>
        <w:pStyle w:val="14"/>
        <w:spacing w:line="243" w:lineRule="auto"/>
        <w:rPr>
          <w:rFonts w:hint="eastAsia" w:ascii="仿宋" w:hAnsi="仿宋" w:eastAsia="仿宋" w:cs="仿宋"/>
          <w:lang w:eastAsia="zh-CN"/>
        </w:rPr>
      </w:pPr>
    </w:p>
    <w:p w14:paraId="2FD64D39">
      <w:pPr>
        <w:pStyle w:val="14"/>
        <w:spacing w:line="243" w:lineRule="auto"/>
        <w:rPr>
          <w:rFonts w:hint="eastAsia" w:ascii="仿宋" w:hAnsi="仿宋" w:eastAsia="仿宋" w:cs="仿宋"/>
          <w:lang w:eastAsia="zh-CN"/>
        </w:rPr>
      </w:pPr>
    </w:p>
    <w:p w14:paraId="4B5D54A1">
      <w:pPr>
        <w:pStyle w:val="14"/>
        <w:spacing w:line="244" w:lineRule="auto"/>
        <w:rPr>
          <w:rFonts w:hint="eastAsia" w:ascii="仿宋" w:hAnsi="仿宋" w:eastAsia="仿宋" w:cs="仿宋"/>
          <w:lang w:eastAsia="zh-CN"/>
        </w:rPr>
      </w:pPr>
    </w:p>
    <w:p w14:paraId="568484EC">
      <w:pPr>
        <w:pStyle w:val="14"/>
        <w:spacing w:line="244" w:lineRule="auto"/>
        <w:rPr>
          <w:rFonts w:hint="eastAsia" w:ascii="仿宋" w:hAnsi="仿宋" w:eastAsia="仿宋" w:cs="仿宋"/>
          <w:lang w:eastAsia="zh-CN"/>
        </w:rPr>
      </w:pPr>
    </w:p>
    <w:p w14:paraId="34EC22CF">
      <w:pPr>
        <w:pStyle w:val="14"/>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4"/>
        <w:spacing w:line="284" w:lineRule="auto"/>
        <w:rPr>
          <w:rFonts w:hint="eastAsia" w:ascii="仿宋" w:hAnsi="仿宋" w:eastAsia="仿宋" w:cs="仿宋"/>
          <w:lang w:eastAsia="zh-CN"/>
        </w:rPr>
      </w:pPr>
    </w:p>
    <w:p w14:paraId="2D1D45C0">
      <w:pPr>
        <w:pStyle w:val="14"/>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某单位2026年工业机器人教学科研仪器设备采购项目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4"/>
          <w:rFonts w:hint="eastAsia" w:ascii="仿宋" w:hAnsi="仿宋" w:eastAsia="仿宋" w:cs="仿宋"/>
          <w:sz w:val="28"/>
          <w:szCs w:val="28"/>
        </w:rPr>
      </w:pPr>
      <w:r>
        <w:rPr>
          <w:rStyle w:val="24"/>
          <w:rFonts w:hint="eastAsia" w:ascii="仿宋" w:hAnsi="仿宋" w:eastAsia="仿宋" w:cs="仿宋"/>
          <w:sz w:val="28"/>
          <w:szCs w:val="28"/>
        </w:rPr>
        <w:t>总额</w:t>
      </w:r>
      <w:r>
        <w:rPr>
          <w:rStyle w:val="24"/>
          <w:rFonts w:hint="eastAsia" w:ascii="仿宋" w:hAnsi="仿宋" w:eastAsia="仿宋" w:cs="仿宋"/>
          <w:sz w:val="28"/>
          <w:szCs w:val="28"/>
          <w:lang w:val="en-US" w:eastAsia="zh-CN"/>
        </w:rPr>
        <w:t>124万</w:t>
      </w:r>
      <w:r>
        <w:rPr>
          <w:rStyle w:val="24"/>
          <w:rFonts w:hint="eastAsia" w:ascii="仿宋" w:hAnsi="仿宋" w:eastAsia="仿宋" w:cs="仿宋"/>
          <w:sz w:val="28"/>
          <w:szCs w:val="28"/>
        </w:rPr>
        <w:t>元</w:t>
      </w:r>
    </w:p>
    <w:tbl>
      <w:tblPr>
        <w:tblStyle w:val="21"/>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4108"/>
        <w:gridCol w:w="1756"/>
        <w:gridCol w:w="1147"/>
        <w:gridCol w:w="3498"/>
        <w:gridCol w:w="2757"/>
      </w:tblGrid>
      <w:tr w14:paraId="0E74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382" w:type="pct"/>
            <w:vAlign w:val="center"/>
          </w:tcPr>
          <w:p w14:paraId="0EDE91B0">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序号</w:t>
            </w:r>
          </w:p>
        </w:tc>
        <w:tc>
          <w:tcPr>
            <w:tcW w:w="1429" w:type="pct"/>
            <w:vAlign w:val="center"/>
          </w:tcPr>
          <w:p w14:paraId="269DEB22">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货物（服务）</w:t>
            </w:r>
            <w:r>
              <w:rPr>
                <w:rFonts w:hint="eastAsia" w:ascii="仿宋" w:hAnsi="仿宋" w:eastAsia="仿宋" w:cs="仿宋"/>
                <w:b/>
                <w:bCs/>
                <w:color w:val="000000"/>
                <w:kern w:val="0"/>
                <w:sz w:val="28"/>
                <w:szCs w:val="28"/>
                <w:lang w:bidi="ar"/>
              </w:rPr>
              <w:t>名称</w:t>
            </w:r>
          </w:p>
        </w:tc>
        <w:tc>
          <w:tcPr>
            <w:tcW w:w="611" w:type="pct"/>
            <w:vAlign w:val="center"/>
          </w:tcPr>
          <w:p w14:paraId="273E6C97">
            <w:pPr>
              <w:widowControl/>
              <w:jc w:val="center"/>
              <w:textAlignment w:val="center"/>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val="en-US" w:eastAsia="zh-CN" w:bidi="ar"/>
              </w:rPr>
              <w:t>数量</w:t>
            </w:r>
          </w:p>
        </w:tc>
        <w:tc>
          <w:tcPr>
            <w:tcW w:w="399" w:type="pct"/>
            <w:vAlign w:val="center"/>
          </w:tcPr>
          <w:p w14:paraId="30F701D8">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单位</w:t>
            </w:r>
          </w:p>
        </w:tc>
        <w:tc>
          <w:tcPr>
            <w:tcW w:w="1217" w:type="pct"/>
            <w:vAlign w:val="center"/>
          </w:tcPr>
          <w:p w14:paraId="1625BF1D">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单价（万元）</w:t>
            </w:r>
          </w:p>
        </w:tc>
        <w:tc>
          <w:tcPr>
            <w:tcW w:w="959" w:type="pct"/>
            <w:vAlign w:val="center"/>
          </w:tcPr>
          <w:p w14:paraId="4B325857">
            <w:pPr>
              <w:widowControl/>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bidi="ar"/>
              </w:rPr>
              <w:t>用途</w:t>
            </w:r>
          </w:p>
        </w:tc>
      </w:tr>
      <w:tr w14:paraId="6264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82" w:type="pct"/>
            <w:vAlign w:val="center"/>
          </w:tcPr>
          <w:p w14:paraId="2F529875">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429" w:type="pct"/>
            <w:vAlign w:val="center"/>
          </w:tcPr>
          <w:p w14:paraId="55DA91A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桌面式工业机器人</w:t>
            </w:r>
          </w:p>
        </w:tc>
        <w:tc>
          <w:tcPr>
            <w:tcW w:w="611" w:type="pct"/>
            <w:vAlign w:val="center"/>
          </w:tcPr>
          <w:p w14:paraId="3D8CAAA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399" w:type="pct"/>
            <w:vAlign w:val="center"/>
          </w:tcPr>
          <w:p w14:paraId="5DC2182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17" w:type="pct"/>
            <w:vAlign w:val="center"/>
          </w:tcPr>
          <w:p w14:paraId="056F7AA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38</w:t>
            </w:r>
          </w:p>
        </w:tc>
        <w:tc>
          <w:tcPr>
            <w:tcW w:w="959" w:type="pct"/>
            <w:vAlign w:val="center"/>
          </w:tcPr>
          <w:p w14:paraId="673E4C1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教学用设备</w:t>
            </w:r>
          </w:p>
        </w:tc>
      </w:tr>
      <w:tr w14:paraId="471B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82" w:type="pct"/>
            <w:vAlign w:val="center"/>
          </w:tcPr>
          <w:p w14:paraId="1F55902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429" w:type="pct"/>
            <w:vAlign w:val="center"/>
          </w:tcPr>
          <w:p w14:paraId="316A014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智能制造单元系统集成平台</w:t>
            </w:r>
          </w:p>
        </w:tc>
        <w:tc>
          <w:tcPr>
            <w:tcW w:w="611" w:type="pct"/>
            <w:vAlign w:val="center"/>
          </w:tcPr>
          <w:p w14:paraId="66D6C07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9" w:type="pct"/>
            <w:vAlign w:val="center"/>
          </w:tcPr>
          <w:p w14:paraId="4741807F">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17" w:type="pct"/>
            <w:vAlign w:val="center"/>
          </w:tcPr>
          <w:p w14:paraId="113A8BCA">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48</w:t>
            </w:r>
          </w:p>
        </w:tc>
        <w:tc>
          <w:tcPr>
            <w:tcW w:w="959" w:type="pct"/>
            <w:vAlign w:val="center"/>
          </w:tcPr>
          <w:p w14:paraId="6E640AB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教学用设备</w:t>
            </w:r>
          </w:p>
        </w:tc>
      </w:tr>
    </w:tbl>
    <w:p w14:paraId="62482BDD">
      <w:pPr>
        <w:pStyle w:val="20"/>
        <w:spacing w:line="240" w:lineRule="auto"/>
        <w:rPr>
          <w:rFonts w:hint="eastAsia"/>
          <w:lang w:eastAsia="zh-CN"/>
        </w:rPr>
      </w:pPr>
    </w:p>
    <w:tbl>
      <w:tblPr>
        <w:tblStyle w:val="21"/>
        <w:tblW w:w="14331"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592"/>
        <w:gridCol w:w="1117"/>
        <w:gridCol w:w="9270"/>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9"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592"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11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9270"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单价</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731B8DE7">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592" w:type="dxa"/>
            <w:noWrap/>
            <w:vAlign w:val="center"/>
          </w:tcPr>
          <w:p w14:paraId="60807BF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桌面式工业机器人</w:t>
            </w:r>
          </w:p>
        </w:tc>
        <w:tc>
          <w:tcPr>
            <w:tcW w:w="1117" w:type="dxa"/>
            <w:noWrap/>
            <w:vAlign w:val="center"/>
          </w:tcPr>
          <w:p w14:paraId="6788BCBD">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8"/>
                <w:lang w:val="en-US"/>
              </w:rPr>
              <w:t>2</w:t>
            </w:r>
            <w:r>
              <w:rPr>
                <w:rFonts w:hint="eastAsia" w:ascii="仿宋" w:hAnsi="仿宋" w:eastAsia="仿宋" w:cs="仿宋"/>
                <w:b w:val="0"/>
                <w:bCs w:val="0"/>
                <w:color w:val="000000"/>
                <w:sz w:val="28"/>
                <w:szCs w:val="28"/>
                <w:lang w:val="en-US" w:eastAsia="zh-CN"/>
              </w:rPr>
              <w:t>台</w:t>
            </w:r>
          </w:p>
        </w:tc>
        <w:tc>
          <w:tcPr>
            <w:tcW w:w="9270" w:type="dxa"/>
            <w:vAlign w:val="center"/>
          </w:tcPr>
          <w:p w14:paraId="511B7D5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一、机身</w:t>
            </w:r>
          </w:p>
          <w:p w14:paraId="55B5EFC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（一）本体：</w:t>
            </w:r>
          </w:p>
          <w:p w14:paraId="5D8173E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1)工业机器人具有六个串联关节轴；</w:t>
            </w:r>
          </w:p>
          <w:p w14:paraId="0C0590C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2)工作范围≥580mm；</w:t>
            </w:r>
          </w:p>
          <w:p w14:paraId="68619A9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3)额定负载≥3kg；</w:t>
            </w:r>
          </w:p>
          <w:p w14:paraId="53C9CAC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4)重复定位精度≤±0.01mm；</w:t>
            </w:r>
          </w:p>
          <w:p w14:paraId="5B1C3D0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5)安全性装置：包括安全停、紧急停，不少于2通道的安全回路监测，不少于3位启动装置；</w:t>
            </w:r>
          </w:p>
          <w:p w14:paraId="083FF16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6)集成信号源：为手腕设有不少于10路信号；</w:t>
            </w:r>
          </w:p>
          <w:p w14:paraId="00AC5BD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7)集成气源：为手腕设有不少于4路空气（5bar）；</w:t>
            </w:r>
          </w:p>
          <w:p w14:paraId="1CD48D3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8)防护等级≥IP30；</w:t>
            </w:r>
          </w:p>
          <w:p w14:paraId="1868A17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（二）控制器：</w:t>
            </w:r>
          </w:p>
          <w:p w14:paraId="6BCEE74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内置≥16路输入，≥16路输出的数字量I/O模块；</w:t>
            </w:r>
          </w:p>
          <w:p w14:paraId="78CB9F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（三）示教器：</w:t>
            </w:r>
          </w:p>
          <w:p w14:paraId="0554C20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1)具有图形化彩色触摸屏：不小于6英寸，分辨率≥800×480</w:t>
            </w:r>
          </w:p>
          <w:p w14:paraId="48835FC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w:t>
            </w:r>
          </w:p>
          <w:p w14:paraId="57477E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2)具有手动操纵杆；</w:t>
            </w:r>
          </w:p>
          <w:p w14:paraId="670491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3)支持热插拔。</w:t>
            </w:r>
          </w:p>
          <w:p w14:paraId="525B73E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（四）底座：</w:t>
            </w:r>
          </w:p>
          <w:p w14:paraId="49107E9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1)材质：满足或优于铝合金；</w:t>
            </w:r>
          </w:p>
          <w:p w14:paraId="547185D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2)防锈处理；满足或优于阳极氧化处理；</w:t>
            </w:r>
          </w:p>
          <w:p w14:paraId="71A2F25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3)尺寸≥300mm×250mm×20mm。</w:t>
            </w:r>
          </w:p>
          <w:p w14:paraId="5B34A07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二、实训单元</w:t>
            </w:r>
          </w:p>
          <w:p w14:paraId="467CFCA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（一）输送单元：</w:t>
            </w:r>
          </w:p>
          <w:p w14:paraId="01B048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1)支撑结构：材质为铝合金或优于铝合金；</w:t>
            </w:r>
          </w:p>
          <w:p w14:paraId="48F37F7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2）需具有输送带，驱动方式采用步进电机，扭矩≥2.2Nm，电流≥4A；</w:t>
            </w:r>
          </w:p>
          <w:p w14:paraId="7575F8A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2)自动上料装置采用气缸驱动，缸径≥10mm，行程≥50mm，带磁性开关；</w:t>
            </w:r>
          </w:p>
          <w:p w14:paraId="3D93BA7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3)料井有物料到位传感器，采用内置小型放大器型光电传感器实现检测，检测方式为扩散反射型，检测距离5mm～100mm （允许误差±5%）；</w:t>
            </w:r>
          </w:p>
          <w:p w14:paraId="3D7554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4)输送带末端有物料到位传感器，采用内置小型放大器型光电传感器实现检测，检测方式为扩散反射型，检测距离5mm～100mm （允许误差±5%）。</w:t>
            </w:r>
          </w:p>
          <w:p w14:paraId="48BA0E9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（二）冲压单元：</w:t>
            </w:r>
          </w:p>
          <w:p w14:paraId="66EBFF5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1)材料：铝合金或优于铝合金；</w:t>
            </w:r>
          </w:p>
          <w:p w14:paraId="706BA65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2)驱动方式：采用气缸驱动，数量≥3个气缸驱动，缸径≥10mm，行程为50mm/100mm，带磁性开关；</w:t>
            </w:r>
          </w:p>
          <w:p w14:paraId="177C72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3)入料位和出料位均有物料到位传感器，采用内置小型放大器型光电传感器实现检测，检测方式为扩散反射型，检测距离5mm～100mm。</w:t>
            </w:r>
          </w:p>
          <w:p w14:paraId="662D508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（三）成品单元：</w:t>
            </w:r>
          </w:p>
          <w:p w14:paraId="10E370D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1)材料：铝合金或优于铝合金，该单元可放置物料数不少于6个；</w:t>
            </w:r>
          </w:p>
          <w:p w14:paraId="25CF99F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2)防锈处理；满足或优于阳极氧化处理；</w:t>
            </w:r>
          </w:p>
          <w:p w14:paraId="0EC0497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4)每个放料工位均有光电传感器进行检测有无物料；</w:t>
            </w:r>
          </w:p>
          <w:p w14:paraId="296A23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5)尺寸265mm×100mm×170mm（允许误差±5%）。</w:t>
            </w:r>
          </w:p>
          <w:p w14:paraId="3709973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（四）码垛单元：</w:t>
            </w:r>
          </w:p>
          <w:p w14:paraId="391B446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1)材质：铝合金型材或优于，可暂存物料≥7个；</w:t>
            </w:r>
          </w:p>
          <w:p w14:paraId="77626A3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2)防锈处理；满足或优于阳极氧化处理；</w:t>
            </w:r>
          </w:p>
          <w:p w14:paraId="307965E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4)每个放料工位均有光电传感器进行检测有无物料；</w:t>
            </w:r>
          </w:p>
          <w:p w14:paraId="688E67B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5)尺寸250mm×200mm×155mm（允许误差±5%）。</w:t>
            </w:r>
          </w:p>
          <w:p w14:paraId="2D45A73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（五）涂胶单元：</w:t>
            </w:r>
          </w:p>
          <w:p w14:paraId="3112D4D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1）3D轨迹图板尺寸250mm×200mm（允许误差±5%），具有半经≥50mm的拱形面，材质：碳钢，表面进行烤漆处理，厚度≥3mm；</w:t>
            </w:r>
          </w:p>
          <w:p w14:paraId="1EB3E62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2)轨迹路径包含但不限于圆形、三角形、复杂轮廓和样条曲线以及不同位置、不同指向的基准坐标系；</w:t>
            </w:r>
          </w:p>
          <w:p w14:paraId="506910C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3)可自动吸附在3D轨迹图板上的轨迹图纸数≥2张。</w:t>
            </w:r>
          </w:p>
          <w:p w14:paraId="171264B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（六）视觉检测单元：</w:t>
            </w:r>
          </w:p>
          <w:p w14:paraId="2E11A58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视觉系统，支持TCP/IP通讯协议，用于包括但不限于与工业机器人直接数据的传输，对真实产品进行拍照后与目标产品进行比对，分辨其形状、尺寸、位置、角度等参数信息；采用CCD传感器的彩色工业相机，总像素≥30万，有效分辨率≥640×480，像素尺寸≥7.4μm×7.4μm</w:t>
            </w:r>
          </w:p>
          <w:p w14:paraId="20D031C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ab/>
            </w:r>
            <w:r>
              <w:rPr>
                <w:rFonts w:hint="default" w:ascii="仿宋" w:hAnsi="仿宋" w:eastAsia="仿宋" w:cs="仿宋"/>
                <w:color w:val="000000"/>
                <w:kern w:val="0"/>
                <w:sz w:val="28"/>
                <w:szCs w:val="28"/>
                <w:lang w:val="en-US" w:eastAsia="zh-CN" w:bidi="ar"/>
              </w:rPr>
              <w:t>配套环形光源：白色，亮度可调节，需配保护支架，支架材质铝合金或优于；</w:t>
            </w:r>
          </w:p>
          <w:p w14:paraId="4E384F4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3）操作显示器≥9英寸。</w:t>
            </w:r>
          </w:p>
          <w:p w14:paraId="5164279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（七）数控单元：</w:t>
            </w:r>
          </w:p>
          <w:p w14:paraId="68902E5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1)两轴立式铣床结构，要求实现X\Y两轴加工运动；</w:t>
            </w:r>
          </w:p>
          <w:p w14:paraId="5708906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2)主轴升降涂描工具，采用升降气缸进行涂描位置的调整；</w:t>
            </w:r>
          </w:p>
          <w:p w14:paraId="05CF1DB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3)X轴有效行程≥250mm，最大运行速度≥30mm/s，要求：使用步进电机驱动，通过同步带带动滚珠丝杠实现旋转运动变换到直线运动，由滚珠导轨导向滑动；</w:t>
            </w:r>
          </w:p>
          <w:p w14:paraId="44886BF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4)Y轴有效行程≥250mm，最大运行速度≥30mm/s，要求：使用步进电机驱动，通过同步带带动滚珠丝杠实现旋转运动变换到直线运动，由滚珠导轨导向滑动；</w:t>
            </w:r>
          </w:p>
          <w:p w14:paraId="0760864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5)数控机床配有安全护栏及隔断，护栏框架材质：铝合金或优于，尺寸：不小于100mm*300mm*5mm，隔断使用透明亚克力材质。</w:t>
            </w:r>
          </w:p>
          <w:p w14:paraId="694C1DB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（八）PLC单元：</w:t>
            </w:r>
          </w:p>
          <w:p w14:paraId="7825DB9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ab/>
            </w:r>
            <w:r>
              <w:rPr>
                <w:rFonts w:hint="default" w:ascii="仿宋" w:hAnsi="仿宋" w:eastAsia="仿宋" w:cs="仿宋"/>
                <w:color w:val="000000"/>
                <w:kern w:val="0"/>
                <w:sz w:val="28"/>
                <w:szCs w:val="28"/>
                <w:lang w:val="en-US" w:eastAsia="zh-CN" w:bidi="ar"/>
              </w:rPr>
              <w:t>PLC控制器，提供工业以太网 PROFINET通信支持，工作存储器不小于50KB，负载存储器不小于1MB，I/O，数字量8点输入/6点输出，模拟量≥2路输入；板载配数字I/O，其中数字量≥8点输入，数字量≥6点输出，板载模拟I/O为≥2路输入，布尔运算执行速度≥0.08μs/指令，</w:t>
            </w:r>
          </w:p>
          <w:p w14:paraId="1F5BBB1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（九）产品物料：</w:t>
            </w:r>
          </w:p>
          <w:p w14:paraId="3A36444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1)材质：AL6061材料或优于；</w:t>
            </w:r>
          </w:p>
          <w:p w14:paraId="77FBA3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2)数量≥6个；</w:t>
            </w:r>
          </w:p>
          <w:p w14:paraId="6B60995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3)尺寸≥30mm×30mm×60mm。</w:t>
            </w:r>
          </w:p>
          <w:p w14:paraId="7412974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（十）产品物料芯片：</w:t>
            </w:r>
          </w:p>
          <w:p w14:paraId="232143A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1）种类≥4种，包含但不限于车标芯片、字母芯片、颜色芯片和二维码芯片等；</w:t>
            </w:r>
          </w:p>
          <w:p w14:paraId="71ED7A4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2）车标芯片数量≥18个；字母芯片数量≥18个；颜色芯片数量≥18个；二维码芯片数量≥18个；</w:t>
            </w:r>
          </w:p>
          <w:p w14:paraId="0AB0D1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3）字母、颜色及二维码芯片尺寸20mm×15mm×5mm（允许误差±5%），车标芯片尺寸15mm×15mm×5mm（允许误差±5%）。</w:t>
            </w:r>
          </w:p>
          <w:p w14:paraId="462D10F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 xml:space="preserve">（十一）RFID模块 </w:t>
            </w:r>
          </w:p>
          <w:p w14:paraId="6FA0724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 xml:space="preserve">1)感应头通过无线电讯号与标签之间进行非接触式的数据通信，实现读取或写入标签数据； </w:t>
            </w:r>
          </w:p>
          <w:p w14:paraId="52F9AB9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 xml:space="preserve">2)读写头与上位机采用 Modbus-TCP 通讯； </w:t>
            </w:r>
          </w:p>
          <w:p w14:paraId="20BE141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 xml:space="preserve">3)标签可存储≥112 字节数据； </w:t>
            </w:r>
          </w:p>
          <w:p w14:paraId="3447D70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4)感应头需固定在可以调节位置的支架上。</w:t>
            </w:r>
          </w:p>
          <w:p w14:paraId="38CE2C6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三、工具</w:t>
            </w:r>
          </w:p>
          <w:p w14:paraId="6B4879D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（一）气动夹具：</w:t>
            </w:r>
          </w:p>
          <w:p w14:paraId="7067FF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1)采用气动元件驱动，重复精度±0.05mm ；</w:t>
            </w:r>
          </w:p>
          <w:p w14:paraId="61888EC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2)结构件材质：铝合金或优于；</w:t>
            </w:r>
          </w:p>
          <w:p w14:paraId="2C12447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3)表面进行阳极氧化处；</w:t>
            </w:r>
          </w:p>
          <w:p w14:paraId="373C2BA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4)可夹持工具种类数≥2，实现模拟物料夹取、模拟物料吸取等功能；</w:t>
            </w:r>
          </w:p>
          <w:p w14:paraId="1E8B4A7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5)夹持工具能快速更换。</w:t>
            </w:r>
          </w:p>
          <w:p w14:paraId="142E15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（二）笔形工具：</w:t>
            </w:r>
          </w:p>
          <w:p w14:paraId="507D79A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1)夹持端材质：ABS材料或优于；</w:t>
            </w:r>
          </w:p>
          <w:p w14:paraId="4012450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2)可由气动工具快速夹取；</w:t>
            </w:r>
          </w:p>
          <w:p w14:paraId="5D92E40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3)可通过通用软笔实现工业机器人涂胶轨迹练习。</w:t>
            </w:r>
          </w:p>
          <w:p w14:paraId="5407E0A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四、操控台</w:t>
            </w:r>
          </w:p>
          <w:p w14:paraId="4228556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（一）操作面板：</w:t>
            </w:r>
          </w:p>
          <w:p w14:paraId="5789FAB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ab/>
            </w:r>
            <w:r>
              <w:rPr>
                <w:rFonts w:hint="default" w:ascii="仿宋" w:hAnsi="仿宋" w:eastAsia="仿宋" w:cs="仿宋"/>
                <w:color w:val="000000"/>
                <w:kern w:val="0"/>
                <w:sz w:val="28"/>
                <w:szCs w:val="28"/>
                <w:lang w:val="en-US" w:eastAsia="zh-CN" w:bidi="ar"/>
              </w:rPr>
              <w:t>包含但不限于工作站启动、停止、复位、急停、模式选择等功能。</w:t>
            </w:r>
          </w:p>
          <w:p w14:paraId="509027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（二）人机交互：</w:t>
            </w:r>
          </w:p>
          <w:p w14:paraId="292A15C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1)彩色触摸屏尺寸≥9英寸；</w:t>
            </w:r>
          </w:p>
          <w:p w14:paraId="3575284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2)提供工作站运行状态监控：包含但不限于设备运行状态、故障情况等；</w:t>
            </w:r>
          </w:p>
          <w:p w14:paraId="1E3C55E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3)提供实训模块运行控制且参数可自行调整；</w:t>
            </w:r>
          </w:p>
          <w:p w14:paraId="0E21A1F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4)提供至少演示模式、实训模式等模式选择。</w:t>
            </w:r>
          </w:p>
          <w:p w14:paraId="0B7F8B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五、供气系统</w:t>
            </w:r>
          </w:p>
          <w:p w14:paraId="55D9E6F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（一）气泵：</w:t>
            </w:r>
          </w:p>
          <w:p w14:paraId="3A3C214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1)功率≥600W；</w:t>
            </w:r>
          </w:p>
          <w:p w14:paraId="5763790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2)排气量≥118L/min；</w:t>
            </w:r>
          </w:p>
          <w:p w14:paraId="141D5A5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3)储气罐≥24L；</w:t>
            </w:r>
          </w:p>
          <w:p w14:paraId="18CA535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4)噪音≤52db。</w:t>
            </w:r>
          </w:p>
          <w:p w14:paraId="39F1B3E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（二）气源处理装置：</w:t>
            </w:r>
          </w:p>
          <w:p w14:paraId="29DBC8D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1)滤芯精度≥40μm；</w:t>
            </w:r>
          </w:p>
          <w:p w14:paraId="511FFA7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2)调压范围0.15MPa~0.9MPa（20psi~130psi）。</w:t>
            </w:r>
          </w:p>
          <w:p w14:paraId="60354E3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（三）电磁阀：</w:t>
            </w:r>
          </w:p>
          <w:p w14:paraId="00A0CC9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1)气体介质经40μm以上滤网过滤；</w:t>
            </w:r>
          </w:p>
          <w:p w14:paraId="5846C6F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2)动作方式至少包括内部引导式和外部引导式可选；</w:t>
            </w:r>
          </w:p>
          <w:p w14:paraId="2428C97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3)位置数为二位五通；</w:t>
            </w:r>
          </w:p>
          <w:p w14:paraId="21110D1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4）使用压力范围0.15MPa~0.8MPa（21psi~114psi）。</w:t>
            </w:r>
          </w:p>
          <w:p w14:paraId="256C362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六、基础台架</w:t>
            </w:r>
          </w:p>
          <w:p w14:paraId="3A05A70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1)尺寸≥1800mm×1200mm×800mm；</w:t>
            </w:r>
          </w:p>
          <w:p w14:paraId="628FD0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2)需要带结构门；</w:t>
            </w:r>
          </w:p>
          <w:p w14:paraId="7029DD6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3)材质为铝合金型材或优于，台面具有T型槽，台面厚度不小于20mm，T型槽厚度不小于15mm；</w:t>
            </w:r>
          </w:p>
          <w:p w14:paraId="7743239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4)需带≥4个高度可调的活动脚轮，工作台可自由移动。</w:t>
            </w:r>
          </w:p>
          <w:p w14:paraId="7C8F1A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七、配套离线编程软件</w:t>
            </w:r>
          </w:p>
          <w:p w14:paraId="4C8965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1）提供本软件正版授权，已通过官方渠道获取合法使用许可，软件为永久正版授权，可终身使用。</w:t>
            </w:r>
          </w:p>
          <w:p w14:paraId="6178300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支持中文界面，能提供持续的中文技术支持服务，功能模块包括但不限于以下内容：</w:t>
            </w:r>
          </w:p>
          <w:p w14:paraId="64B93C6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2）提供品牌数≥100个，工业机器人型号数≥1000个，能进行不同场景搭建、轨迹规划、运动仿真和程序代码生成等操作；</w:t>
            </w:r>
          </w:p>
          <w:p w14:paraId="7B1BBCE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3）提供云端设备模型资源，支持云端实时更新数据资源，用户可直接从云端库中下载；</w:t>
            </w:r>
          </w:p>
          <w:p w14:paraId="2D949FD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4）提供模型数据接口，支持包括但不限于STP、STL、OBJ等多种三维模型格式的导入，能搭建和实际环境1：1的虚拟环境；</w:t>
            </w:r>
          </w:p>
          <w:p w14:paraId="248E5B5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5）实现对工业机器人本体、导轨及变位机设备的自定义，同时支持多轴机器人的定义、轨迹生成及仿真，包括但不限于4轴、8轴、10轴等的仿真；</w:t>
            </w:r>
          </w:p>
          <w:p w14:paraId="1F3A868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6）需提供机器人后置模板自定义，通过拖拽的方式定义模板格式，要求支持程序代码的实时预显；根据品牌选择相应的后置模板；</w:t>
            </w:r>
          </w:p>
          <w:p w14:paraId="0BBFEE3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7）需提供多种模型校准方式，可利用3D点云数据，使设计环境和真机环境内机器人、工具、被加工零部件之间的空间位置关系保持一致实现校准。</w:t>
            </w:r>
          </w:p>
          <w:p w14:paraId="2D99CAC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8）需支持对三维模型中的曲面网格部分进行裁剪，可通过设置的裁剪范需围，对区域内或外的部分进行裁剪；</w:t>
            </w:r>
          </w:p>
          <w:p w14:paraId="41B8FFC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9）支持三维模型中的曲面网格部分进行平滑处理，对网格出现棱形的交接处进行平滑过渡；</w:t>
            </w:r>
          </w:p>
          <w:p w14:paraId="225760A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10）轨迹生成基于CAD数据、可通过模型点、线、面等模型特征快速生成设备运动轨迹，简化了轨迹生成过程，大大提高轨迹生成精度和效率；</w:t>
            </w:r>
          </w:p>
          <w:p w14:paraId="0EA4C03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11）需提供创建外部轴链接功能，可以将机器人和导轨/变位机创建为多轴联动系统，支持外部轴参与轨迹的联动求解运算，提高了多轴协同运动的精度和流畅性；</w:t>
            </w:r>
          </w:p>
          <w:p w14:paraId="03DF34D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12）要求具备轨迹优化功能，通过图形化方式展示机器人工作的最优区域，并通过调整曲线让机器人处于工作最优区内，解决不可达、轴超限和奇异点的问题；</w:t>
            </w:r>
          </w:p>
          <w:p w14:paraId="45F3988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13）要求仿真过程可以直观查看机器人轨迹运动状态，模拟实际工作中的情况，要求仿真结果回溯查看的功能，通过拖动时间轴可以随时回溯到之前的仿真过程，查看每一步的详细数据和状态，快速定位并解决问题；</w:t>
            </w:r>
          </w:p>
          <w:p w14:paraId="5219A96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14）需支持开放的拓展指令功能，可根据机器人指令自行配置工艺参数模板，再通过给轨迹点添加相关的参数内容即可实现工艺指令参数化控制；</w:t>
            </w:r>
          </w:p>
          <w:p w14:paraId="317AF40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15）需支持将仿真结果输出为3D仿真动画并上传云端自动生成二维码和链接等，要求二维码可缩放、平移仿真界面查看仿真流程，浏览器打开链接可以直接播放仿真流程，并可自由缩放和切换观看视角；</w:t>
            </w:r>
          </w:p>
          <w:p w14:paraId="2504C0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16）软件需具备输出视频功能，可将绘图区的仿真效果通过参数控制，输出为包括但不限于MP4、avi、mkv等格式的视频文件并保存在本地磁盘；</w:t>
            </w:r>
          </w:p>
          <w:p w14:paraId="5EAA60B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17）需支持视向动画，通过对仿真流程不同时间节点添加视图，可实现在仿真过程中自定切换设置的不同视角查看仿真流程；</w:t>
            </w:r>
          </w:p>
          <w:p w14:paraId="3BA1A8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18）支持包括但不限于C/C++、Python等语言开发，软件可实现通过调用编写脚本导入零件模型，生成机器人轨迹；</w:t>
            </w:r>
          </w:p>
          <w:p w14:paraId="667E22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19）至少支持一种国产操作系统；</w:t>
            </w:r>
          </w:p>
          <w:p w14:paraId="3432B2C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20）要求可利用云服务平台，实时把控前端软件考试活动进度；考试结果通过云端智能算法自动进行打分评判；考试全程远程、自动化运行；</w:t>
            </w:r>
          </w:p>
          <w:p w14:paraId="21906D1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21）要求软件满足集成多类型、多行业在线工作站；集成部分全国职业院校技能大赛的工作站；</w:t>
            </w:r>
          </w:p>
          <w:p w14:paraId="14D6A5D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22）需支持与软件内场景元素进行数据交互，获取或更新场景元素信息，包括不限于名称、位姿、关节角等数据；</w:t>
            </w:r>
          </w:p>
          <w:p w14:paraId="309CF0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23）需支持触发软件中的仿真模块，包含但不限于整体场景仿真、轨迹组仿真、单轨迹仿真等；</w:t>
            </w:r>
          </w:p>
          <w:p w14:paraId="023575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24）需支持与软件进行命令交互，包括但不限于触发软件轨迹生成、编译、后置等命令操作；</w:t>
            </w:r>
          </w:p>
          <w:p w14:paraId="64CF3AE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八、配套设备使用相关资源</w:t>
            </w:r>
          </w:p>
          <w:p w14:paraId="43AB84B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（一）需配备使用指南书≥5本：内容除设备能完成的各项任务的操作指导，还应包括设备各模块功能介绍、组成介绍、IO信号表等。</w:t>
            </w:r>
          </w:p>
          <w:p w14:paraId="183A2FD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（二）多媒体资源1套</w:t>
            </w:r>
          </w:p>
          <w:p w14:paraId="4C06538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1)多媒体资源要求包含知识点和技能点，能够根据实际使用需求进行重构组织。</w:t>
            </w:r>
          </w:p>
          <w:p w14:paraId="4A1FB77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2)资源包含多种形式，包括但不限于PPT、虚拟软件录屏视频和实拍操作视频。</w:t>
            </w:r>
          </w:p>
          <w:p w14:paraId="1C9D99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3)PPT提供源文件，可编辑，采用最新版本软件制作，需设计风格统一，作为素材库满足教学使用，数量不少于25个。</w:t>
            </w:r>
          </w:p>
          <w:p w14:paraId="456E8D8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4)要求虚拟软件录屏视频可通过统一资源平台软件进行播放，以所投标品牌的工业机器人为设备基础进行操作录制，可充分真实的反映出操作流程，关键信息配有字幕和解说，数量不少于25个。</w:t>
            </w:r>
          </w:p>
          <w:p w14:paraId="7F9BB98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要求实拍操作视频可通过统一资源平台软件进行播放，以所投标品牌的工业机器人为设备基础进行拍摄录制，画面稳定清晰，关键信息配有字幕和解说，为展示关键操作过程通过对虚拟软件中的操作过程进行同步录屏标注，数量不少于25个。</w:t>
            </w:r>
          </w:p>
        </w:tc>
        <w:tc>
          <w:tcPr>
            <w:tcW w:w="1283" w:type="dxa"/>
            <w:vAlign w:val="center"/>
          </w:tcPr>
          <w:p w14:paraId="7402C19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38</w:t>
            </w:r>
          </w:p>
        </w:tc>
      </w:tr>
      <w:tr w14:paraId="0D3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25E4ED46">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592" w:type="dxa"/>
            <w:noWrap/>
            <w:vAlign w:val="center"/>
          </w:tcPr>
          <w:p w14:paraId="7FC29B4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智能制造单元系统集成平台</w:t>
            </w:r>
          </w:p>
        </w:tc>
        <w:tc>
          <w:tcPr>
            <w:tcW w:w="1117" w:type="dxa"/>
            <w:noWrap/>
            <w:vAlign w:val="center"/>
          </w:tcPr>
          <w:p w14:paraId="4822244A">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1台</w:t>
            </w:r>
          </w:p>
        </w:tc>
        <w:tc>
          <w:tcPr>
            <w:tcW w:w="9270" w:type="dxa"/>
            <w:vAlign w:val="center"/>
          </w:tcPr>
          <w:p w14:paraId="0697A36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一、执行单元</w:t>
            </w:r>
          </w:p>
          <w:p w14:paraId="569629D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（一）工业机器人</w:t>
            </w:r>
          </w:p>
          <w:p w14:paraId="03E17E1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1)六自由度串联关节桌面型工业机器人；</w:t>
            </w:r>
          </w:p>
          <w:p w14:paraId="4110B8F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2)工作范围≥580mm；</w:t>
            </w:r>
          </w:p>
          <w:p w14:paraId="3E5584E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3)有效荷重≥3kg，手臂荷重≥0.3kg；</w:t>
            </w:r>
          </w:p>
          <w:p w14:paraId="7832CC6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4)手腕设有≥10路集成信号源，≥4路集成气源；</w:t>
            </w:r>
          </w:p>
          <w:p w14:paraId="4A9EE71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5)重复定位精度≤±0.01mm；</w:t>
            </w:r>
          </w:p>
          <w:p w14:paraId="295EFD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6)防护等级≥IP30；</w:t>
            </w:r>
          </w:p>
          <w:p w14:paraId="61EBD0A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7)轴1旋转，工作范围+165°~-165°，最大速度250°/s；</w:t>
            </w:r>
          </w:p>
          <w:p w14:paraId="4636F53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8)轴2手臂，工作范围+110°~-110°，最大速度250°/s；</w:t>
            </w:r>
          </w:p>
          <w:p w14:paraId="010FF2F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9)轴3手臂，工作范围+70°~-90°，最大速度250°/s；</w:t>
            </w:r>
          </w:p>
          <w:p w14:paraId="1DC743A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10)轴4手腕，工作范围+160°~-160°，最大速度320°/s；</w:t>
            </w:r>
          </w:p>
          <w:p w14:paraId="452080A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11)轴5弯曲，工作范围+120°~-120°，最大速度320°/s；</w:t>
            </w:r>
          </w:p>
          <w:p w14:paraId="40BE8FD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12)轴6翻转，工作范围+400°~-400°，最大速度420°/s；</w:t>
            </w:r>
          </w:p>
          <w:p w14:paraId="6A9A71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13)大于等于1kg的拾料节拍，25×300×25mm区域为0.58s，TCP最大速度6.2m/s，TCP最大加速度28m/s2，加速时间0~1m/s为0.07s；</w:t>
            </w:r>
          </w:p>
          <w:p w14:paraId="3262EBB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14)电源电压为200~600V，50/60Hz，功耗≥0.25kW；</w:t>
            </w:r>
          </w:p>
          <w:p w14:paraId="3570BB0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15)在工作台台面上布置有手动/自动模式切换旋钮、电机开启按钮及示教器接线接口，方便接线。</w:t>
            </w:r>
          </w:p>
          <w:p w14:paraId="1A3982F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（二）工业机器人扩展IO模块</w:t>
            </w:r>
          </w:p>
          <w:p w14:paraId="371F8E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1)支持DeviceNet总线通讯；</w:t>
            </w:r>
          </w:p>
          <w:p w14:paraId="3EC7449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2)支持适配IO模块数量最大能达到32个；</w:t>
            </w:r>
          </w:p>
          <w:p w14:paraId="487C8B5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3)传输距离最大≥5000米，总线速率最大值不能低于500kbps；</w:t>
            </w:r>
          </w:p>
          <w:p w14:paraId="4468990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4)附带数字量输入模块≥2个，单个模块≥8通道，输入信号类型PNP，输入电流典型值≥3mA，隔离耐压≥500V，隔离方式光耦隔离；</w:t>
            </w:r>
          </w:p>
          <w:p w14:paraId="32C7856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5)附带数字量输出模块≥4个，单个模块≥8通道，输出信号类型源型，驱动能力500mA/通道，隔离耐压≥500V，隔离方式光耦隔离；</w:t>
            </w:r>
          </w:p>
          <w:p w14:paraId="3585075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6)附带模拟量输出模块≥1个，单个模块≥4通道，输出电压0V~10V，负载能力&gt;5kΩ，负载类型为阻性负载、容性负载，≥12位；</w:t>
            </w:r>
          </w:p>
          <w:p w14:paraId="10B5CB6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7)在工作台台面上需布置有远程IO适配器的网络通信接口。</w:t>
            </w:r>
          </w:p>
          <w:p w14:paraId="42BA10D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（三）工具快换模块法兰端</w:t>
            </w:r>
          </w:p>
          <w:p w14:paraId="719993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1)针对多关节机器人设计，能一次性自动装卸气管、信号确认线；</w:t>
            </w:r>
          </w:p>
          <w:p w14:paraId="7D3C8F0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2)材质：超硬铝材质或优于，安装位置为机器手侧；</w:t>
            </w:r>
          </w:p>
          <w:p w14:paraId="2892517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3)可搬重量≥3kg；</w:t>
            </w:r>
          </w:p>
          <w:p w14:paraId="5ABBD85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4)锁紧力≥123N，张开力≥63N；</w:t>
            </w:r>
          </w:p>
          <w:p w14:paraId="553882E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5)支持≥9路电信号（2A，DC 24V）和支持≥6路气路连接。</w:t>
            </w:r>
          </w:p>
          <w:p w14:paraId="13C94BA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（四）平移滑台</w:t>
            </w:r>
          </w:p>
          <w:p w14:paraId="51FC24E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1)有效工作行程≥700mm，有效负载重量≥50kg，额定运行速度≥15mm/s；</w:t>
            </w:r>
          </w:p>
          <w:p w14:paraId="4BF18DB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2)驱动方式为伺服电机，要求经减速机减速后，通过同步带带动滚珠丝杠实现旋转运动变换到直线运动，由滚珠导轨导向滑动；</w:t>
            </w:r>
          </w:p>
          <w:p w14:paraId="6BEE4B1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伺服电机额定输出≥400W，额定转矩≥1.3Nm，额定转速≥3000r/min，增量式17bit编码器，配套同品牌伺服放大器，输出额定电压三相AC170V/额定电流≥2.8A，电源输入电压三相或单相AC200V~240V/额定电流≥2.6A，控制方式为正弦波PWM控制/电流控制方式，配套精密减速机，减速比1:3；</w:t>
            </w:r>
          </w:p>
          <w:p w14:paraId="09112EE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4)滚珠丝杠直径≥25mm，导程≥5mm，全长≥990mm，配套自润滑螺母；</w:t>
            </w:r>
          </w:p>
          <w:p w14:paraId="5B45E9A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5)滚珠导轨共≥2个，宽度≥20mm，全长≥1240mm，每个导轨配套≥2个滑块；</w:t>
            </w:r>
          </w:p>
          <w:p w14:paraId="396ED92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6)直线导轨需要安装有防护罩，保护导轨和丝杠等零件，确保运行的安全，需配有拖链系统方便工业机器人线缆及其他连接线布线，外侧需安装有长度标尺，可指示滑台当前位置。</w:t>
            </w:r>
          </w:p>
          <w:p w14:paraId="2C9249F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（五）PLC控制器：</w:t>
            </w:r>
          </w:p>
          <w:p w14:paraId="5C51F85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1)工作存储器≥75KB，装载存储器≥2MB，保持性存储器≥10KB；</w:t>
            </w:r>
          </w:p>
          <w:p w14:paraId="16BDF92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2)本体集成I/O，数字量8点输入/6点输出，模拟量≥2路输入；</w:t>
            </w:r>
          </w:p>
          <w:p w14:paraId="09FA94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3)过程映像大小为1024字节输入（I）和1024字节输出（Q）；</w:t>
            </w:r>
          </w:p>
          <w:p w14:paraId="2D4FCD5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4)位存储器≥4096字节（M）；</w:t>
            </w:r>
          </w:p>
          <w:p w14:paraId="7000894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5)需具备通信端口数量≥1个以太网通信端口，能够支持PROFINET通信；</w:t>
            </w:r>
          </w:p>
          <w:p w14:paraId="4281BBA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6)实数数学运算执行速度≥2.3μs/指令，布尔运算执行速度不低于0.08μs/指令；</w:t>
            </w:r>
          </w:p>
          <w:p w14:paraId="30C194B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7)扩展IO模块，数字量输入模块≥1个，输入点数≥16位，类型为源型/漏型，额定电压24V DC（4mA）；</w:t>
            </w:r>
          </w:p>
          <w:p w14:paraId="6EE917B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8)需在工作台台面上布置有PLC的网络通信接口，用于接线。</w:t>
            </w:r>
          </w:p>
          <w:p w14:paraId="01ADF6A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（六）远程IO模块</w:t>
            </w:r>
          </w:p>
          <w:p w14:paraId="2C29773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1)能够支持ProfiNet总线通讯；</w:t>
            </w:r>
          </w:p>
          <w:p w14:paraId="703DDD3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2)能够适配IO模块数量的最大值不小于32个；</w:t>
            </w:r>
          </w:p>
          <w:p w14:paraId="572EE4C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3)传输的最大距离≥100米（站站距离），总线速率最大值≥100Mbps；</w:t>
            </w:r>
          </w:p>
          <w:p w14:paraId="09D1C1F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4)附带数字量输入模块≥4个，单个模块≥8通道，输入信号类型PNP，输入电流典型值≥3mA，隔离耐压≥500V，隔离方式光耦隔离；</w:t>
            </w:r>
          </w:p>
          <w:p w14:paraId="209035E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5)附带数字量输出模块≥2个，单个模块≥8通道，输出信号类型源型，驱动能力≥500mA/通道，隔离耐压≥500V，隔离方式光耦隔离；</w:t>
            </w:r>
          </w:p>
          <w:p w14:paraId="34CA909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6)附带模拟量输入模块≥1个，单个模块≥4通道，输入电压0V~10V，输入滤波可配置（1ms~10ms），输入阻抗&gt;500kΩ，分辨率≥12位；</w:t>
            </w:r>
          </w:p>
          <w:p w14:paraId="4A0AED3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7)需在工作台台面上布置有远程IO适配器的网络通信接口，方便接线。</w:t>
            </w:r>
          </w:p>
          <w:p w14:paraId="7B70680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（七）工作台</w:t>
            </w:r>
          </w:p>
          <w:p w14:paraId="74DA28E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1)材质：铝合金型材或优于，工作台式设计需有T型槽来安装功能模块，T型槽厚度不小于15mm，且工作台底部留有柜体；</w:t>
            </w:r>
          </w:p>
          <w:p w14:paraId="48AFCD5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2)台面尺寸：长≥1360mm，宽≥680mm，厚≥20mm；</w:t>
            </w:r>
          </w:p>
          <w:p w14:paraId="153B7B1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3)底部柜体尺寸：长≥1280mm，宽≥600mm，高≥700mm；</w:t>
            </w:r>
          </w:p>
          <w:p w14:paraId="3B43455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4)底部柜体四角需要安装有脚轮，材质为聚氨酯或优于，轮片直径≥50mm，轮片宽度≥25mm，可调高度≥10mm；</w:t>
            </w:r>
          </w:p>
          <w:p w14:paraId="06CAB43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5)工作台面需要合理布置线槽，用于控制信号线和气路布线，且电、气路需要分开；</w:t>
            </w:r>
          </w:p>
          <w:p w14:paraId="766C5F6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5A2D76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03CA42C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二、工具单元</w:t>
            </w:r>
          </w:p>
          <w:p w14:paraId="29859F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（一）轮辐夹爪</w:t>
            </w:r>
          </w:p>
          <w:p w14:paraId="0993064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1)夹爪数≥2，气动驱动，自动定心，能够针对零件轮辐位置稳定夹持；</w:t>
            </w:r>
          </w:p>
          <w:p w14:paraId="4570871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3EE6D42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（二）轮毂夹爪</w:t>
            </w:r>
          </w:p>
          <w:p w14:paraId="078A554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1）夹爪数≥3，气动驱动，自动定心，能够针对零件轮辋位置稳定夹持；</w:t>
            </w:r>
          </w:p>
          <w:p w14:paraId="4F71026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6FD3424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（三）轮辋内圈夹爪</w:t>
            </w:r>
          </w:p>
          <w:p w14:paraId="75CC617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1)夹爪数≥3，气动驱动，自动定心，能够针对零件轮辋内圈位置稳定夹持；</w:t>
            </w:r>
          </w:p>
          <w:p w14:paraId="77A6BA8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1FD6F3B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（四）吸盘工具</w:t>
            </w:r>
          </w:p>
          <w:p w14:paraId="778B61A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1)吸盘工具吸盘数≥5个，可对零件轮辐的正面、反面表面稳定拾取；</w:t>
            </w:r>
          </w:p>
          <w:p w14:paraId="4141400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41F1846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（五）端面打磨工具</w:t>
            </w:r>
          </w:p>
          <w:p w14:paraId="6B8B9A6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1)打磨工具为电动，需配有端面打磨头，能够对零件表面进行打磨加工；</w:t>
            </w:r>
          </w:p>
          <w:p w14:paraId="51B1A20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59E5177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（六）侧面打磨工具</w:t>
            </w:r>
          </w:p>
          <w:p w14:paraId="07EFA31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1)打磨工具为电动，配有侧面打磨头，能够对零件表面进行打磨加工；</w:t>
            </w:r>
          </w:p>
          <w:p w14:paraId="520F117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2)需配有工具快换模块工具端，与工具快换法兰端配套，安装后厚度≥38mm。</w:t>
            </w:r>
          </w:p>
          <w:p w14:paraId="45C2A5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（七）示教器支架</w:t>
            </w:r>
          </w:p>
          <w:p w14:paraId="607F509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1)支架需与工业机器人示教器配套；</w:t>
            </w:r>
          </w:p>
          <w:p w14:paraId="36A9788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2)需配套线缆悬挂支架，用于线缆收放。</w:t>
            </w:r>
          </w:p>
          <w:p w14:paraId="6C492A4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（八）工具支架</w:t>
            </w:r>
          </w:p>
          <w:p w14:paraId="4BF52DD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材质：铝合金型材或优于，。</w:t>
            </w:r>
          </w:p>
          <w:p w14:paraId="7FD8D57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（九）工作台</w:t>
            </w:r>
          </w:p>
          <w:p w14:paraId="2D5FDFB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1)材质：铝合金型材或优于，工作台式设计需有T型槽来安装功能模块，T型槽厚度不小于15mm，且工作台底部留有柜体；</w:t>
            </w:r>
          </w:p>
          <w:p w14:paraId="593FFB2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2)台面长≥680mm，宽≥680mm，厚≥20mm；</w:t>
            </w:r>
          </w:p>
          <w:p w14:paraId="2CF8C5F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3)底部柜体长≥600mm，宽≥600mm，高≥700mm；</w:t>
            </w:r>
          </w:p>
          <w:p w14:paraId="3542664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4)底部柜体四角需安装有脚轮，轮片直径不小于50mm，轮片宽度不小于25mm，可调高度≥10mm；</w:t>
            </w:r>
          </w:p>
          <w:p w14:paraId="7C73816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7B7AC9F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4E42DF1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49B72CF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三、仓储单元</w:t>
            </w:r>
          </w:p>
          <w:p w14:paraId="5CDD399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（一）立体仓库</w:t>
            </w:r>
          </w:p>
          <w:p w14:paraId="35D1E26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1)立体仓库为双层，仓位数量≥6个，采用铝合金型材或优于；</w:t>
            </w:r>
          </w:p>
          <w:p w14:paraId="0C5ABF0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2)每个仓位存储的轮毂零件数量≥1个；</w:t>
            </w:r>
          </w:p>
          <w:p w14:paraId="35254CB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3)仓位托盘驱动方式：由气动推杆驱动推出、缩回；</w:t>
            </w:r>
          </w:p>
          <w:p w14:paraId="3AC4BF9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4)仓位托盘底部设置需有传感器可检测当前仓位是否存有零件；</w:t>
            </w:r>
          </w:p>
          <w:p w14:paraId="10AE448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5)每个仓位需具有红绿指示灯表明当前仓位仓储状态，并有明确标识仓位编号。</w:t>
            </w:r>
          </w:p>
          <w:p w14:paraId="53DA230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（二）远程IO模块</w:t>
            </w:r>
          </w:p>
          <w:p w14:paraId="3B75F4F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1)能够支持ProfiNet总线通讯；</w:t>
            </w:r>
          </w:p>
          <w:p w14:paraId="0AB0A8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2)能够适配IO模块数量不少于32个；</w:t>
            </w:r>
          </w:p>
          <w:p w14:paraId="4598F8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3)传输最大距离不小于100米（站站距离），总线最大速率不低于100Mbps；</w:t>
            </w:r>
          </w:p>
          <w:p w14:paraId="0E7451B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4)附带数字量输入模块≥2个，单个模块≥8通道，输入信号类型PNP，输入电流典型值≥3mA，隔离耐压≥500V，隔离方式光耦隔离；</w:t>
            </w:r>
          </w:p>
          <w:p w14:paraId="6EE4760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5)附带数字量输出模块≥3个，单个模块≥8通道，输出信号类型源型，驱动能力≥500mA/通道，隔离耐压≥500V，隔离方式光耦隔离；</w:t>
            </w:r>
          </w:p>
          <w:p w14:paraId="5A2AB4F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6)在工作台台面上需布置有远程IO适配器的网络通信接口，用于接线。</w:t>
            </w:r>
          </w:p>
          <w:p w14:paraId="4C14805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（三）轮毂零件</w:t>
            </w:r>
          </w:p>
          <w:p w14:paraId="4D36155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1）数量≥6</w:t>
            </w:r>
          </w:p>
          <w:p w14:paraId="6C2056F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2)材质：铝合金或优于，五辐轮毂缩比零件；</w:t>
            </w:r>
          </w:p>
          <w:p w14:paraId="415A81C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3)轮辋直径≥102mm，最大外圈直径≥114mm，轮辋内圈直径≥88mm，轮毂直径≥28mm，整体厚度≥45mm，轮辐厚度≥16mm；</w:t>
            </w:r>
          </w:p>
          <w:p w14:paraId="7235F6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4)零件的正面、反面均设计有定位槽、视觉检测区域、打磨加工区域和二维码标签位置。</w:t>
            </w:r>
          </w:p>
          <w:p w14:paraId="559B5CF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（四）工作台</w:t>
            </w:r>
          </w:p>
          <w:p w14:paraId="7A4B63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1)材质：铝合金型材或优于，工作台式设计需有T型槽来安装功能模块，T型槽厚度不小于15mm，且工作台底部留有柜体；</w:t>
            </w:r>
          </w:p>
          <w:p w14:paraId="37E0D4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2)台面长≥680mm，宽≥680mm，厚≥20mm；</w:t>
            </w:r>
          </w:p>
          <w:p w14:paraId="4E213A5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3)底部柜体长≥600mm，宽≥600mm，高≥700mm；</w:t>
            </w:r>
          </w:p>
          <w:p w14:paraId="36A6E6C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4)底部柜体四角需安装有脚轮，轮片直径≥50mm，轮片宽度≥25mm，可调高度≥10mm；</w:t>
            </w:r>
          </w:p>
          <w:p w14:paraId="47088B3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1B07842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1263F5B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5C55115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四、打磨单元</w:t>
            </w:r>
          </w:p>
          <w:p w14:paraId="020BCE3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（一）打磨工位</w:t>
            </w:r>
          </w:p>
          <w:p w14:paraId="42B61FC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1)材质：铝合金框架结构或优于，能够稳定支撑零件加工；</w:t>
            </w:r>
          </w:p>
          <w:p w14:paraId="6FE3F4A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2)夹具爪数≥四爪，夹具由气动驱动，能够对零件轮毂位置进行稳定夹持，自动对心定位；</w:t>
            </w:r>
          </w:p>
          <w:p w14:paraId="5113A21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3)底部需配有传感器可检测当前工位是否存有零件。</w:t>
            </w:r>
          </w:p>
          <w:p w14:paraId="12A2FFE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（二）旋转工位</w:t>
            </w:r>
          </w:p>
          <w:p w14:paraId="349C6BC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1)材质：铝合金框架结构或优于，能够稳定支撑零件加工；</w:t>
            </w:r>
          </w:p>
          <w:p w14:paraId="618B3F4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2)夹具爪数≥4，夹具由气动驱动，能够对零件轮毂位置进行稳定夹持，自动对心定位；</w:t>
            </w:r>
          </w:p>
          <w:p w14:paraId="3CF7DD1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3)底部需配有传感器可检测当前工位是否存有零件；</w:t>
            </w:r>
          </w:p>
          <w:p w14:paraId="3834D4F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4)旋转气缸能够带动旋转工位整体180°旋转，实现零件沿轴线旋转。</w:t>
            </w:r>
          </w:p>
          <w:p w14:paraId="72CCF9B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（三）翻转工装</w:t>
            </w:r>
          </w:p>
          <w:p w14:paraId="5879675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1)夹具指数≥2，夹具对零件轮辋外圈稳定夹持，自动对心定位，翻转过程无位移；</w:t>
            </w:r>
          </w:p>
          <w:p w14:paraId="776BA7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2)旋转气缸能够驱动夹具实现所夹持的零件在打磨工位和旋转工位间翻转；</w:t>
            </w:r>
          </w:p>
          <w:p w14:paraId="04B7B14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3)升降气缸能够实现翻转后的零件垂直放入取出工位，确保定位准确。</w:t>
            </w:r>
          </w:p>
          <w:p w14:paraId="3DD74B7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（四）吹屑工位</w:t>
            </w:r>
          </w:p>
          <w:p w14:paraId="670CBF2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1)材质：不锈钢材质或优于，外形尺寸≥150mm×150mm×100mm；</w:t>
            </w:r>
          </w:p>
          <w:p w14:paraId="04F10C9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2)顶部开口直径≥130mm；</w:t>
            </w:r>
          </w:p>
          <w:p w14:paraId="268F419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3)两侧需布置吹气口，能够将打磨后粘附在零件表面上的碎屑清除。</w:t>
            </w:r>
          </w:p>
          <w:p w14:paraId="4A5798D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（五）远程IO模块</w:t>
            </w:r>
          </w:p>
          <w:p w14:paraId="3AF5208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1)能够支持ProfiNet总线通讯；</w:t>
            </w:r>
          </w:p>
          <w:p w14:paraId="67DCEC1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2)能够适配IO模块数量不少于32个；</w:t>
            </w:r>
          </w:p>
          <w:p w14:paraId="3B9D04D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3)传输最大距离≥100米（站站距离），总线最大速率≥100Mbps；；</w:t>
            </w:r>
          </w:p>
          <w:p w14:paraId="585E559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4)附带数字量输入模块≥2个，单个模块≥8通道，输入信号类型PNP，输入电流典型值≥3mA，隔离耐压≥500V，隔离方式光耦隔离；</w:t>
            </w:r>
          </w:p>
          <w:p w14:paraId="109657A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5)附带数字量输出模块≥2个，单个模块≥8通道，输出信号类型源型，驱动能力≥500mA/通道，隔离耐压≥500V，隔离方式光耦隔离；</w:t>
            </w:r>
          </w:p>
          <w:p w14:paraId="1DFF599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6)在工作台台面上需布置有远程IO适配器的网络通信接口，用于接线。</w:t>
            </w:r>
          </w:p>
          <w:p w14:paraId="551BEBB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（六）工作台</w:t>
            </w:r>
          </w:p>
          <w:p w14:paraId="7270FF2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1)材质：铝合金型材结构或优于，工作台式设计需有T型槽来安装功能模块，T型槽厚度不小于15mm，且工作台底部留有柜体；</w:t>
            </w:r>
          </w:p>
          <w:p w14:paraId="58887FD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2)台面长≥680mm，宽≥680mm，厚≥20mm；</w:t>
            </w:r>
          </w:p>
          <w:p w14:paraId="0402C3F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3)底部柜体长≥600mm，宽≥600mm，高≥700mm；</w:t>
            </w:r>
          </w:p>
          <w:p w14:paraId="4D4D0A6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4)底部柜体四角需安装有脚轮，轮片直径≥50mm，轮片宽度≥25mm，可调高度≥10mm；</w:t>
            </w:r>
          </w:p>
          <w:p w14:paraId="586D504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24AED30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2AC8587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3CCE8DE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五、检测单元</w:t>
            </w:r>
          </w:p>
          <w:p w14:paraId="3C8EC85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（一）视觉系统</w:t>
            </w:r>
          </w:p>
          <w:p w14:paraId="301A1FA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1)采用CCD传感器的彩色工业相机，总像素≥30万，有效分辨率≥640×480，像素尺寸≥7.4μm×7.4μm；</w:t>
            </w:r>
          </w:p>
          <w:p w14:paraId="659856B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2)控制器为箱型；</w:t>
            </w:r>
          </w:p>
          <w:p w14:paraId="3CB623A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3)动作模式包括但不限于标准模式、倍速多通道输入、无停止调整等；</w:t>
            </w:r>
          </w:p>
          <w:p w14:paraId="46B7858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4)能够支持≥128场景数；</w:t>
            </w:r>
          </w:p>
          <w:p w14:paraId="20C7880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5)能够采用流程编辑功能制作处理流程；</w:t>
            </w:r>
          </w:p>
          <w:p w14:paraId="0930A9D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6)能够支持Ethernet通信，采用无协议（TCP/UDP）或优于；</w:t>
            </w:r>
          </w:p>
          <w:p w14:paraId="4A766A7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7)在工作台台面上需布置有网络通信接口，用于接线。</w:t>
            </w:r>
          </w:p>
          <w:p w14:paraId="469D058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（二）配套光源及显示器</w:t>
            </w:r>
          </w:p>
          <w:p w14:paraId="57DD158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1)需配套漫反射环形光源，白色，明亮度能够调节；</w:t>
            </w:r>
          </w:p>
          <w:p w14:paraId="683CBA2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2)光源需配有保护支架，能够有效防止零件掉落损坏光源；</w:t>
            </w:r>
          </w:p>
          <w:p w14:paraId="36F2D6D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3)需配套视觉系统显示器和操作用鼠标。</w:t>
            </w:r>
          </w:p>
          <w:p w14:paraId="26B06C1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（三）RFID检测模块</w:t>
            </w:r>
          </w:p>
          <w:p w14:paraId="7BA7B86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1)感应头通过无线电讯号与标签之间进行非接触式的数据通信，读取或写入标签数据；</w:t>
            </w:r>
          </w:p>
          <w:p w14:paraId="700F209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2)读写头与上位机采用Modbus-TCP通讯；</w:t>
            </w:r>
          </w:p>
          <w:p w14:paraId="6E27904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3)标签可存储≥112字节数据；</w:t>
            </w:r>
          </w:p>
          <w:p w14:paraId="6043A2A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4)感应头能够固定在可以调节位置的支架上。</w:t>
            </w:r>
          </w:p>
          <w:p w14:paraId="38CFB65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（四）工作台</w:t>
            </w:r>
          </w:p>
          <w:p w14:paraId="42E4549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1)材质：铝合金型材结构或优于，工作台式设计需有T型槽来安装功能模块，T型槽厚度不小于15mm，且工作台底部留有柜体；；</w:t>
            </w:r>
          </w:p>
          <w:p w14:paraId="0C6C010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2)台面长≥680mm，宽≥680mm，厚≥20mm；</w:t>
            </w:r>
          </w:p>
          <w:p w14:paraId="2E0410D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3)底部柜体长≥600mm，宽≥600mm，高≥700mm；</w:t>
            </w:r>
          </w:p>
          <w:p w14:paraId="7342EF2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4)底部柜体四角需安装有脚轮，材质为聚氨酯或优于，轮片直径≥50mm，轮片宽度≥25mm，可调高度≥10mm；</w:t>
            </w:r>
          </w:p>
          <w:p w14:paraId="12E8885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03FA2BD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7DDE4A3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6969F90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六、分拣单元</w:t>
            </w:r>
          </w:p>
          <w:p w14:paraId="25ED193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（一）传送带×1</w:t>
            </w:r>
          </w:p>
          <w:p w14:paraId="448AFEF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1)宽度≥125mm，有效长度≥1250mm；</w:t>
            </w:r>
          </w:p>
          <w:p w14:paraId="00F0A19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2)驱动方式：调速电机，功率≥120W，单相220V供电；</w:t>
            </w:r>
          </w:p>
          <w:p w14:paraId="3E801E3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3）需配套减速器：采用变频器驱动，适用电机容量≥0.4kW，输出额定容量1.0kVA/额定电流2.5A，电源额定输入电压单相200V~240V/额定容量≥1.5kVA；</w:t>
            </w:r>
          </w:p>
          <w:p w14:paraId="345716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3）传送带起始端需配有传感器，能够检测当前位置是否有零件。</w:t>
            </w:r>
          </w:p>
          <w:p w14:paraId="46AF6E7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（二）分拣机构×3</w:t>
            </w:r>
          </w:p>
          <w:p w14:paraId="5B44CD4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1)分拣机构需配有传感器，能够检测当前分拣机构前是否有零件；</w:t>
            </w:r>
          </w:p>
          <w:p w14:paraId="635940A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2)需配备垂直气缸，实现阻挡片升降，能够将零件拦截在指定分拣机构前；</w:t>
            </w:r>
          </w:p>
          <w:p w14:paraId="71500D6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3)需配备推动气缸，实现将零件推入指定分拣工位。</w:t>
            </w:r>
          </w:p>
          <w:p w14:paraId="47915DB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（三）分拣工位×3</w:t>
            </w:r>
          </w:p>
          <w:p w14:paraId="778EC31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1)分拣工位末端需配有传感器，能够检测当前分拣工位是否存有零件；</w:t>
            </w:r>
          </w:p>
          <w:p w14:paraId="499631E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2)分拣工位末端需配有V型顶块，能够配合顶紧气缸对零件精确定位；</w:t>
            </w:r>
          </w:p>
          <w:p w14:paraId="40878ED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3)每个分拣工位均需有明确标号。</w:t>
            </w:r>
          </w:p>
          <w:p w14:paraId="0C051C7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（四）远程IO模块×1</w:t>
            </w:r>
          </w:p>
          <w:p w14:paraId="4CC3DDD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1)能够支持ProfiNet总线通讯；</w:t>
            </w:r>
          </w:p>
          <w:p w14:paraId="421CD5F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2）能够适配IO模块数量不少于32个；</w:t>
            </w:r>
          </w:p>
          <w:p w14:paraId="6BE8404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3)传输最大距离不小于100米（站站距离），总线最大速率不低于100Mbps；</w:t>
            </w:r>
          </w:p>
          <w:p w14:paraId="0DC1496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4)附带数字量输入模块≥3个，单个模块≥8通道，输入信号类型PNP，输入电流典型值≥3mA，隔离耐压≥500V，隔离方式光耦隔离；</w:t>
            </w:r>
          </w:p>
          <w:p w14:paraId="2B5477B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5)附带数字量输出模块≥2个，单个模块≥8通道，输出信号类型源型，驱动能力≥500mA/通道，隔离耐压≥500V，隔离方式光耦隔离；</w:t>
            </w:r>
          </w:p>
          <w:p w14:paraId="2689DE2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6)在工作台台面上需布置有远程IO适配器的网络通信接口，用于接线。</w:t>
            </w:r>
          </w:p>
          <w:p w14:paraId="56F61A7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（五）工作台×1</w:t>
            </w:r>
          </w:p>
          <w:p w14:paraId="5A1B370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1)材质：铝合金型材结构或优于，工作台式设计需满足台面可安装功能模块，底部柜体内可安装电气设备；</w:t>
            </w:r>
          </w:p>
          <w:p w14:paraId="4065D7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2)台面长≥1360mm，宽≥680mm，厚≥20mm；</w:t>
            </w:r>
          </w:p>
          <w:p w14:paraId="38C5037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3)底部柜体长≥1280mm，宽≥600mm，高≥700mm；</w:t>
            </w:r>
          </w:p>
          <w:p w14:paraId="1C3A942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4)底部柜体四角需安装有脚轮，轮片直径≥50mm，轮片宽度≥25mm，可调高度≥10mm；</w:t>
            </w:r>
          </w:p>
          <w:p w14:paraId="2179269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28FD102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2F9F5C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7228001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七、总控单元</w:t>
            </w:r>
          </w:p>
          <w:p w14:paraId="4ADE75C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（一）PLC控制器</w:t>
            </w:r>
          </w:p>
          <w:p w14:paraId="3AF4625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1）数量≥2个</w:t>
            </w:r>
          </w:p>
          <w:p w14:paraId="20826CE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2)工作存储器≥75KB，装载存储器≥2MB，保持性存储器≥10KB；</w:t>
            </w:r>
          </w:p>
          <w:p w14:paraId="692337E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3)本体集成I/O，数字量8点输入/6点输出，模拟量2路输入；</w:t>
            </w:r>
          </w:p>
          <w:p w14:paraId="60127EC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4)过程映像大小为1024字节输入（I）和1024字节输出（Q）；</w:t>
            </w:r>
          </w:p>
          <w:p w14:paraId="725CCD2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5)位存储器为≥4096字节（M）；</w:t>
            </w:r>
          </w:p>
          <w:p w14:paraId="4F9A10B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6)需具备通信端口数量≥1个以太网通信端口，能够支持PROFINET通信；</w:t>
            </w:r>
          </w:p>
          <w:p w14:paraId="4B87927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7)实数数学运算执行速度不低于2.3μs/指令，布尔运算执行速度不低于0.08μs/指令。</w:t>
            </w:r>
          </w:p>
          <w:p w14:paraId="1660E22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（二）交换机：</w:t>
            </w:r>
          </w:p>
          <w:p w14:paraId="4BD6FCE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1)能够支持网络标准包含但不限于IEEE802.3、IEEE802.3u、IEEE802.3x</w:t>
            </w:r>
          </w:p>
          <w:p w14:paraId="2952545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2)RJRJ45端口数≥8个，能够自适应10/100/1000Mbps速率；</w:t>
            </w:r>
          </w:p>
          <w:p w14:paraId="7DE4D65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3)全壳体材质：钢材或优于，且散热性能保证机器稳定运行。</w:t>
            </w:r>
          </w:p>
          <w:p w14:paraId="173C16B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（三）操作面板：</w:t>
            </w:r>
          </w:p>
          <w:p w14:paraId="244C066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1)需提供≥1个总电源输入开关，能够控制输入电源的开启关闭；</w:t>
            </w:r>
          </w:p>
          <w:p w14:paraId="52B5D94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2)需提供≥1个电源模块急停按钮，能够切断总控单元电源模块向其他单元模块的供电；</w:t>
            </w:r>
          </w:p>
          <w:p w14:paraId="177AC95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3)需提供自定义功能按钮≥4个，绿色灯自复位按钮≥1个，绿色，红色灯自复位按钮≥1个，绿色灯自保持按钮≥1个，红色灯自保持按钮≥1个；</w:t>
            </w:r>
          </w:p>
          <w:p w14:paraId="5E2B6BA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4）人机交互触摸屏：尺寸≥9寸彩屏；要求能够提供工作站运行状态监控，</w:t>
            </w:r>
          </w:p>
          <w:p w14:paraId="41C90E8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能够对实训模块的运行进行控制，参数进行调整，能够提供演示模式和实训模式选择。</w:t>
            </w:r>
          </w:p>
          <w:p w14:paraId="34932A5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（四）电源模块：</w:t>
            </w:r>
          </w:p>
          <w:p w14:paraId="76AC1CD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1)输入电源为三相五线制，AC 380V，50Hz，15kW，需使用重载连接器插头，接线安全防触电；</w:t>
            </w:r>
          </w:p>
          <w:p w14:paraId="1986A45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2)执行单元输出电源为单相三线制，AC 220V，50Hz，≥7kW，需使用重载连接器插头，接线安全防触电，需配空气开关和指示灯；</w:t>
            </w:r>
          </w:p>
          <w:p w14:paraId="458DB4E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3)仓储单元输出电源为单相三线制，AC 220V，50Hz，≥2kW，需使用重载连接器插头，接线安全防触电，需配空气开关和指示灯；</w:t>
            </w:r>
          </w:p>
          <w:p w14:paraId="39AD629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4)加工单元输出电源为三相五线制，AC 380V，50Hz，≥12kW，需使用重载连接器插头，接线安全防触电，需配空气开关和指示灯；</w:t>
            </w:r>
          </w:p>
          <w:p w14:paraId="3C48381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5)打磨单元输出电源为单相三线制，AC 220V，50Hz，≥2kW，需使用重载连接器插头，接线安全防触电，需配空气开关和指示灯；</w:t>
            </w:r>
          </w:p>
          <w:p w14:paraId="3D21EA7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6)检测单元输出电源为单相三线制，AC 220V，50Hz，≥2kW，需使用重载连接器插头，接线安全防触电，需配空气开关和指示灯；</w:t>
            </w:r>
          </w:p>
          <w:p w14:paraId="71C2861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7)分拣单元输出电源为单相三线制，AC 220V，50Hz，≥2kW，需使用重载连接器插头，接线安全防触电，需配空气开关和指示灯。</w:t>
            </w:r>
          </w:p>
          <w:p w14:paraId="0A4118D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8)压装单元输出电源为单相三线制，AC 220V，50Hz，≥2kW，需使用重载连接器插头，接线安全防触电，需配空气开关和指示灯。</w:t>
            </w:r>
          </w:p>
          <w:p w14:paraId="670DA18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9)四轴机器人单元输出电源为单相三线制，AC 220V，50Hz，≥2kW，需使用重载连接器插头，接线安全防触电，需配空气开关和指示灯。</w:t>
            </w:r>
          </w:p>
          <w:p w14:paraId="50DE5D8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（五）气源模块：</w:t>
            </w:r>
          </w:p>
          <w:p w14:paraId="7A8706B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1)气泵功率≥600W，排气量118L/min，最大压力不小于8bar，储气罐≥24L；</w:t>
            </w:r>
          </w:p>
          <w:p w14:paraId="773AFCE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2)需提供≥8路气路供气接口，能够用于其他单元独立提供压缩空气，每路空气接口能够单独开启关闭。</w:t>
            </w:r>
          </w:p>
          <w:p w14:paraId="326ABA8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（六）工作台：</w:t>
            </w:r>
          </w:p>
          <w:p w14:paraId="3231B1E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1)材质：铝合金型材结构或优于，工作台式设计需有T型槽来安装功能模块，T型槽厚度不小于15mm，且工作台底部留有柜体；</w:t>
            </w:r>
          </w:p>
          <w:p w14:paraId="4CD54256">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2)台面长≥1360mm，宽≥680mm，厚≥20mm；</w:t>
            </w:r>
          </w:p>
          <w:p w14:paraId="1DBD079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3)底部柜体长≥1280mm，宽≥600mm，高≥700mm；</w:t>
            </w:r>
          </w:p>
          <w:p w14:paraId="060C45C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4)底部柜体四角需安装有脚轮，材质为铸铁或优于，轮片直径≥50mm，轮片宽度≥25mm，可调高度≥10mm；</w:t>
            </w:r>
          </w:p>
          <w:p w14:paraId="0594954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5)工作台面需合理布置有线槽，用于控制信号线和气路布线，且电、气路需分开；</w:t>
            </w:r>
          </w:p>
          <w:p w14:paraId="45F0BB6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6)底部柜体上端和下端四周需安装有线槽，用于电源线、气管和通信线布线；</w:t>
            </w:r>
          </w:p>
          <w:p w14:paraId="59C40A1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7)底部柜体门板需为快捷可拆卸设计，且每个门板完全相同可互换安装。</w:t>
            </w:r>
          </w:p>
          <w:p w14:paraId="7E221E6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八、配套工具</w:t>
            </w:r>
          </w:p>
          <w:p w14:paraId="055ED3B4">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需配工具盒1个，内六角扳手≥1套，螺丝刀≥1把，斜口钳≥1把，气管剪≥1个，万用表≥1个，刀具≥2把，端面打磨头≥20个，侧面打磨头≥5个，单元间固定连接板≥12个，单元间供电连接线（五线制）≥1根，单元间供电连接线（三线制）≥5根，5米长单元间通信连接线≥6根，1m长单元间通信连接线≥2根。</w:t>
            </w:r>
          </w:p>
          <w:p w14:paraId="43E6516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九、配套软件</w:t>
            </w:r>
          </w:p>
          <w:p w14:paraId="50330A5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1）提供本软件正版授权，已通过官方渠道获取合法使用许可，软件为永久正版授权，可终身使用。</w:t>
            </w:r>
          </w:p>
          <w:p w14:paraId="07A0E55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支持中文界面，能提供持续的中文技术支持服务，功能模块包括但不限于以下内容：</w:t>
            </w:r>
          </w:p>
          <w:p w14:paraId="5C5BA34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版授权，可终身使用，中文界面，可提供持续的中文技术支持服务。</w:t>
            </w:r>
          </w:p>
          <w:p w14:paraId="2A73E4D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提供智能制造工作单元≥200种，支持智能产线中设备的仿真与虚拟调试，包括但不限于PLC、工具、传感器、气缸等设备模型，支持车间的规划与设计，可调整车间布局，需提供带有CNAS标识的软件检测报告扫描件；</w:t>
            </w:r>
          </w:p>
          <w:p w14:paraId="433D6445">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3）提供模型数据接口，能够支持STP、STL、OBJ等多种三维模型格式的导入，搭建和实际环境1：1的虚拟环境；</w:t>
            </w:r>
          </w:p>
          <w:p w14:paraId="4D193F62">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4）能够支持模型文件轻量化处理，可以根据需求选择普通轻量化和深度轻量化两种不同的方式；</w:t>
            </w:r>
          </w:p>
          <w:p w14:paraId="4C2F6E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5）能够支持场景设备的自由定义，用户可通过设计的三维模型以及技术参数自由定义机器人、工具、零件、传感器以及零件生成器等设备。</w:t>
            </w:r>
          </w:p>
          <w:p w14:paraId="019EDEE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6）能够支持python自定义设备运动规则，通过运行脚本实现对零件、机床等设备在虚拟调试场景中的运动模拟；</w:t>
            </w:r>
          </w:p>
          <w:p w14:paraId="21CCC98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7）仿真与调试能够支持VR沉浸式体验。在VR环境中进行漫游，还可查看整条产线的仿真流程；</w:t>
            </w:r>
          </w:p>
          <w:p w14:paraId="5025FE9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8）能够支持视向动画功能，允许用户自行设置仿真中的各阶段视角，更加直观的展示出仿真中的运动细节；</w:t>
            </w:r>
          </w:p>
          <w:p w14:paraId="0E40E65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9）能够支持快照功能，将模型场景特定时刻系统中各个组件的状态信息记录下来，包括但不限于零件的位置，气缸的状态以及机器人姿态等信息；</w:t>
            </w:r>
          </w:p>
          <w:p w14:paraId="0647B76C">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10）能够支持将仿真结果输出为MP4、avi等格式的本地视频文件，方便用户快速展示仿真作品；</w:t>
            </w:r>
          </w:p>
          <w:p w14:paraId="05A3FEB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11）能够通过仿真机器人可执行代码，模拟机器人在软件环境中的运动状态，并支持循环指令（如For）控制机机器人重复运动；</w:t>
            </w:r>
          </w:p>
          <w:p w14:paraId="02E25C3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12）能够支持连接真实PLC设备，基于多品牌网关的数据交互技术，实现和多种品牌的PLC设备进行信号交互，包括但不限于西门子、三菱、欧姆龙等；</w:t>
            </w:r>
          </w:p>
          <w:p w14:paraId="4744031D">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13）能够支持PLC编程软件中变量表的批量导入以及数据网关变量表批量导出功能；</w:t>
            </w:r>
          </w:p>
          <w:p w14:paraId="124D7E98">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14）能够支持在软件中将虚拟机器人和实际机器人同步仿真，且软件支持与实际机器人控制器连接实时读取实际机器人关节姿态，并在软件中模拟机器人运动姿态；</w:t>
            </w:r>
          </w:p>
          <w:p w14:paraId="274B7D9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15）能够支持AGV小车联动功能，实时获取AGV小车的空间坐标，进而实现场景中的AGV运动同步；</w:t>
            </w:r>
          </w:p>
          <w:p w14:paraId="6960CE0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16）能够支持智能制造数字孪生功能，采用基于事件且由信号驱动的仿真技术来实现生产系统的虚拟调试，虚拟调试可用在完全虚拟环节中进行，也用在实物控制设备和虚拟工作设备互联实现半实物调试。</w:t>
            </w:r>
          </w:p>
          <w:p w14:paraId="2EF1AE60">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17）能够支持信号调试面板的显示，软件在虚拟仿真过程中，能通过信号调试面板实时观测相关信号的状态；</w:t>
            </w:r>
          </w:p>
          <w:p w14:paraId="7D7A1D7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18）能够支持Web监控功能，将仿真画面输出，在同一局域网下可在Web端进行查看，也可嵌入Mes等界面进行展示；</w:t>
            </w:r>
          </w:p>
          <w:p w14:paraId="67E94CFF">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19）能够支持虚拟PLC的调试，用户可通过自行编写Python和SCL虚拟PLC程序，实现软件中的设备和虚拟PLC之间的信号调试；</w:t>
            </w:r>
          </w:p>
          <w:p w14:paraId="0D2C02C3">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十、配套资源</w:t>
            </w:r>
          </w:p>
          <w:p w14:paraId="650F701E">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（一）需配备实操指导书≥5本：内容除设备能完成的各项任务的操作指导，还应包括设备各模块功能介绍、组成介绍、IO信号表等。</w:t>
            </w:r>
          </w:p>
          <w:p w14:paraId="157B9211">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（二）需包含多媒体资源1套，如PPT、视频等，多媒体资源具体内容及最低数量要求如下：</w:t>
            </w:r>
          </w:p>
          <w:p w14:paraId="09AE067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1)资源需包含知识点和技能点，可以根据实际使用需求进行重构组织，方便使用。</w:t>
            </w:r>
          </w:p>
          <w:p w14:paraId="0BB4DC7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2)资源包含多种形式，至少包括PPT、视频等。</w:t>
            </w:r>
          </w:p>
          <w:p w14:paraId="71E8FC69">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3)PPT提供源文件，可编辑，采用最新版本软件制作，设计风格统一，能够作为素材库满足教学课程使用，数量不少于50个。</w:t>
            </w:r>
          </w:p>
          <w:p w14:paraId="6020419A">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4)视频可通过统一资源平台软件进行播放，以所投标品牌的工业机器人为设备基础进行操作录制，能够充分真实的反映出操作流程，关键信息配有字幕和解说，数量不少于50个。</w:t>
            </w:r>
          </w:p>
          <w:p w14:paraId="64C361EB">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5)需配备以设备为基础制作的虚拟仿真模型文件，能够通过软件解包后打开，所有设备规格与布置与真实设备相同，并可以在软件中完成工业机器人工作流程的虚拟仿真。</w:t>
            </w:r>
          </w:p>
        </w:tc>
        <w:tc>
          <w:tcPr>
            <w:tcW w:w="1283" w:type="dxa"/>
            <w:vAlign w:val="center"/>
          </w:tcPr>
          <w:p w14:paraId="5F7AFA8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48</w:t>
            </w:r>
          </w:p>
        </w:tc>
      </w:tr>
    </w:tbl>
    <w:p w14:paraId="22B613F1">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4"/>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4"/>
        <w:rPr>
          <w:rFonts w:hint="eastAsia" w:ascii="仿宋" w:hAnsi="仿宋" w:eastAsia="仿宋" w:cs="仿宋"/>
          <w:lang w:eastAsia="zh-CN"/>
        </w:rPr>
      </w:pPr>
    </w:p>
    <w:p w14:paraId="2B11A4D4">
      <w:pPr>
        <w:pStyle w:val="14"/>
        <w:spacing w:line="241" w:lineRule="auto"/>
        <w:rPr>
          <w:rFonts w:hint="eastAsia" w:ascii="仿宋" w:hAnsi="仿宋" w:eastAsia="仿宋" w:cs="仿宋"/>
          <w:lang w:eastAsia="zh-CN"/>
        </w:rPr>
      </w:pPr>
    </w:p>
    <w:p w14:paraId="5EED225E">
      <w:pPr>
        <w:pStyle w:val="14"/>
        <w:spacing w:line="241" w:lineRule="auto"/>
        <w:rPr>
          <w:rFonts w:hint="eastAsia" w:ascii="仿宋" w:hAnsi="仿宋" w:eastAsia="仿宋" w:cs="仿宋"/>
          <w:lang w:eastAsia="zh-CN"/>
        </w:rPr>
      </w:pPr>
    </w:p>
    <w:p w14:paraId="4A4C69AF">
      <w:pPr>
        <w:pStyle w:val="14"/>
        <w:spacing w:line="241" w:lineRule="auto"/>
        <w:rPr>
          <w:rFonts w:hint="eastAsia" w:ascii="仿宋" w:hAnsi="仿宋" w:eastAsia="仿宋" w:cs="仿宋"/>
          <w:lang w:eastAsia="zh-CN"/>
        </w:rPr>
      </w:pPr>
    </w:p>
    <w:p w14:paraId="707F29E0">
      <w:pPr>
        <w:pStyle w:val="14"/>
        <w:spacing w:line="241" w:lineRule="auto"/>
        <w:rPr>
          <w:rFonts w:hint="eastAsia" w:ascii="仿宋" w:hAnsi="仿宋" w:eastAsia="仿宋" w:cs="仿宋"/>
          <w:lang w:eastAsia="zh-CN"/>
        </w:rPr>
      </w:pPr>
    </w:p>
    <w:p w14:paraId="59766545">
      <w:pPr>
        <w:pStyle w:val="14"/>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4"/>
        <w:spacing w:line="317" w:lineRule="auto"/>
        <w:rPr>
          <w:rFonts w:hint="eastAsia" w:ascii="仿宋" w:hAnsi="仿宋" w:eastAsia="仿宋" w:cs="仿宋"/>
          <w:lang w:eastAsia="zh-CN"/>
        </w:rPr>
      </w:pPr>
    </w:p>
    <w:p w14:paraId="5440CDA7">
      <w:pPr>
        <w:pStyle w:val="14"/>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4"/>
        <w:spacing w:line="315" w:lineRule="auto"/>
        <w:rPr>
          <w:rFonts w:hint="eastAsia" w:ascii="仿宋" w:hAnsi="仿宋" w:eastAsia="仿宋" w:cs="仿宋"/>
          <w:lang w:eastAsia="zh-CN"/>
        </w:rPr>
      </w:pPr>
    </w:p>
    <w:p w14:paraId="23E77905">
      <w:pPr>
        <w:pStyle w:val="14"/>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4"/>
        <w:spacing w:line="316" w:lineRule="auto"/>
        <w:rPr>
          <w:rFonts w:hint="eastAsia" w:ascii="仿宋" w:hAnsi="仿宋" w:eastAsia="仿宋" w:cs="仿宋"/>
          <w:lang w:eastAsia="zh-CN"/>
        </w:rPr>
      </w:pPr>
    </w:p>
    <w:p w14:paraId="53649920">
      <w:pPr>
        <w:pStyle w:val="14"/>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4"/>
        <w:spacing w:line="317" w:lineRule="auto"/>
        <w:rPr>
          <w:rFonts w:hint="eastAsia" w:ascii="仿宋" w:hAnsi="仿宋" w:eastAsia="仿宋" w:cs="仿宋"/>
          <w:lang w:eastAsia="zh-CN"/>
        </w:rPr>
      </w:pPr>
    </w:p>
    <w:p w14:paraId="036C1C06">
      <w:pPr>
        <w:pStyle w:val="14"/>
        <w:spacing w:line="317" w:lineRule="auto"/>
        <w:rPr>
          <w:rFonts w:hint="eastAsia" w:ascii="仿宋" w:hAnsi="仿宋" w:eastAsia="仿宋" w:cs="仿宋"/>
          <w:lang w:eastAsia="zh-CN"/>
        </w:rPr>
      </w:pPr>
    </w:p>
    <w:p w14:paraId="657BB1CC">
      <w:pPr>
        <w:pStyle w:val="14"/>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7"/>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7"/>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7"/>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7"/>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7"/>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7"/>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某单位2026年工业机器人教学科研仪器设备采购项目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1"/>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33"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某单位2026年工业机器人教学科研仪器设备采购项目</w:t>
            </w:r>
          </w:p>
        </w:tc>
        <w:tc>
          <w:tcPr>
            <w:tcW w:w="1847" w:type="pct"/>
            <w:shd w:val="clear" w:color="auto" w:fill="FFFFFF"/>
            <w:tcMar>
              <w:left w:w="105" w:type="dxa"/>
              <w:right w:w="105" w:type="dxa"/>
            </w:tcMar>
            <w:vAlign w:val="center"/>
          </w:tcPr>
          <w:p w14:paraId="6F333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3B2DF0C5">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1.供货期：自合同签署之日起 15 工作日内按采购人指定地点安装、调试、试运行（用）合格并通过验收。</w:t>
            </w:r>
          </w:p>
          <w:p w14:paraId="4DEB25A8">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2.质保期：提供原厂商 3年的免费质保，质保期自甲方最终验收合格之日起开始计算。</w:t>
            </w:r>
          </w:p>
          <w:p w14:paraId="19932F1A">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质保期内，本项目所有货物维保、保养均为免费，每年至少提供一次对本项目所供货物及安装线路的免费巡检，并提供巡检报告，保证设备正常运行使用。</w:t>
            </w:r>
          </w:p>
          <w:p w14:paraId="5BA5125E">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3.乙方所投货物必须是原厂生产的合格正品。对包含软件的货物，所投软件必须是合法、正版的原厂家软件且是目前最新版本，质量保证期内提供免费维护和升级服务。</w:t>
            </w:r>
          </w:p>
          <w:p w14:paraId="2309A53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3.售后服务：供应商提供硬件终身保修、软件终身升级维护且采购人具有软件终身使用权，电话报修后12 小时内上门服务、6小时内能够排除故障。货物质保期内，如果货物产品故障仍无法排除，乙方应及时提供不低于故障产品规格型号档次的备用产品供甲方暂时使用，直至故障产品修复后甲方退还备用产品。质量保证期内售后服务发生的一切费用由乙方承担。</w:t>
            </w:r>
          </w:p>
          <w:p w14:paraId="4F1A3E90">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4.培训：（1）提供不少于 10天 的线下培训，培训授课人必须是工程师、技术员等，且熟悉产品的操作和日常维护。其中，桌面式工业机器人培训不少于5天，智能制造单元系统集成平台培训不少于5天；（2）通过培训必须能保证参加培训人员对产品有较全面的了解，并熟悉掌握产品的操作和日常维护；（3）需为参训人为提供相关文字资料、讲义等资料，培训课程双方商定；（4）场地、交通等与培训相关的费用均由成交供应商承担。</w:t>
            </w:r>
          </w:p>
          <w:p w14:paraId="1CD6ECB9">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5.验收标准：（1）货物运抵买方指定地点后，由采购人和成交供应商组织相关人员共同对到货货物数量、型号、外观、包装质量、技术资料等进行检查，双方确认后开始安装，安装后进行破损性抽查；</w:t>
            </w:r>
          </w:p>
          <w:p w14:paraId="368E80C3">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交付验收标准：依次序对照适用标准为：①符合中华人民共和国国家安全质量标准、环保标准或行业标准；②符合招标文件和投标文件承诺中买方认可的合理最佳配置、参数、及各项要求；技术参数需进行现场测试的，应以现场测试数据为准。③货物来源国官方标准。上述标准必须是有关官方机构发布的最新版本的标准。</w:t>
            </w:r>
          </w:p>
          <w:p w14:paraId="1DFAD504">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6.对于不合格的货物，成交供应商必须在5个工作日内及时完成更换并重新进行验收。</w:t>
            </w:r>
          </w:p>
          <w:p w14:paraId="11FAECF9">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7.所有产品必修标有产品名称、厂家、规格型号等的铭牌，铭牌信息必须与中标合同上一致。</w:t>
            </w:r>
          </w:p>
          <w:p w14:paraId="7DA883D1">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8.报价要求包含税费、材料费、人工费、运输费、安装以及不可预见的所有费用。</w:t>
            </w:r>
          </w:p>
          <w:p w14:paraId="766E3FCB">
            <w:pPr>
              <w:pStyle w:val="18"/>
              <w:widowControl/>
              <w:spacing w:before="0" w:beforeAutospacing="0" w:after="0" w:afterAutospacing="0"/>
              <w:jc w:val="center"/>
              <w:rPr>
                <w:rFonts w:hint="eastAsia" w:ascii="仿宋" w:hAnsi="仿宋" w:eastAsia="仿宋" w:cs="仿宋"/>
                <w:sz w:val="24"/>
                <w:szCs w:val="24"/>
              </w:rPr>
            </w:pPr>
          </w:p>
          <w:p w14:paraId="2F1D4A64">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w:t>
            </w:r>
            <w:bookmarkStart w:id="0" w:name="_GoBack"/>
            <w:bookmarkEnd w:id="0"/>
            <w:r>
              <w:rPr>
                <w:rFonts w:hint="eastAsia" w:ascii="仿宋" w:hAnsi="仿宋" w:eastAsia="仿宋" w:cs="仿宋"/>
                <w:sz w:val="24"/>
                <w:szCs w:val="24"/>
              </w:rPr>
              <w:t>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embedRegular r:id="rId1" w:fontKey="{29C73D06-6D21-4F19-9678-0EC15CA82729}"/>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1A2DCA3C-67C9-4EE6-9AFD-D940E86FFFE2}"/>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5ED3628"/>
    <w:rsid w:val="0F0547E3"/>
    <w:rsid w:val="143329BA"/>
    <w:rsid w:val="1AF37BE5"/>
    <w:rsid w:val="1EF12658"/>
    <w:rsid w:val="1FF62A1D"/>
    <w:rsid w:val="1FFE5062"/>
    <w:rsid w:val="224E3596"/>
    <w:rsid w:val="2AF75C96"/>
    <w:rsid w:val="311D118B"/>
    <w:rsid w:val="33666065"/>
    <w:rsid w:val="3BEE13C4"/>
    <w:rsid w:val="3D695935"/>
    <w:rsid w:val="4074002B"/>
    <w:rsid w:val="43A65325"/>
    <w:rsid w:val="4E6F4E89"/>
    <w:rsid w:val="524C2520"/>
    <w:rsid w:val="54FD6FAA"/>
    <w:rsid w:val="583B146D"/>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8"/>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9"/>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30"/>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31"/>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2"/>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3"/>
    <w:next w:val="1"/>
    <w:qFormat/>
    <w:uiPriority w:val="39"/>
    <w:pPr>
      <w:spacing w:before="360"/>
      <w:jc w:val="left"/>
    </w:pPr>
    <w:rPr>
      <w:rFonts w:ascii="Cambria" w:hAnsi="Cambria" w:eastAsia="宋体" w:cs="Times New Roman"/>
      <w:b/>
      <w:bCs/>
      <w:caps/>
      <w:sz w:val="24"/>
    </w:rPr>
  </w:style>
  <w:style w:type="paragraph" w:styleId="3">
    <w:name w:val="index 1"/>
    <w:basedOn w:val="1"/>
    <w:next w:val="1"/>
    <w:qFormat/>
    <w:uiPriority w:val="0"/>
    <w:pPr>
      <w:outlineLvl w:val="1"/>
    </w:pPr>
    <w:rPr>
      <w:rFonts w:ascii="Times New Roman" w:hAnsi="Times New Roman" w:eastAsia="宋体" w:cs="Times New Roman"/>
      <w:color w:val="000000"/>
    </w:rPr>
  </w:style>
  <w:style w:type="paragraph" w:styleId="13">
    <w:name w:val="annotation text"/>
    <w:basedOn w:val="1"/>
    <w:link w:val="45"/>
    <w:unhideWhenUsed/>
    <w:qFormat/>
    <w:uiPriority w:val="99"/>
  </w:style>
  <w:style w:type="paragraph" w:styleId="14">
    <w:name w:val="Body Text"/>
    <w:basedOn w:val="1"/>
    <w:link w:val="46"/>
    <w:semiHidden/>
    <w:qFormat/>
    <w:uiPriority w:val="0"/>
  </w:style>
  <w:style w:type="paragraph" w:styleId="15">
    <w:name w:val="footer"/>
    <w:basedOn w:val="1"/>
    <w:link w:val="44"/>
    <w:unhideWhenUsed/>
    <w:qFormat/>
    <w:uiPriority w:val="99"/>
    <w:pPr>
      <w:tabs>
        <w:tab w:val="center" w:pos="4153"/>
        <w:tab w:val="right" w:pos="8306"/>
      </w:tabs>
    </w:pPr>
    <w:rPr>
      <w:sz w:val="18"/>
      <w:szCs w:val="18"/>
    </w:rPr>
  </w:style>
  <w:style w:type="paragraph" w:styleId="16">
    <w:name w:val="header"/>
    <w:basedOn w:val="1"/>
    <w:link w:val="43"/>
    <w:unhideWhenUsed/>
    <w:qFormat/>
    <w:uiPriority w:val="99"/>
    <w:pPr>
      <w:tabs>
        <w:tab w:val="center" w:pos="4153"/>
        <w:tab w:val="right" w:pos="8306"/>
      </w:tabs>
      <w:jc w:val="center"/>
    </w:pPr>
    <w:rPr>
      <w:sz w:val="18"/>
      <w:szCs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Body Text First Indent"/>
    <w:basedOn w:val="14"/>
    <w:qFormat/>
    <w:uiPriority w:val="0"/>
    <w:pPr>
      <w:ind w:firstLine="420" w:firstLineChars="100"/>
    </w:pPr>
    <w:rPr>
      <w:rFonts w:ascii="宋体" w:hAnsi="Times New Roman" w:cs="Times New Roman"/>
      <w:kern w:val="0"/>
      <w:sz w:val="3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1 字符"/>
    <w:basedOn w:val="23"/>
    <w:link w:val="4"/>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7"/>
    <w:semiHidden/>
    <w:qFormat/>
    <w:uiPriority w:val="9"/>
    <w:rPr>
      <w:rFonts w:cstheme="majorBidi"/>
      <w:color w:val="2F5597" w:themeColor="accent1" w:themeShade="BF"/>
      <w:sz w:val="28"/>
      <w:szCs w:val="28"/>
    </w:rPr>
  </w:style>
  <w:style w:type="character" w:customStyle="1" w:styleId="29">
    <w:name w:val="标题 5 字符"/>
    <w:basedOn w:val="23"/>
    <w:link w:val="8"/>
    <w:semiHidden/>
    <w:qFormat/>
    <w:uiPriority w:val="9"/>
    <w:rPr>
      <w:rFonts w:cstheme="majorBidi"/>
      <w:color w:val="2F5597" w:themeColor="accent1" w:themeShade="BF"/>
      <w:sz w:val="24"/>
    </w:rPr>
  </w:style>
  <w:style w:type="character" w:customStyle="1" w:styleId="30">
    <w:name w:val="标题 6 字符"/>
    <w:basedOn w:val="23"/>
    <w:link w:val="9"/>
    <w:semiHidden/>
    <w:qFormat/>
    <w:uiPriority w:val="9"/>
    <w:rPr>
      <w:rFonts w:cstheme="majorBidi"/>
      <w:b/>
      <w:bCs/>
      <w:color w:val="2F5597" w:themeColor="accent1" w:themeShade="BF"/>
      <w:sz w:val="28"/>
    </w:rPr>
  </w:style>
  <w:style w:type="character" w:customStyle="1" w:styleId="31">
    <w:name w:val="标题 7 字符"/>
    <w:basedOn w:val="23"/>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2">
    <w:name w:val="标题 8 字符"/>
    <w:basedOn w:val="23"/>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3">
    <w:name w:val="标题 9 字符"/>
    <w:basedOn w:val="23"/>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rFonts w:eastAsia="仿宋"/>
      <w:i/>
      <w:iCs/>
      <w:color w:val="2F5597" w:themeColor="accent1" w:themeShade="BF"/>
      <w:sz w:val="28"/>
    </w:rPr>
  </w:style>
  <w:style w:type="character" w:customStyle="1" w:styleId="42">
    <w:name w:val="Intense Reference"/>
    <w:basedOn w:val="23"/>
    <w:qFormat/>
    <w:uiPriority w:val="32"/>
    <w:rPr>
      <w:b/>
      <w:bCs/>
      <w:smallCaps/>
      <w:color w:val="2F5597" w:themeColor="accent1" w:themeShade="BF"/>
      <w:spacing w:val="5"/>
    </w:rPr>
  </w:style>
  <w:style w:type="character" w:customStyle="1" w:styleId="43">
    <w:name w:val="页眉 字符"/>
    <w:basedOn w:val="23"/>
    <w:link w:val="16"/>
    <w:qFormat/>
    <w:uiPriority w:val="99"/>
    <w:rPr>
      <w:rFonts w:eastAsia="仿宋"/>
      <w:sz w:val="18"/>
      <w:szCs w:val="18"/>
    </w:rPr>
  </w:style>
  <w:style w:type="character" w:customStyle="1" w:styleId="44">
    <w:name w:val="页脚 字符"/>
    <w:basedOn w:val="23"/>
    <w:link w:val="15"/>
    <w:qFormat/>
    <w:uiPriority w:val="99"/>
    <w:rPr>
      <w:rFonts w:eastAsia="仿宋"/>
      <w:sz w:val="18"/>
      <w:szCs w:val="18"/>
    </w:rPr>
  </w:style>
  <w:style w:type="character" w:customStyle="1" w:styleId="45">
    <w:name w:val="批注文字 字符"/>
    <w:basedOn w:val="23"/>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6">
    <w:name w:val="正文文本 字符"/>
    <w:basedOn w:val="23"/>
    <w:link w:val="14"/>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7">
    <w:name w:val="Table Text"/>
    <w:basedOn w:val="1"/>
    <w:semiHidden/>
    <w:qFormat/>
    <w:uiPriority w:val="0"/>
    <w:rPr>
      <w:rFonts w:ascii="宋体" w:hAnsi="宋体" w:eastAsia="宋体" w:cs="宋体"/>
      <w:sz w:val="24"/>
      <w:szCs w:val="24"/>
    </w:rPr>
  </w:style>
  <w:style w:type="paragraph" w:customStyle="1" w:styleId="48">
    <w:name w:val="表 靠左"/>
    <w:basedOn w:val="49"/>
    <w:qFormat/>
    <w:uiPriority w:val="0"/>
    <w:pPr>
      <w:jc w:val="left"/>
    </w:pPr>
    <w:rPr>
      <w:rFonts w:asciiTheme="minorEastAsia" w:hAnsiTheme="minorEastAsia" w:eastAsiaTheme="minorEastAsia"/>
    </w:rPr>
  </w:style>
  <w:style w:type="paragraph" w:customStyle="1" w:styleId="49">
    <w:name w:val="表"/>
    <w:basedOn w:val="1"/>
    <w:next w:val="1"/>
    <w:qFormat/>
    <w:uiPriority w:val="0"/>
    <w:pPr>
      <w:spacing w:line="240" w:lineRule="auto"/>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4411</Words>
  <Characters>4922</Characters>
  <Lines>169</Lines>
  <Paragraphs>196</Paragraphs>
  <TotalTime>2</TotalTime>
  <ScaleCrop>false</ScaleCrop>
  <LinksUpToDate>false</LinksUpToDate>
  <CharactersWithSpaces>5205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2026-04-08T02:36:53Z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eyJoZGlkIjoiOGJhMDlkNTRiYzA4MTNiYzVkOWE2ZDNlNTgyNDI5NmQiLCJ1c2VySWQiOiI0NDI1NzA5NzUifQ==</vt:lpwstr>
  </property>
  <property fmtid="{D5CDD505-2E9C-101B-9397-08002B2CF9AE}" pid="3" name="KSOProductBuildVer">
    <vt:lpwstr>2052-12.1.0.24657</vt:lpwstr>
  </property>
  <property fmtid="{D5CDD505-2E9C-101B-9397-08002B2CF9AE}" pid="4" name="ICV">
    <vt:lpwstr>FE7BD74A9D5041D4B83ED48CA0ADAA26_12</vt:lpwstr>
  </property>
</Properties>
</file>