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1629" w:leftChars="466" w:hanging="650" w:hangingChars="2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项目名称：某单位2026年台式电脑采购项目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某单位2026年台式电脑采购项目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2"/>
          <w:rFonts w:hint="eastAsia" w:ascii="仿宋" w:hAnsi="仿宋" w:eastAsia="仿宋" w:cs="仿宋"/>
          <w:sz w:val="28"/>
          <w:szCs w:val="28"/>
        </w:rPr>
      </w:pPr>
      <w:r>
        <w:rPr>
          <w:rStyle w:val="22"/>
          <w:rFonts w:hint="eastAsia" w:ascii="仿宋" w:hAnsi="仿宋" w:eastAsia="仿宋" w:cs="仿宋"/>
          <w:sz w:val="28"/>
          <w:szCs w:val="28"/>
        </w:rPr>
        <w:t>总额</w:t>
      </w:r>
      <w:r>
        <w:rPr>
          <w:rStyle w:val="22"/>
          <w:rFonts w:hint="eastAsia" w:ascii="仿宋" w:hAnsi="仿宋" w:eastAsia="仿宋" w:cs="仿宋"/>
          <w:sz w:val="28"/>
          <w:szCs w:val="28"/>
          <w:lang w:val="en-US" w:eastAsia="zh-CN"/>
        </w:rPr>
        <w:t>10万</w:t>
      </w:r>
      <w:r>
        <w:rPr>
          <w:rStyle w:val="22"/>
          <w:rFonts w:hint="eastAsia" w:ascii="仿宋" w:hAnsi="仿宋" w:eastAsia="仿宋" w:cs="仿宋"/>
          <w:sz w:val="28"/>
          <w:szCs w:val="28"/>
        </w:rPr>
        <w:t>元</w:t>
      </w:r>
    </w:p>
    <w:tbl>
      <w:tblPr>
        <w:tblStyle w:val="19"/>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605"/>
        <w:gridCol w:w="3133"/>
        <w:gridCol w:w="2649"/>
        <w:gridCol w:w="3984"/>
      </w:tblGrid>
      <w:tr w14:paraId="2380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410" w:type="pct"/>
            <w:vAlign w:val="center"/>
          </w:tcPr>
          <w:p w14:paraId="734FEEC1">
            <w:pPr>
              <w:keepNext w:val="0"/>
              <w:keepLines w:val="0"/>
              <w:suppressLineNumbers w:val="0"/>
              <w:spacing w:before="0" w:beforeAutospacing="0" w:after="0" w:afterAutospacing="0" w:line="240" w:lineRule="auto"/>
              <w:ind w:left="0" w:right="0"/>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237" w:type="pct"/>
            <w:vAlign w:val="center"/>
          </w:tcPr>
          <w:p w14:paraId="643E60C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sz w:val="28"/>
                <w:szCs w:val="28"/>
              </w:rPr>
            </w:pPr>
            <w:r>
              <w:rPr>
                <w:rFonts w:hint="eastAsia" w:ascii="仿宋" w:hAnsi="仿宋" w:eastAsia="仿宋" w:cs="仿宋"/>
                <w:b/>
                <w:sz w:val="28"/>
                <w:szCs w:val="28"/>
                <w:lang w:val="en-US" w:eastAsia="zh-CN"/>
              </w:rPr>
              <w:t>货物（服务）</w:t>
            </w:r>
            <w:r>
              <w:rPr>
                <w:rFonts w:hint="eastAsia" w:ascii="仿宋" w:hAnsi="仿宋" w:eastAsia="仿宋" w:cs="仿宋"/>
                <w:b/>
                <w:sz w:val="28"/>
                <w:szCs w:val="28"/>
              </w:rPr>
              <w:t>名称</w:t>
            </w:r>
          </w:p>
        </w:tc>
        <w:tc>
          <w:tcPr>
            <w:tcW w:w="1075" w:type="pct"/>
            <w:vAlign w:val="center"/>
          </w:tcPr>
          <w:p w14:paraId="1C2298B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数量</w:t>
            </w:r>
          </w:p>
        </w:tc>
        <w:tc>
          <w:tcPr>
            <w:tcW w:w="909" w:type="pct"/>
            <w:vAlign w:val="center"/>
          </w:tcPr>
          <w:p w14:paraId="62D4FD0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单位</w:t>
            </w:r>
          </w:p>
        </w:tc>
        <w:tc>
          <w:tcPr>
            <w:tcW w:w="1367" w:type="pct"/>
            <w:vAlign w:val="center"/>
          </w:tcPr>
          <w:p w14:paraId="20D0FED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单价（万元）</w:t>
            </w:r>
          </w:p>
        </w:tc>
      </w:tr>
      <w:tr w14:paraId="0257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10" w:type="pct"/>
            <w:vAlign w:val="center"/>
          </w:tcPr>
          <w:p w14:paraId="1E8AE99E">
            <w:pPr>
              <w:keepNext w:val="0"/>
              <w:keepLines w:val="0"/>
              <w:suppressLineNumbers w:val="0"/>
              <w:spacing w:before="0" w:beforeAutospacing="0" w:after="0" w:afterAutospacing="0"/>
              <w:ind w:left="0" w:right="0"/>
              <w:jc w:val="center"/>
              <w:rPr>
                <w:rFonts w:hint="eastAsia" w:ascii="仿宋" w:hAnsi="仿宋" w:eastAsia="仿宋" w:cs="仿宋"/>
                <w:sz w:val="20"/>
                <w:szCs w:val="20"/>
              </w:rPr>
            </w:pPr>
            <w:r>
              <w:rPr>
                <w:rFonts w:hint="eastAsia" w:ascii="仿宋" w:hAnsi="仿宋" w:eastAsia="仿宋" w:cs="仿宋"/>
                <w:sz w:val="20"/>
                <w:szCs w:val="20"/>
              </w:rPr>
              <w:t>1</w:t>
            </w:r>
          </w:p>
        </w:tc>
        <w:tc>
          <w:tcPr>
            <w:tcW w:w="1237" w:type="pct"/>
            <w:vAlign w:val="center"/>
          </w:tcPr>
          <w:p w14:paraId="569A2CE6">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台式电脑</w:t>
            </w:r>
          </w:p>
        </w:tc>
        <w:tc>
          <w:tcPr>
            <w:tcW w:w="1075" w:type="pct"/>
            <w:vAlign w:val="center"/>
          </w:tcPr>
          <w:p w14:paraId="412927EB">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909" w:type="pct"/>
            <w:vAlign w:val="center"/>
          </w:tcPr>
          <w:p w14:paraId="490EC034">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台</w:t>
            </w:r>
          </w:p>
        </w:tc>
        <w:tc>
          <w:tcPr>
            <w:tcW w:w="1367" w:type="pct"/>
            <w:vAlign w:val="center"/>
          </w:tcPr>
          <w:p w14:paraId="6D446D46">
            <w:pPr>
              <w:keepNext w:val="0"/>
              <w:keepLines w:val="0"/>
              <w:suppressLineNumbers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0.5</w:t>
            </w:r>
          </w:p>
        </w:tc>
      </w:tr>
    </w:tbl>
    <w:p w14:paraId="2ACEDC32">
      <w:pPr>
        <w:pStyle w:val="2"/>
        <w:rPr>
          <w:rStyle w:val="22"/>
          <w:rFonts w:hint="eastAsia" w:ascii="仿宋" w:hAnsi="仿宋" w:eastAsia="仿宋" w:cs="仿宋"/>
          <w:sz w:val="28"/>
          <w:szCs w:val="28"/>
        </w:rPr>
      </w:pPr>
    </w:p>
    <w:p w14:paraId="1E1C2D61">
      <w:pPr>
        <w:pStyle w:val="2"/>
        <w:rPr>
          <w:rStyle w:val="22"/>
          <w:rFonts w:hint="eastAsia" w:ascii="仿宋" w:hAnsi="仿宋" w:eastAsia="仿宋" w:cs="仿宋"/>
          <w:sz w:val="28"/>
          <w:szCs w:val="28"/>
          <w:lang w:eastAsia="zh-CN"/>
        </w:rPr>
      </w:pPr>
    </w:p>
    <w:tbl>
      <w:tblPr>
        <w:tblStyle w:val="19"/>
        <w:tblW w:w="14461"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435"/>
        <w:gridCol w:w="927"/>
        <w:gridCol w:w="10063"/>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3"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435"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92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63"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3"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35"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某单位2026年台式电脑采购项目</w:t>
            </w:r>
          </w:p>
        </w:tc>
        <w:tc>
          <w:tcPr>
            <w:tcW w:w="927" w:type="dxa"/>
            <w:noWrap/>
            <w:vAlign w:val="center"/>
          </w:tcPr>
          <w:p w14:paraId="6788BCBD">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1批</w:t>
            </w:r>
          </w:p>
        </w:tc>
        <w:tc>
          <w:tcPr>
            <w:tcW w:w="10063" w:type="dxa"/>
            <w:vAlign w:val="center"/>
          </w:tcPr>
          <w:p w14:paraId="7355BB0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1、CPU:核心数：≥6；线程数：≥20；主频：≥2.10GHz；末级缓存容量：≥12 M；功耗：≥65 W；内存的最高速率：≥2666MT/s；通道数：≥2；位宽：≥76.8 GB/s。</w:t>
            </w:r>
          </w:p>
          <w:p w14:paraId="245E3EF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2、内存：≥8GB；内存类型：支持 DDR4/LPDDR4/LPDDR4X 及以上内存类型；内存条数量：≥1；读写速率：≥2666MT/s。</w:t>
            </w:r>
          </w:p>
          <w:p w14:paraId="630D42A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主板：集成资源扩展模块、计算处理模块、音频扩展模块；主板支持英特尔酷睿12代CPU；主板支持内存最大128G；主板支持SATA接口≥1、M.2接口≥1、USB接口≥2；单内存插槽最大可支持容量≥8GB；内存插槽满配时提供的最高内存总容量≥16GB。内存扩展接口：≥2 个；主板 USB瞬间过流保护：支持有瞬间过流保护功能；主板防静电保护：支持防静电保护功能；I/O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14434C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4、固态盘数量：≥1 个；固态存储容量：≥240GB；固态存储寿命：TBW ≥ 80TB；机械硬盘数量：≥1 个；机械硬盘总容量：≥500GB；机械硬盘转速：≥5400rpm；机械硬盘寿命：通电时间≥5 万小时；机械硬盘形态支持2.5 英寸、3.5 英寸，固态存储形态支持M.2接口，固态盘应符合 SJ/T 11654 相关规定；机械硬盘准备时间应不大于30s；工作状态环境温度应满足 5℃~55℃；其它参数应符合 GB/T 12628 相关规定。</w:t>
            </w:r>
          </w:p>
          <w:p w14:paraId="1B7CFB5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5、显卡：集成显卡。</w:t>
            </w:r>
          </w:p>
          <w:p w14:paraId="7CB46BC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6、显示设备：屏占比：≥80%；分辨率：≥1920x1080；尺寸：≥23 英寸：屏幕比例：16：9；颜色黑色；防蓝光：支持防蓝光模式，蓝光加权辐射亮度比应≤0.0012W/(·cd·sr)（瓦每坎特拉每球面度）；低频闪：支持低频闪≤-35dB；防炫目：镜面反射率≤10%；刷新率：≥75Hz；位深：≥8 位；色域：≥99% sRGB；</w:t>
            </w:r>
          </w:p>
          <w:p w14:paraId="73F483D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色准：△E ≤ 4；响应时间：≤8ms；亮度：≥250 尼特；亮度一致性：≥70%；对比度：≥500：1；其它参数应符合 SJ/T 11292 的相关规定。显示器接口：VGA+HDMI;显示器支架:标配普通支架；参数调节：a)提供 OSD 选单按钮用于调节色彩、模式等；b)支持色温、亮度、对比度调节；屏幕失效点：符合 GB/T 9813.2 的要求。</w:t>
            </w:r>
          </w:p>
          <w:p w14:paraId="010DFEC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6、外设：鼠标数量：≥1；键盘数量：≥1；键盘按键数目：104 键；键盘按键寿命：≥1000 万次。</w:t>
            </w:r>
          </w:p>
          <w:p w14:paraId="2DB5DBD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键盘连接方式：有线；键盘键程：2.3mm ~ 4.0mm；键盘按键压力：0.54 N±0.14N；连接线：≥1.5 米；颜色：黑色；鼠标连接方式：有线；连接线≥1.5 米；DPI分辨率：800~1600；颜色：黑色；鼠标按 </w:t>
            </w:r>
          </w:p>
          <w:p w14:paraId="15109A2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键寿命：≥500 万次；键盘鼠标线材寿命：键盘鼠标所用线材经±60°弯折不低于 3000 次，功能、外观完好；风扇寿命：≥4 万小时；其它参数应符合 GB/T 26245 的相关规定。</w:t>
            </w:r>
          </w:p>
          <w:p w14:paraId="31AA086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7、网口：有线网卡数量：≥1；网卡速率：最高速率应不低于 1000Mbps，应支持10Mbps、100Mbps、1000Mbps 速率自适应；网络功能：a)支持网络连接、网络开启/关闭功能；b)支持访问网络和数据交换功能；数据传输：支持数据传输能力，并提供数据流量和异常日志记录功能；接口类型：RJ45 接口；网络设备拆装：支持物理拆装，包括无线网卡和蓝牙模块等。</w:t>
            </w:r>
          </w:p>
          <w:p w14:paraId="7AD36C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8、外部接口规格：前面板USB 接口：不少于 3 个 USB 接口（含 2 个 USB3.0 及以上接口）；视频接 </w:t>
            </w:r>
          </w:p>
          <w:p w14:paraId="67F600B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口数量：≥1；音频接口数量≥1。音频接口类型：支持 3.5mm 孔径 3 段式接口；视频接口类型：支持 VGA接口。</w:t>
            </w:r>
          </w:p>
          <w:p w14:paraId="11D96FE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9、整机基础规格：</w:t>
            </w:r>
          </w:p>
          <w:p w14:paraId="5435642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整机外观：a) 产品表面不应有凹痕、划伤、裂缝、变形和污染等。表面涂层均匀，不应起泡、龟裂、脱落和磨损，金属零部件无锈蚀及其它机械损伤； </w:t>
            </w:r>
          </w:p>
          <w:p w14:paraId="62A1A6B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产品表面说明功能的文字、符号、标志，应清晰、端正、牢固；状态指示灯：开机状态指示灯；整机结 </w:t>
            </w:r>
          </w:p>
          <w:p w14:paraId="36285F8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构：的相关规定； </w:t>
            </w:r>
          </w:p>
          <w:p w14:paraId="3A7200D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产品内部结构应符合通用部件的安装需求； </w:t>
            </w:r>
          </w:p>
          <w:p w14:paraId="1618149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c) 所有输入输出接口应符合相关国家或行业标准； </w:t>
            </w:r>
          </w:p>
          <w:p w14:paraId="6DF6A0B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d) 产品零部件应紧固无松动，可插拔部件应可靠连接，开关、按钮和其它控制部件应灵活可靠，布局应方便使用； </w:t>
            </w:r>
          </w:p>
          <w:p w14:paraId="1B09B6B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e) 所有 I/O 连接器及需插接线缆的部位应预留采购人操作空间，方便插拔解锁与插拔线缆； </w:t>
            </w:r>
          </w:p>
          <w:p w14:paraId="56A3B8A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f) 可插拔板卡插槽部位应预留安装、拆卸或更换板卡空间； </w:t>
            </w:r>
          </w:p>
          <w:p w14:paraId="7E2561A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g) 拆装可能接触到的金属剪口或金属尖角部位应做防划伤处理，以保证安全； </w:t>
            </w:r>
          </w:p>
          <w:p w14:paraId="39DA128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h) 整机内部走线应规整，固线结构和位置要合理可靠并做防割线处理，需便于理线和插拔操作，走线应不影响系统各主要部件组装和拆卸； </w:t>
            </w:r>
          </w:p>
          <w:p w14:paraId="5C6E2E3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i) 如需通过孔走线，过线孔应做防割线处理； </w:t>
            </w:r>
          </w:p>
          <w:p w14:paraId="3B64A49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j) 各插头位置和插拔方向应合理，应做到插拔无障碍设计，具备防呆设计，有效避免误操作； </w:t>
            </w:r>
          </w:p>
          <w:p w14:paraId="518F390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k) 各主要部件拆装无障碍，使用常规工具拆装，无特殊拆装工具需求； </w:t>
            </w:r>
          </w:p>
          <w:p w14:paraId="5B9F736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l) 各主要部件拆装步骤要少，各自拆装需避免相互干扰； </w:t>
            </w:r>
          </w:p>
          <w:p w14:paraId="02EBCAF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m) 对于整机或零部件外表面为高亮面的，应粘贴保护膜，保护膜需粘贴牢固，运输、组装等过程不易脱落， </w:t>
            </w:r>
          </w:p>
          <w:p w14:paraId="43FC596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撕下无残留； n) 其它要求应符合 GB/T 9813.1 的相关规定；</w:t>
            </w:r>
          </w:p>
          <w:p w14:paraId="32461E8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机箱防护要求：机箱应符合 GB/T 4208 中 IP20 防护要求；</w:t>
            </w:r>
          </w:p>
          <w:p w14:paraId="5CA875D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整机噪音：工作在空闲状态下，产品的声功率级应不超过 4.5 Bel；</w:t>
            </w:r>
          </w:p>
          <w:p w14:paraId="3ED2721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整机散热：在环境温度 25℃及处理器满载情况下，产品表面温度应符合如下要求： </w:t>
            </w:r>
          </w:p>
          <w:p w14:paraId="1351B90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a) 出风口在机箱后面板情况下，出风口温度不高于 55℃； </w:t>
            </w:r>
          </w:p>
          <w:p w14:paraId="3E70751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可触及面温度不高于 45℃； </w:t>
            </w:r>
          </w:p>
          <w:p w14:paraId="5F7F895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 显示器表面温度：显示屏不高于38℃，显示屏上下灯带位置温度（如涉及）不高于 40℃，出风口温度不高于 45℃；</w:t>
            </w:r>
          </w:p>
          <w:p w14:paraId="4BEEBA8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整机能效限定值：能效限定值应达到 GB 28380-2012标准中能效等级 2 级及以上；</w:t>
            </w:r>
          </w:p>
          <w:p w14:paraId="5B77D4D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机身材质：塑料；</w:t>
            </w:r>
          </w:p>
          <w:p w14:paraId="3D0493A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机箱尺寸容量：不大于 30L；</w:t>
            </w:r>
          </w:p>
          <w:p w14:paraId="50B6229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电源功能：电源适配器电线组件应符合 GB/T 15934 的要求。</w:t>
            </w:r>
          </w:p>
          <w:p w14:paraId="2125D3B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电磁兼容性要求 的抗扰度：符合 GB/T 9254.2 的规定；</w:t>
            </w:r>
          </w:p>
          <w:p w14:paraId="6CC84D7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环境条件要求的气候环境适应性：符合 GB/T 9813.1 中规定；</w:t>
            </w:r>
          </w:p>
          <w:p w14:paraId="2F67FC0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环境条件要求的振动适应性：符合 GB/T 9813.1 中规定；</w:t>
            </w:r>
          </w:p>
          <w:p w14:paraId="1BE16F5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环境条件要求的冲击适应性：符合 GB/T 9813.1 中规定；</w:t>
            </w:r>
          </w:p>
          <w:p w14:paraId="0290D9B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环境条件要求的碰撞适应性：符合 GB/T 9813.1 中规定；</w:t>
            </w:r>
          </w:p>
          <w:p w14:paraId="229E339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环境条件要求的运输包装件跌落适应性：符合 GB/T 9813.1 中规定；</w:t>
            </w:r>
          </w:p>
          <w:p w14:paraId="370F4F8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MTBF 测试：≥3 万小时；</w:t>
            </w:r>
          </w:p>
          <w:p w14:paraId="7FF97E2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常用软件兼容：支持流式软件、版式软件、浏览器、邮件采购人端、解压软件、多媒体、图形图像处理等常用软件；</w:t>
            </w:r>
          </w:p>
          <w:p w14:paraId="587E3D2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数据库兼容：兼容 3 个及以上厂商的数据库产品；</w:t>
            </w:r>
          </w:p>
          <w:p w14:paraId="7388501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中间件兼容：兼容 3 个及以上厂商的数据库产品；</w:t>
            </w:r>
          </w:p>
          <w:p w14:paraId="13BF86F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平台软件兼容：兼容 3 个及以上厂商云计算及大数据平台；</w:t>
            </w:r>
          </w:p>
          <w:p w14:paraId="682599C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标志、包装、运输和贮存：符合 GB/T 9813.1 和商品包装政府采购需求标准的相关规定；</w:t>
            </w:r>
          </w:p>
          <w:p w14:paraId="6D85F98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10、操作系统及软件功能：</w:t>
            </w:r>
          </w:p>
          <w:p w14:paraId="191EA69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中文信息处理要求：符合 GB 18030 的相关规定；</w:t>
            </w:r>
          </w:p>
          <w:p w14:paraId="7A0A739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操作系统备份及还原功能：支持操作系统备份及还原功能；</w:t>
            </w:r>
          </w:p>
          <w:p w14:paraId="4CF036D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固件备份还原能力：支持备份及还原固件的功能；</w:t>
            </w:r>
          </w:p>
          <w:p w14:paraId="292F68A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操作系统及驱动升级：支持通过网络、闪存盘等方式对操作系统、驱动进行升级固件升级：支持通过网络、闪存盘等方式对固件进行升级；</w:t>
            </w:r>
          </w:p>
          <w:p w14:paraId="1473A24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BIOS 支持关闭通讯接口：支持 BIOS 关闭以太网及 USB 接口；</w:t>
            </w:r>
          </w:p>
          <w:p w14:paraId="4EC2D25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固件查看信息：支持查看固件版本、内存信息、主板信息、处理器信息和系统时间信息等功能；</w:t>
            </w:r>
          </w:p>
          <w:p w14:paraId="6D52167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固件设置启动顺序：支持设置启动顺序功能，并按照设置的启动顺序启动；</w:t>
            </w:r>
          </w:p>
          <w:p w14:paraId="30971C7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固件设 置口令：支持设置口令、修改口令、验证口令功能；</w:t>
            </w:r>
          </w:p>
          <w:p w14:paraId="75DDDFE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固件设置网络引导：支持网络引导启动和关闭功能；</w:t>
            </w:r>
          </w:p>
          <w:p w14:paraId="48D2B98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11、服务要求：</w:t>
            </w:r>
          </w:p>
          <w:p w14:paraId="75B4AB7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配置检查工具：提供自检测试工具；</w:t>
            </w:r>
          </w:p>
          <w:p w14:paraId="25944C8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服务响应：a)商提供电话、电子邮件、远程连接等多种形式服务； </w:t>
            </w:r>
          </w:p>
          <w:p w14:paraId="7AE99C1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b)提供同城 4h、异地 12h 技术响应服务，2 个工作日解决问题，对于未能解决的问题和故障应提供可行的升级方案，并提供周转设备或更换设备； </w:t>
            </w:r>
          </w:p>
          <w:p w14:paraId="6F93D4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c)提供原厂中文服务； </w:t>
            </w:r>
          </w:p>
          <w:p w14:paraId="6BBB8E2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d)服务周期内提供产品的维修、换件和升级服务;</w:t>
            </w:r>
          </w:p>
          <w:p w14:paraId="41AFC35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服务周期:a) 设备停产后应继续提供质量保障服务（含备品备件），服务终止时间与最后一批设备交付时间间隔不低于6 年； </w:t>
            </w:r>
          </w:p>
          <w:p w14:paraId="246DB96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e) 产品停止服务时间应提前 1 年告知； </w:t>
            </w:r>
          </w:p>
          <w:p w14:paraId="24CF588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f) 明确产品发布日期;</w:t>
            </w:r>
          </w:p>
          <w:p w14:paraId="3FB30A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预装操作系统:预装符合桌面操作系统标准的正版操作系统;</w:t>
            </w:r>
          </w:p>
          <w:p w14:paraId="5DBD566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培训服务:提供培训材料、产品手册、培训视频等培训相关内容;</w:t>
            </w:r>
          </w:p>
          <w:p w14:paraId="1CC8423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典型问题解决手册:提供典型问题解决说明文档或视频;</w:t>
            </w:r>
          </w:p>
          <w:p w14:paraId="144BB01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厂家升级软件与扩容服务:供应商提供上门升级部件/软件与扩容的增值服务;</w:t>
            </w:r>
          </w:p>
          <w:p w14:paraId="1039682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整机质量服务要求:免费服务周期（含换件和维修）应不小于 3 年;</w:t>
            </w:r>
          </w:p>
          <w:p w14:paraId="02E45A4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合格证书要求:提供产品合格证;</w:t>
            </w:r>
          </w:p>
          <w:p w14:paraId="0862515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开箱组装/使用指导要求:提供开箱组装/使用指导;</w:t>
            </w:r>
          </w:p>
          <w:p w14:paraId="5050D63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驱动下载服务要求:提供驱动光盘或下载方式;</w:t>
            </w:r>
          </w:p>
          <w:p w14:paraId="562563F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兼容适配软件下载服务要求:提供兼容适配软件下载渠道（光盘、网站）;</w:t>
            </w:r>
          </w:p>
          <w:p w14:paraId="2BEAF84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产品部件保障:保障产品主要部件，提供 6 年的备件服务能力（自购买之日起）;</w:t>
            </w:r>
          </w:p>
          <w:p w14:paraId="1839541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抗干扰性:当产品部件出现供应风险时，提供风险应对方案确保产品的服务保障;</w:t>
            </w:r>
          </w:p>
          <w:p w14:paraId="58520D7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关键部件安全要求 3:CPU 和操作系统等关键部件应当符合安全可靠测评要求;</w:t>
            </w:r>
          </w:p>
          <w:p w14:paraId="6C40000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密码算法实现:CPU 芯片应符合 GM/T 0008 的相关规定，或芯片密码模块应符合 GB/T 37092;</w:t>
            </w:r>
          </w:p>
          <w:p w14:paraId="15914EA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信息安全基本要求:a) 产品应符合 GB/T 39276 的 5.2 的 </w:t>
            </w:r>
          </w:p>
          <w:p w14:paraId="3A78D63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规定； </w:t>
            </w:r>
          </w:p>
          <w:p w14:paraId="658845A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生产厂商应建立漏洞跟踪表，保证产品版本涉及到的漏洞(如驱动程序等)可查看； </w:t>
            </w:r>
          </w:p>
          <w:p w14:paraId="157C347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 产品不得包含已知的恶意代码或漏洞，不存在未声明的指令、功能、接口;</w:t>
            </w:r>
          </w:p>
          <w:p w14:paraId="20D20D3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固件安全启动:支持固件安全启动功能，固件启动过程中只有通过启动校验才能正常启动;</w:t>
            </w:r>
          </w:p>
          <w:p w14:paraId="4645CC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eastAsia" w:ascii="方正仿宋_GB2312" w:hAnsi="方正仿宋_GB2312" w:eastAsia="方正仿宋_GB2312" w:cs="方正仿宋_GB2312"/>
                <w:sz w:val="28"/>
                <w:szCs w:val="28"/>
              </w:rPr>
              <w:t>限用物质的限量要求:符合 GB/T 26572 中规定。</w:t>
            </w:r>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10</w:t>
            </w:r>
          </w:p>
        </w:tc>
      </w:tr>
    </w:tbl>
    <w:p w14:paraId="61111020">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5"/>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5"/>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5"/>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5"/>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5"/>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5"/>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某单位2026年台式电脑采购项目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9"/>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某单位2026年台式电脑采购项目</w:t>
            </w:r>
          </w:p>
        </w:tc>
        <w:tc>
          <w:tcPr>
            <w:tcW w:w="1847" w:type="pct"/>
            <w:shd w:val="clear" w:color="auto" w:fill="FFFFFF"/>
            <w:tcMar>
              <w:left w:w="105" w:type="dxa"/>
              <w:right w:w="105" w:type="dxa"/>
            </w:tcMar>
            <w:vAlign w:val="center"/>
          </w:tcPr>
          <w:p w14:paraId="6F333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4D4489D0">
            <w:pPr>
              <w:pStyle w:val="17"/>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1、供货期：合同签署后1个月内完成货物的安装调试。</w:t>
            </w:r>
          </w:p>
          <w:p w14:paraId="5DC62D65">
            <w:pPr>
              <w:pStyle w:val="17"/>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2、质保期：3年 。</w:t>
            </w:r>
          </w:p>
          <w:p w14:paraId="5F31302E">
            <w:pPr>
              <w:pStyle w:val="17"/>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3、原厂售后服务承诺：3 年免费保修、电话报修后 3 小时上门服务、5小时内排除故障、原厂工程师（及以上）服务的原厂商售后服务承诺函；</w:t>
            </w:r>
          </w:p>
          <w:p w14:paraId="4D2CD2C1">
            <w:pPr>
              <w:pStyle w:val="17"/>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4、服务标准：所有硬件 3 年免费保修、所有软件 3 年免费保修升级、电话报修后 3  小时上门服务、5 小时内排除故障。</w:t>
            </w:r>
          </w:p>
          <w:p w14:paraId="260B1BA6">
            <w:pPr>
              <w:pStyle w:val="17"/>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5、验收标准：根据合同内容进行验收。</w:t>
            </w:r>
          </w:p>
          <w:p w14:paraId="75C02D6F">
            <w:pPr>
              <w:pStyle w:val="17"/>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6、供应商提供的所有硬件都应满足国产化，所有软件都应该为国产正版软件。</w:t>
            </w:r>
          </w:p>
          <w:p w14:paraId="39A8E4C3">
            <w:pPr>
              <w:pStyle w:val="17"/>
              <w:widowControl/>
              <w:spacing w:before="0" w:beforeAutospacing="0" w:after="0" w:afterAutospacing="0"/>
              <w:jc w:val="center"/>
              <w:rPr>
                <w:rFonts w:hint="eastAsia" w:ascii="仿宋" w:hAnsi="仿宋" w:eastAsia="仿宋" w:cs="仿宋"/>
                <w:sz w:val="24"/>
                <w:szCs w:val="24"/>
              </w:rPr>
            </w:pPr>
            <w:bookmarkStart w:id="0" w:name="_GoBack"/>
            <w:bookmarkEnd w:id="0"/>
          </w:p>
          <w:p w14:paraId="2F1D4A64">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8680E06-00D5-48E4-8076-80D5ED861E5B}"/>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088DB7A-C76A-4ACD-B6CC-7D34B3BBC045}"/>
  </w:font>
  <w:font w:name="方正仿宋_GB2312">
    <w:panose1 w:val="02000000000000000000"/>
    <w:charset w:val="86"/>
    <w:family w:val="auto"/>
    <w:pitch w:val="default"/>
    <w:sig w:usb0="A00002BF" w:usb1="184F6CFA" w:usb2="00000012" w:usb3="00000000" w:csb0="00040001" w:csb1="00000000"/>
    <w:embedRegular r:id="rId3" w:fontKey="{48B59BBC-DF7C-4861-A4C1-2C80141A8C93}"/>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143329BA"/>
    <w:rsid w:val="1AF37BE5"/>
    <w:rsid w:val="1EF12658"/>
    <w:rsid w:val="1FF62A1D"/>
    <w:rsid w:val="1FFE5062"/>
    <w:rsid w:val="224E3596"/>
    <w:rsid w:val="2AF75C96"/>
    <w:rsid w:val="311D118B"/>
    <w:rsid w:val="318D1446"/>
    <w:rsid w:val="33666065"/>
    <w:rsid w:val="3D695935"/>
    <w:rsid w:val="4074002B"/>
    <w:rsid w:val="43A65325"/>
    <w:rsid w:val="4E6F4E89"/>
    <w:rsid w:val="524C2520"/>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6"/>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7"/>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28"/>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29"/>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0"/>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Times New Roman" w:cs="Times New Roman"/>
      <w:kern w:val="0"/>
      <w:sz w:val="34"/>
      <w:szCs w:val="20"/>
    </w:rPr>
  </w:style>
  <w:style w:type="paragraph" w:styleId="3">
    <w:name w:val="Body Text"/>
    <w:basedOn w:val="1"/>
    <w:link w:val="44"/>
    <w:semiHidden/>
    <w:qFormat/>
    <w:uiPriority w:val="0"/>
  </w:style>
  <w:style w:type="paragraph" w:styleId="13">
    <w:name w:val="annotation text"/>
    <w:basedOn w:val="1"/>
    <w:link w:val="43"/>
    <w:unhideWhenUsed/>
    <w:qFormat/>
    <w:uiPriority w:val="99"/>
  </w:style>
  <w:style w:type="paragraph" w:styleId="14">
    <w:name w:val="footer"/>
    <w:basedOn w:val="1"/>
    <w:link w:val="42"/>
    <w:unhideWhenUsed/>
    <w:qFormat/>
    <w:uiPriority w:val="99"/>
    <w:pPr>
      <w:tabs>
        <w:tab w:val="center" w:pos="4153"/>
        <w:tab w:val="right" w:pos="8306"/>
      </w:tabs>
    </w:pPr>
    <w:rPr>
      <w:sz w:val="18"/>
      <w:szCs w:val="18"/>
    </w:rPr>
  </w:style>
  <w:style w:type="paragraph" w:styleId="15">
    <w:name w:val="header"/>
    <w:basedOn w:val="1"/>
    <w:link w:val="41"/>
    <w:unhideWhenUsed/>
    <w:qFormat/>
    <w:uiPriority w:val="99"/>
    <w:pPr>
      <w:tabs>
        <w:tab w:val="center" w:pos="4153"/>
        <w:tab w:val="right" w:pos="8306"/>
      </w:tabs>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7">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customStyle="1" w:styleId="23">
    <w:name w:val="标题 1 字符"/>
    <w:basedOn w:val="21"/>
    <w:link w:val="4"/>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7"/>
    <w:semiHidden/>
    <w:qFormat/>
    <w:uiPriority w:val="9"/>
    <w:rPr>
      <w:rFonts w:cstheme="majorBidi"/>
      <w:color w:val="2F5597" w:themeColor="accent1" w:themeShade="BF"/>
      <w:sz w:val="28"/>
      <w:szCs w:val="28"/>
    </w:rPr>
  </w:style>
  <w:style w:type="character" w:customStyle="1" w:styleId="27">
    <w:name w:val="标题 5 字符"/>
    <w:basedOn w:val="21"/>
    <w:link w:val="8"/>
    <w:semiHidden/>
    <w:qFormat/>
    <w:uiPriority w:val="9"/>
    <w:rPr>
      <w:rFonts w:cstheme="majorBidi"/>
      <w:color w:val="2F5597" w:themeColor="accent1" w:themeShade="BF"/>
      <w:sz w:val="24"/>
    </w:rPr>
  </w:style>
  <w:style w:type="character" w:customStyle="1" w:styleId="28">
    <w:name w:val="标题 6 字符"/>
    <w:basedOn w:val="21"/>
    <w:link w:val="9"/>
    <w:semiHidden/>
    <w:qFormat/>
    <w:uiPriority w:val="9"/>
    <w:rPr>
      <w:rFonts w:cstheme="majorBidi"/>
      <w:b/>
      <w:bCs/>
      <w:color w:val="2F5597" w:themeColor="accent1" w:themeShade="BF"/>
      <w:sz w:val="28"/>
    </w:rPr>
  </w:style>
  <w:style w:type="character" w:customStyle="1" w:styleId="29">
    <w:name w:val="标题 7 字符"/>
    <w:basedOn w:val="21"/>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0">
    <w:name w:val="标题 8 字符"/>
    <w:basedOn w:val="21"/>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9 字符"/>
    <w:basedOn w:val="21"/>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rFonts w:eastAsia="仿宋"/>
      <w:i/>
      <w:iCs/>
      <w:color w:val="2F5597" w:themeColor="accent1" w:themeShade="BF"/>
      <w:sz w:val="28"/>
    </w:rPr>
  </w:style>
  <w:style w:type="character" w:customStyle="1" w:styleId="40">
    <w:name w:val="Intense Reference"/>
    <w:basedOn w:val="21"/>
    <w:qFormat/>
    <w:uiPriority w:val="32"/>
    <w:rPr>
      <w:b/>
      <w:bCs/>
      <w:smallCaps/>
      <w:color w:val="2F5597" w:themeColor="accent1" w:themeShade="BF"/>
      <w:spacing w:val="5"/>
    </w:rPr>
  </w:style>
  <w:style w:type="character" w:customStyle="1" w:styleId="41">
    <w:name w:val="页眉 字符"/>
    <w:basedOn w:val="21"/>
    <w:link w:val="15"/>
    <w:qFormat/>
    <w:uiPriority w:val="99"/>
    <w:rPr>
      <w:rFonts w:eastAsia="仿宋"/>
      <w:sz w:val="18"/>
      <w:szCs w:val="18"/>
    </w:rPr>
  </w:style>
  <w:style w:type="character" w:customStyle="1" w:styleId="42">
    <w:name w:val="页脚 字符"/>
    <w:basedOn w:val="21"/>
    <w:link w:val="14"/>
    <w:qFormat/>
    <w:uiPriority w:val="99"/>
    <w:rPr>
      <w:rFonts w:eastAsia="仿宋"/>
      <w:sz w:val="18"/>
      <w:szCs w:val="18"/>
    </w:rPr>
  </w:style>
  <w:style w:type="character" w:customStyle="1" w:styleId="43">
    <w:name w:val="批注文字 字符"/>
    <w:basedOn w:val="21"/>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4">
    <w:name w:val="正文文本 字符"/>
    <w:basedOn w:val="21"/>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4208</Words>
  <Characters>4716</Characters>
  <Lines>169</Lines>
  <Paragraphs>196</Paragraphs>
  <TotalTime>0</TotalTime>
  <ScaleCrop>false</ScaleCrop>
  <LinksUpToDate>false</LinksUpToDate>
  <CharactersWithSpaces>4999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怯</cp:lastModifiedBy>
  <dcterms:modified xsi:type="dcterms:W3CDTF">2026-04-16T07:07:11Z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