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2"/>
        <w:spacing w:line="261" w:lineRule="auto"/>
        <w:rPr>
          <w:rFonts w:hint="eastAsia" w:ascii="仿宋" w:hAnsi="仿宋" w:eastAsia="仿宋" w:cs="仿宋"/>
        </w:rPr>
      </w:pPr>
    </w:p>
    <w:p w14:paraId="3F7444BD">
      <w:pPr>
        <w:pStyle w:val="12"/>
        <w:spacing w:line="261" w:lineRule="auto"/>
        <w:rPr>
          <w:rFonts w:hint="eastAsia" w:ascii="仿宋" w:hAnsi="仿宋" w:eastAsia="仿宋" w:cs="仿宋"/>
        </w:rPr>
      </w:pPr>
    </w:p>
    <w:p w14:paraId="6A7DCC1E">
      <w:pPr>
        <w:pStyle w:val="12"/>
        <w:spacing w:line="261" w:lineRule="auto"/>
        <w:rPr>
          <w:rFonts w:hint="eastAsia" w:ascii="仿宋" w:hAnsi="仿宋" w:eastAsia="仿宋" w:cs="仿宋"/>
        </w:rPr>
      </w:pPr>
    </w:p>
    <w:p w14:paraId="770C8358">
      <w:pPr>
        <w:pStyle w:val="12"/>
        <w:spacing w:line="261" w:lineRule="auto"/>
        <w:rPr>
          <w:rFonts w:hint="eastAsia" w:ascii="仿宋" w:hAnsi="仿宋" w:eastAsia="仿宋" w:cs="仿宋"/>
        </w:rPr>
      </w:pPr>
    </w:p>
    <w:p w14:paraId="3617CF1D">
      <w:pPr>
        <w:pStyle w:val="12"/>
        <w:spacing w:line="261" w:lineRule="auto"/>
        <w:rPr>
          <w:rFonts w:hint="eastAsia" w:ascii="仿宋" w:hAnsi="仿宋" w:eastAsia="仿宋" w:cs="仿宋"/>
        </w:rPr>
      </w:pPr>
    </w:p>
    <w:p w14:paraId="4A716706">
      <w:pPr>
        <w:pStyle w:val="12"/>
        <w:spacing w:line="262" w:lineRule="auto"/>
        <w:rPr>
          <w:rFonts w:hint="eastAsia" w:ascii="仿宋" w:hAnsi="仿宋" w:eastAsia="仿宋" w:cs="仿宋"/>
        </w:rPr>
      </w:pPr>
    </w:p>
    <w:p w14:paraId="7B8A22B3">
      <w:pPr>
        <w:pStyle w:val="12"/>
        <w:spacing w:line="262" w:lineRule="auto"/>
        <w:rPr>
          <w:rFonts w:hint="eastAsia" w:ascii="仿宋" w:hAnsi="仿宋" w:eastAsia="仿宋" w:cs="仿宋"/>
        </w:rPr>
      </w:pPr>
    </w:p>
    <w:p w14:paraId="7D621ED7">
      <w:pPr>
        <w:pStyle w:val="12"/>
        <w:spacing w:line="262" w:lineRule="auto"/>
        <w:rPr>
          <w:rFonts w:hint="eastAsia" w:ascii="仿宋" w:hAnsi="仿宋" w:eastAsia="仿宋" w:cs="仿宋"/>
        </w:rPr>
      </w:pPr>
    </w:p>
    <w:p w14:paraId="38461B03">
      <w:pPr>
        <w:pStyle w:val="1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2"/>
        <w:spacing w:line="269" w:lineRule="auto"/>
        <w:rPr>
          <w:rFonts w:hint="eastAsia" w:ascii="仿宋" w:hAnsi="仿宋" w:eastAsia="仿宋" w:cs="仿宋"/>
          <w:lang w:eastAsia="zh-CN"/>
        </w:rPr>
      </w:pPr>
    </w:p>
    <w:p w14:paraId="437F2C43">
      <w:pPr>
        <w:pStyle w:val="12"/>
        <w:spacing w:line="269" w:lineRule="auto"/>
        <w:rPr>
          <w:rFonts w:hint="eastAsia" w:ascii="仿宋" w:hAnsi="仿宋" w:eastAsia="仿宋" w:cs="仿宋"/>
          <w:lang w:eastAsia="zh-CN"/>
        </w:rPr>
      </w:pPr>
    </w:p>
    <w:p w14:paraId="00D1E1FB">
      <w:pPr>
        <w:pStyle w:val="12"/>
        <w:spacing w:line="269" w:lineRule="auto"/>
        <w:rPr>
          <w:rFonts w:hint="eastAsia" w:ascii="仿宋" w:hAnsi="仿宋" w:eastAsia="仿宋" w:cs="仿宋"/>
          <w:lang w:eastAsia="zh-CN"/>
        </w:rPr>
      </w:pPr>
    </w:p>
    <w:p w14:paraId="0ED71348">
      <w:pPr>
        <w:pStyle w:val="12"/>
        <w:spacing w:line="269" w:lineRule="auto"/>
        <w:rPr>
          <w:rFonts w:hint="eastAsia" w:ascii="仿宋" w:hAnsi="仿宋" w:eastAsia="仿宋" w:cs="仿宋"/>
          <w:lang w:eastAsia="zh-CN"/>
        </w:rPr>
      </w:pPr>
    </w:p>
    <w:p w14:paraId="6C0B745E">
      <w:pPr>
        <w:pStyle w:val="12"/>
        <w:spacing w:line="269" w:lineRule="auto"/>
        <w:rPr>
          <w:rFonts w:hint="eastAsia" w:ascii="仿宋" w:hAnsi="仿宋" w:eastAsia="仿宋" w:cs="仿宋"/>
          <w:lang w:eastAsia="zh-CN"/>
        </w:rPr>
      </w:pPr>
    </w:p>
    <w:p w14:paraId="0E7C1CDF">
      <w:pPr>
        <w:pStyle w:val="12"/>
        <w:spacing w:line="269" w:lineRule="auto"/>
        <w:rPr>
          <w:rFonts w:hint="eastAsia" w:ascii="仿宋" w:hAnsi="仿宋" w:eastAsia="仿宋" w:cs="仿宋"/>
          <w:lang w:eastAsia="zh-CN"/>
        </w:rPr>
      </w:pPr>
    </w:p>
    <w:p w14:paraId="4A6C434B">
      <w:pPr>
        <w:pStyle w:val="12"/>
        <w:spacing w:line="269" w:lineRule="auto"/>
        <w:rPr>
          <w:rFonts w:hint="eastAsia" w:ascii="仿宋" w:hAnsi="仿宋" w:eastAsia="仿宋" w:cs="仿宋"/>
          <w:lang w:eastAsia="zh-CN"/>
        </w:rPr>
      </w:pPr>
    </w:p>
    <w:p w14:paraId="365E7B80">
      <w:pPr>
        <w:pStyle w:val="12"/>
        <w:spacing w:line="480" w:lineRule="auto"/>
        <w:rPr>
          <w:rFonts w:hint="eastAsia" w:ascii="仿宋" w:hAnsi="仿宋" w:eastAsia="仿宋" w:cs="仿宋"/>
          <w:lang w:eastAsia="zh-CN"/>
        </w:rPr>
      </w:pPr>
    </w:p>
    <w:p w14:paraId="61B49C83">
      <w:pPr>
        <w:pStyle w:val="12"/>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项目名称：某单位2026年材料学院机电教研室教学科研仪器采购项目</w:t>
      </w:r>
    </w:p>
    <w:p w14:paraId="009DFF74">
      <w:pPr>
        <w:pStyle w:val="12"/>
        <w:spacing w:line="243" w:lineRule="auto"/>
        <w:rPr>
          <w:rFonts w:hint="eastAsia" w:ascii="仿宋" w:hAnsi="仿宋" w:eastAsia="仿宋" w:cs="仿宋"/>
          <w:lang w:eastAsia="zh-CN"/>
        </w:rPr>
      </w:pPr>
    </w:p>
    <w:p w14:paraId="485DB685">
      <w:pPr>
        <w:pStyle w:val="12"/>
        <w:spacing w:line="243" w:lineRule="auto"/>
        <w:rPr>
          <w:rFonts w:hint="eastAsia" w:ascii="仿宋" w:hAnsi="仿宋" w:eastAsia="仿宋" w:cs="仿宋"/>
          <w:lang w:eastAsia="zh-CN"/>
        </w:rPr>
      </w:pPr>
    </w:p>
    <w:p w14:paraId="4E2FDAB1">
      <w:pPr>
        <w:pStyle w:val="12"/>
        <w:spacing w:line="243" w:lineRule="auto"/>
        <w:rPr>
          <w:rFonts w:hint="eastAsia" w:ascii="仿宋" w:hAnsi="仿宋" w:eastAsia="仿宋" w:cs="仿宋"/>
          <w:lang w:eastAsia="zh-CN"/>
        </w:rPr>
      </w:pPr>
    </w:p>
    <w:p w14:paraId="1CE59D75">
      <w:pPr>
        <w:pStyle w:val="12"/>
        <w:spacing w:line="243" w:lineRule="auto"/>
        <w:rPr>
          <w:rFonts w:hint="eastAsia" w:ascii="仿宋" w:hAnsi="仿宋" w:eastAsia="仿宋" w:cs="仿宋"/>
          <w:lang w:eastAsia="zh-CN"/>
        </w:rPr>
      </w:pPr>
    </w:p>
    <w:p w14:paraId="2FD64D39">
      <w:pPr>
        <w:pStyle w:val="12"/>
        <w:spacing w:line="243" w:lineRule="auto"/>
        <w:rPr>
          <w:rFonts w:hint="eastAsia" w:ascii="仿宋" w:hAnsi="仿宋" w:eastAsia="仿宋" w:cs="仿宋"/>
          <w:lang w:eastAsia="zh-CN"/>
        </w:rPr>
      </w:pPr>
    </w:p>
    <w:p w14:paraId="4B5D54A1">
      <w:pPr>
        <w:pStyle w:val="12"/>
        <w:spacing w:line="244" w:lineRule="auto"/>
        <w:rPr>
          <w:rFonts w:hint="eastAsia" w:ascii="仿宋" w:hAnsi="仿宋" w:eastAsia="仿宋" w:cs="仿宋"/>
          <w:lang w:eastAsia="zh-CN"/>
        </w:rPr>
      </w:pPr>
    </w:p>
    <w:p w14:paraId="568484EC">
      <w:pPr>
        <w:pStyle w:val="12"/>
        <w:spacing w:line="244" w:lineRule="auto"/>
        <w:rPr>
          <w:rFonts w:hint="eastAsia" w:ascii="仿宋" w:hAnsi="仿宋" w:eastAsia="仿宋" w:cs="仿宋"/>
          <w:lang w:eastAsia="zh-CN"/>
        </w:rPr>
      </w:pPr>
    </w:p>
    <w:p w14:paraId="34EC22CF">
      <w:pPr>
        <w:pStyle w:val="1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2"/>
        <w:spacing w:line="284" w:lineRule="auto"/>
        <w:rPr>
          <w:rFonts w:hint="eastAsia" w:ascii="仿宋" w:hAnsi="仿宋" w:eastAsia="仿宋" w:cs="仿宋"/>
          <w:lang w:eastAsia="zh-CN"/>
        </w:rPr>
      </w:pPr>
    </w:p>
    <w:p w14:paraId="2D1D45C0">
      <w:pPr>
        <w:pStyle w:val="1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某单位2026年材料学院机电教研室教学科研仪器采购项目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Style w:val="24"/>
          <w:rFonts w:hint="eastAsia" w:ascii="仿宋" w:hAnsi="仿宋" w:eastAsia="仿宋" w:cs="仿宋"/>
          <w:sz w:val="28"/>
          <w:szCs w:val="28"/>
        </w:rPr>
      </w:pPr>
      <w:r>
        <w:rPr>
          <w:rStyle w:val="24"/>
          <w:rFonts w:hint="eastAsia" w:ascii="仿宋" w:hAnsi="仿宋" w:eastAsia="仿宋" w:cs="仿宋"/>
          <w:sz w:val="28"/>
          <w:szCs w:val="28"/>
        </w:rPr>
        <w:t>总额</w:t>
      </w:r>
      <w:r>
        <w:rPr>
          <w:rStyle w:val="24"/>
          <w:rFonts w:hint="eastAsia" w:ascii="仿宋" w:hAnsi="仿宋" w:eastAsia="仿宋" w:cs="仿宋"/>
          <w:sz w:val="28"/>
          <w:szCs w:val="28"/>
          <w:lang w:val="en-US" w:eastAsia="zh-CN"/>
        </w:rPr>
        <w:t>72.77</w:t>
      </w:r>
      <w:bookmarkStart w:id="0" w:name="_GoBack"/>
      <w:bookmarkEnd w:id="0"/>
      <w:r>
        <w:rPr>
          <w:rStyle w:val="24"/>
          <w:rFonts w:hint="eastAsia" w:ascii="仿宋" w:hAnsi="仿宋" w:eastAsia="仿宋" w:cs="仿宋"/>
          <w:sz w:val="28"/>
          <w:szCs w:val="28"/>
          <w:lang w:val="en-US" w:eastAsia="zh-CN"/>
        </w:rPr>
        <w:t>万</w:t>
      </w:r>
      <w:r>
        <w:rPr>
          <w:rStyle w:val="24"/>
          <w:rFonts w:hint="eastAsia" w:ascii="仿宋" w:hAnsi="仿宋" w:eastAsia="仿宋" w:cs="仿宋"/>
          <w:sz w:val="28"/>
          <w:szCs w:val="28"/>
        </w:rPr>
        <w:t>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4110"/>
        <w:gridCol w:w="1757"/>
        <w:gridCol w:w="1148"/>
        <w:gridCol w:w="3499"/>
        <w:gridCol w:w="2754"/>
      </w:tblGrid>
      <w:tr w14:paraId="083A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pct"/>
            <w:vAlign w:val="center"/>
          </w:tcPr>
          <w:p w14:paraId="29D99FED">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序号</w:t>
            </w:r>
          </w:p>
        </w:tc>
        <w:tc>
          <w:tcPr>
            <w:tcW w:w="1418" w:type="pct"/>
            <w:vAlign w:val="center"/>
          </w:tcPr>
          <w:p w14:paraId="2D18CBF8">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货物（服务）</w:t>
            </w:r>
            <w:r>
              <w:rPr>
                <w:rFonts w:hint="eastAsia" w:ascii="仿宋" w:hAnsi="仿宋" w:eastAsia="仿宋" w:cs="仿宋"/>
                <w:b/>
                <w:bCs/>
                <w:color w:val="000000"/>
                <w:kern w:val="0"/>
                <w:sz w:val="28"/>
                <w:szCs w:val="28"/>
                <w:lang w:bidi="ar"/>
              </w:rPr>
              <w:t>名称</w:t>
            </w:r>
          </w:p>
        </w:tc>
        <w:tc>
          <w:tcPr>
            <w:tcW w:w="606" w:type="pct"/>
            <w:vAlign w:val="center"/>
          </w:tcPr>
          <w:p w14:paraId="4FF19345">
            <w:pPr>
              <w:widowControl/>
              <w:jc w:val="center"/>
              <w:textAlignment w:val="center"/>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val="en-US" w:eastAsia="zh-CN" w:bidi="ar"/>
              </w:rPr>
              <w:t>数量</w:t>
            </w:r>
          </w:p>
        </w:tc>
        <w:tc>
          <w:tcPr>
            <w:tcW w:w="396" w:type="pct"/>
            <w:vAlign w:val="center"/>
          </w:tcPr>
          <w:p w14:paraId="26181544">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单位</w:t>
            </w:r>
          </w:p>
        </w:tc>
        <w:tc>
          <w:tcPr>
            <w:tcW w:w="1207" w:type="pct"/>
            <w:vAlign w:val="center"/>
          </w:tcPr>
          <w:p w14:paraId="52ED7E7A">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单价（万元）</w:t>
            </w:r>
          </w:p>
        </w:tc>
        <w:tc>
          <w:tcPr>
            <w:tcW w:w="950" w:type="pct"/>
            <w:vAlign w:val="center"/>
          </w:tcPr>
          <w:p w14:paraId="05FA96C2">
            <w:pPr>
              <w:widowControl/>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bidi="ar"/>
              </w:rPr>
              <w:t>用途</w:t>
            </w:r>
          </w:p>
        </w:tc>
      </w:tr>
      <w:tr w14:paraId="3B4D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4A31807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4110" w:type="dxa"/>
            <w:shd w:val="clear" w:color="auto" w:fill="auto"/>
            <w:vAlign w:val="center"/>
          </w:tcPr>
          <w:p w14:paraId="2551D7B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普通车床</w:t>
            </w:r>
          </w:p>
        </w:tc>
        <w:tc>
          <w:tcPr>
            <w:tcW w:w="1757" w:type="dxa"/>
            <w:vAlign w:val="center"/>
          </w:tcPr>
          <w:p w14:paraId="298C3F1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148" w:type="dxa"/>
            <w:vAlign w:val="center"/>
          </w:tcPr>
          <w:p w14:paraId="6D25DF5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3499" w:type="dxa"/>
            <w:shd w:val="clear" w:color="auto" w:fill="auto"/>
            <w:vAlign w:val="center"/>
          </w:tcPr>
          <w:p w14:paraId="6C8744CE">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5.50</w:t>
            </w:r>
          </w:p>
        </w:tc>
        <w:tc>
          <w:tcPr>
            <w:tcW w:w="950" w:type="pct"/>
            <w:vAlign w:val="center"/>
          </w:tcPr>
          <w:p w14:paraId="08457E0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6F22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52700D46">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4110" w:type="dxa"/>
            <w:shd w:val="clear" w:color="auto" w:fill="auto"/>
            <w:vAlign w:val="center"/>
          </w:tcPr>
          <w:p w14:paraId="1BF791D3">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普通立式铣床</w:t>
            </w:r>
          </w:p>
        </w:tc>
        <w:tc>
          <w:tcPr>
            <w:tcW w:w="1757" w:type="dxa"/>
            <w:vAlign w:val="center"/>
          </w:tcPr>
          <w:p w14:paraId="658D731C">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148" w:type="dxa"/>
            <w:vAlign w:val="center"/>
          </w:tcPr>
          <w:p w14:paraId="15177DBC">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3499" w:type="dxa"/>
            <w:shd w:val="clear" w:color="auto" w:fill="auto"/>
            <w:vAlign w:val="center"/>
          </w:tcPr>
          <w:p w14:paraId="644AB570">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4.50</w:t>
            </w:r>
          </w:p>
        </w:tc>
        <w:tc>
          <w:tcPr>
            <w:tcW w:w="950" w:type="pct"/>
            <w:vAlign w:val="center"/>
          </w:tcPr>
          <w:p w14:paraId="5E8745F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32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265B9C18">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4110" w:type="dxa"/>
            <w:shd w:val="clear" w:color="auto" w:fill="auto"/>
            <w:vAlign w:val="center"/>
          </w:tcPr>
          <w:p w14:paraId="0C52161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精密数控车床</w:t>
            </w:r>
          </w:p>
        </w:tc>
        <w:tc>
          <w:tcPr>
            <w:tcW w:w="1757" w:type="dxa"/>
            <w:vAlign w:val="center"/>
          </w:tcPr>
          <w:p w14:paraId="32A1607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148" w:type="dxa"/>
            <w:vAlign w:val="center"/>
          </w:tcPr>
          <w:p w14:paraId="4EFEC59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3499" w:type="dxa"/>
            <w:shd w:val="clear" w:color="auto" w:fill="auto"/>
            <w:vAlign w:val="center"/>
          </w:tcPr>
          <w:p w14:paraId="0F2AEBB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13.50</w:t>
            </w:r>
          </w:p>
        </w:tc>
        <w:tc>
          <w:tcPr>
            <w:tcW w:w="950" w:type="pct"/>
            <w:vAlign w:val="center"/>
          </w:tcPr>
          <w:p w14:paraId="556C7CB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2A1C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1DE03FBE">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w:t>
            </w:r>
          </w:p>
        </w:tc>
        <w:tc>
          <w:tcPr>
            <w:tcW w:w="4110" w:type="dxa"/>
            <w:shd w:val="clear" w:color="auto" w:fill="auto"/>
            <w:vAlign w:val="center"/>
          </w:tcPr>
          <w:p w14:paraId="75AAEE97">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四人位钳工台</w:t>
            </w:r>
          </w:p>
        </w:tc>
        <w:tc>
          <w:tcPr>
            <w:tcW w:w="1757" w:type="dxa"/>
            <w:vAlign w:val="center"/>
          </w:tcPr>
          <w:p w14:paraId="701406E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w:t>
            </w:r>
          </w:p>
        </w:tc>
        <w:tc>
          <w:tcPr>
            <w:tcW w:w="1148" w:type="dxa"/>
            <w:vAlign w:val="center"/>
          </w:tcPr>
          <w:p w14:paraId="5FAD736B">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3499" w:type="dxa"/>
            <w:shd w:val="clear" w:color="auto" w:fill="auto"/>
            <w:vAlign w:val="center"/>
          </w:tcPr>
          <w:p w14:paraId="6969BA4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0.65</w:t>
            </w:r>
          </w:p>
        </w:tc>
        <w:tc>
          <w:tcPr>
            <w:tcW w:w="950" w:type="pct"/>
            <w:vAlign w:val="center"/>
          </w:tcPr>
          <w:p w14:paraId="544C537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6AAE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70B8B25F">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w:t>
            </w:r>
          </w:p>
        </w:tc>
        <w:tc>
          <w:tcPr>
            <w:tcW w:w="4110" w:type="dxa"/>
            <w:shd w:val="clear" w:color="auto" w:fill="auto"/>
            <w:vAlign w:val="center"/>
          </w:tcPr>
          <w:p w14:paraId="3909324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立式砂轮机</w:t>
            </w:r>
          </w:p>
        </w:tc>
        <w:tc>
          <w:tcPr>
            <w:tcW w:w="1757" w:type="dxa"/>
            <w:vAlign w:val="center"/>
          </w:tcPr>
          <w:p w14:paraId="3E25BEF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148" w:type="dxa"/>
            <w:vAlign w:val="center"/>
          </w:tcPr>
          <w:p w14:paraId="3606D21B">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3499" w:type="dxa"/>
            <w:shd w:val="clear" w:color="auto" w:fill="auto"/>
            <w:vAlign w:val="center"/>
          </w:tcPr>
          <w:p w14:paraId="1B8299A7">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0.42</w:t>
            </w:r>
          </w:p>
        </w:tc>
        <w:tc>
          <w:tcPr>
            <w:tcW w:w="950" w:type="pct"/>
            <w:vAlign w:val="center"/>
          </w:tcPr>
          <w:p w14:paraId="5CAC0E49">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2026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21D9B3F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w:t>
            </w:r>
          </w:p>
        </w:tc>
        <w:tc>
          <w:tcPr>
            <w:tcW w:w="4110" w:type="dxa"/>
            <w:shd w:val="clear" w:color="auto" w:fill="auto"/>
            <w:vAlign w:val="center"/>
          </w:tcPr>
          <w:p w14:paraId="71281D69">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数控立式加工中心维修改造</w:t>
            </w:r>
          </w:p>
        </w:tc>
        <w:tc>
          <w:tcPr>
            <w:tcW w:w="1757" w:type="dxa"/>
            <w:vAlign w:val="center"/>
          </w:tcPr>
          <w:p w14:paraId="6C1818CB">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1148" w:type="dxa"/>
            <w:vAlign w:val="center"/>
          </w:tcPr>
          <w:p w14:paraId="64DC256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3499" w:type="dxa"/>
            <w:shd w:val="clear" w:color="auto" w:fill="auto"/>
            <w:vAlign w:val="center"/>
          </w:tcPr>
          <w:p w14:paraId="2A5A45A3">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6.50</w:t>
            </w:r>
          </w:p>
        </w:tc>
        <w:tc>
          <w:tcPr>
            <w:tcW w:w="950" w:type="pct"/>
            <w:vAlign w:val="center"/>
          </w:tcPr>
          <w:p w14:paraId="260C5A7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bl>
    <w:p w14:paraId="5D4B7B50">
      <w:pPr>
        <w:pStyle w:val="20"/>
        <w:spacing w:line="240" w:lineRule="auto"/>
        <w:rPr>
          <w:rFonts w:hint="eastAsia"/>
          <w:lang w:eastAsia="zh-CN"/>
        </w:rPr>
      </w:pPr>
    </w:p>
    <w:tbl>
      <w:tblPr>
        <w:tblStyle w:val="21"/>
        <w:tblW w:w="14331"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592"/>
        <w:gridCol w:w="1117"/>
        <w:gridCol w:w="9270"/>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9"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592"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117"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9270"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20D7CC49">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单价</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592" w:type="dxa"/>
            <w:noWrap/>
            <w:vAlign w:val="center"/>
          </w:tcPr>
          <w:p w14:paraId="42543B0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普通车床</w:t>
            </w:r>
          </w:p>
        </w:tc>
        <w:tc>
          <w:tcPr>
            <w:tcW w:w="1117"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2台</w:t>
            </w:r>
          </w:p>
        </w:tc>
        <w:tc>
          <w:tcPr>
            <w:tcW w:w="9270" w:type="dxa"/>
            <w:shd w:val="clear" w:color="auto" w:fill="auto"/>
            <w:vAlign w:val="center"/>
          </w:tcPr>
          <w:p w14:paraId="135A9BA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p>
          <w:p w14:paraId="136935A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床身上最大回转直径 :≥Φ400 mm</w:t>
            </w:r>
          </w:p>
          <w:p w14:paraId="0C8058E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刀架上最大回转直径 :≥Φ210mm</w:t>
            </w:r>
          </w:p>
          <w:p w14:paraId="53D9A4B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两顶尖间最大工件长度:≥1000mm</w:t>
            </w:r>
          </w:p>
          <w:p w14:paraId="7EBC2CB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顶尖间工件最大重量 :≥300 kg</w:t>
            </w:r>
          </w:p>
          <w:p w14:paraId="089BB5E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床身导轨宽度 :≥400 mm</w:t>
            </w:r>
          </w:p>
          <w:p w14:paraId="4EF5E62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主轴通孔直径 :≥Φ52mm</w:t>
            </w:r>
          </w:p>
          <w:p w14:paraId="63C6406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主轴端部型号 ISO (GB):≥ C6/D8</w:t>
            </w:r>
          </w:p>
          <w:p w14:paraId="1981036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主轴前锥孔 莫氏 6 号</w:t>
            </w:r>
          </w:p>
          <w:p w14:paraId="4F2B1D0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主轴中心至床身平面导轨距离:≥205mm</w:t>
            </w:r>
          </w:p>
          <w:p w14:paraId="2F03922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主轴转速级数 正转:≥ 24 级</w:t>
            </w:r>
          </w:p>
          <w:p w14:paraId="425EB09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反转:≥24 级</w:t>
            </w:r>
          </w:p>
          <w:p w14:paraId="7A2EFEA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主轴转速范围 正转:≥10-1600r/min、</w:t>
            </w:r>
          </w:p>
          <w:p w14:paraId="6E45BA2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反转 12.5-1600r/min</w:t>
            </w:r>
          </w:p>
          <w:p w14:paraId="5F294D9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进给量种数 64 种</w:t>
            </w:r>
          </w:p>
          <w:p w14:paraId="12556EC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纵向标准进给:≥0.08-1.59mm/r</w:t>
            </w:r>
          </w:p>
          <w:p w14:paraId="2BAFE1D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纵向小进给:≥0.028-0.054mm/r</w:t>
            </w:r>
          </w:p>
          <w:p w14:paraId="0E57C14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纵向加大进给:≥1.71-6.33mm/r</w:t>
            </w:r>
          </w:p>
          <w:p w14:paraId="715A2FD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横向进给量标准进给:≥0.04-0.79mm/r</w:t>
            </w:r>
          </w:p>
          <w:p w14:paraId="0B66316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横向小进给:≥0.014-0.027mm/r</w:t>
            </w:r>
          </w:p>
          <w:p w14:paraId="4374533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横向加大进给:≥0.86-3.16mm/r</w:t>
            </w:r>
          </w:p>
          <w:p w14:paraId="454F650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公制螺纹 44 种 :≥1-192mm</w:t>
            </w:r>
          </w:p>
          <w:p w14:paraId="1DFC6A8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模数螺纹 39 种:≥ 0.25-48mm</w:t>
            </w:r>
          </w:p>
          <w:p w14:paraId="239B53D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英制螺纹 21 种 :≥2-24 牙/寸</w:t>
            </w:r>
          </w:p>
          <w:p w14:paraId="7728BA0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径节螺纹 37 种 :≥1-96dp</w:t>
            </w:r>
          </w:p>
          <w:p w14:paraId="6DC1BC0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刀架快移速度 纵向:≥4m/min</w:t>
            </w:r>
          </w:p>
          <w:p w14:paraId="2043BB6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横向:≥2 m/min</w:t>
            </w:r>
          </w:p>
          <w:p w14:paraId="19FE3E1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主轴电机功率:≥ 7.5kw</w:t>
            </w:r>
          </w:p>
          <w:p w14:paraId="49BCE20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刀架 立式四方刀架</w:t>
            </w:r>
          </w:p>
          <w:p w14:paraId="47859B4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刀柄尺寸:≥ 25×25mm</w:t>
            </w:r>
          </w:p>
          <w:p w14:paraId="46B0C51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上/下刀架最大行程:≥140/320mm</w:t>
            </w:r>
          </w:p>
          <w:p w14:paraId="0318BD5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刀架转盘回转角度:±90 度</w:t>
            </w:r>
          </w:p>
          <w:p w14:paraId="48F74D5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主轴中心线至刀具支承面距离:≥26mm</w:t>
            </w:r>
          </w:p>
          <w:p w14:paraId="6AB4CB9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尾座套筒直径 Φ75 mm</w:t>
            </w:r>
          </w:p>
          <w:p w14:paraId="604794E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尾座套筒行程 :≥150 mm</w:t>
            </w:r>
          </w:p>
          <w:p w14:paraId="0E9EC47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尾座套筒锥孔锥度 莫氏 5 号</w:t>
            </w:r>
          </w:p>
          <w:p w14:paraId="354ADE5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冷却电机功率 :≥90W</w:t>
            </w:r>
          </w:p>
          <w:p w14:paraId="4E52CE9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冷却水泵扬程 :≥5m</w:t>
            </w:r>
          </w:p>
          <w:p w14:paraId="3DC0BC9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冷却水泵流量 :≥25 L/min</w:t>
            </w:r>
          </w:p>
          <w:p w14:paraId="0BD4E1C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电源 380V±10%，50Hz±1%，三相交流电</w:t>
            </w:r>
          </w:p>
          <w:p w14:paraId="3ACB298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环境温度 :≥0℃～40℃</w:t>
            </w:r>
          </w:p>
          <w:p w14:paraId="1E69678D">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机床外形尺寸:≥2600×1140×1550 mm</w:t>
            </w:r>
          </w:p>
        </w:tc>
        <w:tc>
          <w:tcPr>
            <w:tcW w:w="1283" w:type="dxa"/>
            <w:vAlign w:val="center"/>
          </w:tcPr>
          <w:p w14:paraId="7402C196">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5.50</w:t>
            </w:r>
          </w:p>
        </w:tc>
      </w:tr>
      <w:tr w14:paraId="0D3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25E4ED4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592" w:type="dxa"/>
            <w:noWrap/>
            <w:vAlign w:val="center"/>
          </w:tcPr>
          <w:p w14:paraId="7FC29B4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普通立式铣床</w:t>
            </w:r>
          </w:p>
        </w:tc>
        <w:tc>
          <w:tcPr>
            <w:tcW w:w="1117" w:type="dxa"/>
            <w:noWrap/>
            <w:vAlign w:val="center"/>
          </w:tcPr>
          <w:p w14:paraId="4822244A">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2台</w:t>
            </w:r>
          </w:p>
        </w:tc>
        <w:tc>
          <w:tcPr>
            <w:tcW w:w="9270" w:type="dxa"/>
            <w:shd w:val="clear" w:color="auto" w:fill="auto"/>
            <w:vAlign w:val="center"/>
          </w:tcPr>
          <w:p w14:paraId="64C361EB">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要技术参数(mm)   </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钻孔最大mm        50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端铣最大宽度(mm)  120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立铣最大直径(mm)  25</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镗孔最大直径(mm)  120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最大攻丝直径(mm)  M16</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主轴端面至工作台距离(mm)  100-480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主轴转速范(r.p.115-1750(8级）  40-1300(12级）</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主轴行程(mm)      120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工作台尺寸(mm)    1200×280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工作台行程(mm)    650×280*400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外型尺寸(mm)      1600*1580*2100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电动机功率(kw)    2.2</w:t>
            </w:r>
          </w:p>
        </w:tc>
        <w:tc>
          <w:tcPr>
            <w:tcW w:w="1283" w:type="dxa"/>
            <w:vAlign w:val="center"/>
          </w:tcPr>
          <w:p w14:paraId="5F7AFA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4.50</w:t>
            </w:r>
          </w:p>
        </w:tc>
      </w:tr>
      <w:tr w14:paraId="29A3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77236375">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1592" w:type="dxa"/>
            <w:noWrap/>
            <w:vAlign w:val="center"/>
          </w:tcPr>
          <w:p w14:paraId="77729855">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精密数控车床</w:t>
            </w:r>
          </w:p>
        </w:tc>
        <w:tc>
          <w:tcPr>
            <w:tcW w:w="1117" w:type="dxa"/>
            <w:noWrap/>
            <w:vAlign w:val="center"/>
          </w:tcPr>
          <w:p w14:paraId="07287D42">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2台</w:t>
            </w:r>
          </w:p>
        </w:tc>
        <w:tc>
          <w:tcPr>
            <w:tcW w:w="9270" w:type="dxa"/>
            <w:shd w:val="clear" w:color="auto" w:fill="auto"/>
            <w:vAlign w:val="center"/>
          </w:tcPr>
          <w:p w14:paraId="5FE7626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一、机床床身</w:t>
            </w:r>
          </w:p>
          <w:p w14:paraId="633630F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1、床身上最大回转直径mm≥Φ400</w:t>
            </w:r>
          </w:p>
          <w:p w14:paraId="06C9904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2、X向导轨跨距 mm≥180</w:t>
            </w:r>
          </w:p>
          <w:p w14:paraId="43FF0A1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3、Z向导轨跨距 mm≥400</w:t>
            </w:r>
          </w:p>
          <w:p w14:paraId="2F502FF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4、溜板上最大回转直径mm≥Φ180</w:t>
            </w:r>
          </w:p>
          <w:p w14:paraId="0153ACE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5、顶尖距 mm≥1000</w:t>
            </w:r>
          </w:p>
          <w:p w14:paraId="3625F17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6、最大盘类加工直径mm≥400</w:t>
            </w:r>
          </w:p>
          <w:p w14:paraId="5D21353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7、最大车削长度mm≥820</w:t>
            </w:r>
          </w:p>
          <w:p w14:paraId="4CB80D0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8、主轴通孔直径mm≥Φ60</w:t>
            </w:r>
          </w:p>
          <w:p w14:paraId="6020553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9、棒料通径mm≥Φ60</w:t>
            </w:r>
          </w:p>
          <w:p w14:paraId="0875E3A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10、主轴端部型式A2-6</w:t>
            </w:r>
          </w:p>
          <w:p w14:paraId="4C7A19A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11、卡盘mm普通Φ200</w:t>
            </w:r>
          </w:p>
          <w:p w14:paraId="7BED3E0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12、主轴锥孔锥度No公制70#</w:t>
            </w:r>
          </w:p>
          <w:p w14:paraId="6A6E691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13、主轴极限转速rpm≥2000</w:t>
            </w:r>
          </w:p>
          <w:p w14:paraId="7ACB7BD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14、尾座套筒直径mm≥Φ60</w:t>
            </w:r>
          </w:p>
          <w:p w14:paraId="4D38D75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15、尾座套筒内孔锥度NoMT4#</w:t>
            </w:r>
          </w:p>
          <w:p w14:paraId="3D509C0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16、尾座套筒行程mm≥120</w:t>
            </w:r>
          </w:p>
          <w:p w14:paraId="7AED19B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17、尾座形式普通手摇</w:t>
            </w:r>
          </w:p>
          <w:p w14:paraId="40A0C30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18、电动刀架刀位数把≥4</w:t>
            </w:r>
          </w:p>
          <w:p w14:paraId="4C81E0B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19、刀方尺寸mm≥20×20</w:t>
            </w:r>
          </w:p>
          <w:p w14:paraId="490D988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20、X/Z向快移速度m/min6/8</w:t>
            </w:r>
          </w:p>
          <w:p w14:paraId="0484ACC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21、X向行程mm≥220</w:t>
            </w:r>
          </w:p>
          <w:p w14:paraId="16A06C8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22、Z向行程mm≥1000</w:t>
            </w:r>
          </w:p>
          <w:p w14:paraId="461525B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23、最小设定单位mm≥0.001</w:t>
            </w:r>
          </w:p>
          <w:p w14:paraId="54D6CFF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24、主电机功率KW≥5.5</w:t>
            </w:r>
          </w:p>
          <w:p w14:paraId="659C9B5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二、数控系统</w:t>
            </w:r>
          </w:p>
          <w:p w14:paraId="6DAC872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数控系统配置要求</w:t>
            </w:r>
          </w:p>
          <w:p w14:paraId="3E86364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系统采用模块化、开放式体系结构，基于总线技术。速度≥100Mb/s、≥4 通道、必须开通后台编辑、DNC 通讯、蓝图编程、以太网控制、可控制绝对编码器功能、纳米插补技术、多主轴控制、三维实体防碰撞技术、模块化、开放式体系结构、支持远程 I/O 单元、支持 CF 卡、USB、以太网等程序展和数据功能，具备智能化功能有传感器的智能温度补偿;智能化的刀具寿命管理。</w:t>
            </w:r>
          </w:p>
          <w:p w14:paraId="1B7FF04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1、CNC 功能：</w:t>
            </w:r>
          </w:p>
          <w:p w14:paraId="4184CAE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①最大控制轴9进给轴+2主轴联动轴数6轴；</w:t>
            </w:r>
          </w:p>
          <w:p w14:paraId="6542567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②最小插补周期 0.5ms；</w:t>
            </w:r>
          </w:p>
          <w:p w14:paraId="09A6981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③最小分辨率 10-4mm/deg/inch；</w:t>
            </w:r>
          </w:p>
          <w:p w14:paraId="40E00A6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④最大移动速度 999.999 米/分钟（与驱动单元、机床相关）；</w:t>
            </w:r>
          </w:p>
          <w:p w14:paraId="70158E1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⑤直线、圆弧、NURBS；</w:t>
            </w:r>
          </w:p>
          <w:p w14:paraId="4C77427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⑥插补功能参考点返回；</w:t>
            </w:r>
          </w:p>
          <w:p w14:paraId="247FC26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⑦小线段最大前瞻段数 2048；</w:t>
            </w:r>
          </w:p>
          <w:p w14:paraId="260EE0A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⑧程序段处理速度≥7200 段/秒；</w:t>
            </w:r>
          </w:p>
          <w:p w14:paraId="7EF975A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⑨MDI 功能 M、S、T 功能；</w:t>
            </w:r>
          </w:p>
          <w:p w14:paraId="00922C8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⑩加工过程图形仿真和实时跟踪；</w:t>
            </w:r>
          </w:p>
          <w:p w14:paraId="26566C7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⑪内部二级电子齿轮简单车削循环复合车削循环；</w:t>
            </w:r>
          </w:p>
          <w:p w14:paraId="67EF19B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⑫自动加减速控制（直线/S 曲线）；</w:t>
            </w:r>
          </w:p>
          <w:p w14:paraId="335DFAA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⑬坐标系设定；</w:t>
            </w:r>
          </w:p>
          <w:p w14:paraId="1801FF2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2、CNC 编程：</w:t>
            </w:r>
          </w:p>
          <w:p w14:paraId="3D3A43D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①最大编程尺寸 999999.999mm(最小编程单位为 10-3 时)；</w:t>
            </w:r>
          </w:p>
          <w:p w14:paraId="6868645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②最大编程行数 2000行公/英制编程；</w:t>
            </w:r>
          </w:p>
          <w:p w14:paraId="53C0409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③最小编程单位 10-4mm/deg/inch；</w:t>
            </w:r>
          </w:p>
          <w:p w14:paraId="05F6F59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④绝对/相对指令编程宏指令编程；</w:t>
            </w:r>
          </w:p>
          <w:p w14:paraId="267490B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⑤直径/半径编程自动控制倒角（圆角、直角）；</w:t>
            </w:r>
          </w:p>
          <w:p w14:paraId="5EC4A3E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⑥子程序调用；</w:t>
            </w:r>
          </w:p>
          <w:p w14:paraId="62033C7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⑦工件坐标系设定；</w:t>
            </w:r>
          </w:p>
          <w:p w14:paraId="5EBE3DD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3、CNC驱动：</w:t>
            </w:r>
          </w:p>
          <w:p w14:paraId="38AA5B7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1、交流伺服驱动装置通过静电放电抗扰度、电快速瞬变脉冲群抗扰度、均正常工作；</w:t>
            </w:r>
          </w:p>
          <w:p w14:paraId="5509A57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三、配套智能化系</w:t>
            </w:r>
          </w:p>
          <w:p w14:paraId="4F23336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1、免费联网</w:t>
            </w:r>
          </w:p>
          <w:p w14:paraId="0E99FE6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需提供有线、无线等多种免费上网方式、设备监控、班次管理等功能、车间看板、APP协同使用、功能之间低耦合，操作简单、多种数据托管方式、需提供丰富的经验案例库，当用户设备出现故障时，可以远程帮助用户自主维修，同时提供大量的设备调试和加工工艺优化案例。</w:t>
            </w:r>
          </w:p>
          <w:p w14:paraId="38E7BD1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2、报警监控</w:t>
            </w:r>
          </w:p>
          <w:p w14:paraId="449A0A7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实时监控设备并推送严重程度较高的报警，提示管理者及时跟进处理，降低设备的停机率，同时可回看历史报警记录，分析故障原因， 保障设备运行良好，降低设备运维的费用。</w:t>
            </w:r>
          </w:p>
          <w:p w14:paraId="71908FE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3、远程诊断/升级</w:t>
            </w:r>
          </w:p>
          <w:p w14:paraId="6D29354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提供远程诊断调试工具，可远程查看数控系统的日志、参数、PLC等文件，并提供远程载入功能。后期提供基于远程桌面的诊断调试功能。同时提供远程升级功能，可远程解决部分软件问题。</w:t>
            </w:r>
          </w:p>
          <w:p w14:paraId="443C465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4、维修/服务统计</w:t>
            </w:r>
          </w:p>
          <w:p w14:paraId="1E855B1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提供云掌柜客服管理系统，帮助机实现数字化的设备运维管理、售后服务、返修管理、服务统计等功能，为设备服务改进提供数据依据。</w:t>
            </w:r>
          </w:p>
          <w:p w14:paraId="06AB224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5、运行监控</w:t>
            </w:r>
          </w:p>
          <w:p w14:paraId="5077D61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提供设备运行监控，产量监控等服务，管理者可以远程管理车间，通过手机、电脑、通过大屏显示器实时查看车间设备的运行状态，生产状态、有效的了解生产加工过程，进而保证安全生产、高效作业。</w:t>
            </w:r>
          </w:p>
          <w:p w14:paraId="35F8D66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四、配套数控机床平台模拟软件</w:t>
            </w:r>
          </w:p>
          <w:p w14:paraId="327FE4C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功能要求：</w:t>
            </w:r>
          </w:p>
          <w:p w14:paraId="5A17288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①可用软件在电脑上进行编程，操作，程序模拟，参数修改。</w:t>
            </w:r>
          </w:p>
          <w:p w14:paraId="1FC5FD6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②软件具备数控系统平台编辑、编译、开发功能。</w:t>
            </w:r>
          </w:p>
          <w:p w14:paraId="0005B48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③软件模拟后程序可直接导出到数控机床使用。</w:t>
            </w:r>
          </w:p>
          <w:p w14:paraId="123778F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④软件编辑后的参数可直接导出到数控机床使用。</w:t>
            </w:r>
          </w:p>
          <w:p w14:paraId="31C1062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⑤软件编辑的代码可直接导出到数控机床上使用。</w:t>
            </w:r>
          </w:p>
          <w:p w14:paraId="21E83A4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五、其他技术要求：</w:t>
            </w:r>
          </w:p>
          <w:p w14:paraId="6E98810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1）验收时提供全套机床电气原理图；</w:t>
            </w:r>
          </w:p>
          <w:p w14:paraId="7B34AA25">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2）验收前提供关于设备的安装调试、维护保养等方面的培训。</w:t>
            </w:r>
          </w:p>
        </w:tc>
        <w:tc>
          <w:tcPr>
            <w:tcW w:w="1283" w:type="dxa"/>
            <w:vAlign w:val="center"/>
          </w:tcPr>
          <w:p w14:paraId="6984DBE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13.50</w:t>
            </w:r>
          </w:p>
        </w:tc>
      </w:tr>
      <w:tr w14:paraId="0AB8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4A939F28">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w:t>
            </w:r>
          </w:p>
        </w:tc>
        <w:tc>
          <w:tcPr>
            <w:tcW w:w="1592" w:type="dxa"/>
            <w:noWrap/>
            <w:vAlign w:val="center"/>
          </w:tcPr>
          <w:p w14:paraId="1C467753">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四人位钳工台</w:t>
            </w:r>
          </w:p>
        </w:tc>
        <w:tc>
          <w:tcPr>
            <w:tcW w:w="1117" w:type="dxa"/>
            <w:noWrap/>
            <w:vAlign w:val="center"/>
          </w:tcPr>
          <w:p w14:paraId="53BF6C6C">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9台</w:t>
            </w:r>
          </w:p>
        </w:tc>
        <w:tc>
          <w:tcPr>
            <w:tcW w:w="9270" w:type="dxa"/>
            <w:vAlign w:val="center"/>
          </w:tcPr>
          <w:p w14:paraId="2350779B">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尺寸要求：≧1500MM*1500MM*800MM</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材料要求：工业级冷轧钢，加厚壁管</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桌面要求：采用高密度，复合型，防静电桌面板材，上方覆盖不锈钢板包裹。</w:t>
            </w:r>
          </w:p>
        </w:tc>
        <w:tc>
          <w:tcPr>
            <w:tcW w:w="1283" w:type="dxa"/>
            <w:vAlign w:val="center"/>
          </w:tcPr>
          <w:p w14:paraId="624F5A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0.65</w:t>
            </w:r>
          </w:p>
        </w:tc>
      </w:tr>
      <w:tr w14:paraId="0DF0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0B4682D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w:t>
            </w:r>
          </w:p>
        </w:tc>
        <w:tc>
          <w:tcPr>
            <w:tcW w:w="1592" w:type="dxa"/>
            <w:noWrap/>
            <w:vAlign w:val="center"/>
          </w:tcPr>
          <w:p w14:paraId="791FF7DC">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立式砂轮机</w:t>
            </w:r>
          </w:p>
        </w:tc>
        <w:tc>
          <w:tcPr>
            <w:tcW w:w="1117" w:type="dxa"/>
            <w:noWrap/>
            <w:vAlign w:val="center"/>
          </w:tcPr>
          <w:p w14:paraId="79CE025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1台</w:t>
            </w:r>
          </w:p>
        </w:tc>
        <w:tc>
          <w:tcPr>
            <w:tcW w:w="9270" w:type="dxa"/>
            <w:vAlign w:val="center"/>
          </w:tcPr>
          <w:p w14:paraId="59FB4D23">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额定电压：380V</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功率：750W</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转速：2600R/min</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砂轮线速：35M/S</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最大砂轮尺寸：240*25*30MM</w:t>
            </w:r>
          </w:p>
        </w:tc>
        <w:tc>
          <w:tcPr>
            <w:tcW w:w="1283" w:type="dxa"/>
            <w:vAlign w:val="center"/>
          </w:tcPr>
          <w:p w14:paraId="74259D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0.42</w:t>
            </w:r>
          </w:p>
        </w:tc>
      </w:tr>
      <w:tr w14:paraId="462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2230F81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w:t>
            </w:r>
          </w:p>
        </w:tc>
        <w:tc>
          <w:tcPr>
            <w:tcW w:w="1592" w:type="dxa"/>
            <w:noWrap/>
            <w:vAlign w:val="center"/>
          </w:tcPr>
          <w:p w14:paraId="57363B31">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数控立式加工中心维修改造</w:t>
            </w:r>
          </w:p>
        </w:tc>
        <w:tc>
          <w:tcPr>
            <w:tcW w:w="1117" w:type="dxa"/>
            <w:noWrap/>
            <w:vAlign w:val="center"/>
          </w:tcPr>
          <w:p w14:paraId="47754764">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3台</w:t>
            </w:r>
          </w:p>
        </w:tc>
        <w:tc>
          <w:tcPr>
            <w:tcW w:w="9270" w:type="dxa"/>
            <w:shd w:val="clear" w:color="auto" w:fill="auto"/>
            <w:vAlign w:val="center"/>
          </w:tcPr>
          <w:p w14:paraId="79E576E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待改造的机床是650系列数控立式加工中心，现有匹配系统为发那科数控系统，机床共有三个伺服直线运动轴，一个伺服主轴，机床用于生产和教学。根据教学需求，考虑到对接</w:t>
            </w:r>
            <w:r>
              <w:rPr>
                <w:rFonts w:hint="eastAsia" w:ascii="仿宋" w:hAnsi="仿宋" w:eastAsia="仿宋" w:cs="仿宋"/>
                <w:b w:val="0"/>
                <w:bCs w:val="0"/>
                <w:i w:val="0"/>
                <w:iCs w:val="0"/>
                <w:color w:val="000000"/>
                <w:kern w:val="0"/>
                <w:sz w:val="28"/>
                <w:szCs w:val="28"/>
                <w:u w:val="none"/>
                <w:lang w:val="en-US" w:eastAsia="zh-Hans" w:bidi="ar"/>
                <w14:ligatures w14:val="none"/>
              </w:rPr>
              <w:t>市</w:t>
            </w:r>
            <w:r>
              <w:rPr>
                <w:rFonts w:hint="eastAsia" w:ascii="仿宋" w:hAnsi="仿宋" w:eastAsia="仿宋" w:cs="仿宋"/>
                <w:b w:val="0"/>
                <w:bCs w:val="0"/>
                <w:i w:val="0"/>
                <w:iCs w:val="0"/>
                <w:color w:val="000000"/>
                <w:kern w:val="0"/>
                <w:sz w:val="28"/>
                <w:szCs w:val="28"/>
                <w:u w:val="none"/>
                <w:lang w:val="en-US" w:eastAsia="zh-CN" w:bidi="ar"/>
                <w14:ligatures w14:val="none"/>
              </w:rPr>
              <w:t>赛与</w:t>
            </w:r>
            <w:r>
              <w:rPr>
                <w:rFonts w:hint="eastAsia" w:ascii="仿宋" w:hAnsi="仿宋" w:eastAsia="仿宋" w:cs="仿宋"/>
                <w:b w:val="0"/>
                <w:bCs w:val="0"/>
                <w:i w:val="0"/>
                <w:iCs w:val="0"/>
                <w:color w:val="000000"/>
                <w:kern w:val="0"/>
                <w:sz w:val="28"/>
                <w:szCs w:val="28"/>
                <w:u w:val="none"/>
                <w:lang w:val="en-US" w:eastAsia="zh-Hans" w:bidi="ar"/>
                <w14:ligatures w14:val="none"/>
              </w:rPr>
              <w:t>省</w:t>
            </w:r>
            <w:r>
              <w:rPr>
                <w:rFonts w:hint="eastAsia" w:ascii="仿宋" w:hAnsi="仿宋" w:eastAsia="仿宋" w:cs="仿宋"/>
                <w:b w:val="0"/>
                <w:bCs w:val="0"/>
                <w:i w:val="0"/>
                <w:iCs w:val="0"/>
                <w:color w:val="000000"/>
                <w:kern w:val="0"/>
                <w:sz w:val="28"/>
                <w:szCs w:val="28"/>
                <w:u w:val="none"/>
                <w:lang w:val="en-US" w:eastAsia="zh-CN" w:bidi="ar"/>
                <w14:ligatures w14:val="none"/>
              </w:rPr>
              <w:t>赛，需对机床的数控系统进行升级改造，同时对机床部分机械进行调整，从而使机床达到稳定、正常使用，满足教学和加工要求。</w:t>
            </w:r>
          </w:p>
          <w:p w14:paraId="71CF072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改造整体实施规划：将机床升级改造成三轴三联动半闭环数控机床。机床改造采用国产高档总线式数控系统，需要对机床三个进给轴电机进行数控化升级，重新规划电气柜，重新铺设线。</w:t>
            </w:r>
          </w:p>
          <w:p w14:paraId="293DDFC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需采用一体化模块设计，开放式体系结构，基于具有自主知识产权的总线技术，支持总线式I/O，支持CF卡、USB、以太网等程序扩展和数据交换功能。具体数控化改造技术方案如下：</w:t>
            </w:r>
          </w:p>
          <w:p w14:paraId="5ADCDE8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（1）电气部分</w:t>
            </w:r>
          </w:p>
          <w:p w14:paraId="3AF5B12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1、数控系统采用国产高档总线式数控系统，3轴3联动，具有网络和USB数据交换功能；</w:t>
            </w:r>
          </w:p>
          <w:p w14:paraId="077B823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2、数控系统采用单独的UPS电源供电；</w:t>
            </w:r>
          </w:p>
          <w:p w14:paraId="3175C77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3、采用总线式PLC模块，≥16点输入点；输出点；</w:t>
            </w:r>
          </w:p>
          <w:p w14:paraId="705A57A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4、机床更换X、Y、Z轴伺服驱动器，选配总线式伺服驱动器及绝对值编码器总线进行改造，因电机原有码盘线缆不能匹配现有驱动器，需要更换新的码盘线缆：</w:t>
            </w:r>
          </w:p>
          <w:p w14:paraId="7E6F6B7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5、主轴系统：升级更换原主轴伺服控制系统，主轴采用普通变频器及变频电机控制主轴运动。</w:t>
            </w:r>
          </w:p>
          <w:p w14:paraId="5C94B6E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6、更换新的移动式手持单元，控制范围半径3米，磁性固定，放置在操作站一侧；</w:t>
            </w:r>
          </w:p>
          <w:p w14:paraId="2A16271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7、保留原电气控制柜体，重新规划电气柜，根据新系统控制要求，整改机床的电气控制线路，检修电柜热交换器、三色灯等，增加系统上电继电器，确保能够达到正常功能使用要求；</w:t>
            </w:r>
          </w:p>
          <w:p w14:paraId="1C9BDFC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8、保留原数控系统操作箱，现场配装新的数控系统；</w:t>
            </w:r>
          </w:p>
          <w:p w14:paraId="391FA5C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9、保留机床电气控制系统严密保护功能、自动报警及故障显示系统；</w:t>
            </w:r>
          </w:p>
          <w:p w14:paraId="3974AA9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10、整理、清洁机床所有连接线缆及线缆防护软管、拖链、工作灯等，使机床布线整洁、美观；</w:t>
            </w:r>
          </w:p>
          <w:p w14:paraId="0A8B915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11、设备和控制系统增加可靠的保护接地；</w:t>
            </w:r>
          </w:p>
          <w:p w14:paraId="1DDD31A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12、根据机床动作要求，重新编制PLC，并具有严密的保护及报警提示信息，便于故障查询和维护；</w:t>
            </w:r>
          </w:p>
          <w:p w14:paraId="0D2A3F7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（2）数控系统功能</w:t>
            </w:r>
          </w:p>
          <w:p w14:paraId="4868CA2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1、CNC 功能：</w:t>
            </w:r>
          </w:p>
          <w:p w14:paraId="11B3E95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①最大控制轴9进给轴+2主轴联动轴数6轴；</w:t>
            </w:r>
          </w:p>
          <w:p w14:paraId="736EF46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②最小插补周期 0.5ms；</w:t>
            </w:r>
          </w:p>
          <w:p w14:paraId="6AD5CF3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③最小分辨率10-4mm/deg/inch；</w:t>
            </w:r>
          </w:p>
          <w:p w14:paraId="338EE24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④最大移动速度 999.999 米/分钟（与驱动单元、机床相关）；</w:t>
            </w:r>
          </w:p>
          <w:p w14:paraId="18A098E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⑤直线、圆弧、NURBS；</w:t>
            </w:r>
          </w:p>
          <w:p w14:paraId="32A7A87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⑥插补功能参考点返回；</w:t>
            </w:r>
          </w:p>
          <w:p w14:paraId="1906F06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⑦小线段最大前瞻段数 2048；</w:t>
            </w:r>
          </w:p>
          <w:p w14:paraId="6C2BCBB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⑧程序段处理速度≥7200 段/秒；</w:t>
            </w:r>
          </w:p>
          <w:p w14:paraId="1B2D1AE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⑨MDI 功能 M、S、T 功能；</w:t>
            </w:r>
          </w:p>
          <w:p w14:paraId="1B5A45D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⑩加工过程图形仿真和实时跟踪；</w:t>
            </w:r>
          </w:p>
          <w:p w14:paraId="0EF8A26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⑪内部二级电子齿轮简单车削循环复合车削循环；</w:t>
            </w:r>
          </w:p>
          <w:p w14:paraId="5689F76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⑫自动加减速控制（直线/S 曲线）；</w:t>
            </w:r>
          </w:p>
          <w:p w14:paraId="1DBE2FE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⑬坐标系设定；</w:t>
            </w:r>
          </w:p>
          <w:p w14:paraId="75FA19A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2、CNC 编程：</w:t>
            </w:r>
          </w:p>
          <w:p w14:paraId="1FB81E2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①最大编程尺寸 999999.999mm(最小编程单位为 10-3 时)；</w:t>
            </w:r>
          </w:p>
          <w:p w14:paraId="35A2C69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②最大编程行数 2000行公/英制编程；</w:t>
            </w:r>
          </w:p>
          <w:p w14:paraId="794504E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③最小编程单位 10-4mm/deg/inch；</w:t>
            </w:r>
          </w:p>
          <w:p w14:paraId="12D2259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④绝对/相对指令编程宏指令编程；</w:t>
            </w:r>
          </w:p>
          <w:p w14:paraId="56EF31D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⑤直径/半径编程自动控制倒角（圆角、直角）；</w:t>
            </w:r>
          </w:p>
          <w:p w14:paraId="1079F59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⑥子程序调用；</w:t>
            </w:r>
          </w:p>
          <w:p w14:paraId="66734BA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⑦工件坐标系设定；</w:t>
            </w:r>
          </w:p>
          <w:p w14:paraId="401D96F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3、CNC驱动：</w:t>
            </w:r>
          </w:p>
          <w:p w14:paraId="32EE951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1、交流伺服驱动装置通过静电放电抗扰度、电快速瞬变脉冲群抗扰度、均正常工作；</w:t>
            </w:r>
          </w:p>
          <w:p w14:paraId="164C3D7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（3）配套智能化云数控管家</w:t>
            </w:r>
          </w:p>
          <w:p w14:paraId="6D9F274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1、免费联网</w:t>
            </w:r>
          </w:p>
          <w:p w14:paraId="578E939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需提供有线、无线等多种免费上网方式、设备监控、班次管理等功能、车间看板、APP协同使用、功能之间低耦合，操作简单、多种数据托管方式、需提供丰富的经验案例库，当用户设备出现故障时，可以远程帮助用户自主维修，同时提供大量的设备调试和加工工艺优化案例。</w:t>
            </w:r>
          </w:p>
          <w:p w14:paraId="19F3385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2、报警监控</w:t>
            </w:r>
          </w:p>
          <w:p w14:paraId="302E373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实时监控设备并推送严重程度较高的报警，提示管理者及时跟进处理，降低设备的停机率，同时可回看历史报警记录，分析故障原因， 保障设备运行良好，降低设备运维的费用。</w:t>
            </w:r>
          </w:p>
          <w:p w14:paraId="18E886B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3、远程诊断/升级</w:t>
            </w:r>
          </w:p>
          <w:p w14:paraId="16FB405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提供远程诊断调试工具，可远程查看数控系统的日志、参数、PLC等文件，并提供远程载入功能。后期提供基于远程桌面的诊断调试功能。同时提供远程升级功能，可远程解决部分软件问题。</w:t>
            </w:r>
          </w:p>
          <w:p w14:paraId="3919EF0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4、维修/服务统计</w:t>
            </w:r>
          </w:p>
          <w:p w14:paraId="0123D58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提供云掌柜客服管理系统，帮助机实现数字化的设备运维管理、售后服务、返修管理、服务统计等功能，为设备服务改进提供数据依据。</w:t>
            </w:r>
          </w:p>
          <w:p w14:paraId="34A4B76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5、运行监控</w:t>
            </w:r>
          </w:p>
          <w:p w14:paraId="7B1D3C5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提供设备运行监控，产量监控等服务，管理者可以远程管理车间，通过手机、电脑、通过大屏显示器实时查看车间设备的运行状态，生产状态、有效的了解生产加工过程，进而保证安全生产、高效作业。</w:t>
            </w:r>
          </w:p>
          <w:p w14:paraId="50F947F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（4）配套数控机床平台模拟软件</w:t>
            </w:r>
          </w:p>
          <w:p w14:paraId="4C57DB6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功能要求：</w:t>
            </w:r>
          </w:p>
          <w:p w14:paraId="7C6FCFB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①可用软件在电脑上进行编程，操作，程序模拟，参数修改。</w:t>
            </w:r>
          </w:p>
          <w:p w14:paraId="5F602CF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②软件具备数控系统平台编辑、编译、开发功能。 </w:t>
            </w:r>
          </w:p>
          <w:p w14:paraId="4AC8BD0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③软件模拟后程序可直接导出到数控机床使用。 </w:t>
            </w:r>
          </w:p>
          <w:p w14:paraId="1E96250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④软件编辑后的参数可直接导出到数控机床使用。 </w:t>
            </w:r>
          </w:p>
          <w:p w14:paraId="6BF3344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⑤软件编辑的代码可直接导出到数控机床上使用。</w:t>
            </w:r>
          </w:p>
          <w:p w14:paraId="0CB0E9B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（5）机械部分</w:t>
            </w:r>
          </w:p>
          <w:p w14:paraId="2D5BD54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1、机床整体进行清扫、检修；</w:t>
            </w:r>
          </w:p>
          <w:p w14:paraId="5980401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2、主轴部分：</w:t>
            </w:r>
          </w:p>
          <w:p w14:paraId="5978377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检修主轴同步带轮，确保主轴运转平稳；</w:t>
            </w:r>
          </w:p>
          <w:p w14:paraId="2DB24C2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3、X轴部分：</w:t>
            </w:r>
          </w:p>
          <w:p w14:paraId="441DDFD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检修保养滚珠丝杠、丝杠螺母，检修丝杠两端的定位轴承；</w:t>
            </w:r>
          </w:p>
          <w:p w14:paraId="7B5DF68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调整X轴反向间隙；</w:t>
            </w:r>
          </w:p>
          <w:p w14:paraId="4FB5DFA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4、Y轴部分：</w:t>
            </w:r>
          </w:p>
          <w:p w14:paraId="08C5F29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检修保养滚珠丝杠、丝杠螺母，检修丝杠两端的定位轴承；</w:t>
            </w:r>
          </w:p>
          <w:p w14:paraId="409D802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调整Y轴反向间隙；</w:t>
            </w:r>
          </w:p>
          <w:p w14:paraId="77695C2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5、Z轴部分：</w:t>
            </w:r>
          </w:p>
          <w:p w14:paraId="7A2CDB3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检修保养滚珠丝杠、丝杠螺母，检修丝杠两端的定位轴承；</w:t>
            </w:r>
          </w:p>
          <w:p w14:paraId="4CB3B3F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调整Z轴反向间隙；</w:t>
            </w:r>
          </w:p>
          <w:p w14:paraId="65EB920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7、油路部分：检修机床润滑油路，疏通油路，使得机床各移动部位润滑到位；</w:t>
            </w:r>
          </w:p>
          <w:p w14:paraId="46E4647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8、冷却部分：检修机床冷却泵，疏通冷却管路；</w:t>
            </w:r>
          </w:p>
          <w:p w14:paraId="7CF94E0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9、气路部分：检修气路气源三联件，疏通机床气路；</w:t>
            </w:r>
          </w:p>
          <w:p w14:paraId="2CE0BE1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10、机床防护罩：检查防护罩安装情况，排除机床漏水问题；</w:t>
            </w:r>
          </w:p>
          <w:p w14:paraId="24E3E82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（6）其他技术要求：</w:t>
            </w:r>
          </w:p>
          <w:p w14:paraId="2BC1CEA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1）验收时提供全套机床电气原理图；</w:t>
            </w:r>
          </w:p>
          <w:p w14:paraId="4CBC76F1">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2）验收前提供关于设备的安装调试、维护保养等方面的培训</w:t>
            </w:r>
          </w:p>
        </w:tc>
        <w:tc>
          <w:tcPr>
            <w:tcW w:w="1283" w:type="dxa"/>
            <w:vAlign w:val="center"/>
          </w:tcPr>
          <w:p w14:paraId="438B2C0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6.50</w:t>
            </w:r>
          </w:p>
        </w:tc>
      </w:tr>
    </w:tbl>
    <w:p w14:paraId="06A6D42B">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2"/>
        <w:rPr>
          <w:rFonts w:hint="eastAsia" w:ascii="仿宋" w:hAnsi="仿宋" w:eastAsia="仿宋" w:cs="仿宋"/>
          <w:lang w:eastAsia="zh-CN"/>
        </w:rPr>
      </w:pPr>
    </w:p>
    <w:p w14:paraId="2B11A4D4">
      <w:pPr>
        <w:pStyle w:val="12"/>
        <w:spacing w:line="241" w:lineRule="auto"/>
        <w:rPr>
          <w:rFonts w:hint="eastAsia" w:ascii="仿宋" w:hAnsi="仿宋" w:eastAsia="仿宋" w:cs="仿宋"/>
          <w:lang w:eastAsia="zh-CN"/>
        </w:rPr>
      </w:pPr>
    </w:p>
    <w:p w14:paraId="5EED225E">
      <w:pPr>
        <w:pStyle w:val="12"/>
        <w:spacing w:line="241" w:lineRule="auto"/>
        <w:rPr>
          <w:rFonts w:hint="eastAsia" w:ascii="仿宋" w:hAnsi="仿宋" w:eastAsia="仿宋" w:cs="仿宋"/>
          <w:lang w:eastAsia="zh-CN"/>
        </w:rPr>
      </w:pPr>
    </w:p>
    <w:p w14:paraId="4A4C69AF">
      <w:pPr>
        <w:pStyle w:val="12"/>
        <w:spacing w:line="241" w:lineRule="auto"/>
        <w:rPr>
          <w:rFonts w:hint="eastAsia" w:ascii="仿宋" w:hAnsi="仿宋" w:eastAsia="仿宋" w:cs="仿宋"/>
          <w:lang w:eastAsia="zh-CN"/>
        </w:rPr>
      </w:pPr>
    </w:p>
    <w:p w14:paraId="707F29E0">
      <w:pPr>
        <w:pStyle w:val="12"/>
        <w:spacing w:line="241" w:lineRule="auto"/>
        <w:rPr>
          <w:rFonts w:hint="eastAsia" w:ascii="仿宋" w:hAnsi="仿宋" w:eastAsia="仿宋" w:cs="仿宋"/>
          <w:lang w:eastAsia="zh-CN"/>
        </w:rPr>
      </w:pPr>
    </w:p>
    <w:p w14:paraId="59766545">
      <w:pPr>
        <w:pStyle w:val="1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2"/>
        <w:spacing w:line="317" w:lineRule="auto"/>
        <w:rPr>
          <w:rFonts w:hint="eastAsia" w:ascii="仿宋" w:hAnsi="仿宋" w:eastAsia="仿宋" w:cs="仿宋"/>
          <w:lang w:eastAsia="zh-CN"/>
        </w:rPr>
      </w:pPr>
    </w:p>
    <w:p w14:paraId="5440CDA7">
      <w:pPr>
        <w:pStyle w:val="1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2"/>
        <w:spacing w:line="315" w:lineRule="auto"/>
        <w:rPr>
          <w:rFonts w:hint="eastAsia" w:ascii="仿宋" w:hAnsi="仿宋" w:eastAsia="仿宋" w:cs="仿宋"/>
          <w:lang w:eastAsia="zh-CN"/>
        </w:rPr>
      </w:pPr>
    </w:p>
    <w:p w14:paraId="23E77905">
      <w:pPr>
        <w:pStyle w:val="1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2"/>
        <w:spacing w:line="316" w:lineRule="auto"/>
        <w:rPr>
          <w:rFonts w:hint="eastAsia" w:ascii="仿宋" w:hAnsi="仿宋" w:eastAsia="仿宋" w:cs="仿宋"/>
          <w:lang w:eastAsia="zh-CN"/>
        </w:rPr>
      </w:pPr>
    </w:p>
    <w:p w14:paraId="53649920">
      <w:pPr>
        <w:pStyle w:val="1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2"/>
        <w:spacing w:line="317" w:lineRule="auto"/>
        <w:rPr>
          <w:rFonts w:hint="eastAsia" w:ascii="仿宋" w:hAnsi="仿宋" w:eastAsia="仿宋" w:cs="仿宋"/>
          <w:lang w:eastAsia="zh-CN"/>
        </w:rPr>
      </w:pPr>
    </w:p>
    <w:p w14:paraId="036C1C06">
      <w:pPr>
        <w:pStyle w:val="12"/>
        <w:spacing w:line="317" w:lineRule="auto"/>
        <w:rPr>
          <w:rFonts w:hint="eastAsia" w:ascii="仿宋" w:hAnsi="仿宋" w:eastAsia="仿宋" w:cs="仿宋"/>
          <w:lang w:eastAsia="zh-CN"/>
        </w:rPr>
      </w:pPr>
    </w:p>
    <w:p w14:paraId="657BB1CC">
      <w:pPr>
        <w:pStyle w:val="1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7"/>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7"/>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7"/>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7"/>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7"/>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7"/>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 年材料学院机电教研室教学科研仪器采购项目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1"/>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33"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 年材料学院机电教研室教学科研仪器采购项目</w:t>
            </w:r>
          </w:p>
        </w:tc>
        <w:tc>
          <w:tcPr>
            <w:tcW w:w="1847" w:type="pct"/>
            <w:shd w:val="clear" w:color="auto" w:fill="FFFFFF"/>
            <w:tcMar>
              <w:left w:w="105" w:type="dxa"/>
              <w:right w:w="105" w:type="dxa"/>
            </w:tcMar>
            <w:vAlign w:val="center"/>
          </w:tcPr>
          <w:p w14:paraId="6F333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1E98D2D4">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1.供货期：自合同签署之日起 15 工作日内按采购人指定地点安装、调试、试运行（用）合格并通过验收。</w:t>
            </w:r>
          </w:p>
          <w:p w14:paraId="61782C72">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2.质保期：提供原厂商3 年的免费质保，质保期自甲方最终验收合格之日起开始计算。</w:t>
            </w:r>
          </w:p>
          <w:p w14:paraId="4E47543E">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质保期内，本项目所有货物维保、保养均为免费，每年至少提供一次对本项目所供货物及安装线路的免费巡检，并提供巡检报告，保证设备正常运行使用。</w:t>
            </w:r>
          </w:p>
          <w:p w14:paraId="1E9F8FF1">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3.乙方所投货物必须是原厂生产的合格正品。对包含软件的货物，所投软件必须是合法、正版的原厂家软件且是目前最新版本，质量保证期内提供免费维护和升级服务。</w:t>
            </w:r>
          </w:p>
          <w:p w14:paraId="04FB74A7">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3.售后服务：供应商提供硬件终身保修、软件终身升级维护且采购人具有软件终身使用权，电话报修后 12 小时内上门服务、6小时内能够排除故障。货物质保期内，如果货物产品故障仍无法排除，乙方应及时提供不低于故障产品规格型号档次的备用产品供甲方暂时使用，直至故障产品修复后甲方退还备用产品。质量保证期内售后服务发生的一切费用由乙方承担。</w:t>
            </w:r>
          </w:p>
          <w:p w14:paraId="29EA6E3A">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4.培训：（1）提供不少于 10天 的线下培训，培训授课人必须是工程师、技术员等，且熟悉产品的操作和日常维护。其中，桌面式工业机器人培训不少于5天，智能制造单元系统集成平台培训不少于5天；（2）通过培训必须能保证参加培训人员对产品有较全面的了解，并熟悉掌握产品的操作和日常维护；（3）需为参训人为提供相关文字资料、讲义等资料，培训课程双方商定；（4）场地、交通等与培训相关的费用均由成交供应商承担。</w:t>
            </w:r>
          </w:p>
          <w:p w14:paraId="784D1CA0">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5.验收标准：（1）货物运抵买方指定地点后，由采购人和成交供应商组织相关人员共同对到货货物数量、型号、外观、包装质量、技术资料等进行检查，双方确认后开始安装，安装后进行破损性抽查；</w:t>
            </w:r>
          </w:p>
          <w:p w14:paraId="75089083">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交付验收标准：依次序对照适用标准为：①符合中华人民共和国国家安全质量标准、环保标准或行业标准；②符合招标文件和投标文件承诺中买方认可的合理最佳配置、参数、及各项要求；技术参数需进行现场测试的，应以现场测试数据为准。③货物来源国官方标准。上述标准必须是有关官方机构发布的最新版本的标准。</w:t>
            </w:r>
          </w:p>
          <w:p w14:paraId="26AD7DB6">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6.对于不合格的货物，成交供应商必须在5个工作日内及时完成更换并重新进行验收。</w:t>
            </w:r>
          </w:p>
          <w:p w14:paraId="74D7C75F">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7.所有产品必修标有产品名称、厂家、规格型号等的铭牌，铭牌信息必须与中标合同上一致。</w:t>
            </w:r>
          </w:p>
          <w:p w14:paraId="7DA883D1">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8.报价要求包含税费、材料费、人工费、运输费、安装以及不可预见的所有费用。</w:t>
            </w:r>
          </w:p>
          <w:p w14:paraId="766E3FCB">
            <w:pPr>
              <w:pStyle w:val="18"/>
              <w:widowControl/>
              <w:spacing w:before="0" w:beforeAutospacing="0" w:after="0" w:afterAutospacing="0"/>
              <w:jc w:val="center"/>
              <w:rPr>
                <w:rFonts w:hint="eastAsia" w:ascii="仿宋" w:hAnsi="仿宋" w:eastAsia="仿宋" w:cs="仿宋"/>
                <w:sz w:val="24"/>
                <w:szCs w:val="24"/>
              </w:rPr>
            </w:pPr>
          </w:p>
          <w:p w14:paraId="23FB116A">
            <w:pPr>
              <w:pStyle w:val="18"/>
              <w:widowControl/>
              <w:spacing w:before="0" w:beforeAutospacing="0" w:after="0" w:afterAutospacing="0"/>
              <w:jc w:val="center"/>
              <w:rPr>
                <w:rFonts w:hint="eastAsia" w:ascii="仿宋" w:hAnsi="仿宋" w:eastAsia="仿宋" w:cs="仿宋"/>
                <w:sz w:val="24"/>
                <w:szCs w:val="24"/>
              </w:rPr>
            </w:pPr>
          </w:p>
          <w:p w14:paraId="2F1D4A64">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96BBDD6-6099-4418-886F-79064E3F19F9}"/>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09CDAC4-DBF4-46BE-B4E8-093D2EC1F962}"/>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04A36178"/>
    <w:rsid w:val="05ED3628"/>
    <w:rsid w:val="0810501E"/>
    <w:rsid w:val="0F0547E3"/>
    <w:rsid w:val="143329BA"/>
    <w:rsid w:val="1AF37BE5"/>
    <w:rsid w:val="1EF12658"/>
    <w:rsid w:val="1F7C5775"/>
    <w:rsid w:val="1FF62A1D"/>
    <w:rsid w:val="1FFE5062"/>
    <w:rsid w:val="224E3596"/>
    <w:rsid w:val="2AF75C96"/>
    <w:rsid w:val="2C0010DA"/>
    <w:rsid w:val="311D118B"/>
    <w:rsid w:val="33666065"/>
    <w:rsid w:val="36236742"/>
    <w:rsid w:val="3BEE13C4"/>
    <w:rsid w:val="3D3F5F33"/>
    <w:rsid w:val="3D695935"/>
    <w:rsid w:val="4074002B"/>
    <w:rsid w:val="43A65325"/>
    <w:rsid w:val="4E6F4E89"/>
    <w:rsid w:val="524C2520"/>
    <w:rsid w:val="54FD6FAA"/>
    <w:rsid w:val="583B146D"/>
    <w:rsid w:val="5DFB7E08"/>
    <w:rsid w:val="6B480E55"/>
    <w:rsid w:val="6BBE6052"/>
    <w:rsid w:val="6E323383"/>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29"/>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30"/>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31"/>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5"/>
    <w:unhideWhenUsed/>
    <w:qFormat/>
    <w:uiPriority w:val="99"/>
  </w:style>
  <w:style w:type="paragraph" w:styleId="12">
    <w:name w:val="Body Text"/>
    <w:basedOn w:val="1"/>
    <w:link w:val="46"/>
    <w:semiHidden/>
    <w:qFormat/>
    <w:uiPriority w:val="0"/>
  </w:style>
  <w:style w:type="paragraph" w:styleId="13">
    <w:name w:val="footer"/>
    <w:basedOn w:val="1"/>
    <w:link w:val="44"/>
    <w:unhideWhenUsed/>
    <w:qFormat/>
    <w:uiPriority w:val="99"/>
    <w:pPr>
      <w:tabs>
        <w:tab w:val="center" w:pos="4153"/>
        <w:tab w:val="right" w:pos="8306"/>
      </w:tabs>
    </w:pPr>
    <w:rPr>
      <w:sz w:val="18"/>
      <w:szCs w:val="18"/>
    </w:rPr>
  </w:style>
  <w:style w:type="paragraph" w:styleId="14">
    <w:name w:val="header"/>
    <w:basedOn w:val="1"/>
    <w:link w:val="43"/>
    <w:unhideWhenUsed/>
    <w:qFormat/>
    <w:uiPriority w:val="99"/>
    <w:pPr>
      <w:tabs>
        <w:tab w:val="center" w:pos="4153"/>
        <w:tab w:val="right" w:pos="8306"/>
      </w:tabs>
      <w:jc w:val="center"/>
    </w:pPr>
    <w:rPr>
      <w:sz w:val="18"/>
      <w:szCs w:val="18"/>
    </w:rPr>
  </w:style>
  <w:style w:type="paragraph" w:styleId="15">
    <w:name w:val="toc 1"/>
    <w:basedOn w:val="16"/>
    <w:next w:val="1"/>
    <w:qFormat/>
    <w:uiPriority w:val="39"/>
    <w:pPr>
      <w:spacing w:before="360"/>
      <w:jc w:val="left"/>
    </w:pPr>
    <w:rPr>
      <w:rFonts w:ascii="Cambria" w:hAnsi="Cambria" w:eastAsia="宋体" w:cs="Times New Roman"/>
      <w:b/>
      <w:bCs/>
      <w:caps/>
      <w:sz w:val="24"/>
    </w:rPr>
  </w:style>
  <w:style w:type="paragraph" w:styleId="16">
    <w:name w:val="index 1"/>
    <w:basedOn w:val="1"/>
    <w:next w:val="1"/>
    <w:qFormat/>
    <w:uiPriority w:val="0"/>
    <w:pPr>
      <w:outlineLvl w:val="1"/>
    </w:pPr>
    <w:rPr>
      <w:rFonts w:ascii="Times New Roman" w:hAnsi="Times New Roman" w:eastAsia="宋体" w:cs="Times New Roman"/>
      <w:color w:val="000000"/>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Body Text First Indent"/>
    <w:basedOn w:val="12"/>
    <w:qFormat/>
    <w:uiPriority w:val="0"/>
    <w:pPr>
      <w:ind w:firstLine="420" w:firstLineChars="100"/>
    </w:pPr>
    <w:rPr>
      <w:rFonts w:ascii="宋体" w:hAnsi="Times New Roman" w:cs="Times New Roman"/>
      <w:kern w:val="0"/>
      <w:sz w:val="3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customStyle="1" w:styleId="25">
    <w:name w:val="标题 1 字符"/>
    <w:basedOn w:val="23"/>
    <w:link w:val="2"/>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3"/>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3"/>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3"/>
    <w:link w:val="5"/>
    <w:semiHidden/>
    <w:qFormat/>
    <w:uiPriority w:val="9"/>
    <w:rPr>
      <w:rFonts w:cstheme="majorBidi"/>
      <w:color w:val="2F5597" w:themeColor="accent1" w:themeShade="BF"/>
      <w:sz w:val="28"/>
      <w:szCs w:val="28"/>
    </w:rPr>
  </w:style>
  <w:style w:type="character" w:customStyle="1" w:styleId="29">
    <w:name w:val="标题 5 字符"/>
    <w:basedOn w:val="23"/>
    <w:link w:val="6"/>
    <w:semiHidden/>
    <w:qFormat/>
    <w:uiPriority w:val="9"/>
    <w:rPr>
      <w:rFonts w:cstheme="majorBidi"/>
      <w:color w:val="2F5597" w:themeColor="accent1" w:themeShade="BF"/>
      <w:sz w:val="24"/>
    </w:rPr>
  </w:style>
  <w:style w:type="character" w:customStyle="1" w:styleId="30">
    <w:name w:val="标题 6 字符"/>
    <w:basedOn w:val="23"/>
    <w:link w:val="7"/>
    <w:semiHidden/>
    <w:qFormat/>
    <w:uiPriority w:val="9"/>
    <w:rPr>
      <w:rFonts w:cstheme="majorBidi"/>
      <w:b/>
      <w:bCs/>
      <w:color w:val="2F5597" w:themeColor="accent1" w:themeShade="BF"/>
      <w:sz w:val="28"/>
    </w:rPr>
  </w:style>
  <w:style w:type="character" w:customStyle="1" w:styleId="31">
    <w:name w:val="标题 7 字符"/>
    <w:basedOn w:val="23"/>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2">
    <w:name w:val="标题 8 字符"/>
    <w:basedOn w:val="23"/>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3">
    <w:name w:val="标题 9 字符"/>
    <w:basedOn w:val="23"/>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3"/>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3"/>
    <w:link w:val="40"/>
    <w:qFormat/>
    <w:uiPriority w:val="30"/>
    <w:rPr>
      <w:rFonts w:eastAsia="仿宋"/>
      <w:i/>
      <w:iCs/>
      <w:color w:val="2F5597" w:themeColor="accent1" w:themeShade="BF"/>
      <w:sz w:val="28"/>
    </w:rPr>
  </w:style>
  <w:style w:type="character" w:customStyle="1" w:styleId="42">
    <w:name w:val="Intense Reference"/>
    <w:basedOn w:val="23"/>
    <w:qFormat/>
    <w:uiPriority w:val="32"/>
    <w:rPr>
      <w:b/>
      <w:bCs/>
      <w:smallCaps/>
      <w:color w:val="2F5597" w:themeColor="accent1" w:themeShade="BF"/>
      <w:spacing w:val="5"/>
    </w:rPr>
  </w:style>
  <w:style w:type="character" w:customStyle="1" w:styleId="43">
    <w:name w:val="页眉 字符"/>
    <w:basedOn w:val="23"/>
    <w:link w:val="14"/>
    <w:qFormat/>
    <w:uiPriority w:val="99"/>
    <w:rPr>
      <w:rFonts w:eastAsia="仿宋"/>
      <w:sz w:val="18"/>
      <w:szCs w:val="18"/>
    </w:rPr>
  </w:style>
  <w:style w:type="character" w:customStyle="1" w:styleId="44">
    <w:name w:val="页脚 字符"/>
    <w:basedOn w:val="23"/>
    <w:link w:val="13"/>
    <w:qFormat/>
    <w:uiPriority w:val="99"/>
    <w:rPr>
      <w:rFonts w:eastAsia="仿宋"/>
      <w:sz w:val="18"/>
      <w:szCs w:val="18"/>
    </w:rPr>
  </w:style>
  <w:style w:type="character" w:customStyle="1" w:styleId="45">
    <w:name w:val="批注文字 字符"/>
    <w:basedOn w:val="23"/>
    <w:link w:val="11"/>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6">
    <w:name w:val="正文文本 字符"/>
    <w:basedOn w:val="23"/>
    <w:link w:val="1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7">
    <w:name w:val="Table Text"/>
    <w:basedOn w:val="1"/>
    <w:semiHidden/>
    <w:qFormat/>
    <w:uiPriority w:val="0"/>
    <w:rPr>
      <w:rFonts w:ascii="宋体" w:hAnsi="宋体" w:eastAsia="宋体" w:cs="宋体"/>
      <w:sz w:val="24"/>
      <w:szCs w:val="24"/>
    </w:rPr>
  </w:style>
  <w:style w:type="paragraph" w:customStyle="1" w:styleId="48">
    <w:name w:val="表 靠左"/>
    <w:basedOn w:val="49"/>
    <w:qFormat/>
    <w:uiPriority w:val="0"/>
    <w:pPr>
      <w:jc w:val="left"/>
    </w:pPr>
    <w:rPr>
      <w:rFonts w:asciiTheme="minorEastAsia" w:hAnsiTheme="minorEastAsia" w:eastAsiaTheme="minorEastAsia"/>
    </w:rPr>
  </w:style>
  <w:style w:type="paragraph" w:customStyle="1" w:styleId="49">
    <w:name w:val="表"/>
    <w:basedOn w:val="1"/>
    <w:next w:val="1"/>
    <w:qFormat/>
    <w:uiPriority w:val="0"/>
    <w:pPr>
      <w:spacing w:line="240" w:lineRule="auto"/>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4481</Words>
  <Characters>5202</Characters>
  <Lines>169</Lines>
  <Paragraphs>196</Paragraphs>
  <TotalTime>0</TotalTime>
  <ScaleCrop>false</ScaleCrop>
  <LinksUpToDate>false</LinksUpToDate>
  <CharactersWithSpaces>5357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2026-04-27T01:55:15Z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