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2"/>
        <w:spacing w:line="261" w:lineRule="auto"/>
        <w:rPr>
          <w:rFonts w:hint="eastAsia" w:ascii="仿宋" w:hAnsi="仿宋" w:eastAsia="仿宋" w:cs="仿宋"/>
        </w:rPr>
      </w:pPr>
    </w:p>
    <w:p w14:paraId="3F7444BD">
      <w:pPr>
        <w:pStyle w:val="12"/>
        <w:spacing w:line="261" w:lineRule="auto"/>
        <w:rPr>
          <w:rFonts w:hint="eastAsia" w:ascii="仿宋" w:hAnsi="仿宋" w:eastAsia="仿宋" w:cs="仿宋"/>
        </w:rPr>
      </w:pPr>
    </w:p>
    <w:p w14:paraId="6A7DCC1E">
      <w:pPr>
        <w:pStyle w:val="12"/>
        <w:spacing w:line="261" w:lineRule="auto"/>
        <w:rPr>
          <w:rFonts w:hint="eastAsia" w:ascii="仿宋" w:hAnsi="仿宋" w:eastAsia="仿宋" w:cs="仿宋"/>
        </w:rPr>
      </w:pPr>
    </w:p>
    <w:p w14:paraId="770C8358">
      <w:pPr>
        <w:pStyle w:val="12"/>
        <w:spacing w:line="261" w:lineRule="auto"/>
        <w:rPr>
          <w:rFonts w:hint="eastAsia" w:ascii="仿宋" w:hAnsi="仿宋" w:eastAsia="仿宋" w:cs="仿宋"/>
        </w:rPr>
      </w:pPr>
    </w:p>
    <w:p w14:paraId="3617CF1D">
      <w:pPr>
        <w:pStyle w:val="12"/>
        <w:spacing w:line="261" w:lineRule="auto"/>
        <w:rPr>
          <w:rFonts w:hint="eastAsia" w:ascii="仿宋" w:hAnsi="仿宋" w:eastAsia="仿宋" w:cs="仿宋"/>
        </w:rPr>
      </w:pPr>
    </w:p>
    <w:p w14:paraId="4A716706">
      <w:pPr>
        <w:pStyle w:val="12"/>
        <w:spacing w:line="262" w:lineRule="auto"/>
        <w:rPr>
          <w:rFonts w:hint="eastAsia" w:ascii="仿宋" w:hAnsi="仿宋" w:eastAsia="仿宋" w:cs="仿宋"/>
        </w:rPr>
      </w:pPr>
    </w:p>
    <w:p w14:paraId="7B8A22B3">
      <w:pPr>
        <w:pStyle w:val="12"/>
        <w:spacing w:line="262" w:lineRule="auto"/>
        <w:rPr>
          <w:rFonts w:hint="eastAsia" w:ascii="仿宋" w:hAnsi="仿宋" w:eastAsia="仿宋" w:cs="仿宋"/>
        </w:rPr>
      </w:pPr>
    </w:p>
    <w:p w14:paraId="7D621ED7">
      <w:pPr>
        <w:pStyle w:val="12"/>
        <w:spacing w:line="262" w:lineRule="auto"/>
        <w:rPr>
          <w:rFonts w:hint="eastAsia" w:ascii="仿宋" w:hAnsi="仿宋" w:eastAsia="仿宋" w:cs="仿宋"/>
        </w:rPr>
      </w:pPr>
    </w:p>
    <w:p w14:paraId="38461B03">
      <w:pPr>
        <w:pStyle w:val="1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2"/>
        <w:spacing w:line="269" w:lineRule="auto"/>
        <w:rPr>
          <w:rFonts w:hint="eastAsia" w:ascii="仿宋" w:hAnsi="仿宋" w:eastAsia="仿宋" w:cs="仿宋"/>
          <w:lang w:eastAsia="zh-CN"/>
        </w:rPr>
      </w:pPr>
    </w:p>
    <w:p w14:paraId="437F2C43">
      <w:pPr>
        <w:pStyle w:val="12"/>
        <w:spacing w:line="269" w:lineRule="auto"/>
        <w:rPr>
          <w:rFonts w:hint="eastAsia" w:ascii="仿宋" w:hAnsi="仿宋" w:eastAsia="仿宋" w:cs="仿宋"/>
          <w:lang w:eastAsia="zh-CN"/>
        </w:rPr>
      </w:pPr>
    </w:p>
    <w:p w14:paraId="00D1E1FB">
      <w:pPr>
        <w:pStyle w:val="12"/>
        <w:spacing w:line="269" w:lineRule="auto"/>
        <w:rPr>
          <w:rFonts w:hint="eastAsia" w:ascii="仿宋" w:hAnsi="仿宋" w:eastAsia="仿宋" w:cs="仿宋"/>
          <w:lang w:eastAsia="zh-CN"/>
        </w:rPr>
      </w:pPr>
    </w:p>
    <w:p w14:paraId="0ED71348">
      <w:pPr>
        <w:pStyle w:val="12"/>
        <w:spacing w:line="269" w:lineRule="auto"/>
        <w:rPr>
          <w:rFonts w:hint="eastAsia" w:ascii="仿宋" w:hAnsi="仿宋" w:eastAsia="仿宋" w:cs="仿宋"/>
          <w:lang w:eastAsia="zh-CN"/>
        </w:rPr>
      </w:pPr>
    </w:p>
    <w:p w14:paraId="6C0B745E">
      <w:pPr>
        <w:pStyle w:val="12"/>
        <w:spacing w:line="269" w:lineRule="auto"/>
        <w:rPr>
          <w:rFonts w:hint="eastAsia" w:ascii="仿宋" w:hAnsi="仿宋" w:eastAsia="仿宋" w:cs="仿宋"/>
          <w:lang w:eastAsia="zh-CN"/>
        </w:rPr>
      </w:pPr>
    </w:p>
    <w:p w14:paraId="0E7C1CDF">
      <w:pPr>
        <w:pStyle w:val="12"/>
        <w:spacing w:line="269" w:lineRule="auto"/>
        <w:rPr>
          <w:rFonts w:hint="eastAsia" w:ascii="仿宋" w:hAnsi="仿宋" w:eastAsia="仿宋" w:cs="仿宋"/>
          <w:lang w:eastAsia="zh-CN"/>
        </w:rPr>
      </w:pPr>
    </w:p>
    <w:p w14:paraId="4A6C434B">
      <w:pPr>
        <w:pStyle w:val="12"/>
        <w:spacing w:line="269" w:lineRule="auto"/>
        <w:rPr>
          <w:rFonts w:hint="eastAsia" w:ascii="仿宋" w:hAnsi="仿宋" w:eastAsia="仿宋" w:cs="仿宋"/>
          <w:lang w:eastAsia="zh-CN"/>
        </w:rPr>
      </w:pPr>
    </w:p>
    <w:p w14:paraId="365E7B80">
      <w:pPr>
        <w:pStyle w:val="12"/>
        <w:spacing w:line="480" w:lineRule="auto"/>
        <w:rPr>
          <w:rFonts w:hint="eastAsia" w:ascii="仿宋" w:hAnsi="仿宋" w:eastAsia="仿宋" w:cs="仿宋"/>
          <w:lang w:eastAsia="zh-CN"/>
        </w:rPr>
      </w:pPr>
    </w:p>
    <w:p w14:paraId="61B49C83">
      <w:pPr>
        <w:pStyle w:val="12"/>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项目名称：某单位2026年材料学院机电教研室教学科研仪器采购项目</w:t>
      </w:r>
    </w:p>
    <w:p w14:paraId="009DFF74">
      <w:pPr>
        <w:pStyle w:val="12"/>
        <w:spacing w:line="243" w:lineRule="auto"/>
        <w:rPr>
          <w:rFonts w:hint="eastAsia" w:ascii="仿宋" w:hAnsi="仿宋" w:eastAsia="仿宋" w:cs="仿宋"/>
          <w:lang w:eastAsia="zh-CN"/>
        </w:rPr>
      </w:pPr>
    </w:p>
    <w:p w14:paraId="485DB685">
      <w:pPr>
        <w:pStyle w:val="12"/>
        <w:spacing w:line="243" w:lineRule="auto"/>
        <w:rPr>
          <w:rFonts w:hint="eastAsia" w:ascii="仿宋" w:hAnsi="仿宋" w:eastAsia="仿宋" w:cs="仿宋"/>
          <w:lang w:eastAsia="zh-CN"/>
        </w:rPr>
      </w:pPr>
    </w:p>
    <w:p w14:paraId="4E2FDAB1">
      <w:pPr>
        <w:pStyle w:val="12"/>
        <w:spacing w:line="243" w:lineRule="auto"/>
        <w:rPr>
          <w:rFonts w:hint="eastAsia" w:ascii="仿宋" w:hAnsi="仿宋" w:eastAsia="仿宋" w:cs="仿宋"/>
          <w:lang w:eastAsia="zh-CN"/>
        </w:rPr>
      </w:pPr>
    </w:p>
    <w:p w14:paraId="1CE59D75">
      <w:pPr>
        <w:pStyle w:val="12"/>
        <w:spacing w:line="243" w:lineRule="auto"/>
        <w:rPr>
          <w:rFonts w:hint="eastAsia" w:ascii="仿宋" w:hAnsi="仿宋" w:eastAsia="仿宋" w:cs="仿宋"/>
          <w:lang w:eastAsia="zh-CN"/>
        </w:rPr>
      </w:pPr>
    </w:p>
    <w:p w14:paraId="2FD64D39">
      <w:pPr>
        <w:pStyle w:val="12"/>
        <w:spacing w:line="243" w:lineRule="auto"/>
        <w:rPr>
          <w:rFonts w:hint="eastAsia" w:ascii="仿宋" w:hAnsi="仿宋" w:eastAsia="仿宋" w:cs="仿宋"/>
          <w:lang w:eastAsia="zh-CN"/>
        </w:rPr>
      </w:pPr>
    </w:p>
    <w:p w14:paraId="4B5D54A1">
      <w:pPr>
        <w:pStyle w:val="12"/>
        <w:spacing w:line="244" w:lineRule="auto"/>
        <w:rPr>
          <w:rFonts w:hint="eastAsia" w:ascii="仿宋" w:hAnsi="仿宋" w:eastAsia="仿宋" w:cs="仿宋"/>
          <w:lang w:eastAsia="zh-CN"/>
        </w:rPr>
      </w:pPr>
    </w:p>
    <w:p w14:paraId="568484EC">
      <w:pPr>
        <w:pStyle w:val="12"/>
        <w:spacing w:line="244" w:lineRule="auto"/>
        <w:rPr>
          <w:rFonts w:hint="eastAsia" w:ascii="仿宋" w:hAnsi="仿宋" w:eastAsia="仿宋" w:cs="仿宋"/>
          <w:lang w:eastAsia="zh-CN"/>
        </w:rPr>
      </w:pPr>
    </w:p>
    <w:p w14:paraId="34EC22CF">
      <w:pPr>
        <w:pStyle w:val="1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2"/>
        <w:spacing w:line="284" w:lineRule="auto"/>
        <w:rPr>
          <w:rFonts w:hint="eastAsia" w:ascii="仿宋" w:hAnsi="仿宋" w:eastAsia="仿宋" w:cs="仿宋"/>
          <w:lang w:eastAsia="zh-CN"/>
        </w:rPr>
      </w:pPr>
    </w:p>
    <w:p w14:paraId="2D1D45C0">
      <w:pPr>
        <w:pStyle w:val="1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某单位2026年材料学院机电教研室教学科研仪器采购项目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4"/>
          <w:rFonts w:hint="eastAsia" w:ascii="仿宋" w:hAnsi="仿宋" w:eastAsia="仿宋" w:cs="仿宋"/>
          <w:sz w:val="28"/>
          <w:szCs w:val="28"/>
        </w:rPr>
      </w:pPr>
      <w:r>
        <w:rPr>
          <w:rStyle w:val="24"/>
          <w:rFonts w:hint="eastAsia" w:ascii="仿宋" w:hAnsi="仿宋" w:eastAsia="仿宋" w:cs="仿宋"/>
          <w:sz w:val="28"/>
          <w:szCs w:val="28"/>
        </w:rPr>
        <w:t>总额</w:t>
      </w:r>
      <w:r>
        <w:rPr>
          <w:rStyle w:val="24"/>
          <w:rFonts w:hint="eastAsia" w:ascii="仿宋" w:hAnsi="仿宋" w:eastAsia="仿宋" w:cs="仿宋"/>
          <w:sz w:val="28"/>
          <w:szCs w:val="28"/>
          <w:lang w:val="en-US" w:eastAsia="zh-CN"/>
        </w:rPr>
        <w:t>205.57万</w:t>
      </w:r>
      <w:r>
        <w:rPr>
          <w:rStyle w:val="24"/>
          <w:rFonts w:hint="eastAsia" w:ascii="仿宋" w:hAnsi="仿宋" w:eastAsia="仿宋" w:cs="仿宋"/>
          <w:sz w:val="28"/>
          <w:szCs w:val="28"/>
        </w:rPr>
        <w:t>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4110"/>
        <w:gridCol w:w="1757"/>
        <w:gridCol w:w="1148"/>
        <w:gridCol w:w="3499"/>
        <w:gridCol w:w="2754"/>
      </w:tblGrid>
      <w:tr w14:paraId="083A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pct"/>
            <w:vAlign w:val="center"/>
          </w:tcPr>
          <w:p w14:paraId="29D99FED">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序号</w:t>
            </w:r>
          </w:p>
        </w:tc>
        <w:tc>
          <w:tcPr>
            <w:tcW w:w="1418" w:type="pct"/>
            <w:vAlign w:val="center"/>
          </w:tcPr>
          <w:p w14:paraId="2D18CBF8">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货物（服务）</w:t>
            </w:r>
            <w:r>
              <w:rPr>
                <w:rFonts w:hint="eastAsia" w:ascii="仿宋" w:hAnsi="仿宋" w:eastAsia="仿宋" w:cs="仿宋"/>
                <w:b/>
                <w:bCs/>
                <w:color w:val="000000"/>
                <w:kern w:val="0"/>
                <w:sz w:val="28"/>
                <w:szCs w:val="28"/>
                <w:lang w:bidi="ar"/>
              </w:rPr>
              <w:t>名称</w:t>
            </w:r>
          </w:p>
        </w:tc>
        <w:tc>
          <w:tcPr>
            <w:tcW w:w="606" w:type="pct"/>
            <w:vAlign w:val="center"/>
          </w:tcPr>
          <w:p w14:paraId="4FF19345">
            <w:pPr>
              <w:widowControl/>
              <w:jc w:val="center"/>
              <w:textAlignment w:val="center"/>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val="en-US" w:eastAsia="zh-CN" w:bidi="ar"/>
              </w:rPr>
              <w:t>数量</w:t>
            </w:r>
          </w:p>
        </w:tc>
        <w:tc>
          <w:tcPr>
            <w:tcW w:w="396" w:type="pct"/>
            <w:vAlign w:val="center"/>
          </w:tcPr>
          <w:p w14:paraId="26181544">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单位</w:t>
            </w:r>
          </w:p>
        </w:tc>
        <w:tc>
          <w:tcPr>
            <w:tcW w:w="1207" w:type="pct"/>
            <w:vAlign w:val="center"/>
          </w:tcPr>
          <w:p w14:paraId="52ED7E7A">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单价（万元）</w:t>
            </w:r>
          </w:p>
        </w:tc>
        <w:tc>
          <w:tcPr>
            <w:tcW w:w="950" w:type="pct"/>
            <w:vAlign w:val="center"/>
          </w:tcPr>
          <w:p w14:paraId="05FA96C2">
            <w:pPr>
              <w:widowControl/>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bidi="ar"/>
              </w:rPr>
              <w:t>用途</w:t>
            </w:r>
          </w:p>
        </w:tc>
      </w:tr>
      <w:tr w14:paraId="3B4D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4A31807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418" w:type="pct"/>
            <w:shd w:val="clear" w:color="auto" w:fill="auto"/>
            <w:vAlign w:val="center"/>
          </w:tcPr>
          <w:p w14:paraId="2551D7B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普通车床</w:t>
            </w:r>
          </w:p>
        </w:tc>
        <w:tc>
          <w:tcPr>
            <w:tcW w:w="606" w:type="pct"/>
            <w:vAlign w:val="center"/>
          </w:tcPr>
          <w:p w14:paraId="298C3F1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396" w:type="pct"/>
            <w:vAlign w:val="center"/>
          </w:tcPr>
          <w:p w14:paraId="6D25DF5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6C8744CE">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11.00</w:t>
            </w:r>
          </w:p>
        </w:tc>
        <w:tc>
          <w:tcPr>
            <w:tcW w:w="950" w:type="pct"/>
            <w:vAlign w:val="center"/>
          </w:tcPr>
          <w:p w14:paraId="08457E0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6F22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52700D46">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418" w:type="pct"/>
            <w:shd w:val="clear" w:color="auto" w:fill="auto"/>
            <w:vAlign w:val="center"/>
          </w:tcPr>
          <w:p w14:paraId="1BF791D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普通立式铣床</w:t>
            </w:r>
          </w:p>
        </w:tc>
        <w:tc>
          <w:tcPr>
            <w:tcW w:w="606" w:type="pct"/>
            <w:vAlign w:val="center"/>
          </w:tcPr>
          <w:p w14:paraId="658D731C">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396" w:type="pct"/>
            <w:vAlign w:val="center"/>
          </w:tcPr>
          <w:p w14:paraId="15177DBC">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644AB57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9.00</w:t>
            </w:r>
          </w:p>
        </w:tc>
        <w:tc>
          <w:tcPr>
            <w:tcW w:w="950" w:type="pct"/>
            <w:vAlign w:val="center"/>
          </w:tcPr>
          <w:p w14:paraId="5E8745F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32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265B9C18">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1418" w:type="pct"/>
            <w:shd w:val="clear" w:color="auto" w:fill="auto"/>
            <w:vAlign w:val="center"/>
          </w:tcPr>
          <w:p w14:paraId="0C52161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精密数控车床</w:t>
            </w:r>
          </w:p>
        </w:tc>
        <w:tc>
          <w:tcPr>
            <w:tcW w:w="606" w:type="pct"/>
            <w:vAlign w:val="center"/>
          </w:tcPr>
          <w:p w14:paraId="32A1607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396" w:type="pct"/>
            <w:vAlign w:val="center"/>
          </w:tcPr>
          <w:p w14:paraId="4EFEC59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0F2AEBB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27.00</w:t>
            </w:r>
          </w:p>
        </w:tc>
        <w:tc>
          <w:tcPr>
            <w:tcW w:w="950" w:type="pct"/>
            <w:vAlign w:val="center"/>
          </w:tcPr>
          <w:p w14:paraId="556C7CB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2A1C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1DE03FBE">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w:t>
            </w:r>
          </w:p>
        </w:tc>
        <w:tc>
          <w:tcPr>
            <w:tcW w:w="1418" w:type="pct"/>
            <w:shd w:val="clear" w:color="auto" w:fill="auto"/>
            <w:vAlign w:val="center"/>
          </w:tcPr>
          <w:p w14:paraId="75AAEE9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四人位钳工台</w:t>
            </w:r>
          </w:p>
        </w:tc>
        <w:tc>
          <w:tcPr>
            <w:tcW w:w="606" w:type="pct"/>
            <w:vAlign w:val="center"/>
          </w:tcPr>
          <w:p w14:paraId="701406E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w:t>
            </w:r>
          </w:p>
        </w:tc>
        <w:tc>
          <w:tcPr>
            <w:tcW w:w="396" w:type="pct"/>
            <w:vAlign w:val="center"/>
          </w:tcPr>
          <w:p w14:paraId="5FAD736B">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6969BA4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5.85</w:t>
            </w:r>
          </w:p>
        </w:tc>
        <w:tc>
          <w:tcPr>
            <w:tcW w:w="950" w:type="pct"/>
            <w:vAlign w:val="center"/>
          </w:tcPr>
          <w:p w14:paraId="544C537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6AAE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70B8B25F">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1418" w:type="pct"/>
            <w:shd w:val="clear" w:color="auto" w:fill="auto"/>
            <w:vAlign w:val="center"/>
          </w:tcPr>
          <w:p w14:paraId="3909324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立式砂轮机</w:t>
            </w:r>
          </w:p>
        </w:tc>
        <w:tc>
          <w:tcPr>
            <w:tcW w:w="606" w:type="pct"/>
            <w:vAlign w:val="center"/>
          </w:tcPr>
          <w:p w14:paraId="3E25BEFD">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vAlign w:val="center"/>
          </w:tcPr>
          <w:p w14:paraId="3606D21B">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1B8299A7">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0.42</w:t>
            </w:r>
          </w:p>
        </w:tc>
        <w:tc>
          <w:tcPr>
            <w:tcW w:w="950" w:type="pct"/>
            <w:vAlign w:val="center"/>
          </w:tcPr>
          <w:p w14:paraId="5CAC0E49">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2026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Align w:val="center"/>
          </w:tcPr>
          <w:p w14:paraId="21D9B3F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w:t>
            </w:r>
          </w:p>
        </w:tc>
        <w:tc>
          <w:tcPr>
            <w:tcW w:w="1418" w:type="pct"/>
            <w:shd w:val="clear" w:color="auto" w:fill="auto"/>
            <w:vAlign w:val="center"/>
          </w:tcPr>
          <w:p w14:paraId="71281D69">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数控立式加工中心维修改造</w:t>
            </w:r>
          </w:p>
        </w:tc>
        <w:tc>
          <w:tcPr>
            <w:tcW w:w="606" w:type="pct"/>
            <w:vAlign w:val="center"/>
          </w:tcPr>
          <w:p w14:paraId="6C1818CB">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396" w:type="pct"/>
            <w:vAlign w:val="center"/>
          </w:tcPr>
          <w:p w14:paraId="64DC256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2A5A45A3">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19.50</w:t>
            </w:r>
          </w:p>
        </w:tc>
        <w:tc>
          <w:tcPr>
            <w:tcW w:w="950" w:type="pct"/>
            <w:vAlign w:val="center"/>
          </w:tcPr>
          <w:p w14:paraId="260C5A7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bl>
    <w:p w14:paraId="0029DFB5">
      <w:pPr>
        <w:pStyle w:val="20"/>
        <w:spacing w:line="240" w:lineRule="auto"/>
        <w:rPr>
          <w:rFonts w:hint="eastAsia"/>
          <w:lang w:eastAsia="zh-CN"/>
        </w:rPr>
      </w:pPr>
    </w:p>
    <w:tbl>
      <w:tblPr>
        <w:tblStyle w:val="21"/>
        <w:tblW w:w="14331"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592"/>
        <w:gridCol w:w="1117"/>
        <w:gridCol w:w="9270"/>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69"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592"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11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9270"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单价</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592" w:type="dxa"/>
            <w:noWrap/>
            <w:vAlign w:val="center"/>
          </w:tcPr>
          <w:p w14:paraId="42543B0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普通车床</w:t>
            </w:r>
          </w:p>
        </w:tc>
        <w:tc>
          <w:tcPr>
            <w:tcW w:w="1117"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2台</w:t>
            </w:r>
          </w:p>
        </w:tc>
        <w:tc>
          <w:tcPr>
            <w:tcW w:w="9270" w:type="dxa"/>
            <w:shd w:val="clear" w:color="auto" w:fill="auto"/>
            <w:vAlign w:val="center"/>
          </w:tcPr>
          <w:p w14:paraId="4C132E1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p>
          <w:p w14:paraId="1CB4B9E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床身上最大回转直径 :≥Φ400 mm</w:t>
            </w:r>
          </w:p>
          <w:p w14:paraId="12AF709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刀架上最大回转直径 :≥Φ210mm</w:t>
            </w:r>
          </w:p>
          <w:p w14:paraId="4F4F921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两顶尖间最大工件长度:≥1000mm</w:t>
            </w:r>
          </w:p>
          <w:p w14:paraId="1BBAC92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顶尖间工件最大重量 :≥300 kg</w:t>
            </w:r>
          </w:p>
          <w:p w14:paraId="1043CD9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床身导轨宽度 :≥400 mm</w:t>
            </w:r>
          </w:p>
          <w:p w14:paraId="2808715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主轴通孔直径 :≥Φ52mm</w:t>
            </w:r>
          </w:p>
          <w:p w14:paraId="71695C2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主轴端部型号 ISO (GB):≥ C6/D8</w:t>
            </w:r>
          </w:p>
          <w:p w14:paraId="673A313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主轴前锥孔 莫氏 6 号</w:t>
            </w:r>
          </w:p>
          <w:p w14:paraId="585A52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主轴中心至床身平面导轨距离:≥205mm</w:t>
            </w:r>
          </w:p>
          <w:p w14:paraId="3D8D90F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主轴转速级数 正转:≥ 24 级</w:t>
            </w:r>
          </w:p>
          <w:p w14:paraId="0741B9E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反转:≥24 级</w:t>
            </w:r>
          </w:p>
          <w:p w14:paraId="7CFBBB8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主轴转速范围 正转:≥10-1600r/min、</w:t>
            </w:r>
          </w:p>
          <w:p w14:paraId="21B7DCF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反转 12.5-1600r/min</w:t>
            </w:r>
          </w:p>
          <w:p w14:paraId="42220EF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进给量种数 64 种</w:t>
            </w:r>
          </w:p>
          <w:p w14:paraId="4FD6711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纵向标准进给:≥0.08-1.59mm/r</w:t>
            </w:r>
          </w:p>
          <w:p w14:paraId="1F5D65B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纵向小进给:≥0.028-0.054mm/r</w:t>
            </w:r>
          </w:p>
          <w:p w14:paraId="06F65CA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纵向加大进给:≥1.71-6.33mm/r</w:t>
            </w:r>
          </w:p>
          <w:p w14:paraId="7DC5796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横向进给量标准进给:≥0.04-0.79mm/r</w:t>
            </w:r>
          </w:p>
          <w:p w14:paraId="05AB918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横向小进给:≥0.014-0.027mm/r</w:t>
            </w:r>
          </w:p>
          <w:p w14:paraId="0FC1BFB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横向加大进给:≥0.86-3.16mm/r</w:t>
            </w:r>
          </w:p>
          <w:p w14:paraId="0D51B9F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公制螺纹 44 种 :≥1-192mm</w:t>
            </w:r>
          </w:p>
          <w:p w14:paraId="0371261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模数螺纹 39 种:≥ 0.25-48mm</w:t>
            </w:r>
          </w:p>
          <w:p w14:paraId="3AAF3C5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英制螺纹 21 种 :≥2-24 牙/寸</w:t>
            </w:r>
          </w:p>
          <w:p w14:paraId="0180C0A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径节螺纹 37 种 :≥1-96dp</w:t>
            </w:r>
          </w:p>
          <w:p w14:paraId="7B2DA39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刀架快移速度 纵向:≥4m/min</w:t>
            </w:r>
          </w:p>
          <w:p w14:paraId="649BC08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横向:≥2 m/min</w:t>
            </w:r>
          </w:p>
          <w:p w14:paraId="01ED5BB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主轴电机功率:≥ 7.5kw</w:t>
            </w:r>
          </w:p>
          <w:p w14:paraId="568E5A3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刀架 立式四方刀架</w:t>
            </w:r>
          </w:p>
          <w:p w14:paraId="1F9B5CB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刀柄尺寸:≥ 25×25mm</w:t>
            </w:r>
          </w:p>
          <w:p w14:paraId="61A8736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上/下刀架最大行程:≥140/320mm</w:t>
            </w:r>
          </w:p>
          <w:p w14:paraId="2FE3B59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刀架转盘回转角度:±90 度</w:t>
            </w:r>
          </w:p>
          <w:p w14:paraId="759096F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主轴中心线至刀具支承面距离:≥26mm</w:t>
            </w:r>
          </w:p>
          <w:p w14:paraId="03C5BEC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尾座套筒直径 Φ75 mm</w:t>
            </w:r>
          </w:p>
          <w:p w14:paraId="46F1B84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尾座套筒行程 :≥150 mm</w:t>
            </w:r>
          </w:p>
          <w:p w14:paraId="7639F8E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尾座套筒锥孔锥度 莫氏 5 号</w:t>
            </w:r>
          </w:p>
          <w:p w14:paraId="7572CB6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冷却电机功率 :≥90W</w:t>
            </w:r>
          </w:p>
          <w:p w14:paraId="077269D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冷却水泵扬程 :≥5m</w:t>
            </w:r>
          </w:p>
          <w:p w14:paraId="2083E7F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冷却水泵流量 :≥25 L/min</w:t>
            </w:r>
          </w:p>
          <w:p w14:paraId="6502BE7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电源 380V±10%，50Hz±1%，三相交流电</w:t>
            </w:r>
          </w:p>
          <w:p w14:paraId="54A8869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环境温度 :≥0℃～40℃</w:t>
            </w:r>
          </w:p>
          <w:p w14:paraId="358AA660">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机床外形尺寸:≥2600×1140×1550 mm</w:t>
            </w:r>
          </w:p>
        </w:tc>
        <w:tc>
          <w:tcPr>
            <w:tcW w:w="1283" w:type="dxa"/>
            <w:vAlign w:val="center"/>
          </w:tcPr>
          <w:p w14:paraId="7402C196">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11.00</w:t>
            </w:r>
          </w:p>
        </w:tc>
      </w:tr>
      <w:tr w14:paraId="0D3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25E4ED4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592" w:type="dxa"/>
            <w:noWrap/>
            <w:vAlign w:val="center"/>
          </w:tcPr>
          <w:p w14:paraId="7FC29B4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普通立式铣床</w:t>
            </w:r>
          </w:p>
        </w:tc>
        <w:tc>
          <w:tcPr>
            <w:tcW w:w="1117" w:type="dxa"/>
            <w:noWrap/>
            <w:vAlign w:val="center"/>
          </w:tcPr>
          <w:p w14:paraId="4822244A">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2台</w:t>
            </w:r>
          </w:p>
        </w:tc>
        <w:tc>
          <w:tcPr>
            <w:tcW w:w="9270" w:type="dxa"/>
            <w:shd w:val="clear" w:color="auto" w:fill="auto"/>
            <w:vAlign w:val="center"/>
          </w:tcPr>
          <w:p w14:paraId="64C361EB">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要技术参数(mm)   </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钻孔最大mm        50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端铣最大宽度(mm)  120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立铣最大直径(mm)  25</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镗孔最大直径(mm)  120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最大攻丝直径(mm)  M16</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主轴端面至工作台距离(mm)  100-480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主轴转速范(r.p.115-1750(8级）  40-1300(12级）</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主轴行程(mm)      120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工作台尺寸(mm)    1200×280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工作台行程(mm)    650×280*400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外型尺寸(mm)      1600*1580*2100</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电动机功率(kw)    2.2</w:t>
            </w:r>
          </w:p>
        </w:tc>
        <w:tc>
          <w:tcPr>
            <w:tcW w:w="1283" w:type="dxa"/>
            <w:vAlign w:val="center"/>
          </w:tcPr>
          <w:p w14:paraId="5F7AFA8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9.00</w:t>
            </w:r>
          </w:p>
        </w:tc>
      </w:tr>
      <w:tr w14:paraId="29A3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77236375">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1592" w:type="dxa"/>
            <w:noWrap/>
            <w:vAlign w:val="center"/>
          </w:tcPr>
          <w:p w14:paraId="77729855">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精密数控车床</w:t>
            </w:r>
          </w:p>
        </w:tc>
        <w:tc>
          <w:tcPr>
            <w:tcW w:w="1117" w:type="dxa"/>
            <w:noWrap/>
            <w:vAlign w:val="center"/>
          </w:tcPr>
          <w:p w14:paraId="07287D42">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2台</w:t>
            </w:r>
          </w:p>
        </w:tc>
        <w:tc>
          <w:tcPr>
            <w:tcW w:w="9270" w:type="dxa"/>
            <w:shd w:val="clear" w:color="auto" w:fill="auto"/>
            <w:vAlign w:val="center"/>
          </w:tcPr>
          <w:p w14:paraId="710D616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一、机床床身</w:t>
            </w:r>
          </w:p>
          <w:p w14:paraId="1BCCDBE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1、床身上最大回转直径mm≥Φ400</w:t>
            </w:r>
          </w:p>
          <w:p w14:paraId="5078C92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2、X向导轨跨距 mm≥180</w:t>
            </w:r>
          </w:p>
          <w:p w14:paraId="1FAF7E5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3、Z向导轨跨距 mm≥400</w:t>
            </w:r>
          </w:p>
          <w:p w14:paraId="7743BB4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4、溜板上最大回转直径mm≥Φ180</w:t>
            </w:r>
          </w:p>
          <w:p w14:paraId="0A77133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5、顶尖距 mm≥1000</w:t>
            </w:r>
          </w:p>
          <w:p w14:paraId="2052C22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6、最大盘类加工直径mm≥400</w:t>
            </w:r>
          </w:p>
          <w:p w14:paraId="248135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7、最大车削长度mm≥820</w:t>
            </w:r>
          </w:p>
          <w:p w14:paraId="46AA8A6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8、主轴通孔直径mm≥Φ60</w:t>
            </w:r>
          </w:p>
          <w:p w14:paraId="5FEF33B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9、棒料通径mm≥Φ60</w:t>
            </w:r>
          </w:p>
          <w:p w14:paraId="45442A7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10、主轴端部型式A2-6</w:t>
            </w:r>
          </w:p>
          <w:p w14:paraId="0C0B009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11、卡盘mm普通Φ200</w:t>
            </w:r>
          </w:p>
          <w:p w14:paraId="352291B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12、主轴锥孔锥度No公制70#</w:t>
            </w:r>
          </w:p>
          <w:p w14:paraId="785C931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13、主轴极限转速rpm≥2000</w:t>
            </w:r>
          </w:p>
          <w:p w14:paraId="55E6284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14、尾座套筒直径mm≥Φ60</w:t>
            </w:r>
          </w:p>
          <w:p w14:paraId="1C0C21A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15、尾座套筒内孔锥度NoMT4#</w:t>
            </w:r>
          </w:p>
          <w:p w14:paraId="58B4CB6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16、尾座套筒行程mm≥120</w:t>
            </w:r>
          </w:p>
          <w:p w14:paraId="29283AD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17、尾座形式普通手摇</w:t>
            </w:r>
          </w:p>
          <w:p w14:paraId="5450F45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18、电动刀架刀位数把≥4</w:t>
            </w:r>
          </w:p>
          <w:p w14:paraId="1849F5D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19、刀方尺寸mm≥20×20</w:t>
            </w:r>
          </w:p>
          <w:p w14:paraId="34897B4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20、X/Z向快移速度m/min6/8</w:t>
            </w:r>
          </w:p>
          <w:p w14:paraId="4499043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21、X向行程mm≥220</w:t>
            </w:r>
          </w:p>
          <w:p w14:paraId="41C8D16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22、Z向行程mm≥1000</w:t>
            </w:r>
          </w:p>
          <w:p w14:paraId="10C9C3F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23、最小设定单位mm≥0.001</w:t>
            </w:r>
          </w:p>
          <w:p w14:paraId="233D74C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24、主电机功率KW≥5.5</w:t>
            </w:r>
          </w:p>
          <w:p w14:paraId="4643D65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二、数控系统</w:t>
            </w:r>
          </w:p>
          <w:p w14:paraId="34988F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数控系统配置要求</w:t>
            </w:r>
          </w:p>
          <w:p w14:paraId="50096C0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系统采用模块化、开放式体系结构，基于总线技术。速度≥100Mb/s、≥4 通道、必须开通后台编辑、DNC 通讯、蓝图编程、以太网控制、可控制绝对编码器功能、纳米插补技术、多主轴控制、三维实体防碰撞技术、模块化、开放式体系结构、支持远程 I/O 单元、支持 CF 卡、USB、以太网等程序展和数据功能，具备智能化功能有传感器的智能温度补偿;智能化的刀具寿命管理。</w:t>
            </w:r>
          </w:p>
          <w:p w14:paraId="2EF4D6B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1、CNC 功能：</w:t>
            </w:r>
          </w:p>
          <w:p w14:paraId="786952A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①最大控制轴9进给轴+2主轴联动轴数6轴；</w:t>
            </w:r>
          </w:p>
          <w:p w14:paraId="52C44AE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②最小插补周期 0.5ms；</w:t>
            </w:r>
          </w:p>
          <w:p w14:paraId="573678F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③最小分辨率 10-4mm/deg/inch；</w:t>
            </w:r>
          </w:p>
          <w:p w14:paraId="77BB636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④最大移动速度 999.999 米/分钟（与驱动单元、机床相关）；</w:t>
            </w:r>
          </w:p>
          <w:p w14:paraId="6219647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⑤直线、圆弧、NURBS；</w:t>
            </w:r>
          </w:p>
          <w:p w14:paraId="779AECE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⑥插补功能参考点返回；</w:t>
            </w:r>
          </w:p>
          <w:p w14:paraId="4CED48B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⑦小线段最大前瞻段数 2048；</w:t>
            </w:r>
          </w:p>
          <w:p w14:paraId="4F262B9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⑧程序段处理速度≥7200 段/秒；</w:t>
            </w:r>
          </w:p>
          <w:p w14:paraId="653AEF6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⑨MDI 功能 M、S、T 功能；</w:t>
            </w:r>
          </w:p>
          <w:p w14:paraId="6413547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⑩加工过程图形仿真和实时跟踪；</w:t>
            </w:r>
          </w:p>
          <w:p w14:paraId="56983E0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⑪内部二级电子齿轮简单车削循环复合车削循环；</w:t>
            </w:r>
          </w:p>
          <w:p w14:paraId="51DB188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⑫自动加减速控制（直线/S 曲线）；</w:t>
            </w:r>
          </w:p>
          <w:p w14:paraId="4A11F06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⑬坐标系设定；</w:t>
            </w:r>
          </w:p>
          <w:p w14:paraId="3E9CCD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2、CNC 编程：</w:t>
            </w:r>
          </w:p>
          <w:p w14:paraId="12FC219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①最大编程尺寸 999999.999mm(最小编程单位为 10-3 时)；</w:t>
            </w:r>
          </w:p>
          <w:p w14:paraId="6FF2982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②最大编程行数 2000行公/英制编程；</w:t>
            </w:r>
          </w:p>
          <w:p w14:paraId="3AB9CA2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③最小编程单位 10-4mm/deg/inch；</w:t>
            </w:r>
          </w:p>
          <w:p w14:paraId="14F7B2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④绝对/相对指令编程宏指令编程；</w:t>
            </w:r>
          </w:p>
          <w:p w14:paraId="2BDCF4C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⑤直径/半径编程自动控制倒角（圆角、直角）；</w:t>
            </w:r>
          </w:p>
          <w:p w14:paraId="202D57A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⑥子程序调用；</w:t>
            </w:r>
          </w:p>
          <w:p w14:paraId="0CF0083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⑦工件坐标系设定；</w:t>
            </w:r>
          </w:p>
          <w:p w14:paraId="4071DC2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3、CNC驱动：</w:t>
            </w:r>
          </w:p>
          <w:p w14:paraId="30B16FD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1、交流伺服驱动装置通过静电放电抗扰度、电快速瞬变脉冲群抗扰度、均正常工作；</w:t>
            </w:r>
          </w:p>
          <w:p w14:paraId="49F28D6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三、配套智能化系</w:t>
            </w:r>
          </w:p>
          <w:p w14:paraId="200B7CB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1、免费联网</w:t>
            </w:r>
          </w:p>
          <w:p w14:paraId="05F3222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需提供有线、无线等多种免费上网方式、设备监控、班次管理等功能、车间看板、APP协同使用、功能之间低耦合，操作简单、多种数据托管方式、需提供丰富的经验案例库，当用户设备出现故障时，可以远程帮助用户自主维修，同时提供大量的设备调试和加工工艺优化案例。</w:t>
            </w:r>
          </w:p>
          <w:p w14:paraId="3C394FD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2、报警监控</w:t>
            </w:r>
          </w:p>
          <w:p w14:paraId="1E5DC88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实时监控设备并推送严重程度较高的报警，提示管理者及时跟进处理，降低设备的停机率，同时可回看历史报警记录，分析故障原因， 保障设备运行良好，降低设备运维的费用。</w:t>
            </w:r>
          </w:p>
          <w:p w14:paraId="5A15257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3、远程诊断/升级</w:t>
            </w:r>
          </w:p>
          <w:p w14:paraId="59AFA6B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提供远程诊断调试工具，可远程查看数控系统的日志、参数、PLC等文件，并提供远程载入功能。后期提供基于远程桌面的诊断调试功能。同时提供远程升级功能，可远程解决部分软件问题。</w:t>
            </w:r>
          </w:p>
          <w:p w14:paraId="23310D9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4、维修/服务统计</w:t>
            </w:r>
          </w:p>
          <w:p w14:paraId="5F5FE93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提供云掌柜客服管理系统，帮助机实现数字化的设备运维管理、售后服务、返修管理、服务统计等功能，为设备服务改进提供数据依据。</w:t>
            </w:r>
          </w:p>
          <w:p w14:paraId="026BAAE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5、运行监控</w:t>
            </w:r>
          </w:p>
          <w:p w14:paraId="3B197FA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提供设备运行监控，产量监控等服务，管理者可以远程管理车间，通过手机、电脑、通过大屏显示器实时查看车间设备的运行状态，生产状态、有效的了解生产加工过程，进而保证安全生产、高效作业。</w:t>
            </w:r>
          </w:p>
          <w:p w14:paraId="3E49FC2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四、配套数控机床平台模拟软件</w:t>
            </w:r>
          </w:p>
          <w:p w14:paraId="040F598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功能要求：</w:t>
            </w:r>
          </w:p>
          <w:p w14:paraId="2BF922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①可用软件在电脑上进行编程，操作，程序模拟，参数修改。</w:t>
            </w:r>
          </w:p>
          <w:p w14:paraId="5BDFE40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②软件具备数控系统平台编辑、编译、开发功能。</w:t>
            </w:r>
          </w:p>
          <w:p w14:paraId="64383A9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③软件模拟后程序可直接导出到数控机床使用。</w:t>
            </w:r>
          </w:p>
          <w:p w14:paraId="0E1D5A1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④软件编辑后的参数可直接导出到数控机床使用。</w:t>
            </w:r>
          </w:p>
          <w:p w14:paraId="3911DE6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⑤软件编辑的代码可直接导出到数控机床上使用。</w:t>
            </w:r>
          </w:p>
          <w:p w14:paraId="69BD80A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五、其他技术要求：</w:t>
            </w:r>
          </w:p>
          <w:p w14:paraId="6206F1B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1）验收时提供全套机床电气原理图；</w:t>
            </w:r>
          </w:p>
          <w:p w14:paraId="0B135618">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2）验收前提供关于设备的安装调试、维护保养等方面的培训。</w:t>
            </w:r>
          </w:p>
        </w:tc>
        <w:tc>
          <w:tcPr>
            <w:tcW w:w="1283" w:type="dxa"/>
            <w:vAlign w:val="center"/>
          </w:tcPr>
          <w:p w14:paraId="6984DBE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27.00</w:t>
            </w:r>
          </w:p>
        </w:tc>
      </w:tr>
      <w:tr w14:paraId="0AB8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4A939F28">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w:t>
            </w:r>
          </w:p>
        </w:tc>
        <w:tc>
          <w:tcPr>
            <w:tcW w:w="1592" w:type="dxa"/>
            <w:noWrap/>
            <w:vAlign w:val="center"/>
          </w:tcPr>
          <w:p w14:paraId="1C467753">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四人位钳工台</w:t>
            </w:r>
          </w:p>
        </w:tc>
        <w:tc>
          <w:tcPr>
            <w:tcW w:w="1117" w:type="dxa"/>
            <w:noWrap/>
            <w:vAlign w:val="center"/>
          </w:tcPr>
          <w:p w14:paraId="53BF6C6C">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9台</w:t>
            </w:r>
          </w:p>
        </w:tc>
        <w:tc>
          <w:tcPr>
            <w:tcW w:w="9270" w:type="dxa"/>
            <w:vAlign w:val="center"/>
          </w:tcPr>
          <w:p w14:paraId="2350779B">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尺寸要求：≧1500MM*1500MM*800MM</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材料要求：工业级冷轧钢，加厚壁管</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桌面要求：采用高密度，复合型，防静电桌面板材，上方覆盖不锈钢板包裹。</w:t>
            </w:r>
          </w:p>
        </w:tc>
        <w:tc>
          <w:tcPr>
            <w:tcW w:w="1283" w:type="dxa"/>
            <w:vAlign w:val="center"/>
          </w:tcPr>
          <w:p w14:paraId="624F5AF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5.85</w:t>
            </w:r>
          </w:p>
        </w:tc>
      </w:tr>
      <w:tr w14:paraId="0DF0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0B4682D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1592" w:type="dxa"/>
            <w:noWrap/>
            <w:vAlign w:val="center"/>
          </w:tcPr>
          <w:p w14:paraId="791FF7DC">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立式砂轮机</w:t>
            </w:r>
          </w:p>
        </w:tc>
        <w:tc>
          <w:tcPr>
            <w:tcW w:w="1117" w:type="dxa"/>
            <w:noWrap/>
            <w:vAlign w:val="center"/>
          </w:tcPr>
          <w:p w14:paraId="79CE025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1台</w:t>
            </w:r>
          </w:p>
        </w:tc>
        <w:tc>
          <w:tcPr>
            <w:tcW w:w="9270" w:type="dxa"/>
            <w:vAlign w:val="center"/>
          </w:tcPr>
          <w:p w14:paraId="59FB4D23">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额定电压：380V</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功率：750W</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转速：2600R/min</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砂轮线速：35M/S</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最大砂轮尺寸：240*25*30MM</w:t>
            </w:r>
          </w:p>
        </w:tc>
        <w:tc>
          <w:tcPr>
            <w:tcW w:w="1283" w:type="dxa"/>
            <w:vAlign w:val="center"/>
          </w:tcPr>
          <w:p w14:paraId="74259D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0.42</w:t>
            </w:r>
          </w:p>
        </w:tc>
      </w:tr>
      <w:tr w14:paraId="462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 w:type="dxa"/>
            <w:noWrap/>
            <w:vAlign w:val="center"/>
          </w:tcPr>
          <w:p w14:paraId="2230F81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w:t>
            </w:r>
          </w:p>
        </w:tc>
        <w:tc>
          <w:tcPr>
            <w:tcW w:w="1592" w:type="dxa"/>
            <w:noWrap/>
            <w:vAlign w:val="center"/>
          </w:tcPr>
          <w:p w14:paraId="57363B31">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数控立式加工中心维修改造</w:t>
            </w:r>
          </w:p>
        </w:tc>
        <w:tc>
          <w:tcPr>
            <w:tcW w:w="1117" w:type="dxa"/>
            <w:noWrap/>
            <w:vAlign w:val="center"/>
          </w:tcPr>
          <w:p w14:paraId="47754764">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3台</w:t>
            </w:r>
          </w:p>
        </w:tc>
        <w:tc>
          <w:tcPr>
            <w:tcW w:w="9270" w:type="dxa"/>
            <w:shd w:val="clear" w:color="auto" w:fill="auto"/>
            <w:vAlign w:val="center"/>
          </w:tcPr>
          <w:p w14:paraId="6B1E850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待改造的机床是650系列数控立式加工中心，现有匹配系统为发那科数控系统，机床共有三个伺服直线运动轴，一个伺服主轴，机床用于生产和教学。根据教学需求，考虑到对接</w:t>
            </w:r>
            <w:r>
              <w:rPr>
                <w:rFonts w:hint="eastAsia" w:ascii="仿宋" w:hAnsi="仿宋" w:eastAsia="仿宋" w:cs="仿宋"/>
                <w:b w:val="0"/>
                <w:bCs w:val="0"/>
                <w:i w:val="0"/>
                <w:iCs w:val="0"/>
                <w:color w:val="000000"/>
                <w:kern w:val="0"/>
                <w:sz w:val="28"/>
                <w:szCs w:val="28"/>
                <w:u w:val="none"/>
                <w:lang w:val="en-US" w:eastAsia="zh-Hans" w:bidi="ar"/>
                <w14:ligatures w14:val="none"/>
              </w:rPr>
              <w:t>市</w:t>
            </w:r>
            <w:r>
              <w:rPr>
                <w:rFonts w:hint="eastAsia" w:ascii="仿宋" w:hAnsi="仿宋" w:eastAsia="仿宋" w:cs="仿宋"/>
                <w:b w:val="0"/>
                <w:bCs w:val="0"/>
                <w:i w:val="0"/>
                <w:iCs w:val="0"/>
                <w:color w:val="000000"/>
                <w:kern w:val="0"/>
                <w:sz w:val="28"/>
                <w:szCs w:val="28"/>
                <w:u w:val="none"/>
                <w:lang w:val="en-US" w:eastAsia="zh-CN" w:bidi="ar"/>
                <w14:ligatures w14:val="none"/>
              </w:rPr>
              <w:t>赛与</w:t>
            </w:r>
            <w:r>
              <w:rPr>
                <w:rFonts w:hint="eastAsia" w:ascii="仿宋" w:hAnsi="仿宋" w:eastAsia="仿宋" w:cs="仿宋"/>
                <w:b w:val="0"/>
                <w:bCs w:val="0"/>
                <w:i w:val="0"/>
                <w:iCs w:val="0"/>
                <w:color w:val="000000"/>
                <w:kern w:val="0"/>
                <w:sz w:val="28"/>
                <w:szCs w:val="28"/>
                <w:u w:val="none"/>
                <w:lang w:val="en-US" w:eastAsia="zh-Hans" w:bidi="ar"/>
                <w14:ligatures w14:val="none"/>
              </w:rPr>
              <w:t>省</w:t>
            </w:r>
            <w:r>
              <w:rPr>
                <w:rFonts w:hint="eastAsia" w:ascii="仿宋" w:hAnsi="仿宋" w:eastAsia="仿宋" w:cs="仿宋"/>
                <w:b w:val="0"/>
                <w:bCs w:val="0"/>
                <w:i w:val="0"/>
                <w:iCs w:val="0"/>
                <w:color w:val="000000"/>
                <w:kern w:val="0"/>
                <w:sz w:val="28"/>
                <w:szCs w:val="28"/>
                <w:u w:val="none"/>
                <w:lang w:val="en-US" w:eastAsia="zh-CN" w:bidi="ar"/>
                <w14:ligatures w14:val="none"/>
              </w:rPr>
              <w:t>赛，需对机床的数控系统进行升级改造，同时对机床部分机械进行调整，从而使机床达到稳定、正常使用，满足教学和加工要求。</w:t>
            </w:r>
          </w:p>
          <w:p w14:paraId="7C9C16D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改造整体实施规划：将机床升级改造成三轴三联动半闭环数控机床。机床改造采用国产高档总线式数控系统，需要对机床三个进给轴电机进行数控化升级，重新规划电气柜，重新铺设线。</w:t>
            </w:r>
          </w:p>
          <w:p w14:paraId="5FE657F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需采用一体化模块设计，开放式体系结构，基于具有自主知识产权的总线技术，支持总线式I/O，支持CF卡、USB、以太网等程序扩展和数据交换功能。具体数控化改造技术方案如下：</w:t>
            </w:r>
          </w:p>
          <w:p w14:paraId="5D2711F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（1）电气部分</w:t>
            </w:r>
          </w:p>
          <w:p w14:paraId="1B9E8A5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1、数控系统采用国产高档总线式数控系统，3轴3联动，具有网络和USB数据交换功能；</w:t>
            </w:r>
          </w:p>
          <w:p w14:paraId="11EC81B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2、数控系统采用单独的UPS电源供电；</w:t>
            </w:r>
          </w:p>
          <w:p w14:paraId="16D799D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3、采用总线式PLC模块，≥16点输入点；输出点；</w:t>
            </w:r>
          </w:p>
          <w:p w14:paraId="651CB72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4、机床更换X、Y、Z轴伺服驱动器，选配总线式伺服驱动器及绝对值编码器总线进行改造，因电机原有码盘线缆不能匹配现有驱动器，需要更换新的码盘线缆：</w:t>
            </w:r>
          </w:p>
          <w:p w14:paraId="0A7703F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5、主轴系统：升级更换原主轴伺服控制系统，主轴采用普通变频器及变频电机控制主轴运动。</w:t>
            </w:r>
          </w:p>
          <w:p w14:paraId="15B6384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6、更换新的移动式手持单元，控制范围半径3米，磁性固定，放置在操作站一侧；</w:t>
            </w:r>
          </w:p>
          <w:p w14:paraId="088A781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7、保留原电气控制柜体，重新规划电气柜，根据新系统控制要求，整改机床的电气控制线路，检修电柜热交换器、三色灯等，增加系统上电继电器，确保能够达到正常功能使用要求；</w:t>
            </w:r>
          </w:p>
          <w:p w14:paraId="74D03ED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8、保留原数控系统操作箱，现场配装新的数控系统；</w:t>
            </w:r>
          </w:p>
          <w:p w14:paraId="7BC58C4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9、保留机床电气控制系统严密保护功能、自动报警及故障显示系统；</w:t>
            </w:r>
          </w:p>
          <w:p w14:paraId="3FC5ACC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10、整理、清洁机床所有连接线缆及线缆防护软管、拖链、工作灯等，使机床布线整洁、美观；</w:t>
            </w:r>
          </w:p>
          <w:p w14:paraId="5EA898E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11、设备和控制系统增加可靠的保护接地；</w:t>
            </w:r>
          </w:p>
          <w:p w14:paraId="31A558C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12、根据机床动作要求，重新编制PLC，并具有严密的保护及报警提示信息，便于故障查询和维护；</w:t>
            </w:r>
          </w:p>
          <w:p w14:paraId="12C850A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（2）数控系统功能</w:t>
            </w:r>
          </w:p>
          <w:p w14:paraId="58AAC74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1、CNC 功能：</w:t>
            </w:r>
          </w:p>
          <w:p w14:paraId="10CDB29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①最大控制轴9进给轴+2主轴联动轴数6轴；</w:t>
            </w:r>
          </w:p>
          <w:p w14:paraId="6AEF18B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②最小插补周期 0.5ms；</w:t>
            </w:r>
          </w:p>
          <w:p w14:paraId="0C57429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③最小分辨率10-4mm/deg/inch；</w:t>
            </w:r>
          </w:p>
          <w:p w14:paraId="3013C08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④最大移动速度 999.999 米/分钟（与驱动单元、机床相关）；</w:t>
            </w:r>
          </w:p>
          <w:p w14:paraId="775DD70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⑤直线、圆弧、NURBS；</w:t>
            </w:r>
          </w:p>
          <w:p w14:paraId="2FE128C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⑥插补功能参考点返回；</w:t>
            </w:r>
          </w:p>
          <w:p w14:paraId="0E0AB21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⑦小线段最大前瞻段数 2048；</w:t>
            </w:r>
          </w:p>
          <w:p w14:paraId="4AC490A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⑧程序段处理速度≥7200 段/秒；</w:t>
            </w:r>
          </w:p>
          <w:p w14:paraId="206765A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⑨MDI 功能 M、S、T 功能；</w:t>
            </w:r>
          </w:p>
          <w:p w14:paraId="346E239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⑩加工过程图形仿真和实时跟踪；</w:t>
            </w:r>
          </w:p>
          <w:p w14:paraId="069B8F2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⑪内部二级电子齿轮简单车削循环复合车削循环；</w:t>
            </w:r>
          </w:p>
          <w:p w14:paraId="6D0B927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⑫自动加减速控制（直线/S 曲线）；</w:t>
            </w:r>
          </w:p>
          <w:p w14:paraId="41487C1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⑬坐标系设定；</w:t>
            </w:r>
          </w:p>
          <w:p w14:paraId="44D5FAE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2、CNC 编程：</w:t>
            </w:r>
          </w:p>
          <w:p w14:paraId="33CC0F4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①最大编程尺寸 999999.999mm(最小编程单位为 10-3 时)；</w:t>
            </w:r>
          </w:p>
          <w:p w14:paraId="1C8A4F3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②最大编程行数 2000行公/英制编程；</w:t>
            </w:r>
          </w:p>
          <w:p w14:paraId="2A55215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③最小编程单位 10-4mm/deg/inch；</w:t>
            </w:r>
          </w:p>
          <w:p w14:paraId="1BDCA1E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④绝对/相对指令编程宏指令编程；</w:t>
            </w:r>
          </w:p>
          <w:p w14:paraId="614B853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⑤直径/半径编程自动控制倒角（圆角、直角）；</w:t>
            </w:r>
          </w:p>
          <w:p w14:paraId="51F9054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⑥子程序调用；</w:t>
            </w:r>
          </w:p>
          <w:p w14:paraId="2A29BBF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⑦工件坐标系设定；</w:t>
            </w:r>
          </w:p>
          <w:p w14:paraId="75D3054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3、CNC驱动：</w:t>
            </w:r>
          </w:p>
          <w:p w14:paraId="13CC7F6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1、交流伺服驱动装置通过静电放电抗扰度、电快速瞬变脉冲群抗扰度、均正常工作；</w:t>
            </w:r>
          </w:p>
          <w:p w14:paraId="3E08BEA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（3）配套智能化云数控管家</w:t>
            </w:r>
          </w:p>
          <w:p w14:paraId="1486BF0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1、免费联网</w:t>
            </w:r>
          </w:p>
          <w:p w14:paraId="04B613D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需提供有线、无线等多种免费上网方式、设备监控、班次管理等功能、车间看板、APP协同使用、功能之间低耦合，操作简单、多种数据托管方式、需提供丰富的经验案例库，当用户设备出现故障时，可以远程帮助用户自主维修，同时提供大量的设备调试和加工工艺优化案例。</w:t>
            </w:r>
          </w:p>
          <w:p w14:paraId="4473CB6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2、报警监控</w:t>
            </w:r>
          </w:p>
          <w:p w14:paraId="2BC9412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实时监控设备并推送严重程度较高的报警，提示管理者及时跟进处理，降低设备的停机率，同时可回看历史报警记录，分析故障原因， 保障设备运行良好，降低设备运维的费用。</w:t>
            </w:r>
          </w:p>
          <w:p w14:paraId="630BE6B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3、远程诊断/升级</w:t>
            </w:r>
          </w:p>
          <w:p w14:paraId="1782FFF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提供远程诊断调试工具，可远程查看数控系统的日志、参数、PLC等文件，并提供远程载入功能。后期提供基于远程桌面的诊断调试功能。同时提供远程升级功能，可远程解决部分软件问题。</w:t>
            </w:r>
          </w:p>
          <w:p w14:paraId="0C88E27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4、维修/服务统计</w:t>
            </w:r>
          </w:p>
          <w:p w14:paraId="030C86C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提供云掌柜客服管理系统，帮助机实现数字化的设备运维管理、售后服务、返修管理、服务统计等功能，为设备服务改进提供数据依据。</w:t>
            </w:r>
          </w:p>
          <w:p w14:paraId="358800C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5、运行监控</w:t>
            </w:r>
          </w:p>
          <w:p w14:paraId="3976A6E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提供设备运行监控，产量监控等服务，管理者可以远程管理车间，通过手机、电脑、通过大屏显示器实时查看车间设备的运行状态，生产状态、有效的了解生产加工过程，进而保证安全生产、高效作业。</w:t>
            </w:r>
          </w:p>
          <w:p w14:paraId="20274D2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（4）配套数控机床平台模拟软件</w:t>
            </w:r>
          </w:p>
          <w:p w14:paraId="32BC194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功能要求：</w:t>
            </w:r>
          </w:p>
          <w:p w14:paraId="267D0BC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①可用软件在电脑上进行编程，操作，程序模拟，参数修改。</w:t>
            </w:r>
          </w:p>
          <w:p w14:paraId="7902118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②软件具备数控系统平台编辑、编译、开发功能。 </w:t>
            </w:r>
          </w:p>
          <w:p w14:paraId="04F14AF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③软件模拟后程序可直接导出到数控机床使用。 </w:t>
            </w:r>
          </w:p>
          <w:p w14:paraId="2BA2247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④软件编辑后的参数可直接导出到数控机床使用。 </w:t>
            </w:r>
          </w:p>
          <w:p w14:paraId="17C7976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⑤软件编辑的代码可直接导出到数控机床上使用。</w:t>
            </w:r>
          </w:p>
          <w:p w14:paraId="02A0FE2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（5）机械部分</w:t>
            </w:r>
          </w:p>
          <w:p w14:paraId="117E518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1、机床整体进行清扫、检修；</w:t>
            </w:r>
          </w:p>
          <w:p w14:paraId="659C1B8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2、主轴部分：</w:t>
            </w:r>
          </w:p>
          <w:p w14:paraId="5277912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检修主轴同步带轮，确保主轴运转平稳；</w:t>
            </w:r>
          </w:p>
          <w:p w14:paraId="4BDE34E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3、X轴部分：</w:t>
            </w:r>
          </w:p>
          <w:p w14:paraId="2A5EF32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检修保养滚珠丝杠、丝杠螺母，检修丝杠两端的定位轴承；</w:t>
            </w:r>
          </w:p>
          <w:p w14:paraId="4A66D6B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调整X轴反向间隙；</w:t>
            </w:r>
          </w:p>
          <w:p w14:paraId="2DE54E7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4、Y轴部分：</w:t>
            </w:r>
          </w:p>
          <w:p w14:paraId="27385EF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检修保养滚珠丝杠、丝杠螺母，检修丝杠两端的定位轴承；</w:t>
            </w:r>
          </w:p>
          <w:p w14:paraId="0C3508F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调整Y轴反向间隙；</w:t>
            </w:r>
          </w:p>
          <w:p w14:paraId="5DF0410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5、Z轴部分：</w:t>
            </w:r>
          </w:p>
          <w:p w14:paraId="5833DD7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检修保养滚珠丝杠、丝杠螺母，检修丝杠两端的定位轴承；</w:t>
            </w:r>
          </w:p>
          <w:p w14:paraId="0D63B5C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调整Z轴反向间隙；</w:t>
            </w:r>
          </w:p>
          <w:p w14:paraId="73A57FF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7、油路部分：检修机床润滑油路，疏通油路，使得机床各移动部位润滑到位；</w:t>
            </w:r>
          </w:p>
          <w:p w14:paraId="74F633C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8、冷却部分：检修机床冷却泵，疏通冷却管路；</w:t>
            </w:r>
          </w:p>
          <w:p w14:paraId="1851232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9、气路部分：检修气路气源三联件，疏通机床气路；</w:t>
            </w:r>
          </w:p>
          <w:p w14:paraId="12E2CE9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10、机床防护罩：检查防护罩安装情况，排除机床漏水问题；</w:t>
            </w:r>
          </w:p>
          <w:p w14:paraId="0BD2142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（6）其他技术要求：</w:t>
            </w:r>
          </w:p>
          <w:p w14:paraId="57F8424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1）验收时提供全套机床电气原理图；</w:t>
            </w:r>
          </w:p>
          <w:p w14:paraId="0406F922">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2）验收前提供关于设备的安装调试、维护保养等方面的培训</w:t>
            </w:r>
          </w:p>
        </w:tc>
        <w:tc>
          <w:tcPr>
            <w:tcW w:w="1283" w:type="dxa"/>
            <w:vAlign w:val="center"/>
          </w:tcPr>
          <w:p w14:paraId="438B2C0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19.50</w:t>
            </w:r>
          </w:p>
        </w:tc>
      </w:tr>
    </w:tbl>
    <w:p w14:paraId="7C1F077B">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2"/>
        <w:rPr>
          <w:rFonts w:hint="eastAsia" w:ascii="仿宋" w:hAnsi="仿宋" w:eastAsia="仿宋" w:cs="仿宋"/>
          <w:lang w:eastAsia="zh-CN"/>
        </w:rPr>
      </w:pPr>
    </w:p>
    <w:p w14:paraId="2B11A4D4">
      <w:pPr>
        <w:pStyle w:val="12"/>
        <w:spacing w:line="241" w:lineRule="auto"/>
        <w:rPr>
          <w:rFonts w:hint="eastAsia" w:ascii="仿宋" w:hAnsi="仿宋" w:eastAsia="仿宋" w:cs="仿宋"/>
          <w:lang w:eastAsia="zh-CN"/>
        </w:rPr>
      </w:pPr>
    </w:p>
    <w:p w14:paraId="5EED225E">
      <w:pPr>
        <w:pStyle w:val="12"/>
        <w:spacing w:line="241" w:lineRule="auto"/>
        <w:rPr>
          <w:rFonts w:hint="eastAsia" w:ascii="仿宋" w:hAnsi="仿宋" w:eastAsia="仿宋" w:cs="仿宋"/>
          <w:lang w:eastAsia="zh-CN"/>
        </w:rPr>
      </w:pPr>
    </w:p>
    <w:p w14:paraId="4A4C69AF">
      <w:pPr>
        <w:pStyle w:val="12"/>
        <w:spacing w:line="241" w:lineRule="auto"/>
        <w:rPr>
          <w:rFonts w:hint="eastAsia" w:ascii="仿宋" w:hAnsi="仿宋" w:eastAsia="仿宋" w:cs="仿宋"/>
          <w:lang w:eastAsia="zh-CN"/>
        </w:rPr>
      </w:pPr>
    </w:p>
    <w:p w14:paraId="707F29E0">
      <w:pPr>
        <w:pStyle w:val="12"/>
        <w:spacing w:line="241" w:lineRule="auto"/>
        <w:rPr>
          <w:rFonts w:hint="eastAsia" w:ascii="仿宋" w:hAnsi="仿宋" w:eastAsia="仿宋" w:cs="仿宋"/>
          <w:lang w:eastAsia="zh-CN"/>
        </w:rPr>
      </w:pPr>
    </w:p>
    <w:p w14:paraId="59766545">
      <w:pPr>
        <w:pStyle w:val="1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2"/>
        <w:spacing w:line="317" w:lineRule="auto"/>
        <w:rPr>
          <w:rFonts w:hint="eastAsia" w:ascii="仿宋" w:hAnsi="仿宋" w:eastAsia="仿宋" w:cs="仿宋"/>
          <w:lang w:eastAsia="zh-CN"/>
        </w:rPr>
      </w:pPr>
    </w:p>
    <w:p w14:paraId="5440CDA7">
      <w:pPr>
        <w:pStyle w:val="1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2"/>
        <w:spacing w:line="315" w:lineRule="auto"/>
        <w:rPr>
          <w:rFonts w:hint="eastAsia" w:ascii="仿宋" w:hAnsi="仿宋" w:eastAsia="仿宋" w:cs="仿宋"/>
          <w:lang w:eastAsia="zh-CN"/>
        </w:rPr>
      </w:pPr>
    </w:p>
    <w:p w14:paraId="23E77905">
      <w:pPr>
        <w:pStyle w:val="1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2"/>
        <w:spacing w:line="316" w:lineRule="auto"/>
        <w:rPr>
          <w:rFonts w:hint="eastAsia" w:ascii="仿宋" w:hAnsi="仿宋" w:eastAsia="仿宋" w:cs="仿宋"/>
          <w:lang w:eastAsia="zh-CN"/>
        </w:rPr>
      </w:pPr>
    </w:p>
    <w:p w14:paraId="53649920">
      <w:pPr>
        <w:pStyle w:val="1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2"/>
        <w:spacing w:line="317" w:lineRule="auto"/>
        <w:rPr>
          <w:rFonts w:hint="eastAsia" w:ascii="仿宋" w:hAnsi="仿宋" w:eastAsia="仿宋" w:cs="仿宋"/>
          <w:lang w:eastAsia="zh-CN"/>
        </w:rPr>
      </w:pPr>
    </w:p>
    <w:p w14:paraId="036C1C06">
      <w:pPr>
        <w:pStyle w:val="12"/>
        <w:spacing w:line="317" w:lineRule="auto"/>
        <w:rPr>
          <w:rFonts w:hint="eastAsia" w:ascii="仿宋" w:hAnsi="仿宋" w:eastAsia="仿宋" w:cs="仿宋"/>
          <w:lang w:eastAsia="zh-CN"/>
        </w:rPr>
      </w:pPr>
    </w:p>
    <w:p w14:paraId="657BB1CC">
      <w:pPr>
        <w:pStyle w:val="1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7"/>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7"/>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7"/>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7"/>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7"/>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7"/>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 年材料学院机电教研室教学科研仪器采购项目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1"/>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33"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 年材料学院机电教研室教学科研仪器采购项目</w:t>
            </w:r>
          </w:p>
        </w:tc>
        <w:tc>
          <w:tcPr>
            <w:tcW w:w="1847" w:type="pct"/>
            <w:shd w:val="clear" w:color="auto" w:fill="FFFFFF"/>
            <w:tcMar>
              <w:left w:w="105" w:type="dxa"/>
              <w:right w:w="105" w:type="dxa"/>
            </w:tcMar>
            <w:vAlign w:val="center"/>
          </w:tcPr>
          <w:p w14:paraId="6F333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1E98D2D4">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1.供货期：自合同签署之日起 15 工作日内按采购人指定地点安装、调试、试运行（用）合格并通过验收。</w:t>
            </w:r>
          </w:p>
          <w:p w14:paraId="61782C72">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2.质保期：提供原厂商3 年的免费质保，质保期自甲方最终验收合格之日起开始计算。</w:t>
            </w:r>
          </w:p>
          <w:p w14:paraId="4E47543E">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质保期内，本项目所有货物维保、保养均为免费，每年至少提供一次对本项目所供货物及安装线路的免费巡检，并提供巡检报告，保证设备正常运行使用。</w:t>
            </w:r>
          </w:p>
          <w:p w14:paraId="1E9F8FF1">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3.乙方所投货物必须是原厂生产的合格正品。对包含软件的货物，所投软件必须是合法、正版的原厂家软件且是目前最新版本，质量保证期内提供免费维护和升级服务。</w:t>
            </w:r>
          </w:p>
          <w:p w14:paraId="04FB74A7">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3.售后服务：供应商提供硬件终身保修、软件终身升级维护且采购人具有软件终身使用权，电话报修后 12 小时内上门服务、6小时内能够排除故障。货物质保期内，如果货物产品故障仍无法排除，乙方应及时提供不低于故障产品规格型号档次的备用产品供甲方暂时使用，直至故障产品修复后甲方退还备用产品。质量保证期内售后服务发生的一切费用由乙方承担。</w:t>
            </w:r>
          </w:p>
          <w:p w14:paraId="29EA6E3A">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 xml:space="preserve">4.培训：（1）提供不少于 10天 </w:t>
            </w:r>
            <w:bookmarkStart w:id="0" w:name="_GoBack"/>
            <w:bookmarkEnd w:id="0"/>
            <w:r>
              <w:rPr>
                <w:rFonts w:hint="eastAsia" w:ascii="仿宋" w:hAnsi="仿宋" w:eastAsia="仿宋" w:cs="仿宋"/>
                <w:sz w:val="24"/>
                <w:szCs w:val="24"/>
              </w:rPr>
              <w:t>的线下培训，培训授课人必须是工程师、技术员等，且熟悉产品的操作和日常维护。其中，桌面式工业机器人培训不少于5天，智能制造单元系统集成平台培训不少于5天；（2）通过培训必须能保证参加培训人员对产品有较全面的了解，并熟悉掌握产品的操作和日常维护；（3）需为参训人为提供相关文字资料、讲义等资料，培训课程双方商定；（4）场地、交通等与培训相关的费用均由成交供应商承担。</w:t>
            </w:r>
          </w:p>
          <w:p w14:paraId="784D1CA0">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5.验收标准：（1）货物运抵买方指定地点后，由采购人和成交供应商组织相关人员共同对到货货物数量、型号、外观、包装质量、技术资料等进行检查，双方确认后开始安装，安装后进行破损性抽查；</w:t>
            </w:r>
          </w:p>
          <w:p w14:paraId="75089083">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交付验收标准：依次序对照适用标准为：①符合中华人民共和国国家安全质量标准、环保标准或行业标准；②符合招标文件和投标文件承诺中买方认可的合理最佳配置、参数、及各项要求；技术参数需进行现场测试的，应以现场测试数据为准。③货物来源国官方标准。上述标准必须是有关官方机构发布的最新版本的标准。</w:t>
            </w:r>
          </w:p>
          <w:p w14:paraId="26AD7DB6">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6.对于不合格的货物，成交供应商必须在5个工作日内及时完成更换并重新进行验收。</w:t>
            </w:r>
          </w:p>
          <w:p w14:paraId="74D7C75F">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7.所有产品必修标有产品名称、厂家、规格型号等的铭牌，铭牌信息必须与中标合同上一致。</w:t>
            </w:r>
          </w:p>
          <w:p w14:paraId="7DA883D1">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8.报价要求包含税费、材料费、人工费、运输费、安装以及不可预见的所有费用。</w:t>
            </w:r>
          </w:p>
          <w:p w14:paraId="766E3FCB">
            <w:pPr>
              <w:pStyle w:val="18"/>
              <w:widowControl/>
              <w:spacing w:before="0" w:beforeAutospacing="0" w:after="0" w:afterAutospacing="0"/>
              <w:jc w:val="center"/>
              <w:rPr>
                <w:rFonts w:hint="eastAsia" w:ascii="仿宋" w:hAnsi="仿宋" w:eastAsia="仿宋" w:cs="仿宋"/>
                <w:sz w:val="24"/>
                <w:szCs w:val="24"/>
              </w:rPr>
            </w:pPr>
          </w:p>
          <w:p w14:paraId="2F1D4A64">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embedRegular r:id="rId1" w:fontKey="{CB4A033C-F9BD-409A-ADB1-B65689665822}"/>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EB8A3DE-7E29-430C-88DA-06FA183D5F8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5ED3628"/>
    <w:rsid w:val="0810501E"/>
    <w:rsid w:val="0F0547E3"/>
    <w:rsid w:val="143329BA"/>
    <w:rsid w:val="1AF37BE5"/>
    <w:rsid w:val="1EF12658"/>
    <w:rsid w:val="1FF62A1D"/>
    <w:rsid w:val="1FFE5062"/>
    <w:rsid w:val="224E3596"/>
    <w:rsid w:val="2AF75C96"/>
    <w:rsid w:val="2C0010DA"/>
    <w:rsid w:val="311D118B"/>
    <w:rsid w:val="33666065"/>
    <w:rsid w:val="36236742"/>
    <w:rsid w:val="3BEE13C4"/>
    <w:rsid w:val="3D3F5F33"/>
    <w:rsid w:val="3D695935"/>
    <w:rsid w:val="4074002B"/>
    <w:rsid w:val="43A65325"/>
    <w:rsid w:val="4E6F4E89"/>
    <w:rsid w:val="524C2520"/>
    <w:rsid w:val="54FD6FAA"/>
    <w:rsid w:val="583B146D"/>
    <w:rsid w:val="5DFB7E08"/>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6">
    <w:name w:val="heading 5"/>
    <w:basedOn w:val="1"/>
    <w:next w:val="1"/>
    <w:link w:val="29"/>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30"/>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31"/>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unhideWhenUsed/>
    <w:qFormat/>
    <w:uiPriority w:val="99"/>
  </w:style>
  <w:style w:type="paragraph" w:styleId="12">
    <w:name w:val="Body Text"/>
    <w:basedOn w:val="1"/>
    <w:link w:val="46"/>
    <w:semiHidden/>
    <w:qFormat/>
    <w:uiPriority w:val="0"/>
  </w:style>
  <w:style w:type="paragraph" w:styleId="13">
    <w:name w:val="footer"/>
    <w:basedOn w:val="1"/>
    <w:link w:val="44"/>
    <w:unhideWhenUsed/>
    <w:qFormat/>
    <w:uiPriority w:val="99"/>
    <w:pPr>
      <w:tabs>
        <w:tab w:val="center" w:pos="4153"/>
        <w:tab w:val="right" w:pos="8306"/>
      </w:tabs>
    </w:pPr>
    <w:rPr>
      <w:sz w:val="18"/>
      <w:szCs w:val="18"/>
    </w:rPr>
  </w:style>
  <w:style w:type="paragraph" w:styleId="14">
    <w:name w:val="header"/>
    <w:basedOn w:val="1"/>
    <w:link w:val="43"/>
    <w:unhideWhenUsed/>
    <w:qFormat/>
    <w:uiPriority w:val="99"/>
    <w:pPr>
      <w:tabs>
        <w:tab w:val="center" w:pos="4153"/>
        <w:tab w:val="right" w:pos="8306"/>
      </w:tabs>
      <w:jc w:val="center"/>
    </w:pPr>
    <w:rPr>
      <w:sz w:val="18"/>
      <w:szCs w:val="18"/>
    </w:rPr>
  </w:style>
  <w:style w:type="paragraph" w:styleId="15">
    <w:name w:val="toc 1"/>
    <w:basedOn w:val="16"/>
    <w:next w:val="1"/>
    <w:qFormat/>
    <w:uiPriority w:val="39"/>
    <w:pPr>
      <w:spacing w:before="360"/>
      <w:jc w:val="left"/>
    </w:pPr>
    <w:rPr>
      <w:rFonts w:ascii="Cambria" w:hAnsi="Cambria" w:eastAsia="宋体" w:cs="Times New Roman"/>
      <w:b/>
      <w:bCs/>
      <w:caps/>
      <w:sz w:val="24"/>
    </w:rPr>
  </w:style>
  <w:style w:type="paragraph" w:styleId="16">
    <w:name w:val="index 1"/>
    <w:basedOn w:val="1"/>
    <w:next w:val="1"/>
    <w:qFormat/>
    <w:uiPriority w:val="0"/>
    <w:pPr>
      <w:outlineLvl w:val="1"/>
    </w:pPr>
    <w:rPr>
      <w:rFonts w:ascii="Times New Roman" w:hAnsi="Times New Roman" w:eastAsia="宋体" w:cs="Times New Roman"/>
      <w:color w:val="000000"/>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Body Text First Indent"/>
    <w:basedOn w:val="12"/>
    <w:qFormat/>
    <w:uiPriority w:val="0"/>
    <w:pPr>
      <w:ind w:firstLine="420" w:firstLineChars="100"/>
    </w:pPr>
    <w:rPr>
      <w:rFonts w:ascii="宋体" w:hAnsi="Times New Roman" w:cs="Times New Roman"/>
      <w:kern w:val="0"/>
      <w:sz w:val="3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1 字符"/>
    <w:basedOn w:val="23"/>
    <w:link w:val="2"/>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5"/>
    <w:semiHidden/>
    <w:qFormat/>
    <w:uiPriority w:val="9"/>
    <w:rPr>
      <w:rFonts w:cstheme="majorBidi"/>
      <w:color w:val="2F5597" w:themeColor="accent1" w:themeShade="BF"/>
      <w:sz w:val="28"/>
      <w:szCs w:val="28"/>
    </w:rPr>
  </w:style>
  <w:style w:type="character" w:customStyle="1" w:styleId="29">
    <w:name w:val="标题 5 字符"/>
    <w:basedOn w:val="23"/>
    <w:link w:val="6"/>
    <w:semiHidden/>
    <w:qFormat/>
    <w:uiPriority w:val="9"/>
    <w:rPr>
      <w:rFonts w:cstheme="majorBidi"/>
      <w:color w:val="2F5597" w:themeColor="accent1" w:themeShade="BF"/>
      <w:sz w:val="24"/>
    </w:rPr>
  </w:style>
  <w:style w:type="character" w:customStyle="1" w:styleId="30">
    <w:name w:val="标题 6 字符"/>
    <w:basedOn w:val="23"/>
    <w:link w:val="7"/>
    <w:semiHidden/>
    <w:qFormat/>
    <w:uiPriority w:val="9"/>
    <w:rPr>
      <w:rFonts w:cstheme="majorBidi"/>
      <w:b/>
      <w:bCs/>
      <w:color w:val="2F5597" w:themeColor="accent1" w:themeShade="BF"/>
      <w:sz w:val="28"/>
    </w:rPr>
  </w:style>
  <w:style w:type="character" w:customStyle="1" w:styleId="31">
    <w:name w:val="标题 7 字符"/>
    <w:basedOn w:val="23"/>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2">
    <w:name w:val="标题 8 字符"/>
    <w:basedOn w:val="23"/>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3">
    <w:name w:val="标题 9 字符"/>
    <w:basedOn w:val="23"/>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rFonts w:eastAsia="仿宋"/>
      <w:i/>
      <w:iCs/>
      <w:color w:val="2F5597" w:themeColor="accent1" w:themeShade="BF"/>
      <w:sz w:val="28"/>
    </w:rPr>
  </w:style>
  <w:style w:type="character" w:customStyle="1" w:styleId="42">
    <w:name w:val="Intense Reference"/>
    <w:basedOn w:val="23"/>
    <w:qFormat/>
    <w:uiPriority w:val="32"/>
    <w:rPr>
      <w:b/>
      <w:bCs/>
      <w:smallCaps/>
      <w:color w:val="2F5597" w:themeColor="accent1" w:themeShade="BF"/>
      <w:spacing w:val="5"/>
    </w:rPr>
  </w:style>
  <w:style w:type="character" w:customStyle="1" w:styleId="43">
    <w:name w:val="页眉 字符"/>
    <w:basedOn w:val="23"/>
    <w:link w:val="14"/>
    <w:qFormat/>
    <w:uiPriority w:val="99"/>
    <w:rPr>
      <w:rFonts w:eastAsia="仿宋"/>
      <w:sz w:val="18"/>
      <w:szCs w:val="18"/>
    </w:rPr>
  </w:style>
  <w:style w:type="character" w:customStyle="1" w:styleId="44">
    <w:name w:val="页脚 字符"/>
    <w:basedOn w:val="23"/>
    <w:link w:val="13"/>
    <w:qFormat/>
    <w:uiPriority w:val="99"/>
    <w:rPr>
      <w:rFonts w:eastAsia="仿宋"/>
      <w:sz w:val="18"/>
      <w:szCs w:val="18"/>
    </w:rPr>
  </w:style>
  <w:style w:type="character" w:customStyle="1" w:styleId="45">
    <w:name w:val="批注文字 字符"/>
    <w:basedOn w:val="23"/>
    <w:link w:val="11"/>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6">
    <w:name w:val="正文文本 字符"/>
    <w:basedOn w:val="23"/>
    <w:link w:val="1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7">
    <w:name w:val="Table Text"/>
    <w:basedOn w:val="1"/>
    <w:semiHidden/>
    <w:qFormat/>
    <w:uiPriority w:val="0"/>
    <w:rPr>
      <w:rFonts w:ascii="宋体" w:hAnsi="宋体" w:eastAsia="宋体" w:cs="宋体"/>
      <w:sz w:val="24"/>
      <w:szCs w:val="24"/>
    </w:rPr>
  </w:style>
  <w:style w:type="paragraph" w:customStyle="1" w:styleId="48">
    <w:name w:val="表 靠左"/>
    <w:basedOn w:val="49"/>
    <w:qFormat/>
    <w:uiPriority w:val="0"/>
    <w:pPr>
      <w:jc w:val="left"/>
    </w:pPr>
    <w:rPr>
      <w:rFonts w:asciiTheme="minorEastAsia" w:hAnsiTheme="minorEastAsia" w:eastAsiaTheme="minorEastAsia"/>
    </w:rPr>
  </w:style>
  <w:style w:type="paragraph" w:customStyle="1" w:styleId="49">
    <w:name w:val="表"/>
    <w:basedOn w:val="1"/>
    <w:next w:val="1"/>
    <w:qFormat/>
    <w:uiPriority w:val="0"/>
    <w:pPr>
      <w:spacing w:line="240" w:lineRule="auto"/>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12587</Words>
  <Characters>14402</Characters>
  <Lines>169</Lines>
  <Paragraphs>196</Paragraphs>
  <TotalTime>2</TotalTime>
  <ScaleCrop>false</ScaleCrop>
  <LinksUpToDate>false</LinksUpToDate>
  <CharactersWithSpaces>14433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2026-04-08T02:55:09Z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eyJoZGlkIjoiOGJhMDlkNTRiYzA4MTNiYzVkOWE2ZDNlNTgyNDI5NmQiLCJ1c2VySWQiOiI0NDI1NzA5NzUifQ==</vt:lpwstr>
  </property>
  <property fmtid="{D5CDD505-2E9C-101B-9397-08002B2CF9AE}" pid="3" name="KSOProductBuildVer">
    <vt:lpwstr>2052-12.1.0.24657</vt:lpwstr>
  </property>
  <property fmtid="{D5CDD505-2E9C-101B-9397-08002B2CF9AE}" pid="4" name="ICV">
    <vt:lpwstr>FE7BD74A9D5041D4B83ED48CA0ADAA26_12</vt:lpwstr>
  </property>
</Properties>
</file>