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2"/>
        <w:spacing w:line="261" w:lineRule="auto"/>
        <w:rPr>
          <w:rFonts w:hint="eastAsia" w:ascii="仿宋" w:hAnsi="仿宋" w:eastAsia="仿宋" w:cs="仿宋"/>
        </w:rPr>
      </w:pPr>
    </w:p>
    <w:p w14:paraId="3F7444BD">
      <w:pPr>
        <w:pStyle w:val="2"/>
        <w:spacing w:line="261" w:lineRule="auto"/>
        <w:rPr>
          <w:rFonts w:hint="eastAsia" w:ascii="仿宋" w:hAnsi="仿宋" w:eastAsia="仿宋" w:cs="仿宋"/>
        </w:rPr>
      </w:pPr>
    </w:p>
    <w:p w14:paraId="6A7DCC1E">
      <w:pPr>
        <w:pStyle w:val="2"/>
        <w:spacing w:line="261" w:lineRule="auto"/>
        <w:rPr>
          <w:rFonts w:hint="eastAsia" w:ascii="仿宋" w:hAnsi="仿宋" w:eastAsia="仿宋" w:cs="仿宋"/>
        </w:rPr>
      </w:pPr>
    </w:p>
    <w:p w14:paraId="770C8358">
      <w:pPr>
        <w:pStyle w:val="2"/>
        <w:spacing w:line="261" w:lineRule="auto"/>
        <w:rPr>
          <w:rFonts w:hint="eastAsia" w:ascii="仿宋" w:hAnsi="仿宋" w:eastAsia="仿宋" w:cs="仿宋"/>
        </w:rPr>
      </w:pPr>
    </w:p>
    <w:p w14:paraId="3617CF1D">
      <w:pPr>
        <w:pStyle w:val="2"/>
        <w:spacing w:line="261" w:lineRule="auto"/>
        <w:rPr>
          <w:rFonts w:hint="eastAsia" w:ascii="仿宋" w:hAnsi="仿宋" w:eastAsia="仿宋" w:cs="仿宋"/>
        </w:rPr>
      </w:pPr>
    </w:p>
    <w:p w14:paraId="4A716706">
      <w:pPr>
        <w:pStyle w:val="2"/>
        <w:spacing w:line="262" w:lineRule="auto"/>
        <w:rPr>
          <w:rFonts w:hint="eastAsia" w:ascii="仿宋" w:hAnsi="仿宋" w:eastAsia="仿宋" w:cs="仿宋"/>
        </w:rPr>
      </w:pPr>
    </w:p>
    <w:p w14:paraId="7B8A22B3">
      <w:pPr>
        <w:pStyle w:val="2"/>
        <w:spacing w:line="262" w:lineRule="auto"/>
        <w:rPr>
          <w:rFonts w:hint="eastAsia" w:ascii="仿宋" w:hAnsi="仿宋" w:eastAsia="仿宋" w:cs="仿宋"/>
        </w:rPr>
      </w:pPr>
    </w:p>
    <w:p w14:paraId="7D621ED7">
      <w:pPr>
        <w:pStyle w:val="2"/>
        <w:spacing w:line="262" w:lineRule="auto"/>
        <w:rPr>
          <w:rFonts w:hint="eastAsia" w:ascii="仿宋" w:hAnsi="仿宋" w:eastAsia="仿宋" w:cs="仿宋"/>
        </w:rPr>
      </w:pPr>
    </w:p>
    <w:p w14:paraId="38461B03">
      <w:pPr>
        <w:pStyle w:val="2"/>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2"/>
        <w:spacing w:line="269" w:lineRule="auto"/>
        <w:rPr>
          <w:rFonts w:hint="eastAsia" w:ascii="仿宋" w:hAnsi="仿宋" w:eastAsia="仿宋" w:cs="仿宋"/>
          <w:lang w:eastAsia="zh-CN"/>
        </w:rPr>
      </w:pPr>
    </w:p>
    <w:p w14:paraId="437F2C43">
      <w:pPr>
        <w:pStyle w:val="2"/>
        <w:spacing w:line="269" w:lineRule="auto"/>
        <w:rPr>
          <w:rFonts w:hint="eastAsia" w:ascii="仿宋" w:hAnsi="仿宋" w:eastAsia="仿宋" w:cs="仿宋"/>
          <w:lang w:eastAsia="zh-CN"/>
        </w:rPr>
      </w:pPr>
    </w:p>
    <w:p w14:paraId="00D1E1FB">
      <w:pPr>
        <w:pStyle w:val="2"/>
        <w:spacing w:line="269" w:lineRule="auto"/>
        <w:rPr>
          <w:rFonts w:hint="eastAsia" w:ascii="仿宋" w:hAnsi="仿宋" w:eastAsia="仿宋" w:cs="仿宋"/>
          <w:lang w:eastAsia="zh-CN"/>
        </w:rPr>
      </w:pPr>
    </w:p>
    <w:p w14:paraId="0ED71348">
      <w:pPr>
        <w:pStyle w:val="2"/>
        <w:spacing w:line="269" w:lineRule="auto"/>
        <w:rPr>
          <w:rFonts w:hint="eastAsia" w:ascii="仿宋" w:hAnsi="仿宋" w:eastAsia="仿宋" w:cs="仿宋"/>
          <w:lang w:eastAsia="zh-CN"/>
        </w:rPr>
      </w:pPr>
    </w:p>
    <w:p w14:paraId="6C0B745E">
      <w:pPr>
        <w:pStyle w:val="2"/>
        <w:spacing w:line="269" w:lineRule="auto"/>
        <w:rPr>
          <w:rFonts w:hint="eastAsia" w:ascii="仿宋" w:hAnsi="仿宋" w:eastAsia="仿宋" w:cs="仿宋"/>
          <w:lang w:eastAsia="zh-CN"/>
        </w:rPr>
      </w:pPr>
    </w:p>
    <w:p w14:paraId="0E7C1CDF">
      <w:pPr>
        <w:pStyle w:val="2"/>
        <w:spacing w:line="269" w:lineRule="auto"/>
        <w:rPr>
          <w:rFonts w:hint="eastAsia" w:ascii="仿宋" w:hAnsi="仿宋" w:eastAsia="仿宋" w:cs="仿宋"/>
          <w:lang w:eastAsia="zh-CN"/>
        </w:rPr>
      </w:pPr>
    </w:p>
    <w:p w14:paraId="4A6C434B">
      <w:pPr>
        <w:pStyle w:val="2"/>
        <w:spacing w:line="269" w:lineRule="auto"/>
        <w:rPr>
          <w:rFonts w:hint="eastAsia" w:ascii="仿宋" w:hAnsi="仿宋" w:eastAsia="仿宋" w:cs="仿宋"/>
          <w:lang w:eastAsia="zh-CN"/>
        </w:rPr>
      </w:pPr>
    </w:p>
    <w:p w14:paraId="365E7B80">
      <w:pPr>
        <w:pStyle w:val="2"/>
        <w:spacing w:line="480" w:lineRule="auto"/>
        <w:rPr>
          <w:rFonts w:hint="eastAsia" w:ascii="仿宋" w:hAnsi="仿宋" w:eastAsia="仿宋" w:cs="仿宋"/>
          <w:lang w:eastAsia="zh-CN"/>
        </w:rPr>
      </w:pPr>
    </w:p>
    <w:p w14:paraId="61B49C83">
      <w:pPr>
        <w:pStyle w:val="2"/>
        <w:spacing w:line="480" w:lineRule="auto"/>
        <w:ind w:left="1629" w:leftChars="466" w:hanging="650" w:hangingChars="2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项目名称：某单位2026年AI+智慧课程采购项目</w:t>
      </w:r>
    </w:p>
    <w:p w14:paraId="009DFF74">
      <w:pPr>
        <w:pStyle w:val="2"/>
        <w:spacing w:line="243" w:lineRule="auto"/>
        <w:rPr>
          <w:rFonts w:hint="eastAsia" w:ascii="仿宋" w:hAnsi="仿宋" w:eastAsia="仿宋" w:cs="仿宋"/>
          <w:lang w:eastAsia="zh-CN"/>
        </w:rPr>
      </w:pPr>
    </w:p>
    <w:p w14:paraId="485DB685">
      <w:pPr>
        <w:pStyle w:val="2"/>
        <w:spacing w:line="243" w:lineRule="auto"/>
        <w:rPr>
          <w:rFonts w:hint="eastAsia" w:ascii="仿宋" w:hAnsi="仿宋" w:eastAsia="仿宋" w:cs="仿宋"/>
          <w:lang w:eastAsia="zh-CN"/>
        </w:rPr>
      </w:pPr>
    </w:p>
    <w:p w14:paraId="4E2FDAB1">
      <w:pPr>
        <w:pStyle w:val="2"/>
        <w:spacing w:line="243" w:lineRule="auto"/>
        <w:rPr>
          <w:rFonts w:hint="eastAsia" w:ascii="仿宋" w:hAnsi="仿宋" w:eastAsia="仿宋" w:cs="仿宋"/>
          <w:lang w:eastAsia="zh-CN"/>
        </w:rPr>
      </w:pPr>
    </w:p>
    <w:p w14:paraId="1CE59D75">
      <w:pPr>
        <w:pStyle w:val="2"/>
        <w:spacing w:line="243" w:lineRule="auto"/>
        <w:rPr>
          <w:rFonts w:hint="eastAsia" w:ascii="仿宋" w:hAnsi="仿宋" w:eastAsia="仿宋" w:cs="仿宋"/>
          <w:lang w:eastAsia="zh-CN"/>
        </w:rPr>
      </w:pPr>
    </w:p>
    <w:p w14:paraId="2FD64D39">
      <w:pPr>
        <w:pStyle w:val="2"/>
        <w:spacing w:line="243" w:lineRule="auto"/>
        <w:rPr>
          <w:rFonts w:hint="eastAsia" w:ascii="仿宋" w:hAnsi="仿宋" w:eastAsia="仿宋" w:cs="仿宋"/>
          <w:lang w:eastAsia="zh-CN"/>
        </w:rPr>
      </w:pPr>
    </w:p>
    <w:p w14:paraId="4B5D54A1">
      <w:pPr>
        <w:pStyle w:val="2"/>
        <w:spacing w:line="244" w:lineRule="auto"/>
        <w:rPr>
          <w:rFonts w:hint="eastAsia" w:ascii="仿宋" w:hAnsi="仿宋" w:eastAsia="仿宋" w:cs="仿宋"/>
          <w:lang w:eastAsia="zh-CN"/>
        </w:rPr>
      </w:pPr>
    </w:p>
    <w:p w14:paraId="568484EC">
      <w:pPr>
        <w:pStyle w:val="2"/>
        <w:spacing w:line="244" w:lineRule="auto"/>
        <w:rPr>
          <w:rFonts w:hint="eastAsia" w:ascii="仿宋" w:hAnsi="仿宋" w:eastAsia="仿宋" w:cs="仿宋"/>
          <w:lang w:eastAsia="zh-CN"/>
        </w:rPr>
      </w:pPr>
    </w:p>
    <w:p w14:paraId="34EC22CF">
      <w:pPr>
        <w:pStyle w:val="2"/>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2"/>
        <w:spacing w:line="284" w:lineRule="auto"/>
        <w:rPr>
          <w:rFonts w:hint="eastAsia" w:ascii="仿宋" w:hAnsi="仿宋" w:eastAsia="仿宋" w:cs="仿宋"/>
          <w:lang w:eastAsia="zh-CN"/>
        </w:rPr>
      </w:pPr>
    </w:p>
    <w:p w14:paraId="2D1D45C0">
      <w:pPr>
        <w:pStyle w:val="2"/>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某单位2026年AI+智慧课程采购项目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Fonts w:hint="eastAsia" w:ascii="仿宋" w:hAnsi="仿宋" w:eastAsia="仿宋" w:cs="仿宋"/>
          <w:b/>
          <w:bCs/>
          <w:spacing w:val="-6"/>
          <w:sz w:val="24"/>
          <w:szCs w:val="24"/>
          <w:lang w:eastAsia="zh-CN"/>
        </w:rPr>
      </w:pPr>
      <w:r>
        <w:rPr>
          <w:rStyle w:val="21"/>
          <w:rFonts w:hint="eastAsia" w:ascii="仿宋" w:hAnsi="仿宋" w:eastAsia="仿宋" w:cs="仿宋"/>
          <w:sz w:val="28"/>
          <w:szCs w:val="28"/>
        </w:rPr>
        <w:t>总额</w:t>
      </w:r>
      <w:r>
        <w:rPr>
          <w:rStyle w:val="21"/>
          <w:rFonts w:hint="eastAsia" w:ascii="仿宋" w:hAnsi="仿宋" w:eastAsia="仿宋" w:cs="仿宋"/>
          <w:sz w:val="28"/>
          <w:szCs w:val="28"/>
          <w:lang w:val="en-US" w:eastAsia="zh-CN"/>
        </w:rPr>
        <w:t>100万</w:t>
      </w:r>
      <w:r>
        <w:rPr>
          <w:rStyle w:val="21"/>
          <w:rFonts w:hint="eastAsia" w:ascii="仿宋" w:hAnsi="仿宋" w:eastAsia="仿宋" w:cs="仿宋"/>
          <w:sz w:val="28"/>
          <w:szCs w:val="28"/>
        </w:rPr>
        <w:t>元</w:t>
      </w:r>
    </w:p>
    <w:tbl>
      <w:tblPr>
        <w:tblStyle w:val="18"/>
        <w:tblW w:w="14666"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545"/>
        <w:gridCol w:w="927"/>
        <w:gridCol w:w="10063"/>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4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545"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项目名称</w:t>
            </w:r>
          </w:p>
        </w:tc>
        <w:tc>
          <w:tcPr>
            <w:tcW w:w="927"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63"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20D7CC49">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金额</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48" w:type="dxa"/>
            <w:noWrap/>
            <w:vAlign w:val="center"/>
          </w:tcPr>
          <w:p w14:paraId="731B8DE7">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545" w:type="dxa"/>
            <w:noWrap/>
            <w:vAlign w:val="center"/>
          </w:tcPr>
          <w:p w14:paraId="60807BFA">
            <w:pPr>
              <w:keepNext w:val="0"/>
              <w:keepLines w:val="0"/>
              <w:widowControl/>
              <w:suppressLineNumbers w:val="0"/>
              <w:spacing w:line="36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某单位2026年AI+智慧课程采购项目</w:t>
            </w:r>
          </w:p>
        </w:tc>
        <w:tc>
          <w:tcPr>
            <w:tcW w:w="927" w:type="dxa"/>
            <w:noWrap/>
            <w:vAlign w:val="center"/>
          </w:tcPr>
          <w:p w14:paraId="6788BCBD">
            <w:pPr>
              <w:keepNext w:val="0"/>
              <w:keepLines w:val="0"/>
              <w:widowControl/>
              <w:suppressLineNumbers w:val="0"/>
              <w:spacing w:line="36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63" w:type="dxa"/>
            <w:vAlign w:val="center"/>
          </w:tcPr>
          <w:p w14:paraId="5A29EBD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课程概述</w:t>
            </w:r>
          </w:p>
          <w:p w14:paraId="5CD2945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1）支持对于课程的基本信息进行编辑，基本信息包括：负责教师，说课视频，课程封面，课程简介。</w:t>
            </w:r>
          </w:p>
          <w:p w14:paraId="136189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2）说课视频支持包含但不限于MP3，MP4的主流视频格式，课程封面支持上传包含但不限于jpg，png的主流图片格式，课程简介不低于10000字。</w:t>
            </w:r>
          </w:p>
          <w:p w14:paraId="7B094C5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3）支持根据智慧课程的教学团队自动生成虚拟教研室，虚拟教研室中包含虚拟教研活动介绍与详情，虚拟教研室成员，虚拟教研室牵头单位与虚拟教研室负责老师。</w:t>
            </w:r>
          </w:p>
          <w:p w14:paraId="56DB132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4）支持现实虚拟教研室成员详情，包含团队成员头像、姓名、简介、职称等。</w:t>
            </w:r>
          </w:p>
          <w:p w14:paraId="24B65FB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5）支持根据虚拟教研室教研活动，生成过程化虚拟教研记录。</w:t>
            </w:r>
          </w:p>
          <w:p w14:paraId="6911A71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6）支持引用慕课平台中的课程资源和教材资源添加到图谱中，其中课程支持整门引用，也支持按照章节引用。</w:t>
            </w:r>
          </w:p>
          <w:p w14:paraId="714F7B2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7）支持课程资源引用界面包括课程名称，课程资源，所属学校等字段。其中学科资源类型不低于100门，总体课程资源数量不低于10000门，总体电子书资源数量不低于20000本。</w:t>
            </w:r>
          </w:p>
          <w:p w14:paraId="155DF3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8）支持引入自有平台中的虚拟仿真实验课程资源，学生可免登录转至课程实验界面进行实验练习。</w:t>
            </w:r>
          </w:p>
          <w:p w14:paraId="497B033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9）支持根据课程建设成果，生成课程的专属成果相册，成果相册生成范围包含；课程体系、课程框架、课程地图、课程图谱等。</w:t>
            </w:r>
          </w:p>
          <w:p w14:paraId="122A03A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课程设计</w:t>
            </w:r>
          </w:p>
          <w:p w14:paraId="7B27216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支持统计课程的详细建设与教学数据，数据包含知识模块建设数量、知识点总数、知识节点总数、知识教案总数、能力目标、实践问题数量、教学资源数量与外部引用资源数量。</w:t>
            </w:r>
          </w:p>
          <w:p w14:paraId="7A818D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2）支持显示课程的基本教学定位，教学定位信息包含：课程类别、适用专业、先修课程、后续课程等。</w:t>
            </w:r>
          </w:p>
          <w:p w14:paraId="613DAAC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3）支持描述课程基本的教学简介，教学简介包含文字、公式、图片等信息。</w:t>
            </w:r>
          </w:p>
          <w:p w14:paraId="1E329DC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4）支持显示课程的教学逻辑关系图，显示目标课程的前后序课程学习关系。</w:t>
            </w:r>
          </w:p>
          <w:p w14:paraId="1A16A4A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5）支持显示课程的课程目标，包括课程的能力数量、子能力数量、覆盖知识点内容等信息。</w:t>
            </w:r>
          </w:p>
          <w:p w14:paraId="5AE908F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6）支持以图片形式展示课程的整体知识结构图，图片支持包含但不限于jpg，png的主流图片格式，并支持通过模板导入的形式编辑知识结构图的相关信息。</w:t>
            </w:r>
          </w:p>
          <w:p w14:paraId="31A7053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在课程概述中查看课程概述相关内容，包括教师团队，课程背景，课程简介，课程目标，课程特色，课程知识逻辑，知识结构图，教学计划，课程概述展示等相关内容，同时可支持导入的形式进行新增和维护。</w:t>
            </w:r>
          </w:p>
          <w:p w14:paraId="74AA9F2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8）支持展示课程相关背景，并支持导入课程背景相关信息。</w:t>
            </w:r>
          </w:p>
          <w:p w14:paraId="0FAA70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9）支持展示课程简介相关信息，并支持导入课程简介相关信息，支持上传500字以上。</w:t>
            </w:r>
          </w:p>
          <w:p w14:paraId="7BFF47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10）支持展示课程特色相关信息，并支持导入编辑课程特色相关信息。</w:t>
            </w:r>
          </w:p>
          <w:p w14:paraId="378DDE1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能力图谱</w:t>
            </w:r>
          </w:p>
          <w:p w14:paraId="1A33BBD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p>
          <w:p w14:paraId="484EF49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2）支持编辑课程能力目标，设置能力目标时，可针对能力目标的名称、描述、子能力目标名称、子能力目标描述，支持添加关联问题与知识点。</w:t>
            </w:r>
          </w:p>
          <w:p w14:paraId="2E27D94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3）支持查看课程能力详情，根据所设置的课程能力目标，展示能力所覆盖的知识模块、知识点与问题详情，将分散的知识点内容汇总，形成能力目标独立的能力知识图谱体系。</w:t>
            </w:r>
          </w:p>
          <w:p w14:paraId="3BB26BC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课程设计</w:t>
            </w:r>
          </w:p>
          <w:p w14:paraId="5360534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1）支持通过模板导入的形式生成课程框架，在模板中可以插入主题和子主题。</w:t>
            </w:r>
          </w:p>
          <w:p w14:paraId="007149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2）支持通过模板导入将课程结构导入到课程中，内容包含文字与图片。</w:t>
            </w:r>
          </w:p>
          <w:p w14:paraId="79BFA83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3）支持展示本课程知识图谱中的课程框架内容，包含课程主题名称、教学内容、教学重点、教学难点等信息，帮助更好地了解本门课程知识图谱的框架。</w:t>
            </w:r>
          </w:p>
          <w:p w14:paraId="5268915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4）支持通过模板导入课程框架内容，导入内容支持1000字。</w:t>
            </w:r>
          </w:p>
          <w:p w14:paraId="3AFDB3E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5）支持展示本课程知识模块，包含知识模块文字与图片，引导学生进行学习。</w:t>
            </w:r>
          </w:p>
          <w:p w14:paraId="7F05250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6）支持展示课程的教学计划，包括主题名称及学时，以及课程学分及学时，并支持通过模板导入的形式编辑课程背景相关信息。</w:t>
            </w:r>
          </w:p>
          <w:p w14:paraId="71AD507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7）支持通过模板导入课程框架内容，导入内容支持1000字，同时支持上传图片，图片文件类型包含但不限于jpg、png格式等。</w:t>
            </w:r>
          </w:p>
          <w:p w14:paraId="5547E41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知识图谱与模块</w:t>
            </w:r>
          </w:p>
          <w:p w14:paraId="67A1CC3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1）支持通过点击已有节点添加节点，可以添加同级节点，子节点。</w:t>
            </w:r>
          </w:p>
          <w:p w14:paraId="7878EA8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2）支持通过在知识地图针对已有节点进行删除。</w:t>
            </w:r>
          </w:p>
          <w:p w14:paraId="16F2155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3）支持导入知识地图节点相关信息，可导入的内容包括但不限于：名称、标签、难度、描述。</w:t>
            </w:r>
          </w:p>
          <w:p w14:paraId="7A32C3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4）支持通过导入的形式导入知识地图的节点信息，包括节点名称和节点标签，文件大小支持1G以上，节点数量支持10000以上。</w:t>
            </w:r>
          </w:p>
          <w:p w14:paraId="3CAAC2C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5）支持通过精准搜索的形式搜索在当前知识地图下的所有知识以及属性名称。</w:t>
            </w:r>
          </w:p>
          <w:p w14:paraId="0E9B106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7A4A74A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7）支持在知识地图展示界面上查看当前知识地图全部内容，同时支持对知识地图进行放大，缩小，定位到课程，展开/收缩节点，全屏显示。</w:t>
            </w:r>
          </w:p>
          <w:p w14:paraId="402E58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8）支持查看知识地图详情页，在知识地图上点击右键可以对知识地图上的节点进行编辑资源，同时支持在知识地图的节点上设置标签。</w:t>
            </w:r>
          </w:p>
          <w:p w14:paraId="3B66BC9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9）支持统计课程内全部知识节点数量，资源总数量，测试题目数量，并以列表形式呈现结果。</w:t>
            </w:r>
          </w:p>
          <w:p w14:paraId="1663130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10）支持在统计资源总数的基础上，进一步统计引用课程总数，引用教材总数和本地上传资源总数，并以列表形式呈现结果。</w:t>
            </w:r>
          </w:p>
          <w:p w14:paraId="11BA1F6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11）支持提供足够的慕课资源进行引用，课程资源提供总量在10000门以上。</w:t>
            </w:r>
          </w:p>
          <w:p w14:paraId="6F00700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12）支持本地上传资源完成课程资源补充，上传资源类型包括但不限于pdf,ppt,mp4,doc,jpg,jpeg常用文件格式。</w:t>
            </w:r>
          </w:p>
          <w:p w14:paraId="402BCC8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13）引用过程中支持资源预览，引用完成后，支持查看和删除资源。</w:t>
            </w:r>
          </w:p>
          <w:p w14:paraId="096767D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14）支持统计单个知识点上的资源挂载数量，题目挂载数量，支持验证每个知识点的描述是否填充完整。</w:t>
            </w:r>
          </w:p>
          <w:p w14:paraId="4C6FFBD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15）支持基于知识点基本信息的统计，计算知识点填充完成度，并以0%到100%的维度呈现。</w:t>
            </w:r>
          </w:p>
          <w:p w14:paraId="63A81B1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16）支持根据知识点名称搜索知识点，支持基于知识点类别筛选知识点。</w:t>
            </w:r>
          </w:p>
          <w:p w14:paraId="0BAF0B0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17）支持自动生成知识点描述，描述需来源于大模型生成式人工智能提供的描述，描述字数应不少于20字。</w:t>
            </w:r>
          </w:p>
          <w:p w14:paraId="2A862C4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18）支持系统根据知识点建设的实际情况生成知识点建设进度，并给予清单协助观测全部建设概况。</w:t>
            </w:r>
          </w:p>
          <w:p w14:paraId="5F8BBE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知识图谱编辑</w:t>
            </w:r>
          </w:p>
          <w:p w14:paraId="2EA5703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1）支持编辑知识点名称，知识点名称字数上限不少于30字。</w:t>
            </w:r>
          </w:p>
          <w:p w14:paraId="131EB96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2）支持编辑知识点别名，知识点别名字数上限不少于30字。</w:t>
            </w:r>
          </w:p>
          <w:p w14:paraId="3461406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3）支持设置知识点难度标签，难度应至少分为简单，一般，困难三档。</w:t>
            </w:r>
          </w:p>
          <w:p w14:paraId="4496B51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4）支持设置知识点认知目标标签，应至少支持设置记忆，理解，应用，分析，评价，创造六级认知目标，并在此基础上自定义填写具体认知目标内容，自定义填写字数上限不少于30字。</w:t>
            </w:r>
          </w:p>
          <w:p w14:paraId="69EF9A5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5）支持编辑知识点描述，支持富文本编辑，包括调整字体颜色，字号，字体底色，插入项目符号；支持插入网页链接，支持数学公式编辑器插入公式。</w:t>
            </w:r>
          </w:p>
          <w:p w14:paraId="5965236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6）支持在知识点描述的基础上，自由划选关键词并插入补充词条，关键词限制字数上限不少于10字，补充词条应包括词条标题，词条别名，词条内容，词条内容字数上限不少于100字。</w:t>
            </w:r>
          </w:p>
          <w:p w14:paraId="37BC0F9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22B2AF0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8）支持在知识点中挂载资源，资源支持本地上传，格式包含但不限于jpg,txt,doc,ppt,mp4, pdf,rar常见文件格式。</w:t>
            </w:r>
          </w:p>
          <w:p w14:paraId="03F1E1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9）支持根据标题和全文内容搜索本地上传的学习资源，支持根据标题和全文内容进行本地上传的学习资源推荐。</w:t>
            </w:r>
          </w:p>
          <w:p w14:paraId="2A2C59A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730EA81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11）支持在知识点上挂载题目，所有题目应来源于题库，且单个知识点题目限制最高挂载数量上限不少于10道。</w:t>
            </w:r>
          </w:p>
          <w:p w14:paraId="2E4D6E7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12）支持知识点编辑状态预览，预览界面应与学生端学习知识点界面保持一致。</w:t>
            </w:r>
          </w:p>
          <w:p w14:paraId="6DAA9B5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p>
          <w:p w14:paraId="590BDA8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233A6A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知识图谱展示</w:t>
            </w:r>
          </w:p>
          <w:p w14:paraId="5F0586E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1）支持通过环状图谱展示课程内全部的知识主题与知识点内容，系统支持最少2级环状结构展示。</w:t>
            </w:r>
          </w:p>
          <w:p w14:paraId="691B28C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2）支持快速引导显示知识点的学习路径，鼠标选中知识点后，系统会自动显示关联的知识学习路径 。</w:t>
            </w:r>
          </w:p>
          <w:p w14:paraId="2B34DC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3）支持通过快捷操作，快速选择全部层级或其中一层级知识点进行学习。</w:t>
            </w:r>
          </w:p>
          <w:p w14:paraId="3B1147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4）支持通过知识主题显示智慧课程中的个性化图谱内容，系统通过知识主题将全部知识点进行分割，并可单独针对每一个主题的知识体系进行详细展示。</w:t>
            </w:r>
          </w:p>
          <w:p w14:paraId="604D325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5）支持查看知识点详情内容，详情内容包含知识点的前后关系、知识点目录、知识点的学习顺序、知识点内容、知识点标签、知识关系汇总、知识点包含教学资源、知识点的简介。</w:t>
            </w:r>
          </w:p>
          <w:p w14:paraId="450DED2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6）支持通过AI系统对知识点进行自动描述，描述内容不低于60字。</w:t>
            </w:r>
          </w:p>
          <w:p w14:paraId="05A8F12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7）支持系统自动生成知识点二维码，通过微信扫码，可快速预览知识点教学详情</w:t>
            </w:r>
          </w:p>
          <w:p w14:paraId="3E3DAAA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8）支持分享知识点链接，复制后的链接可直接激活知识点详情进行学习。</w:t>
            </w:r>
          </w:p>
          <w:p w14:paraId="003A5ED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9）支持知识点收藏，用户可根据自身需求对知识点进行收藏与取消收藏等操作。</w:t>
            </w:r>
          </w:p>
          <w:p w14:paraId="4EB426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10）支持通过AI技术自动构建知识点教案，通过AI技术，针对教学目标、教学重点难点、教学内容、教学方法、案例引入、扩展阅读、知识点测评等内容一键进行自动构建，每类信息自动构建不少于3条。</w:t>
            </w:r>
          </w:p>
          <w:p w14:paraId="2F1531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题库建设</w:t>
            </w:r>
          </w:p>
          <w:p w14:paraId="5BABC1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1）题目题干支持富文本编辑，包括内容录入、图片录入、格式刷、字体更改、字号更改，支持插入链接，支持公式编辑器，支持上传任意格式附件，题干字数上限不少于1000字。</w:t>
            </w:r>
          </w:p>
          <w:p w14:paraId="792D84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2）答案解析支持富文本编辑，包括格式刷、字体更改、字号更改，插入链接，支持公式编辑器，支持上传任意格式附件，题干字数上限不少于1000字。</w:t>
            </w:r>
          </w:p>
          <w:p w14:paraId="68CC29D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3）题目支持至少关联一门课程，关联课程时支持绑定至少一个知识点。</w:t>
            </w:r>
          </w:p>
          <w:p w14:paraId="69F668C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4）题目类型至少包含单选题、多选题、判断题、填空题、问答题、组合题六类。</w:t>
            </w:r>
          </w:p>
          <w:p w14:paraId="5AC0365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单选题支持设置一个标准答案，支持新增答案选项，答案选项数量限制最高不少于12个，最低不多于2个，选项内容支持富文本，包括格式化、字体更改、字号更改，插入链接，支持公式编辑器，选项字数上限不少于50字，支持删除选项。</w:t>
            </w:r>
          </w:p>
          <w:p w14:paraId="25B27C4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公式编辑器，选项字数上限不少于50字，支持删除选项。</w:t>
            </w:r>
          </w:p>
          <w:p w14:paraId="7944BA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7）判断题支持设置一个标准答案，选项内容包括“对”和“错”两项。</w:t>
            </w:r>
          </w:p>
          <w:p w14:paraId="5645A25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填空题支持设置多个标准答案，标准答案数量上限最高不少于12个，下限不多于1个，答案内容支持富文本，包括格式化、字体更改、字号更改，插入链接，支持公式编辑器，选项字数上限不少于100字，支持删除选项。</w:t>
            </w:r>
          </w:p>
          <w:p w14:paraId="73C45F8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9）问答题支持设置一个标准答案，答案内容支持富文本编辑，包括格式刷、字体更改、字号更改，插入链接，支持公式编辑器，答案字数上限不少于1000字。</w:t>
            </w:r>
          </w:p>
          <w:p w14:paraId="0F6817E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10）组合题支持在题目中设置多个题型的子题目，题型至少包括单选题、多选题、判断题、填空题和问答题，子题目数量上限不少于10道，支持调整子题目顺序，支持删除子题目。</w:t>
            </w:r>
          </w:p>
          <w:p w14:paraId="662453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11）支持通过模板导入的形式新建题目，支持下载导入模板，支持基于模板自动识别试题，并返回识别结果，支持选择部分试题进行导入，支持对识别后的试题进行修改。</w:t>
            </w:r>
          </w:p>
          <w:p w14:paraId="15186AC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二、AI智慧空间应用服务</w:t>
            </w:r>
          </w:p>
          <w:p w14:paraId="2F4667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课程知识库</w:t>
            </w:r>
          </w:p>
          <w:p w14:paraId="7DFE4F9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4783D8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573D2D5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3）支持图片提取：能够从各类资源中自动提取图片，图片提取数量可达数百张。运用图像识别技术，系统可精准定位并提取资源中的图片，提取后的图片可用于辅助知识呈现，为知识的可视化表达提供素材。</w:t>
            </w:r>
          </w:p>
          <w:p w14:paraId="760B915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498AB83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 AI 知识库资源解析与应用：AI 知识库内的资源经解析后，可被课程专属 AI 助教和智能体利用，借助先进解析技术，确保资源能够被精准处理，协助AI智能体生成更精准的回答，在回答时，答案从知识库中进行回复。</w:t>
            </w:r>
          </w:p>
          <w:p w14:paraId="096B362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70C1A5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6CC40D8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8）支持便捷资源添加：设有专门的资源添加模块，支持多种资源添加方式，包括但不限于视频、图谱、音频、PPT、文档。</w:t>
            </w:r>
          </w:p>
          <w:p w14:paraId="5BB1723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9）支持广泛资源类型涵盖：课程总资源模块包含视频、音频、图片、文档、PPT、教材书籍及其他多种资源类型。</w:t>
            </w:r>
          </w:p>
          <w:p w14:paraId="65046D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资源数量与大小统计：支持清晰呈现各类资源的数量及大小信息，如各类型资源的数量以及它们各自对应的存储空间大小等。直观了解资源库的存储情况，便于进行资源管理、空间规划以及资源使用评估。</w:t>
            </w:r>
          </w:p>
          <w:p w14:paraId="1E0E58B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11）支持资源详情查看：支持针对每种资源类型，设置便捷的操作按钮。用户点击按钮后，可快速进入相应资源的详细查看界面。</w:t>
            </w:r>
          </w:p>
          <w:p w14:paraId="4C85692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12）支持文件资源预览：支持针对某一类资源类型下的单个具体资源进行预览查看操作，且可以查看该资源的处理状态、上传人、更新时间等信息。</w:t>
            </w:r>
          </w:p>
          <w:p w14:paraId="581B95A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13）支持知识库资源汇总展示：能够汇总展示知识库内各类资源数量，包括但不限于文件解析数、知识点同步数、字符解析数、图片提取数以及音视频时长。</w:t>
            </w:r>
          </w:p>
          <w:p w14:paraId="4C62981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73CD85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6A596DD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AI工具箱</w:t>
            </w:r>
          </w:p>
          <w:p w14:paraId="13C00FA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6F554BA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2）支持从既往发布的作业测验、学习任务或话题讨论中提取学生作业或考试内容，分析其重复率，从而实现学习行为的监测与评估。</w:t>
            </w:r>
          </w:p>
          <w:p w14:paraId="3D8AF16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3）支持生成树状图谱和网状图谱，采用多元化的形式对素材内容及知识点间的关系进行结构化和可视化呈现，并提供对知识网络的二次编辑功能。</w:t>
            </w:r>
          </w:p>
          <w:p w14:paraId="22F603F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322EEED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5）支持点击搜索框，通过直接键入内容的方式，或者通过查看完整的知识点及知识点下游节点列表，点击目标内容进行一键生成，其中列表支持手动下滑。</w:t>
            </w:r>
          </w:p>
          <w:p w14:paraId="045BC15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5EF132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AI出题功能支持根据知识点及参考内容两种出题模式。根据知识点出题模式支持教师针对教学课程图谱中选择指定知识点（一套题中支持选择不少于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6872031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AI自动出卷功能支持根据知识点及知识模块两种出卷模式，即支持根据单个知识点或多个知识点创建测试卷或根据知识模块整合知识点出卷，其中一套试卷至少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7787524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1952957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5792F6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229F17B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创需PPT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362E8D4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747D452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651FB3A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15）支持对PPT主题风格进行AI推荐，点击预览主页效果实现一键主题风格替换，若推荐风格不合适，支持进行多次推荐。</w:t>
            </w:r>
          </w:p>
          <w:p w14:paraId="4DF9724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72932C1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三、教学空间服务</w:t>
            </w:r>
          </w:p>
          <w:p w14:paraId="2F42253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AI工作台</w:t>
            </w:r>
          </w:p>
          <w:p w14:paraId="74560D9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1）支持搭建教师端个人工作空间，提供班级管理、发布任务、教学观测等功能。</w:t>
            </w:r>
          </w:p>
          <w:p w14:paraId="1A6971A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支持在教学空间中，快速开启教学活动，教学活动包含：完善课程内容、创建教学班级、发布教学任务、学生自主测试、PPT智能备课、发布课后测验、学生成绩管理、课程教学观测、学生画像分析等相关内容。</w:t>
            </w:r>
          </w:p>
          <w:p w14:paraId="486B947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3）支持用户通过完善课程内容，进入到课程中，根据教学需求，对已有知识体系进行内容增加、修改、关联等相关操作</w:t>
            </w:r>
          </w:p>
          <w:p w14:paraId="4D458C7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4）支持用户根据教学需要，针对学生进行班级创建，创建班级后系统可跟踪班级情况。</w:t>
            </w:r>
          </w:p>
          <w:p w14:paraId="1415EBD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5）支持用户发布课前任务相关教学活动，通过教学任务发布，学生了解课前必须掌握的知识点名字、内容及相关掌握情况，老师可实时查看知识点任务学习数据。</w:t>
            </w:r>
          </w:p>
          <w:p w14:paraId="6CF3E5E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6）支持学生自主练习并观测数据，学生可针对每个知识点维度进行题目专项练习，练习内容包含单选题、多选题、判断题、填空题等，并通过系统自动批阅，换算学生对于知识掌握的情况，给予学生响应反馈。</w:t>
            </w:r>
          </w:p>
          <w:p w14:paraId="5D155A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7）支持将知识图谱相关内容与PPT插件结合，辅助老师日常备课。</w:t>
            </w:r>
          </w:p>
          <w:p w14:paraId="136C987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8）支持教师发布课后测试，测试发布后，根据教师设置，选择对应知识点，并快速组建试卷，完成测试等教学活动。</w:t>
            </w:r>
          </w:p>
          <w:p w14:paraId="6195621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9）知识教学观测，可通过多个维度进行教学运行观测，如知识点掌握度、学习进度、学生整体数据与成绩等。</w:t>
            </w:r>
          </w:p>
          <w:p w14:paraId="29E977E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10）支持基于学习数据针对学生画像进行分析，分析可从多个维度进行测算，包含知识点掌握度、知识点学习进度、知识点学习时长、知识点学习次数、知识点练习时长、知识点练习次数等。</w:t>
            </w:r>
          </w:p>
          <w:p w14:paraId="64DC80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11）支持通过统计本课程的基础教学数据，包含：课程数量、班级数量、学生数量、学习任务数量与课程学习人次。</w:t>
            </w:r>
          </w:p>
          <w:p w14:paraId="5D1B17F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12）支持通过AI助教协助老师梳理课程基本信息，包括班级内掌握度低于60%的学生学情数据、知识点任务教学情况、知识点学习掌握度情况。</w:t>
            </w:r>
          </w:p>
          <w:p w14:paraId="760449B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13）支持结合全国优秀高校教师的实际教学情况，引导用户完成教学流程。</w:t>
            </w:r>
          </w:p>
          <w:p w14:paraId="0720C3A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14）支持统计教学班级情况，包含班级内的教学运行数据、教学运行周期数据、知识点平均掌握度与学习趋势、课程内全部知识点的掌握度情况与薄弱知识点情况。</w:t>
            </w:r>
          </w:p>
          <w:p w14:paraId="1E35C7F8">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教学管理</w:t>
            </w:r>
          </w:p>
          <w:p w14:paraId="6B5551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1）支持课程学生管理：支持导入学生名单，可查看导入失败学生名单，供老师联系学生及时注册认证用户。可移除导入错误的学生。</w:t>
            </w:r>
          </w:p>
          <w:p w14:paraId="30A270F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5A0E2CB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3）支持树状知识地图查看学生掌握度：基于课程图谱中构建的树状知识地图，查看每一知识点的平均掌握度。支持放大、缩小、全屏知识地图，支持展开收起树状知识节点，支持搜索知识地图中的知识点。</w:t>
            </w:r>
          </w:p>
          <w:p w14:paraId="06CB3F3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4）支持网状知识图谱查看学生掌握度：基于课程图谱中构建的网状知识图谱，查看每一知识点的平均掌握度。支持放大、缩小知识图谱，支持搜索知识图谱中的知识点。</w:t>
            </w:r>
          </w:p>
          <w:p w14:paraId="2FF8A4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5）支持查看学生学习详情：可查看课程内的每位学生的学习详情，包含学生加入课程的时间、课程内知识点的学习进度以及已学内容的掌握度。</w:t>
            </w:r>
          </w:p>
          <w:p w14:paraId="05ACCF6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6）支持查看知识点学习详情：可查看每个知识点的学生完成率以及近一周的提升情况，可查看每个知识点的平均掌握度以及不同范围掌握度的学生分布情况。</w:t>
            </w:r>
          </w:p>
          <w:p w14:paraId="59EFF52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0EAFD63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8）支持分析每日学习情况简讯：包括今日学生上线数量、老师上线数量、教师团队建设数据，（包括：教授、副教授、讲师、助教等身份）、学生学习相关数据（学生学习总人次、参与学生人数、参与率）。</w:t>
            </w:r>
          </w:p>
          <w:p w14:paraId="15CCBA0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9）支持分析课程图谱运行成果：分析数据包括稳定运行时长、人均学习进度、平均掌握度、学生学习合格率等。</w:t>
            </w:r>
          </w:p>
          <w:p w14:paraId="0A68DD9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10）支持分析课程学习变化趋势：分析包括学习人次变化趋势、人均学习进度变化趋势、平均掌握度变化趋势、合格率变化趋势等。</w:t>
            </w:r>
          </w:p>
          <w:p w14:paraId="5FCCAAB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11）可接入慕课中进行校外共享：可接入慕课中为选课院校及学生提供图谱学习服务，并积累图谱选课数及学习人数等运行数据。</w:t>
            </w:r>
          </w:p>
          <w:p w14:paraId="48911B3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12）可接入翻转教学中进行校内教学：可接入翻转课程中为学生提供图谱学习服务，并积累图谱选课数及学习人数等运行数据。</w:t>
            </w:r>
          </w:p>
          <w:p w14:paraId="71AC850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13）具备知识图谱课程运行推广能力，平台中已运行对外推广的知识图谱数量不低于3000门（不包含基于知识融合运行的共享课与翻转课）。</w:t>
            </w:r>
          </w:p>
          <w:p w14:paraId="410826E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用户一键登录小程序进行学习：已经进入知识图谱班级的学生，可一键进入微信小程序，对于课程内容进行学习，学习内容包含：动态知识图谱查看、教学任务查看、知识点资源学习、知识点题目练习、考试题目练习等。微信小程序与网页版互通学习数据与记录。</w:t>
            </w:r>
          </w:p>
          <w:p w14:paraId="018CF73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教学任务</w:t>
            </w:r>
          </w:p>
          <w:p w14:paraId="636CD2D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1）支持发布各类教学任务，教学任务需包含：知识点学习、作业测试、考试、话题讨论、通知公告、探究式学习、资源学习、题库、试卷库、灵动课堂模板、AI研习室等。</w:t>
            </w:r>
          </w:p>
          <w:p w14:paraId="4B3C487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2）支持在各类任务中，通过运行中、未开始、已结束等多种类型进行观测。</w:t>
            </w:r>
          </w:p>
          <w:p w14:paraId="5CE2C7B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3）支持将课程中所有考试试卷内容存放在试卷库中，后续在任务发布与教学过程中可直接从试卷库中引用试卷资源</w:t>
            </w:r>
          </w:p>
          <w:p w14:paraId="74B8E82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4）支持创建灵动课堂应用，支持在灵动课堂中创建问卷、投票、抢答，并实时记录灵动课堂应用情况和数据进行分析。</w:t>
            </w:r>
          </w:p>
          <w:p w14:paraId="6B3C476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5）支持构建师生沟通的AI研习室，通过AI研习室了解学生的学习情况与学习疑问，进行互动讨论，并实时更新最热、疑问排行榜，同时系统可根据指定回答提醒用户进行作答。</w:t>
            </w:r>
          </w:p>
          <w:p w14:paraId="5BC38DD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PPT插件课程教学</w:t>
            </w:r>
          </w:p>
          <w:p w14:paraId="38ADFD0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1）支持应用PPT插件将知识图谱相关资源加入PPT建设中，PPT插件需支持OFFICE，同时系统支持windows与macos系统，引用的内容包含知识点、问题体系、教学资源、试题资源。</w:t>
            </w:r>
          </w:p>
          <w:p w14:paraId="08FF3B5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2）支持用户可，根据自身需要选择手机验证码登录或者微信登录等多种方式完成账号登录流程</w:t>
            </w:r>
          </w:p>
          <w:p w14:paraId="54E817E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3）支持登录完成后，系统会根据当前账号的课程图谱建设信息，选择上方导航栏中“开始授课”，选择相应的授课课程</w:t>
            </w:r>
          </w:p>
          <w:p w14:paraId="18AAC26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4）支持点击知识点按钮，在PPT会有图谱内梳理的知识点内容，老师可以搜索，点击知识点可查看知识点详情，找到想要的内容后点击引用，即可插入PPT中进行教学。</w:t>
            </w:r>
          </w:p>
          <w:p w14:paraId="40B9ED6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5）支持知识点插入成功后，教师在PPT播放页面中点击知识点按钮或者按住ctrl并单击知识点，即可打开相关教学内容进行教学。</w:t>
            </w:r>
          </w:p>
          <w:p w14:paraId="070B05B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6）支持点击问题图谱“即可直接查看当前图谱梳理的全部”全面“－”概念“－”方法“等问题，选择想要的内容点击”引入“即可插入PPT中。</w:t>
            </w:r>
          </w:p>
          <w:p w14:paraId="482C85A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7）支持教师在PPT播放页面中点击问题卡片按钮或者按住ctrl并单击问题卡片，即可打开相关教学内容进行教学。</w:t>
            </w:r>
          </w:p>
          <w:p w14:paraId="2ACA194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8）支持系统会根据课程内容，AI推送对应资源，教师可直接点击查看，合适的话直接点击”引入“即可插入PPT。</w:t>
            </w:r>
          </w:p>
          <w:p w14:paraId="1062DA4D">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9）支持添加题目资源，可以打开当前图谱梳理的题库内容，选择合适的内容后点击”引入，即可插入PPT中。</w:t>
            </w:r>
          </w:p>
          <w:p w14:paraId="6E3699F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10）支持进入线下课堂后，教师可通过PPT软件（如OFFICE、WPS等）打开已经与知识图谱关联的教学课件进行课中混合式教学。教学活动包含：签到、点名、课程录音、知识图谱内容学习。</w:t>
            </w:r>
          </w:p>
          <w:p w14:paraId="4A8E9E0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11）支持PPT教学中，教师可点击插件中的随机点名，系统根据当前班级中已经签到的学生数据，进行随机抽取，随机选择一名班级内的学生，进行后续教学活动。</w:t>
            </w:r>
          </w:p>
          <w:p w14:paraId="105EEAE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12）支持教师查看发布的随堂测验的答题情况，包括题目的参与人数、正确率、每个选项选择的人数，以及每位参与同学的答题记录。</w:t>
            </w:r>
          </w:p>
          <w:p w14:paraId="45D674B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13）支持教师查看发布的签到的课堂记录，包括已签到学生的姓名、学号、签到时间，以及未签到学生的姓名和学号。</w:t>
            </w:r>
          </w:p>
          <w:p w14:paraId="72FA009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14）支持教师查看发布的点名的课堂记录，包括已点名学生的姓名、学号、点名时间。</w:t>
            </w:r>
          </w:p>
          <w:p w14:paraId="72BBE9F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教学课件库</w:t>
            </w:r>
          </w:p>
          <w:p w14:paraId="0E396D8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支持教师团队自主构建课件库中心，进行私有课件库和课程课件库的分区管理，满足教师课件资源私有保护和公开共享的多元场景需求，支持课件共享范围进一步分层，在发布给教师团队基础上，进一步分享给特定班级学生。</w:t>
            </w:r>
          </w:p>
          <w:p w14:paraId="36D8956E">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支持教师能够实现私有课件轻松拖拽，完成不最大不低于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p>
          <w:p w14:paraId="29AF82D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p w14:paraId="542DB6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五、商务和服务需求</w:t>
            </w:r>
          </w:p>
          <w:p w14:paraId="50E5A8B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服务期限</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在签订合同后一年时间内完成课程制作并交付审核。</w:t>
            </w:r>
          </w:p>
          <w:p w14:paraId="783104DE">
            <w:pPr>
              <w:numPr>
                <w:ilvl w:val="0"/>
                <w:numId w:val="0"/>
              </w:numPr>
              <w:ind w:firstLine="280" w:firstLineChars="100"/>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服务地点</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采购人指定地点。</w:t>
            </w:r>
          </w:p>
          <w:p w14:paraId="6A3325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付款方式（进度和方式）</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本项目履约保证金为合同金额的5%,合同签订时乙方将履约保证金转至甲方指定帐户，待课程资源开发建设完成合格并通过验收后，乙方按要求开具供货发票后15个工作日内支付供货款的100%，履约保证金待履约完成后无息返还。</w:t>
            </w:r>
          </w:p>
          <w:p w14:paraId="33DFA5A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售后服务</w:t>
            </w:r>
            <w:r>
              <w:rPr>
                <w:rFonts w:hint="eastAsia" w:ascii="方正仿宋_GB2312" w:hAnsi="方正仿宋_GB2312" w:eastAsia="方正仿宋_GB2312" w:cs="方正仿宋_GB2312"/>
                <w:sz w:val="28"/>
                <w:szCs w:val="28"/>
              </w:rPr>
              <w:tab/>
            </w:r>
          </w:p>
          <w:p w14:paraId="3F51F81A">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在质量保证期内须提供7*24小时即时响应服务，并应对故障进行及时处理，确保本项目正常进行；一般问题应在1小时内、重大问题应在24小时内解决或提出明确解决方案，由此产生的一切费用均由成交供应商承担。</w:t>
            </w:r>
          </w:p>
          <w:p w14:paraId="2A3B5C77">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（2）在项目服务结束后，成交供应商须提供为期12个月的跟踪支持服务，解决项目运行中遇到的问题，并进行定期回访咨询答疑。</w:t>
            </w:r>
          </w:p>
          <w:p w14:paraId="3F79631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（3）若本项目所建设的课程后续需要评选省级或国家级课程，成交供应商应当提供相关服务。</w:t>
            </w:r>
          </w:p>
          <w:p w14:paraId="59C55530">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（4）所提供的课程平台需具备三级及以上的《信息系统安全等级保护备案证明》。</w:t>
            </w:r>
          </w:p>
          <w:p w14:paraId="6B928F31">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技术培训和咨询要求</w:t>
            </w:r>
            <w:r>
              <w:rPr>
                <w:rFonts w:hint="eastAsia" w:ascii="方正仿宋_GB2312" w:hAnsi="方正仿宋_GB2312" w:eastAsia="方正仿宋_GB2312" w:cs="方正仿宋_GB2312"/>
                <w:sz w:val="28"/>
                <w:szCs w:val="28"/>
              </w:rPr>
              <w:tab/>
            </w:r>
          </w:p>
          <w:p w14:paraId="1646E92B">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（1）供应商须为采购人提供一流课程建设与申报沙龙的服务，辅导各门课程负责团队开展课程申报与建设，提供课程建设方面专家培训活动。</w:t>
            </w:r>
          </w:p>
          <w:p w14:paraId="6FA33C9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制作团队中的课程编导须具备指导课程获得认定国家级、省级精品课程、一流课程的相关工作经验，能提供一对一的课程咨询服务，收集材料，辅助老师策划设计课程，课程知识点设计，起草课程脚本、拟定分组镜头大纲，且跟随拍摄全过程。</w:t>
            </w:r>
          </w:p>
          <w:p w14:paraId="299FE11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（3）供应商须为采购人提供课程后期制作系统账号和使用环境，以便学校随时进行课程后期制作开发，促进课程正常运行。</w:t>
            </w:r>
          </w:p>
          <w:p w14:paraId="1982A9BF">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（4）供应商须具备专业的视频处理团队，对课程服务进行课程设计、调色渲染、特效包装、视频转换等专业团队进行视频后期处理培训指导。</w:t>
            </w:r>
          </w:p>
          <w:p w14:paraId="74F0BD3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投标人为本项目配备的团队人员不少于10人（包括项目负责人、项目团队成员等）应具有本科或以上学历，要有不低于3年的教育行业服务经验和技术能力。以上人员须提供学历证明资料、职业资格资质证书及在职证明材料有效复印件并加盖投标人公章。</w:t>
            </w:r>
          </w:p>
          <w:p w14:paraId="33C82965">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驻场要求</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为方便老师的课程建设工作，成交供应商在采购人指定地点搭建摄影棚场地，完成课程制作任务和验收工作。</w:t>
            </w:r>
          </w:p>
          <w:p w14:paraId="035E10B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验收、交付方式及标准</w:t>
            </w:r>
            <w:r>
              <w:rPr>
                <w:rFonts w:hint="eastAsia" w:ascii="方正仿宋_GB2312" w:hAnsi="方正仿宋_GB2312" w:eastAsia="方正仿宋_GB2312" w:cs="方正仿宋_GB2312"/>
                <w:sz w:val="28"/>
                <w:szCs w:val="28"/>
              </w:rPr>
              <w:tab/>
            </w:r>
          </w:p>
          <w:p w14:paraId="408031B3">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（1）成交供应商在交货及验收活动中必须遵守采购人的有关规定。</w:t>
            </w:r>
          </w:p>
          <w:p w14:paraId="7B243409">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（2）课程拍摄、制作完成并上线运行之后，采购人组织课程负责人及专家组对建成的课程完成验收（制作与运行的课程如被认定为江西省级课程，则视同通过验收）。</w:t>
            </w:r>
          </w:p>
          <w:p w14:paraId="2D8BCBF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（3）如果发现有质量、技术等问题，成交供应商应负责按照采购人的要求采取补足或更换等处理措施，并承担由此发生的一切损失和费用。</w:t>
            </w:r>
          </w:p>
          <w:p w14:paraId="650D4F46">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其他商务要求</w:t>
            </w:r>
            <w:r>
              <w:rPr>
                <w:rFonts w:hint="eastAsia" w:ascii="方正仿宋_GB2312" w:hAnsi="方正仿宋_GB2312" w:eastAsia="方正仿宋_GB2312" w:cs="方正仿宋_GB2312"/>
                <w:sz w:val="28"/>
                <w:szCs w:val="28"/>
              </w:rPr>
              <w:tab/>
            </w:r>
          </w:p>
          <w:p w14:paraId="1A9D162C">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（1）本项目课程知识产权属</w:t>
            </w:r>
            <w:r>
              <w:rPr>
                <w:rFonts w:hint="eastAsia" w:ascii="方正仿宋_GB2312" w:hAnsi="方正仿宋_GB2312" w:eastAsia="方正仿宋_GB2312" w:cs="方正仿宋_GB2312"/>
                <w:sz w:val="28"/>
                <w:szCs w:val="28"/>
                <w:lang w:val="en-US" w:eastAsia="zh-CN"/>
              </w:rPr>
              <w:t>采购人</w:t>
            </w:r>
            <w:r>
              <w:rPr>
                <w:rFonts w:hint="eastAsia" w:ascii="方正仿宋_GB2312" w:hAnsi="方正仿宋_GB2312" w:eastAsia="方正仿宋_GB2312" w:cs="方正仿宋_GB2312"/>
                <w:sz w:val="28"/>
                <w:szCs w:val="28"/>
              </w:rPr>
              <w:t>所有，未经</w:t>
            </w:r>
            <w:r>
              <w:rPr>
                <w:rFonts w:hint="eastAsia" w:ascii="方正仿宋_GB2312" w:hAnsi="方正仿宋_GB2312" w:eastAsia="方正仿宋_GB2312" w:cs="方正仿宋_GB2312"/>
                <w:sz w:val="28"/>
                <w:szCs w:val="28"/>
                <w:lang w:val="en-US" w:eastAsia="zh-CN"/>
              </w:rPr>
              <w:t>采购人</w:t>
            </w:r>
            <w:r>
              <w:rPr>
                <w:rFonts w:hint="eastAsia" w:ascii="方正仿宋_GB2312" w:hAnsi="方正仿宋_GB2312" w:eastAsia="方正仿宋_GB2312" w:cs="方正仿宋_GB2312"/>
                <w:sz w:val="28"/>
                <w:szCs w:val="28"/>
              </w:rPr>
              <w:t>及相关课程组负责人许可，不得将课程公开展示或传播、或做任何商业用途。</w:t>
            </w:r>
          </w:p>
          <w:p w14:paraId="236F8452">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（2）因课程建设需要提供的学术视频、动画等相关素材要求必须取得著作权人的授权，不存在侵权等问题。</w:t>
            </w:r>
          </w:p>
          <w:p w14:paraId="35D20DF4">
            <w:pPr>
              <w:numPr>
                <w:ilvl w:val="0"/>
                <w:numId w:val="0"/>
              </w:numPr>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（3）成交供应商应保证用户在使用产品或服务的任何部分不受任何关于侵犯所有权和工业产权、著作权（版权）等知识产权的指控。</w:t>
            </w:r>
          </w:p>
          <w:p w14:paraId="4645CC27">
            <w:pPr>
              <w:numPr>
                <w:ilvl w:val="0"/>
                <w:numId w:val="0"/>
              </w:numPr>
              <w:ind w:firstLine="280" w:firstLineChars="100"/>
              <w:rPr>
                <w:rFonts w:hint="default" w:ascii="仿宋" w:hAnsi="仿宋" w:eastAsia="仿宋" w:cs="仿宋"/>
                <w:color w:val="000000"/>
                <w:kern w:val="0"/>
                <w:sz w:val="28"/>
                <w:szCs w:val="28"/>
                <w:lang w:val="en-US" w:eastAsia="zh-CN" w:bidi="ar"/>
              </w:rPr>
            </w:pPr>
            <w:r>
              <w:rPr>
                <w:rFonts w:hint="eastAsia" w:ascii="方正仿宋_GB2312" w:hAnsi="方正仿宋_GB2312" w:eastAsia="方正仿宋_GB2312" w:cs="方正仿宋_GB2312"/>
                <w:sz w:val="28"/>
                <w:szCs w:val="28"/>
              </w:rPr>
              <w:t>（4）课程建设应满足江西省省级精品在线开放课程的建设要求，若3年内我省出台了新的在线课程建设要求则所建课程应满足新要求。</w:t>
            </w:r>
            <w:bookmarkStart w:id="0" w:name="_GoBack"/>
            <w:bookmarkEnd w:id="0"/>
          </w:p>
        </w:tc>
        <w:tc>
          <w:tcPr>
            <w:tcW w:w="1283" w:type="dxa"/>
            <w:vAlign w:val="center"/>
          </w:tcPr>
          <w:p w14:paraId="7402C196">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p>
        </w:tc>
      </w:tr>
    </w:tbl>
    <w:p w14:paraId="61111020">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27207B1">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2"/>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2"/>
        <w:rPr>
          <w:rFonts w:hint="eastAsia" w:ascii="仿宋" w:hAnsi="仿宋" w:eastAsia="仿宋" w:cs="仿宋"/>
          <w:lang w:eastAsia="zh-CN"/>
        </w:rPr>
      </w:pPr>
    </w:p>
    <w:p w14:paraId="2B11A4D4">
      <w:pPr>
        <w:pStyle w:val="2"/>
        <w:spacing w:line="241" w:lineRule="auto"/>
        <w:rPr>
          <w:rFonts w:hint="eastAsia" w:ascii="仿宋" w:hAnsi="仿宋" w:eastAsia="仿宋" w:cs="仿宋"/>
          <w:lang w:eastAsia="zh-CN"/>
        </w:rPr>
      </w:pPr>
    </w:p>
    <w:p w14:paraId="5EED225E">
      <w:pPr>
        <w:pStyle w:val="2"/>
        <w:spacing w:line="241" w:lineRule="auto"/>
        <w:rPr>
          <w:rFonts w:hint="eastAsia" w:ascii="仿宋" w:hAnsi="仿宋" w:eastAsia="仿宋" w:cs="仿宋"/>
          <w:lang w:eastAsia="zh-CN"/>
        </w:rPr>
      </w:pPr>
    </w:p>
    <w:p w14:paraId="4A4C69AF">
      <w:pPr>
        <w:pStyle w:val="2"/>
        <w:spacing w:line="241" w:lineRule="auto"/>
        <w:rPr>
          <w:rFonts w:hint="eastAsia" w:ascii="仿宋" w:hAnsi="仿宋" w:eastAsia="仿宋" w:cs="仿宋"/>
          <w:lang w:eastAsia="zh-CN"/>
        </w:rPr>
      </w:pPr>
    </w:p>
    <w:p w14:paraId="707F29E0">
      <w:pPr>
        <w:pStyle w:val="2"/>
        <w:spacing w:line="241" w:lineRule="auto"/>
        <w:rPr>
          <w:rFonts w:hint="eastAsia" w:ascii="仿宋" w:hAnsi="仿宋" w:eastAsia="仿宋" w:cs="仿宋"/>
          <w:lang w:eastAsia="zh-CN"/>
        </w:rPr>
      </w:pPr>
    </w:p>
    <w:p w14:paraId="59766545">
      <w:pPr>
        <w:pStyle w:val="2"/>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2"/>
        <w:spacing w:line="317" w:lineRule="auto"/>
        <w:rPr>
          <w:rFonts w:hint="eastAsia" w:ascii="仿宋" w:hAnsi="仿宋" w:eastAsia="仿宋" w:cs="仿宋"/>
          <w:lang w:eastAsia="zh-CN"/>
        </w:rPr>
      </w:pPr>
    </w:p>
    <w:p w14:paraId="5440CDA7">
      <w:pPr>
        <w:pStyle w:val="2"/>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2"/>
        <w:spacing w:line="315" w:lineRule="auto"/>
        <w:rPr>
          <w:rFonts w:hint="eastAsia" w:ascii="仿宋" w:hAnsi="仿宋" w:eastAsia="仿宋" w:cs="仿宋"/>
          <w:lang w:eastAsia="zh-CN"/>
        </w:rPr>
      </w:pPr>
    </w:p>
    <w:p w14:paraId="23E77905">
      <w:pPr>
        <w:pStyle w:val="2"/>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2"/>
        <w:spacing w:line="316" w:lineRule="auto"/>
        <w:rPr>
          <w:rFonts w:hint="eastAsia" w:ascii="仿宋" w:hAnsi="仿宋" w:eastAsia="仿宋" w:cs="仿宋"/>
          <w:lang w:eastAsia="zh-CN"/>
        </w:rPr>
      </w:pPr>
    </w:p>
    <w:p w14:paraId="53649920">
      <w:pPr>
        <w:pStyle w:val="2"/>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2"/>
        <w:spacing w:line="317" w:lineRule="auto"/>
        <w:rPr>
          <w:rFonts w:hint="eastAsia" w:ascii="仿宋" w:hAnsi="仿宋" w:eastAsia="仿宋" w:cs="仿宋"/>
          <w:lang w:eastAsia="zh-CN"/>
        </w:rPr>
      </w:pPr>
    </w:p>
    <w:p w14:paraId="036C1C06">
      <w:pPr>
        <w:pStyle w:val="2"/>
        <w:spacing w:line="317" w:lineRule="auto"/>
        <w:rPr>
          <w:rFonts w:hint="eastAsia" w:ascii="仿宋" w:hAnsi="仿宋" w:eastAsia="仿宋" w:cs="仿宋"/>
          <w:lang w:eastAsia="zh-CN"/>
        </w:rPr>
      </w:pPr>
    </w:p>
    <w:p w14:paraId="657BB1CC">
      <w:pPr>
        <w:pStyle w:val="2"/>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4"/>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4"/>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4"/>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4"/>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4"/>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4"/>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某单位2026年AI+智慧课程采购项目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18"/>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24"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某单位2026年AI+智慧课程采购项目</w:t>
            </w:r>
          </w:p>
        </w:tc>
        <w:tc>
          <w:tcPr>
            <w:tcW w:w="1847" w:type="pct"/>
            <w:shd w:val="clear" w:color="auto" w:fill="FFFFFF"/>
            <w:tcMar>
              <w:left w:w="105" w:type="dxa"/>
              <w:right w:w="105" w:type="dxa"/>
            </w:tcMar>
            <w:vAlign w:val="center"/>
          </w:tcPr>
          <w:p w14:paraId="6F333181">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16"/>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EC19B867-9C4C-48B2-BB8D-441CE5FE1464}"/>
  </w:font>
  <w:font w:name="方正仿宋_GB2312">
    <w:panose1 w:val="02000000000000000000"/>
    <w:charset w:val="86"/>
    <w:family w:val="auto"/>
    <w:pitch w:val="default"/>
    <w:sig w:usb0="A00002BF" w:usb1="184F6CFA" w:usb2="00000012" w:usb3="00000000" w:csb0="00040001" w:csb1="00000000"/>
    <w:embedRegular r:id="rId2" w:fontKey="{3927D78B-38B7-4F4E-8E4B-841984B53E5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3"/>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284156"/>
    <w:rsid w:val="004B30A7"/>
    <w:rsid w:val="008B66C1"/>
    <w:rsid w:val="00913476"/>
    <w:rsid w:val="0091780F"/>
    <w:rsid w:val="009D373B"/>
    <w:rsid w:val="00CD3B5A"/>
    <w:rsid w:val="00CF5502"/>
    <w:rsid w:val="00D149EB"/>
    <w:rsid w:val="00F31055"/>
    <w:rsid w:val="02344EEC"/>
    <w:rsid w:val="143329BA"/>
    <w:rsid w:val="1EF12658"/>
    <w:rsid w:val="1FF62A1D"/>
    <w:rsid w:val="1FFE5062"/>
    <w:rsid w:val="224E3596"/>
    <w:rsid w:val="2AF75C96"/>
    <w:rsid w:val="311D118B"/>
    <w:rsid w:val="33666065"/>
    <w:rsid w:val="3D695935"/>
    <w:rsid w:val="4074002B"/>
    <w:rsid w:val="45E86D4D"/>
    <w:rsid w:val="4E6F4E89"/>
    <w:rsid w:val="524C2520"/>
    <w:rsid w:val="54FD6FAA"/>
    <w:rsid w:val="6B480E55"/>
    <w:rsid w:val="6BBE6052"/>
    <w:rsid w:val="722D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3">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5"/>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26"/>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27"/>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28"/>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3"/>
    <w:semiHidden/>
    <w:qFormat/>
    <w:uiPriority w:val="0"/>
  </w:style>
  <w:style w:type="paragraph" w:styleId="12">
    <w:name w:val="annotation text"/>
    <w:basedOn w:val="1"/>
    <w:link w:val="42"/>
    <w:unhideWhenUsed/>
    <w:qFormat/>
    <w:uiPriority w:val="99"/>
  </w:style>
  <w:style w:type="paragraph" w:styleId="13">
    <w:name w:val="footer"/>
    <w:basedOn w:val="1"/>
    <w:link w:val="41"/>
    <w:unhideWhenUsed/>
    <w:qFormat/>
    <w:uiPriority w:val="99"/>
    <w:pPr>
      <w:tabs>
        <w:tab w:val="center" w:pos="4153"/>
        <w:tab w:val="right" w:pos="8306"/>
      </w:tabs>
    </w:pPr>
    <w:rPr>
      <w:sz w:val="18"/>
      <w:szCs w:val="18"/>
    </w:rPr>
  </w:style>
  <w:style w:type="paragraph" w:styleId="14">
    <w:name w:val="header"/>
    <w:basedOn w:val="1"/>
    <w:link w:val="40"/>
    <w:unhideWhenUsed/>
    <w:qFormat/>
    <w:uiPriority w:val="99"/>
    <w:pPr>
      <w:tabs>
        <w:tab w:val="center" w:pos="4153"/>
        <w:tab w:val="right" w:pos="8306"/>
      </w:tabs>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customStyle="1" w:styleId="22">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20"/>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20"/>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20"/>
    <w:link w:val="6"/>
    <w:semiHidden/>
    <w:qFormat/>
    <w:uiPriority w:val="9"/>
    <w:rPr>
      <w:rFonts w:cstheme="majorBidi"/>
      <w:color w:val="2F5597" w:themeColor="accent1" w:themeShade="BF"/>
      <w:sz w:val="28"/>
      <w:szCs w:val="28"/>
    </w:rPr>
  </w:style>
  <w:style w:type="character" w:customStyle="1" w:styleId="26">
    <w:name w:val="标题 5 字符"/>
    <w:basedOn w:val="20"/>
    <w:link w:val="7"/>
    <w:semiHidden/>
    <w:qFormat/>
    <w:uiPriority w:val="9"/>
    <w:rPr>
      <w:rFonts w:cstheme="majorBidi"/>
      <w:color w:val="2F5597" w:themeColor="accent1" w:themeShade="BF"/>
      <w:sz w:val="24"/>
    </w:rPr>
  </w:style>
  <w:style w:type="character" w:customStyle="1" w:styleId="27">
    <w:name w:val="标题 6 字符"/>
    <w:basedOn w:val="20"/>
    <w:link w:val="8"/>
    <w:semiHidden/>
    <w:qFormat/>
    <w:uiPriority w:val="9"/>
    <w:rPr>
      <w:rFonts w:cstheme="majorBidi"/>
      <w:b/>
      <w:bCs/>
      <w:color w:val="2F5597" w:themeColor="accent1" w:themeShade="BF"/>
      <w:sz w:val="28"/>
    </w:rPr>
  </w:style>
  <w:style w:type="character" w:customStyle="1" w:styleId="28">
    <w:name w:val="标题 7 字符"/>
    <w:basedOn w:val="20"/>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9">
    <w:name w:val="标题 8 字符"/>
    <w:basedOn w:val="20"/>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0">
    <w:name w:val="标题 9 字符"/>
    <w:basedOn w:val="20"/>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20"/>
    <w:link w:val="37"/>
    <w:qFormat/>
    <w:uiPriority w:val="30"/>
    <w:rPr>
      <w:rFonts w:eastAsia="仿宋"/>
      <w:i/>
      <w:iCs/>
      <w:color w:val="2F5597" w:themeColor="accent1" w:themeShade="BF"/>
      <w:sz w:val="28"/>
    </w:rPr>
  </w:style>
  <w:style w:type="character" w:customStyle="1" w:styleId="39">
    <w:name w:val="Intense Reference"/>
    <w:basedOn w:val="20"/>
    <w:qFormat/>
    <w:uiPriority w:val="32"/>
    <w:rPr>
      <w:b/>
      <w:bCs/>
      <w:smallCaps/>
      <w:color w:val="2F5597" w:themeColor="accent1" w:themeShade="BF"/>
      <w:spacing w:val="5"/>
    </w:rPr>
  </w:style>
  <w:style w:type="character" w:customStyle="1" w:styleId="40">
    <w:name w:val="页眉 字符"/>
    <w:basedOn w:val="20"/>
    <w:link w:val="14"/>
    <w:qFormat/>
    <w:uiPriority w:val="99"/>
    <w:rPr>
      <w:rFonts w:eastAsia="仿宋"/>
      <w:sz w:val="18"/>
      <w:szCs w:val="18"/>
    </w:rPr>
  </w:style>
  <w:style w:type="character" w:customStyle="1" w:styleId="41">
    <w:name w:val="页脚 字符"/>
    <w:basedOn w:val="20"/>
    <w:link w:val="13"/>
    <w:qFormat/>
    <w:uiPriority w:val="99"/>
    <w:rPr>
      <w:rFonts w:eastAsia="仿宋"/>
      <w:sz w:val="18"/>
      <w:szCs w:val="18"/>
    </w:rPr>
  </w:style>
  <w:style w:type="character" w:customStyle="1" w:styleId="42">
    <w:name w:val="批注文字 字符"/>
    <w:basedOn w:val="20"/>
    <w:link w:val="12"/>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3">
    <w:name w:val="正文文本 字符"/>
    <w:basedOn w:val="20"/>
    <w:link w:val="2"/>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4">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13650</Words>
  <Characters>14023</Characters>
  <Lines>169</Lines>
  <Paragraphs>196</Paragraphs>
  <TotalTime>5</TotalTime>
  <ScaleCrop>false</ScaleCrop>
  <LinksUpToDate>false</LinksUpToDate>
  <CharactersWithSpaces>14068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2026-04-07T03:40:17Z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