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162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项目名称：某单位2026年后勤管理处医务室服务采购项目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某单位2026年后勤管理处医务室服务采购项目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0D9CF26D">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2CBF5F32">
      <w:pPr>
        <w:tabs>
          <w:tab w:val="left" w:pos="312"/>
        </w:tabs>
        <w:spacing w:before="31" w:line="360" w:lineRule="auto"/>
        <w:ind w:left="50" w:firstLine="281" w:firstLineChars="100"/>
        <w:rPr>
          <w:rFonts w:hint="eastAsia" w:ascii="仿宋" w:hAnsi="仿宋" w:eastAsia="仿宋" w:cs="仿宋"/>
          <w:spacing w:val="-1"/>
          <w:sz w:val="28"/>
          <w:szCs w:val="28"/>
          <w:lang w:eastAsia="zh-CN"/>
        </w:rPr>
      </w:pPr>
      <w:r>
        <w:rPr>
          <w:rStyle w:val="22"/>
          <w:rFonts w:hint="eastAsia" w:ascii="仿宋" w:hAnsi="仿宋" w:eastAsia="仿宋" w:cs="仿宋"/>
          <w:sz w:val="28"/>
          <w:szCs w:val="28"/>
        </w:rPr>
        <w:t>总额</w:t>
      </w:r>
      <w:r>
        <w:rPr>
          <w:rStyle w:val="22"/>
          <w:rFonts w:hint="eastAsia" w:ascii="仿宋" w:hAnsi="仿宋" w:eastAsia="仿宋" w:cs="仿宋"/>
          <w:sz w:val="28"/>
          <w:szCs w:val="28"/>
          <w:lang w:val="en-US" w:eastAsia="zh-CN"/>
        </w:rPr>
        <w:t>150万</w:t>
      </w:r>
      <w:r>
        <w:rPr>
          <w:rStyle w:val="22"/>
          <w:rFonts w:hint="eastAsia" w:ascii="仿宋" w:hAnsi="仿宋" w:eastAsia="仿宋" w:cs="仿宋"/>
          <w:sz w:val="28"/>
          <w:szCs w:val="28"/>
        </w:rPr>
        <w:t>元</w:t>
      </w:r>
    </w:p>
    <w:tbl>
      <w:tblPr>
        <w:tblStyle w:val="19"/>
        <w:tblW w:w="5080" w:type="pct"/>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40"/>
        <w:gridCol w:w="962"/>
        <w:gridCol w:w="5570"/>
        <w:gridCol w:w="1300"/>
      </w:tblGrid>
      <w:tr w14:paraId="0C69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8" w:type="pct"/>
            <w:noWrap/>
            <w:vAlign w:val="center"/>
          </w:tcPr>
          <w:p w14:paraId="11EB67C8">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796" w:type="pct"/>
            <w:noWrap/>
            <w:vAlign w:val="center"/>
          </w:tcPr>
          <w:p w14:paraId="7131231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467" w:type="pct"/>
            <w:noWrap/>
            <w:vAlign w:val="center"/>
          </w:tcPr>
          <w:p w14:paraId="7FBB1042">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2706" w:type="pct"/>
            <w:noWrap/>
            <w:vAlign w:val="center"/>
          </w:tcPr>
          <w:p w14:paraId="113B3B90">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631" w:type="pct"/>
            <w:noWrap/>
            <w:vAlign w:val="center"/>
          </w:tcPr>
          <w:p w14:paraId="22F47348">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02009C32">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5FE1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98" w:type="pct"/>
            <w:noWrap/>
            <w:vAlign w:val="center"/>
          </w:tcPr>
          <w:p w14:paraId="3F55C2A4">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796" w:type="pct"/>
            <w:noWrap/>
            <w:vAlign w:val="center"/>
          </w:tcPr>
          <w:p w14:paraId="55F1B118">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某单位2026年后勤管理处医务室服务采购项目</w:t>
            </w:r>
          </w:p>
        </w:tc>
        <w:tc>
          <w:tcPr>
            <w:tcW w:w="467" w:type="pct"/>
            <w:noWrap/>
            <w:vAlign w:val="center"/>
          </w:tcPr>
          <w:p w14:paraId="0F61724F">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3年</w:t>
            </w:r>
          </w:p>
        </w:tc>
        <w:tc>
          <w:tcPr>
            <w:tcW w:w="2706" w:type="pct"/>
            <w:vAlign w:val="center"/>
          </w:tcPr>
          <w:p w14:paraId="13B5063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1.资质要求：具有国家二甲或以上医院资质，（最好近五年内承揽过高校或其他学校体检项目）</w:t>
            </w:r>
          </w:p>
          <w:p w14:paraId="2C76CF3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人员配备：派驻医务所必须由4名具有从业资格的全科医师（其中副主任医师一名），2名药剂师，2名护士，共八人。新生体检人员供应方需单独派团队完成体检，不能从校医务所抽调医务人员（参与体检医师最少要有壹名高级职称医师）。</w:t>
            </w:r>
          </w:p>
          <w:p w14:paraId="20C2A59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提供诊疗设备：提供常规检查设备和门诊所需药品，病人搬运装备：轮式担架1个、软式担架2个；肢体和上脊柱固定设备：夹板和颈托2付；供氧/呼吸设备：氧气瓶1个、便携式呼吸机或多功能呼吸机1台、诊疗设备：血压计、体温计、手电照明设备、听诊器、除颤仪1台、心电监护仪(带存储和打印) 1台、血糖仪1台、标准医疗床2张、输液座椅6张、处置台1张、办公桌2张、电脑及打印机各1台；通讯器材：无线通讯设备或固定电话1台；储物设备：药品货柜若干（根据需求增加，不得少于4组）、收费设备:pos机或收费系统等。提供体检所需一切仪器设备及涉及检验试剂及一次性卫生用品，其中大型核心设备和器械符合国家强制性标准，提供三种大型核心设备或器械体检设备（体检设备供应方单独配备，不得从校医务所抽调）；医疗设备不仅限于以上描述的设备。</w:t>
            </w:r>
          </w:p>
          <w:p w14:paraId="5FEEEEF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4.药物配备及出售：药品类别须按照医院门诊的标准备齐药物，药品价格按医院进价售卖，实行零利润。</w:t>
            </w:r>
          </w:p>
          <w:p w14:paraId="134391B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目前暂定体检项目如下，实际体检项目可按采购人要求根据情况作出适当调整。（1）一般检查：问诊（既往病史、传染病史、精神疾病史等），内科（心、肺、腹部、双肾及全身淋巴结），眼科（视力、色觉、结膜炎），口腔科（牙齿、牙周），耳鼻喉科（听力、嗅觉、耳鼻咽喉），外科（头部、颈部、胸部、脊柱、四肢、皮肤、淋巴结），形态指标检查（身高、体重），生理功能指标检查（血压、脉搏），神经系统检查。（2）实验室检查：小肝功能、肾功能、血常规（三分类法）。（3）结核菌素试验（TB-PPD)。</w:t>
            </w:r>
          </w:p>
          <w:p w14:paraId="688378A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6.承担学生复查工作，（能提供派车接送服务更佳），该项服务不额外收费。</w:t>
            </w:r>
          </w:p>
          <w:p w14:paraId="2FDCCCB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供应商需提供的体检服务方案（包含但不限于运作流程、体检时间安排、体检报告管理、质量控制措施及保障措施、治疗处理紧急方案或复测建议）内容完整科学合理可行，进行了整体工作部署并完全满足项目需要。</w:t>
            </w:r>
          </w:p>
          <w:p w14:paraId="3505434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8.提供学生体检报告电子档和纸质报告，体检结束后一周内完成报告整理交付。</w:t>
            </w:r>
          </w:p>
          <w:p w14:paraId="0E44843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9.要求新生军训期间完成全部体检项目</w:t>
            </w:r>
          </w:p>
          <w:p w14:paraId="58005B6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10.体检费按照往年实施的中标价62元/人作为本次的标底价，（62元/人的价格包含完成体检项目所需仪器、材料、检测、人工、复检、纸质或电子体检报告等全部费用（含税）），最终定价随同校医所医疗服务报价的折扣同比下浮。</w:t>
            </w:r>
          </w:p>
          <w:p w14:paraId="489CB01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11.体检过程中，发现疑似恶性肿瘤、心脑血管病高危状态、传染病（如结核病）等特殊情况，应立即反馈给参检人。</w:t>
            </w:r>
          </w:p>
          <w:p w14:paraId="22B7F24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12.供应商在体检期间须指定一名工作人员作为联络员，联络员要耐心细致，认真回答学生、职工相关疑问。并且具备检后答疑解惑能力，能够在、工体检报告单出来后，及时发现有重大疾病风险，应及时电话告知，耐心讲解后续检查方向。</w:t>
            </w:r>
          </w:p>
        </w:tc>
        <w:tc>
          <w:tcPr>
            <w:tcW w:w="631" w:type="pct"/>
            <w:vAlign w:val="center"/>
          </w:tcPr>
          <w:p w14:paraId="39F7FB8E">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150</w:t>
            </w:r>
          </w:p>
        </w:tc>
      </w:tr>
    </w:tbl>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5" w:hRule="atLeast"/>
          <w:jc w:val="center"/>
        </w:trPr>
        <w:tc>
          <w:tcPr>
            <w:tcW w:w="264" w:type="pct"/>
            <w:vAlign w:val="center"/>
          </w:tcPr>
          <w:p w14:paraId="0D5FFEDB">
            <w:pPr>
              <w:pStyle w:val="45"/>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5"/>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5"/>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5"/>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5"/>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5"/>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某单位2026年后勤管理处医务室服务采购项目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9"/>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95"/>
        <w:gridCol w:w="1548"/>
        <w:gridCol w:w="3814"/>
        <w:gridCol w:w="9191"/>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259" w:type="pct"/>
            <w:shd w:val="clear" w:color="auto" w:fill="FFFFFF"/>
            <w:tcMar>
              <w:left w:w="105" w:type="dxa"/>
              <w:right w:w="105" w:type="dxa"/>
            </w:tcMar>
            <w:vAlign w:val="center"/>
          </w:tcPr>
          <w:p w14:paraId="52BD0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504" w:type="pct"/>
            <w:shd w:val="clear" w:color="auto" w:fill="FFFFFF"/>
            <w:tcMar>
              <w:left w:w="105" w:type="dxa"/>
              <w:right w:w="105" w:type="dxa"/>
            </w:tcMar>
            <w:vAlign w:val="center"/>
          </w:tcPr>
          <w:p w14:paraId="6705B388">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242" w:type="pct"/>
            <w:shd w:val="clear" w:color="auto" w:fill="FFFFFF"/>
            <w:tcMar>
              <w:left w:w="105" w:type="dxa"/>
              <w:right w:w="105" w:type="dxa"/>
            </w:tcMar>
            <w:vAlign w:val="center"/>
          </w:tcPr>
          <w:p w14:paraId="5BF8442A">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2993" w:type="pct"/>
            <w:shd w:val="clear" w:color="auto" w:fill="FFFFFF"/>
            <w:tcMar>
              <w:left w:w="105" w:type="dxa"/>
              <w:right w:w="105" w:type="dxa"/>
            </w:tcMar>
            <w:vAlign w:val="center"/>
          </w:tcPr>
          <w:p w14:paraId="70F0FAD7">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4" w:hRule="atLeast"/>
        </w:trPr>
        <w:tc>
          <w:tcPr>
            <w:tcW w:w="259"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50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某单位2026年后勤管理处医务室服务采购项目</w:t>
            </w:r>
          </w:p>
        </w:tc>
        <w:tc>
          <w:tcPr>
            <w:tcW w:w="1242" w:type="pct"/>
            <w:shd w:val="clear" w:color="auto" w:fill="FFFFFF"/>
            <w:tcMar>
              <w:left w:w="105" w:type="dxa"/>
              <w:right w:w="105" w:type="dxa"/>
            </w:tcMar>
            <w:vAlign w:val="center"/>
          </w:tcPr>
          <w:p w14:paraId="51A3A6A2">
            <w:pPr>
              <w:pStyle w:val="17"/>
              <w:widowControl/>
              <w:spacing w:before="0" w:beforeAutospacing="0" w:after="0" w:afterAutospacing="0"/>
              <w:jc w:val="center"/>
              <w:rPr>
                <w:rFonts w:hint="eastAsia" w:ascii="仿宋" w:hAnsi="仿宋" w:eastAsia="仿宋" w:cs="仿宋"/>
                <w:sz w:val="24"/>
                <w:szCs w:val="24"/>
              </w:rPr>
            </w:pPr>
          </w:p>
          <w:p w14:paraId="6F333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注：本项内容供应商在征集公告要求的基础上填写跟本项目相关的技术参数等内容。</w:t>
            </w:r>
          </w:p>
        </w:tc>
        <w:tc>
          <w:tcPr>
            <w:tcW w:w="2993" w:type="pct"/>
            <w:shd w:val="clear" w:color="auto" w:fill="FFFFFF"/>
            <w:tcMar>
              <w:left w:w="105" w:type="dxa"/>
              <w:right w:w="105" w:type="dxa"/>
            </w:tcMar>
            <w:vAlign w:val="center"/>
          </w:tcPr>
          <w:p w14:paraId="08C5E8CE">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Ⅰ.校医所医疗服务：</w:t>
            </w:r>
          </w:p>
          <w:p w14:paraId="53708181">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（一）付款方式及履约保证金：</w:t>
            </w:r>
          </w:p>
          <w:p w14:paraId="7094EBF9">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（1）中标公示结束后，签订合同，合同一签三年。签订合同时乙方向甲方支付中标价的5%作为履约保证金，合同签订后乙方在1天内布置好所有的医疗服务药品及器材到甲方指定场所，布置好后</w:t>
            </w:r>
            <w:bookmarkStart w:id="0" w:name="_GoBack"/>
            <w:bookmarkEnd w:id="0"/>
            <w:r>
              <w:rPr>
                <w:rFonts w:hint="eastAsia" w:ascii="仿宋" w:hAnsi="仿宋" w:eastAsia="仿宋" w:cs="仿宋"/>
                <w:sz w:val="24"/>
                <w:szCs w:val="24"/>
              </w:rPr>
              <w:t>立即开始医疗服务，服务期满后且无任何违约情况下无息返还全额履约保证金。</w:t>
            </w:r>
          </w:p>
          <w:p w14:paraId="4F9D7B8E">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2）每满一年服务期考评一次，考评合格后，乙方开具合法、等额的发票提供给采购方，否则采购方有权拒绝付款并无需承担违约责任；在考评合格的情况下支付每年的100%服务费（即中标价的三分之一），若考评不合格，则参照合同条款违约责任与赔偿损失扣除中标价的3%作为违约金。</w:t>
            </w:r>
          </w:p>
          <w:p w14:paraId="56304A94">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Ⅱ新生体检服务</w:t>
            </w:r>
          </w:p>
          <w:p w14:paraId="1393DA8C">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（一）付款方式</w:t>
            </w:r>
          </w:p>
          <w:p w14:paraId="62DD7B2D">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（1）由供应商自行组织收费，并开具有效的收据，收取单价以中标价为准，采购方进行监督核实，不得乱收费用(特殊情况以合同为准）；</w:t>
            </w:r>
          </w:p>
          <w:p w14:paraId="4431A576">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（2）体检人数根据实际体检人数而定，最终数量以学生实际体检的数量和对应的电子及纸质体检报告为准(特殊情况以合同为准）。</w:t>
            </w:r>
          </w:p>
          <w:p w14:paraId="4DF51593">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（二）、服务要求</w:t>
            </w:r>
          </w:p>
          <w:p w14:paraId="4FBB54CB">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Ⅰ.校医所医疗服务：</w:t>
            </w:r>
          </w:p>
          <w:p w14:paraId="3F6AC963">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1、乙方职责范围：承担校区师生预防保健、健康教育、常见病与传染病预防及控制、急救培训讲座、突发医疗事件处理、以及必要的医疗服务。提供学校迎新、军训、运动会、演出、招聘会、国家或省级考试等大型活动期间突发公共卫生事件，应急处理和卫生保健工作，为在校师生提供防暑降温药品。 </w:t>
            </w:r>
          </w:p>
          <w:p w14:paraId="3D5771CD">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2、开学期间必须安排医护人员每天 24 小时的门诊诊疗、急诊和对外送诊服务，工作期间不得擅离职守。寒暑假根据甲方需求安排值班工作，乙方必须为医务室配备固定的值班手机或电话。 </w:t>
            </w:r>
          </w:p>
          <w:p w14:paraId="633DE46E">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3、值班时间及人员安排的要求是： </w:t>
            </w:r>
          </w:p>
          <w:p w14:paraId="127DDA8C">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（1）开学期间周一至周五开诊时间为 24小时在岗，可视为急诊，乙方须依法依规从事诊疗活动，合理安排值班人员，规范用工。 </w:t>
            </w:r>
          </w:p>
          <w:p w14:paraId="1396C43E">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（2）周六、日（含法定节假日）要求至少有六个小时开诊时间，上、下午和晚上各两小时，乙方须依法依规从事诊疗活动，合理安排值班人员，规范用工。 </w:t>
            </w:r>
          </w:p>
          <w:p w14:paraId="694E63D4">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（3）其余时间须保证足够的医护人员。 </w:t>
            </w:r>
          </w:p>
          <w:p w14:paraId="07CC57B9">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（4）寒暑假视甲方安排而定。 </w:t>
            </w:r>
          </w:p>
          <w:p w14:paraId="6420E516">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4、派驻校医所必须由4名具有从业资格的全科医师（其中副主任医师一名），2名药剂师，2名护士，共八人。须指定 1 名医生作为校医所负责人，该负责人固定兼任校医所日常业务管理及与乙方衔接工作，其他派驻人员因故确有需要更换，乙方应向甲方提出书面申请并征得同意后，做好人员工作交接，确保校医所24小时医疗服务不脱节、不缺岗。对患者必须做到及时响应、诊断、处理，对急病、重病、特殊病人，要及时报告学院校医所主管人员及值班人员，并及时做好转诊工作。乙方的院部应随时保持与学院驻点的联系，确保能够及时提供送诊支持，必须开设 24 小时门诊和治疗跟进服务。校医所接到急诊电话后（含夜间），当班医务人员根据病情需迅速出诊，不得拒诊，对急、重症患者视病情需要及时联系转诊医院及运送车辆（第一时间联系 120），通知总部开通急诊绿色通道，同时进行临时性紧急救护，做到科学、规范、及时。</w:t>
            </w:r>
          </w:p>
          <w:p w14:paraId="5B823D00">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 xml:space="preserve">5、设备设施购置：乙方应充分了解并承担在校区开展医疗服务所需的办公家具设备和基本的医疗设备，配备急救所需要的抢救仪器。购置处方、门诊日志、发烧登记本、疑似传染病和传染病登记本、医疗垃圾登记台帐等日常办公用品。在合同签订后10日内完成配备及安装，达到正常运行使用条件。若乙方需对医务室进行改造装修，其装修改造方案应征得甲方同意。乙方对校区医务室进行的改造装修、后期硬件配备及可移动设备必须符合属地卫生行政部门考核要求，费用由乙方自行负责。 </w:t>
            </w:r>
          </w:p>
          <w:p w14:paraId="0726D66B">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6、药品付费按医院进价收取受诊师生药品费，乙方需定期（一般情况下每月提供一次，若出现进价变动，乙方需及时向学院后勤管理处提供最新的药品进价表）向学院后勤管理处提交最新的药品进价表。</w:t>
            </w:r>
          </w:p>
          <w:p w14:paraId="31FC7198">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7、乙方必须配备的医疗器械要求见上表详细参数。</w:t>
            </w:r>
          </w:p>
          <w:p w14:paraId="6AB68508">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Ⅱ新生体检服务</w:t>
            </w:r>
          </w:p>
          <w:p w14:paraId="4C4D2509">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1.为保证体检服务顺利有效的进行，军训期间供应商提供医疗服务，采购方提供场地，供应商须派医务服务团队提供体检服务，并且该医务服务团队接待过类似单位团体体检项目。</w:t>
            </w:r>
          </w:p>
          <w:p w14:paraId="15CC309D">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2.供应商在体检期间须指定一名工作人员作为联络员，联络员要耐心细致，认真回答师生相关疑问。并且具备检后答疑解惑能力，能够在学生体检报告单出来后，及时发现有重大疾病风险，应及时电话告知，耐心讲解后续检查方向。</w:t>
            </w:r>
          </w:p>
          <w:p w14:paraId="665A6D02">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3.检验试剂：检验使用试剂需符合我国相应的强制性标准；</w:t>
            </w:r>
          </w:p>
          <w:p w14:paraId="436542E2">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4.体检过程中，发现疑似恶性肿瘤、心脑血管病高危状态、传染病（如结核病）等特殊情况，应立即反馈给参检人。</w:t>
            </w:r>
          </w:p>
          <w:p w14:paraId="4BAD440C">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5.供应商未按服务项目要求完成或完成不彻底，须按要求重新安排体检，且采购人有权减扣合同付款金额直至终止合约，由此造成的一切后果由服务商承担。</w:t>
            </w:r>
          </w:p>
          <w:p w14:paraId="06122961">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6.体检期限及体检报告整理，军训期间完成新生体检工作，体检工作结束后一周内完成报告整理交付，具体开始体检时间以采购人通知为准。</w:t>
            </w:r>
          </w:p>
          <w:p w14:paraId="597F9AA0">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7.服务地点：江西陶瓷工艺美术职业技术学院新校区，具体以采购人通知为准。</w:t>
            </w:r>
          </w:p>
          <w:p w14:paraId="1499ECBE">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（三）、服务期限</w:t>
            </w:r>
          </w:p>
          <w:p w14:paraId="5C20D5F3">
            <w:pPr>
              <w:pStyle w:val="17"/>
              <w:widowControl/>
              <w:spacing w:before="0" w:beforeAutospacing="0" w:after="0" w:afterAutospacing="0"/>
              <w:jc w:val="left"/>
              <w:rPr>
                <w:rFonts w:hint="eastAsia" w:ascii="仿宋" w:hAnsi="仿宋" w:eastAsia="仿宋" w:cs="仿宋"/>
                <w:sz w:val="24"/>
                <w:szCs w:val="24"/>
              </w:rPr>
            </w:pPr>
            <w:r>
              <w:rPr>
                <w:rFonts w:hint="eastAsia" w:ascii="仿宋" w:hAnsi="仿宋" w:eastAsia="仿宋" w:cs="仿宋"/>
                <w:sz w:val="24"/>
                <w:szCs w:val="24"/>
              </w:rPr>
              <w:t>服务期限：3年（其中校医所医疗服务部分2023年10月25日—2026年10月24日；新生体检服务部分2023年9月17日—2026年9月16日）。</w:t>
            </w:r>
          </w:p>
          <w:p w14:paraId="572743CC">
            <w:pPr>
              <w:pStyle w:val="17"/>
              <w:widowControl/>
              <w:spacing w:before="0" w:beforeAutospacing="0" w:after="0" w:afterAutospacing="0"/>
              <w:jc w:val="left"/>
              <w:rPr>
                <w:rFonts w:hint="eastAsia" w:ascii="仿宋" w:hAnsi="仿宋" w:eastAsia="仿宋" w:cs="仿宋"/>
                <w:sz w:val="24"/>
                <w:szCs w:val="24"/>
              </w:rPr>
            </w:pPr>
          </w:p>
          <w:p w14:paraId="2B131175">
            <w:pPr>
              <w:pStyle w:val="17"/>
              <w:widowControl/>
              <w:spacing w:before="0" w:beforeAutospacing="0" w:after="0" w:afterAutospacing="0"/>
              <w:jc w:val="left"/>
              <w:rPr>
                <w:rFonts w:hint="eastAsia" w:ascii="仿宋" w:hAnsi="仿宋" w:eastAsia="仿宋" w:cs="仿宋"/>
                <w:b/>
                <w:bCs/>
                <w:sz w:val="24"/>
                <w:szCs w:val="24"/>
              </w:rPr>
            </w:pPr>
            <w:r>
              <w:rPr>
                <w:rFonts w:hint="eastAsia" w:ascii="仿宋" w:hAnsi="仿宋" w:eastAsia="仿宋" w:cs="仿宋"/>
                <w:b/>
                <w:bCs/>
                <w:sz w:val="24"/>
                <w:szCs w:val="24"/>
              </w:rPr>
              <w:t>注：本项内容供应商可填写跟本项目相关的售后服务条款、质保期等内容。</w:t>
            </w:r>
          </w:p>
          <w:p w14:paraId="5589C77A">
            <w:pPr>
              <w:pStyle w:val="17"/>
              <w:widowControl/>
              <w:spacing w:before="0" w:beforeAutospacing="0" w:after="0" w:afterAutospacing="0"/>
              <w:jc w:val="left"/>
              <w:rPr>
                <w:rFonts w:hint="eastAsia" w:ascii="仿宋" w:hAnsi="仿宋" w:eastAsia="仿宋" w:cs="仿宋"/>
                <w:sz w:val="24"/>
                <w:szCs w:val="24"/>
              </w:rPr>
            </w:pP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embedRegular r:id="rId1" w:fontKey="{F9E3E296-5573-492E-95CF-6F531BEACC8A}"/>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B403B8C-55D3-4026-AE5A-B94082FC8F4C}"/>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143329BA"/>
    <w:rsid w:val="1FF62A1D"/>
    <w:rsid w:val="1FFE5062"/>
    <w:rsid w:val="224E3596"/>
    <w:rsid w:val="2AF75C96"/>
    <w:rsid w:val="311D118B"/>
    <w:rsid w:val="3D695935"/>
    <w:rsid w:val="4074002B"/>
    <w:rsid w:val="4420119C"/>
    <w:rsid w:val="4E6F4E89"/>
    <w:rsid w:val="524C2520"/>
    <w:rsid w:val="54FD6FAA"/>
    <w:rsid w:val="5C227917"/>
    <w:rsid w:val="6B480E55"/>
    <w:rsid w:val="6BBE6052"/>
    <w:rsid w:val="7019691C"/>
    <w:rsid w:val="722D3F99"/>
    <w:rsid w:val="7672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7"/>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unhideWhenUsed/>
    <w:qFormat/>
    <w:uiPriority w:val="99"/>
  </w:style>
  <w:style w:type="paragraph" w:styleId="12">
    <w:name w:val="Body Text"/>
    <w:basedOn w:val="1"/>
    <w:link w:val="44"/>
    <w:semiHidden/>
    <w:qFormat/>
    <w:uiPriority w:val="0"/>
  </w:style>
  <w:style w:type="paragraph" w:styleId="13">
    <w:name w:val="Plain Text"/>
    <w:basedOn w:val="1"/>
    <w:qFormat/>
    <w:uiPriority w:val="0"/>
    <w:rPr>
      <w:rFonts w:ascii="宋体" w:hAnsi="Courier New" w:cs="Courier New"/>
      <w:szCs w:val="21"/>
    </w:rPr>
  </w:style>
  <w:style w:type="paragraph" w:styleId="14">
    <w:name w:val="footer"/>
    <w:basedOn w:val="1"/>
    <w:link w:val="42"/>
    <w:unhideWhenUsed/>
    <w:qFormat/>
    <w:uiPriority w:val="99"/>
    <w:pPr>
      <w:tabs>
        <w:tab w:val="center" w:pos="4153"/>
        <w:tab w:val="right" w:pos="8306"/>
      </w:tabs>
    </w:pPr>
    <w:rPr>
      <w:sz w:val="18"/>
      <w:szCs w:val="18"/>
    </w:rPr>
  </w:style>
  <w:style w:type="paragraph" w:styleId="15">
    <w:name w:val="header"/>
    <w:basedOn w:val="1"/>
    <w:link w:val="41"/>
    <w:unhideWhenUsed/>
    <w:qFormat/>
    <w:uiPriority w:val="99"/>
    <w:pPr>
      <w:tabs>
        <w:tab w:val="center" w:pos="4153"/>
        <w:tab w:val="right" w:pos="8306"/>
      </w:tabs>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7">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customStyle="1" w:styleId="23">
    <w:name w:val="标题 1 字符"/>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5"/>
    <w:semiHidden/>
    <w:qFormat/>
    <w:uiPriority w:val="9"/>
    <w:rPr>
      <w:rFonts w:cstheme="majorBidi"/>
      <w:color w:val="2F5597" w:themeColor="accent1" w:themeShade="BF"/>
      <w:sz w:val="28"/>
      <w:szCs w:val="28"/>
    </w:rPr>
  </w:style>
  <w:style w:type="character" w:customStyle="1" w:styleId="27">
    <w:name w:val="标题 5 字符"/>
    <w:basedOn w:val="21"/>
    <w:link w:val="6"/>
    <w:semiHidden/>
    <w:qFormat/>
    <w:uiPriority w:val="9"/>
    <w:rPr>
      <w:rFonts w:cstheme="majorBidi"/>
      <w:color w:val="2F5597" w:themeColor="accent1" w:themeShade="BF"/>
      <w:sz w:val="24"/>
    </w:rPr>
  </w:style>
  <w:style w:type="character" w:customStyle="1" w:styleId="28">
    <w:name w:val="标题 6 字符"/>
    <w:basedOn w:val="21"/>
    <w:link w:val="7"/>
    <w:semiHidden/>
    <w:qFormat/>
    <w:uiPriority w:val="9"/>
    <w:rPr>
      <w:rFonts w:cstheme="majorBidi"/>
      <w:b/>
      <w:bCs/>
      <w:color w:val="2F5597" w:themeColor="accent1" w:themeShade="BF"/>
      <w:sz w:val="28"/>
    </w:rPr>
  </w:style>
  <w:style w:type="character" w:customStyle="1" w:styleId="29">
    <w:name w:val="标题 7 字符"/>
    <w:basedOn w:val="21"/>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rFonts w:eastAsia="仿宋"/>
      <w:i/>
      <w:iCs/>
      <w:color w:val="2F5597" w:themeColor="accent1" w:themeShade="BF"/>
      <w:sz w:val="28"/>
    </w:rPr>
  </w:style>
  <w:style w:type="character" w:customStyle="1" w:styleId="40">
    <w:name w:val="Intense Reference"/>
    <w:basedOn w:val="21"/>
    <w:qFormat/>
    <w:uiPriority w:val="32"/>
    <w:rPr>
      <w:b/>
      <w:bCs/>
      <w:smallCaps/>
      <w:color w:val="2F5597" w:themeColor="accent1" w:themeShade="BF"/>
      <w:spacing w:val="5"/>
    </w:rPr>
  </w:style>
  <w:style w:type="character" w:customStyle="1" w:styleId="41">
    <w:name w:val="页眉 字符"/>
    <w:basedOn w:val="21"/>
    <w:link w:val="15"/>
    <w:qFormat/>
    <w:uiPriority w:val="99"/>
    <w:rPr>
      <w:rFonts w:eastAsia="仿宋"/>
      <w:sz w:val="18"/>
      <w:szCs w:val="18"/>
    </w:rPr>
  </w:style>
  <w:style w:type="character" w:customStyle="1" w:styleId="42">
    <w:name w:val="页脚 字符"/>
    <w:basedOn w:val="21"/>
    <w:link w:val="14"/>
    <w:qFormat/>
    <w:uiPriority w:val="99"/>
    <w:rPr>
      <w:rFonts w:eastAsia="仿宋"/>
      <w:sz w:val="18"/>
      <w:szCs w:val="18"/>
    </w:rPr>
  </w:style>
  <w:style w:type="character" w:customStyle="1" w:styleId="43">
    <w:name w:val="批注文字 字符"/>
    <w:basedOn w:val="21"/>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4">
    <w:name w:val="正文文本 字符"/>
    <w:basedOn w:val="21"/>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7274</Words>
  <Characters>7531</Characters>
  <Lines>169</Lines>
  <Paragraphs>196</Paragraphs>
  <TotalTime>0</TotalTime>
  <ScaleCrop>false</ScaleCrop>
  <LinksUpToDate>false</LinksUpToDate>
  <CharactersWithSpaces>7584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2026-03-30T03:22:43Z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