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C30A3">
      <w:pPr>
        <w:pStyle w:val="14"/>
        <w:spacing w:before="91" w:line="326" w:lineRule="auto"/>
        <w:ind w:right="91"/>
        <w:jc w:val="center"/>
        <w:rPr>
          <w:rFonts w:ascii="仿宋" w:hAnsi="仿宋" w:eastAsia="仿宋" w:cs="仿宋"/>
          <w:b/>
          <w:bCs/>
          <w:color w:val="auto"/>
          <w:sz w:val="40"/>
          <w:szCs w:val="40"/>
          <w:lang w:eastAsia="zh-CN"/>
        </w:rPr>
      </w:pPr>
      <w:r>
        <w:rPr>
          <w:rFonts w:hint="eastAsia" w:ascii="仿宋" w:hAnsi="仿宋" w:eastAsia="仿宋" w:cs="仿宋"/>
          <w:b/>
          <w:bCs/>
          <w:color w:val="auto"/>
          <w:kern w:val="0"/>
          <w:sz w:val="40"/>
          <w:szCs w:val="40"/>
          <w:lang w:eastAsia="zh-CN" w:bidi="ar"/>
        </w:rPr>
        <w:t>井冈山经开区富滩工业园区消防救援站增配消防车辆采购项目</w:t>
      </w:r>
      <w:r>
        <w:rPr>
          <w:rFonts w:hint="eastAsia" w:ascii="仿宋" w:hAnsi="仿宋" w:eastAsia="仿宋" w:cs="仿宋"/>
          <w:b/>
          <w:bCs/>
          <w:color w:val="auto"/>
          <w:sz w:val="40"/>
          <w:szCs w:val="40"/>
          <w:lang w:eastAsia="zh-CN"/>
        </w:rPr>
        <w:t>采购需求方案征集公告</w:t>
      </w:r>
    </w:p>
    <w:p w14:paraId="4C3B4B98">
      <w:pPr>
        <w:pStyle w:val="7"/>
        <w:widowControl/>
        <w:shd w:val="clear" w:color="auto" w:fill="FFFFFF"/>
        <w:spacing w:before="0" w:beforeAutospacing="0" w:after="0" w:afterAutospacing="0" w:line="400" w:lineRule="exact"/>
        <w:jc w:val="both"/>
        <w:textAlignment w:val="baseline"/>
        <w:rPr>
          <w:rFonts w:ascii="仿宋" w:hAnsi="仿宋" w:eastAsia="仿宋" w:cs="仿宋"/>
          <w:b/>
          <w:color w:val="auto"/>
          <w:sz w:val="32"/>
          <w:szCs w:val="32"/>
          <w:shd w:val="clear" w:color="auto" w:fill="FFFFFF"/>
        </w:rPr>
      </w:pPr>
    </w:p>
    <w:p w14:paraId="43801FA2">
      <w:pPr>
        <w:pStyle w:val="7"/>
        <w:widowControl/>
        <w:shd w:val="clear" w:color="auto" w:fill="FFFFFF"/>
        <w:spacing w:before="0" w:beforeAutospacing="0" w:after="0" w:afterAutospacing="0" w:line="600" w:lineRule="exact"/>
        <w:textAlignment w:val="baseline"/>
        <w:rPr>
          <w:rFonts w:ascii="仿宋" w:hAnsi="仿宋" w:eastAsia="仿宋" w:cs="仿宋"/>
          <w:b/>
          <w:color w:val="auto"/>
          <w:sz w:val="28"/>
          <w:szCs w:val="28"/>
        </w:rPr>
      </w:pPr>
      <w:r>
        <w:rPr>
          <w:rFonts w:hint="eastAsia" w:ascii="仿宋" w:hAnsi="仿宋" w:eastAsia="仿宋" w:cs="仿宋"/>
          <w:b/>
          <w:color w:val="auto"/>
          <w:sz w:val="28"/>
          <w:szCs w:val="28"/>
          <w:shd w:val="clear" w:color="auto" w:fill="FFFFFF"/>
        </w:rPr>
        <w:t>一、采购项目内容</w:t>
      </w:r>
    </w:p>
    <w:p w14:paraId="6D3A8114">
      <w:pPr>
        <w:pStyle w:val="7"/>
        <w:widowControl/>
        <w:shd w:val="clear" w:color="auto" w:fill="FFFFFF"/>
        <w:spacing w:before="0" w:beforeAutospacing="0" w:after="0" w:afterAutospacing="0" w:line="600" w:lineRule="exact"/>
        <w:ind w:firstLine="560" w:firstLineChars="200"/>
        <w:textAlignment w:val="baseline"/>
        <w:rPr>
          <w:rFonts w:ascii="仿宋" w:hAnsi="仿宋" w:eastAsia="仿宋" w:cs="仿宋"/>
          <w:color w:val="auto"/>
          <w:sz w:val="28"/>
          <w:szCs w:val="28"/>
        </w:rPr>
      </w:pPr>
      <w:r>
        <w:rPr>
          <w:rFonts w:hint="eastAsia" w:ascii="仿宋" w:hAnsi="仿宋" w:eastAsia="仿宋" w:cs="仿宋"/>
          <w:color w:val="auto"/>
          <w:sz w:val="28"/>
          <w:szCs w:val="28"/>
          <w:shd w:val="clear" w:color="auto" w:fill="FFFFFF"/>
          <w:lang w:eastAsia="zh-CN"/>
        </w:rPr>
        <w:t>吉安市安泰工程项目管理服务有限公司</w:t>
      </w:r>
      <w:r>
        <w:rPr>
          <w:rFonts w:hint="eastAsia" w:ascii="仿宋" w:hAnsi="仿宋" w:eastAsia="仿宋" w:cs="仿宋"/>
          <w:color w:val="auto"/>
          <w:sz w:val="28"/>
          <w:szCs w:val="28"/>
          <w:shd w:val="clear" w:color="auto" w:fill="FFFFFF"/>
        </w:rPr>
        <w:t>受</w:t>
      </w:r>
      <w:r>
        <w:rPr>
          <w:rFonts w:hint="eastAsia" w:ascii="仿宋" w:hAnsi="仿宋" w:eastAsia="仿宋" w:cs="仿宋"/>
          <w:color w:val="auto"/>
          <w:sz w:val="28"/>
          <w:szCs w:val="28"/>
          <w:shd w:val="clear" w:color="auto" w:fill="FFFFFF"/>
          <w:lang w:eastAsia="zh-CN"/>
        </w:rPr>
        <w:t>吉安市盛德建设发展有限公司</w:t>
      </w:r>
      <w:r>
        <w:rPr>
          <w:rFonts w:hint="eastAsia" w:ascii="仿宋" w:hAnsi="仿宋" w:eastAsia="仿宋" w:cs="仿宋"/>
          <w:color w:val="auto"/>
          <w:sz w:val="28"/>
          <w:szCs w:val="28"/>
          <w:shd w:val="clear" w:color="auto" w:fill="FFFFFF"/>
        </w:rPr>
        <w:t>委托，就</w:t>
      </w:r>
      <w:r>
        <w:rPr>
          <w:rFonts w:hint="eastAsia" w:ascii="仿宋" w:hAnsi="仿宋" w:eastAsia="仿宋" w:cs="仿宋"/>
          <w:color w:val="auto"/>
          <w:sz w:val="28"/>
          <w:szCs w:val="28"/>
          <w:shd w:val="clear" w:color="auto" w:fill="FFFFFF"/>
          <w:lang w:eastAsia="zh-CN"/>
        </w:rPr>
        <w:t>井冈山经开区富滩工业园区消防救援站增配消防车辆采购项目采购</w:t>
      </w:r>
      <w:r>
        <w:rPr>
          <w:rFonts w:hint="eastAsia" w:ascii="仿宋" w:hAnsi="仿宋" w:eastAsia="仿宋" w:cs="仿宋"/>
          <w:color w:val="auto"/>
          <w:sz w:val="28"/>
          <w:szCs w:val="28"/>
          <w:shd w:val="clear" w:color="auto" w:fill="FFFFFF"/>
        </w:rPr>
        <w:t>招标前期的采购需求方案进行征集。为更好的了解市场需求，获得潜在供应商充分响应，保障项目采购顺利实施，</w:t>
      </w:r>
      <w:r>
        <w:rPr>
          <w:rFonts w:hint="eastAsia" w:ascii="仿宋" w:hAnsi="仿宋" w:eastAsia="仿宋" w:cs="仿宋"/>
          <w:color w:val="auto"/>
          <w:sz w:val="28"/>
          <w:szCs w:val="28"/>
          <w:shd w:val="clear" w:color="auto" w:fill="FFFFFF"/>
          <w:lang w:val="en-US" w:eastAsia="zh-CN"/>
        </w:rPr>
        <w:t>参照</w:t>
      </w:r>
      <w:r>
        <w:rPr>
          <w:rFonts w:hint="eastAsia" w:ascii="仿宋" w:hAnsi="仿宋" w:eastAsia="仿宋" w:cs="仿宋"/>
          <w:color w:val="auto"/>
          <w:sz w:val="28"/>
          <w:szCs w:val="28"/>
          <w:shd w:val="clear" w:color="auto" w:fill="FFFFFF"/>
        </w:rPr>
        <w:t>《财政部关于印发〈政府采购需求管理办法〉的通知》（财库〔2021〕22号）有关规定，现对该项目采购需求面向市场进行公开征集意见，欢迎潜在供应商按照本征集公告要求提交相关建议。</w:t>
      </w:r>
    </w:p>
    <w:p w14:paraId="502DF775">
      <w:pPr>
        <w:pStyle w:val="7"/>
        <w:widowControl/>
        <w:shd w:val="clear" w:color="auto" w:fill="FFFFFF"/>
        <w:spacing w:before="0" w:beforeAutospacing="0" w:after="0" w:afterAutospacing="0" w:line="600" w:lineRule="exact"/>
        <w:textAlignment w:val="baseline"/>
        <w:rPr>
          <w:rFonts w:ascii="仿宋" w:hAnsi="仿宋" w:eastAsia="仿宋" w:cs="仿宋"/>
          <w:b/>
          <w:color w:val="auto"/>
          <w:sz w:val="28"/>
          <w:szCs w:val="28"/>
        </w:rPr>
      </w:pPr>
      <w:r>
        <w:rPr>
          <w:rFonts w:hint="eastAsia" w:ascii="仿宋" w:hAnsi="仿宋" w:eastAsia="仿宋" w:cs="仿宋"/>
          <w:b/>
          <w:color w:val="auto"/>
          <w:sz w:val="28"/>
          <w:szCs w:val="28"/>
          <w:shd w:val="clear" w:color="auto" w:fill="FFFFFF"/>
        </w:rPr>
        <w:t>二、项目基本情况</w:t>
      </w:r>
    </w:p>
    <w:p w14:paraId="77C7651B">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1.项目名称：</w:t>
      </w:r>
      <w:r>
        <w:rPr>
          <w:rFonts w:hint="eastAsia" w:ascii="仿宋" w:hAnsi="仿宋" w:eastAsia="仿宋" w:cs="仿宋"/>
          <w:color w:val="auto"/>
          <w:sz w:val="28"/>
          <w:szCs w:val="28"/>
          <w:lang w:eastAsia="zh-CN"/>
        </w:rPr>
        <w:t>井冈山经开区富滩工业园区消防救援站增配消防车辆采购项目</w:t>
      </w:r>
    </w:p>
    <w:p w14:paraId="7687C6CE">
      <w:pPr>
        <w:pStyle w:val="7"/>
        <w:widowControl/>
        <w:shd w:val="clear" w:color="auto" w:fill="FFFFFF"/>
        <w:spacing w:before="0" w:beforeAutospacing="0" w:after="0" w:afterAutospacing="0" w:line="600" w:lineRule="exact"/>
        <w:ind w:firstLine="560" w:firstLineChars="200"/>
        <w:textAlignment w:val="baseline"/>
        <w:rPr>
          <w:rFonts w:ascii="仿宋" w:hAnsi="仿宋" w:eastAsia="仿宋" w:cs="仿宋"/>
          <w:color w:val="auto"/>
          <w:sz w:val="28"/>
          <w:szCs w:val="28"/>
          <w:highlight w:val="yellow"/>
        </w:rPr>
      </w:pPr>
      <w:r>
        <w:rPr>
          <w:rFonts w:hint="eastAsia" w:ascii="仿宋" w:hAnsi="仿宋" w:eastAsia="仿宋" w:cs="仿宋"/>
          <w:color w:val="auto"/>
          <w:sz w:val="28"/>
          <w:szCs w:val="28"/>
          <w:highlight w:val="none"/>
        </w:rPr>
        <w:t>2.预算金额：本项目采购预算尚未最终确定，本次征集旨在了解市场行情、优化采购需求，最终预算金额将在正式采购公告中予以公示</w:t>
      </w:r>
      <w:r>
        <w:rPr>
          <w:rFonts w:hint="eastAsia" w:ascii="仿宋" w:hAnsi="仿宋" w:eastAsia="仿宋" w:cs="仿宋"/>
          <w:color w:val="auto"/>
          <w:sz w:val="28"/>
          <w:szCs w:val="28"/>
          <w:highlight w:val="none"/>
          <w:lang w:eastAsia="zh-CN"/>
        </w:rPr>
        <w:t>。</w:t>
      </w:r>
    </w:p>
    <w:p w14:paraId="7937594F">
      <w:pPr>
        <w:pStyle w:val="7"/>
        <w:widowControl/>
        <w:shd w:val="clear" w:color="auto" w:fill="FFFFFF"/>
        <w:spacing w:before="0" w:beforeAutospacing="0" w:after="0" w:afterAutospacing="0" w:line="600" w:lineRule="exact"/>
        <w:ind w:firstLine="560" w:firstLineChars="200"/>
        <w:textAlignment w:val="baseline"/>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3.采购清单及要求：</w:t>
      </w:r>
      <w:r>
        <w:rPr>
          <w:rFonts w:hint="eastAsia" w:ascii="仿宋" w:hAnsi="仿宋" w:eastAsia="仿宋" w:cs="仿宋"/>
          <w:color w:val="auto"/>
          <w:sz w:val="28"/>
          <w:szCs w:val="28"/>
          <w:lang w:val="en-US" w:eastAsia="zh-CN"/>
        </w:rPr>
        <w:t>详见附件。</w:t>
      </w:r>
    </w:p>
    <w:p w14:paraId="422DC0F1">
      <w:pPr>
        <w:pStyle w:val="7"/>
        <w:widowControl/>
        <w:shd w:val="clear" w:color="auto" w:fill="FFFFFF"/>
        <w:spacing w:before="0" w:beforeAutospacing="0" w:after="0" w:afterAutospacing="0" w:line="600" w:lineRule="exact"/>
        <w:ind w:firstLine="560" w:firstLineChars="200"/>
        <w:textAlignment w:val="baseline"/>
        <w:rPr>
          <w:rFonts w:ascii="仿宋" w:hAnsi="仿宋" w:eastAsia="仿宋" w:cs="仿宋"/>
          <w:color w:val="auto"/>
          <w:sz w:val="28"/>
          <w:szCs w:val="28"/>
        </w:rPr>
      </w:pPr>
      <w:r>
        <w:rPr>
          <w:rFonts w:hint="eastAsia" w:ascii="仿宋" w:hAnsi="仿宋" w:eastAsia="仿宋" w:cs="仿宋"/>
          <w:color w:val="auto"/>
          <w:sz w:val="28"/>
          <w:szCs w:val="28"/>
        </w:rPr>
        <w:t>4.响应供应商的资格条件：</w:t>
      </w:r>
    </w:p>
    <w:p w14:paraId="3B27A6BA">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（1）满足《中华人民共和国政府采购法》第二十二条规定：</w:t>
      </w:r>
    </w:p>
    <w:p w14:paraId="33EC9DF1">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1）具有独立承担民事责任的能力；</w:t>
      </w:r>
    </w:p>
    <w:p w14:paraId="37E06B7D">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2）具有良好的商业信誉和健全的财务会计制度；</w:t>
      </w:r>
    </w:p>
    <w:p w14:paraId="2E72F7D2">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3）具有履行合同所必需的设备和专业技术能力；</w:t>
      </w:r>
    </w:p>
    <w:p w14:paraId="1CBAD2C6">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4）有依法缴纳税收和社会保障资金的良好记录；</w:t>
      </w:r>
    </w:p>
    <w:p w14:paraId="3A8BFC93">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5）参加政府采购活动前三年内，在经营活动中没有重大违法记录；</w:t>
      </w:r>
    </w:p>
    <w:p w14:paraId="07BBEA76">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6）法律、行政法规规定的其他条件：被列入失信被执行人、重大税收违法案件当事人名单、政府采购严重违法失信行为记录名单(处罚期限尚未届满的)的供应商，不得参与本项目的政府采购活动。</w:t>
      </w:r>
    </w:p>
    <w:p w14:paraId="341F218A">
      <w:pPr>
        <w:pStyle w:val="7"/>
        <w:widowControl/>
        <w:shd w:val="clear" w:color="auto" w:fill="FFFFFF"/>
        <w:spacing w:before="0" w:beforeAutospacing="0" w:after="0" w:afterAutospacing="0" w:line="600" w:lineRule="exact"/>
        <w:textAlignment w:val="baseline"/>
        <w:rPr>
          <w:rFonts w:ascii="仿宋" w:hAnsi="仿宋" w:eastAsia="仿宋" w:cs="仿宋"/>
          <w:b/>
          <w:color w:val="auto"/>
          <w:sz w:val="28"/>
          <w:szCs w:val="28"/>
        </w:rPr>
      </w:pPr>
      <w:r>
        <w:rPr>
          <w:rFonts w:hint="eastAsia" w:ascii="仿宋" w:hAnsi="仿宋" w:eastAsia="仿宋" w:cs="仿宋"/>
          <w:b/>
          <w:color w:val="auto"/>
          <w:sz w:val="28"/>
          <w:szCs w:val="28"/>
          <w:shd w:val="clear" w:color="auto" w:fill="FFFFFF"/>
        </w:rPr>
        <w:t>三、征集方案说明</w:t>
      </w:r>
    </w:p>
    <w:p w14:paraId="7AB1D236">
      <w:pPr>
        <w:pStyle w:val="7"/>
        <w:widowControl/>
        <w:shd w:val="clear" w:color="auto" w:fill="FFFFFF"/>
        <w:spacing w:before="0" w:beforeAutospacing="0" w:after="0" w:afterAutospacing="0" w:line="600" w:lineRule="exact"/>
        <w:ind w:firstLine="560" w:firstLineChars="200"/>
        <w:textAlignment w:val="baseline"/>
        <w:rPr>
          <w:rFonts w:ascii="仿宋" w:hAnsi="仿宋" w:eastAsia="仿宋" w:cs="仿宋"/>
          <w:bCs/>
          <w:color w:val="auto"/>
          <w:sz w:val="28"/>
          <w:szCs w:val="28"/>
        </w:rPr>
      </w:pPr>
      <w:r>
        <w:rPr>
          <w:rFonts w:hint="eastAsia" w:ascii="仿宋" w:hAnsi="仿宋" w:eastAsia="仿宋" w:cs="仿宋"/>
          <w:bCs/>
          <w:color w:val="auto"/>
          <w:sz w:val="28"/>
          <w:szCs w:val="28"/>
          <w:shd w:val="clear" w:color="auto" w:fill="FFFFFF"/>
        </w:rPr>
        <w:t>1.征集方案要求</w:t>
      </w:r>
    </w:p>
    <w:p w14:paraId="3339359C">
      <w:pPr>
        <w:pStyle w:val="7"/>
        <w:widowControl/>
        <w:shd w:val="clear" w:color="auto" w:fill="FFFFFF"/>
        <w:spacing w:before="0" w:beforeAutospacing="0" w:after="0" w:afterAutospacing="0" w:line="600" w:lineRule="exact"/>
        <w:ind w:firstLine="560" w:firstLineChars="200"/>
        <w:textAlignment w:val="baseline"/>
        <w:rPr>
          <w:rFonts w:ascii="仿宋" w:hAnsi="仿宋" w:eastAsia="仿宋" w:cs="仿宋"/>
          <w:bCs/>
          <w:color w:val="auto"/>
          <w:sz w:val="28"/>
          <w:szCs w:val="28"/>
        </w:rPr>
      </w:pPr>
      <w:r>
        <w:rPr>
          <w:rFonts w:hint="eastAsia" w:ascii="仿宋" w:hAnsi="仿宋" w:eastAsia="仿宋" w:cs="仿宋"/>
          <w:bCs/>
          <w:color w:val="auto"/>
          <w:sz w:val="28"/>
          <w:szCs w:val="28"/>
          <w:shd w:val="clear" w:color="auto" w:fill="FFFFFF"/>
        </w:rPr>
        <w:t>（1）潜在供应商根据采购人的采购清单及要求，提供完整准确的征集方案，包括但不限于产品技术参数</w:t>
      </w:r>
      <w:r>
        <w:rPr>
          <w:rFonts w:hint="eastAsia" w:ascii="仿宋" w:hAnsi="仿宋" w:eastAsia="仿宋" w:cs="仿宋"/>
          <w:bCs/>
          <w:color w:val="auto"/>
          <w:sz w:val="28"/>
          <w:szCs w:val="28"/>
          <w:shd w:val="clear" w:color="auto" w:fill="FFFFFF"/>
          <w:lang w:eastAsia="zh-CN"/>
        </w:rPr>
        <w:t>（可在征集人提供的技术参数要求上进行补充完善以及提出修正性意见）</w:t>
      </w:r>
      <w:r>
        <w:rPr>
          <w:rFonts w:hint="eastAsia" w:ascii="仿宋" w:hAnsi="仿宋" w:eastAsia="仿宋" w:cs="仿宋"/>
          <w:bCs/>
          <w:color w:val="auto"/>
          <w:sz w:val="28"/>
          <w:szCs w:val="28"/>
          <w:shd w:val="clear" w:color="auto" w:fill="FFFFFF"/>
        </w:rPr>
        <w:t>、型号、品牌、制造商名称、预算单价和总价，详细售后服务的内容、形式、质保期、货物技术性能优势、技术加分条款或评分细则等。各供应商可以提供目前市场上主流产品，结合</w:t>
      </w:r>
      <w:r>
        <w:rPr>
          <w:rFonts w:hint="eastAsia" w:ascii="仿宋" w:hAnsi="仿宋" w:eastAsia="仿宋" w:cs="仿宋"/>
          <w:bCs/>
          <w:color w:val="auto"/>
          <w:sz w:val="28"/>
          <w:szCs w:val="28"/>
          <w:shd w:val="clear" w:color="auto" w:fill="FFFFFF"/>
          <w:lang w:eastAsia="zh-CN"/>
        </w:rPr>
        <w:t>井冈山经开区富滩工业园区消防救援站增配消防车辆采购项目采购</w:t>
      </w:r>
      <w:r>
        <w:rPr>
          <w:rFonts w:hint="eastAsia" w:ascii="仿宋" w:hAnsi="仿宋" w:eastAsia="仿宋" w:cs="仿宋"/>
          <w:bCs/>
          <w:color w:val="auto"/>
          <w:sz w:val="28"/>
          <w:szCs w:val="28"/>
          <w:shd w:val="clear" w:color="auto" w:fill="FFFFFF"/>
        </w:rPr>
        <w:t>要求提交科学</w:t>
      </w:r>
      <w:r>
        <w:rPr>
          <w:rFonts w:hint="eastAsia" w:ascii="仿宋" w:hAnsi="仿宋" w:eastAsia="仿宋" w:cs="仿宋"/>
          <w:bCs/>
          <w:color w:val="auto"/>
          <w:sz w:val="28"/>
          <w:szCs w:val="28"/>
          <w:shd w:val="clear" w:color="auto" w:fill="FFFFFF"/>
          <w:lang w:eastAsia="zh-CN"/>
        </w:rPr>
        <w:t>的</w:t>
      </w:r>
      <w:r>
        <w:rPr>
          <w:rFonts w:hint="eastAsia" w:ascii="仿宋" w:hAnsi="仿宋" w:eastAsia="仿宋" w:cs="仿宋"/>
          <w:bCs/>
          <w:color w:val="auto"/>
          <w:sz w:val="28"/>
          <w:szCs w:val="28"/>
          <w:shd w:val="clear" w:color="auto" w:fill="FFFFFF"/>
        </w:rPr>
        <w:t>方案，且须提供近期成交价格案例参考。所提供的方案将作为征集人编制采购需求和招标文件重要参考依据。</w:t>
      </w:r>
    </w:p>
    <w:p w14:paraId="3EEB995A">
      <w:pPr>
        <w:pStyle w:val="7"/>
        <w:widowControl/>
        <w:shd w:val="clear" w:color="auto" w:fill="FFFFFF"/>
        <w:spacing w:before="0" w:beforeAutospacing="0" w:after="0" w:afterAutospacing="0" w:line="600" w:lineRule="exact"/>
        <w:ind w:firstLine="560" w:firstLineChars="200"/>
        <w:textAlignment w:val="baseline"/>
        <w:rPr>
          <w:rFonts w:ascii="仿宋" w:hAnsi="仿宋" w:eastAsia="仿宋" w:cs="仿宋"/>
          <w:bCs/>
          <w:color w:val="auto"/>
          <w:sz w:val="28"/>
          <w:szCs w:val="28"/>
          <w:highlight w:val="none"/>
          <w:shd w:val="clear" w:color="auto" w:fill="FFFFFF"/>
        </w:rPr>
      </w:pPr>
      <w:r>
        <w:rPr>
          <w:rFonts w:hint="eastAsia" w:ascii="仿宋" w:hAnsi="仿宋" w:eastAsia="仿宋" w:cs="仿宋"/>
          <w:bCs/>
          <w:color w:val="auto"/>
          <w:sz w:val="28"/>
          <w:szCs w:val="28"/>
          <w:highlight w:val="none"/>
          <w:shd w:val="clear" w:color="auto" w:fill="FFFFFF"/>
        </w:rPr>
        <w:t>（2）方案征集提交截止时间：</w:t>
      </w:r>
      <w:r>
        <w:rPr>
          <w:rFonts w:hint="eastAsia" w:ascii="仿宋" w:hAnsi="仿宋" w:eastAsia="仿宋" w:cs="仿宋"/>
          <w:b w:val="0"/>
          <w:bCs/>
          <w:i w:val="0"/>
          <w:caps w:val="0"/>
          <w:color w:val="auto"/>
          <w:spacing w:val="0"/>
          <w:sz w:val="28"/>
          <w:szCs w:val="28"/>
          <w:highlight w:val="none"/>
          <w:shd w:val="clear" w:color="auto" w:fill="FFFFFF"/>
          <w:vertAlign w:val="baseline"/>
          <w:lang w:eastAsia="zh-CN"/>
        </w:rPr>
        <w:t>202</w:t>
      </w:r>
      <w:r>
        <w:rPr>
          <w:rFonts w:hint="eastAsia" w:ascii="仿宋" w:hAnsi="仿宋" w:eastAsia="仿宋" w:cs="仿宋"/>
          <w:b w:val="0"/>
          <w:bCs/>
          <w:i w:val="0"/>
          <w:caps w:val="0"/>
          <w:color w:val="auto"/>
          <w:spacing w:val="0"/>
          <w:sz w:val="28"/>
          <w:szCs w:val="28"/>
          <w:highlight w:val="none"/>
          <w:shd w:val="clear" w:color="auto" w:fill="FFFFFF"/>
          <w:vertAlign w:val="baseline"/>
          <w:lang w:val="en-US" w:eastAsia="zh-CN"/>
        </w:rPr>
        <w:t>6</w:t>
      </w:r>
      <w:r>
        <w:rPr>
          <w:rFonts w:hint="eastAsia" w:ascii="仿宋" w:hAnsi="仿宋" w:eastAsia="仿宋" w:cs="仿宋"/>
          <w:b w:val="0"/>
          <w:bCs/>
          <w:i w:val="0"/>
          <w:caps w:val="0"/>
          <w:color w:val="auto"/>
          <w:spacing w:val="0"/>
          <w:sz w:val="28"/>
          <w:szCs w:val="28"/>
          <w:highlight w:val="none"/>
          <w:shd w:val="clear" w:color="auto" w:fill="FFFFFF"/>
          <w:vertAlign w:val="baseline"/>
          <w:lang w:eastAsia="zh-CN"/>
        </w:rPr>
        <w:t>年</w:t>
      </w:r>
      <w:r>
        <w:rPr>
          <w:rFonts w:hint="eastAsia" w:ascii="仿宋" w:hAnsi="仿宋" w:eastAsia="仿宋" w:cs="仿宋"/>
          <w:b w:val="0"/>
          <w:bCs/>
          <w:i w:val="0"/>
          <w:caps w:val="0"/>
          <w:color w:val="auto"/>
          <w:spacing w:val="0"/>
          <w:sz w:val="28"/>
          <w:szCs w:val="28"/>
          <w:highlight w:val="none"/>
          <w:shd w:val="clear" w:color="auto" w:fill="FFFFFF"/>
          <w:vertAlign w:val="baseline"/>
          <w:lang w:val="en-US" w:eastAsia="zh-CN"/>
        </w:rPr>
        <w:t>03</w:t>
      </w:r>
      <w:r>
        <w:rPr>
          <w:rFonts w:hint="eastAsia" w:ascii="仿宋" w:hAnsi="仿宋" w:eastAsia="仿宋" w:cs="仿宋"/>
          <w:b w:val="0"/>
          <w:bCs/>
          <w:i w:val="0"/>
          <w:caps w:val="0"/>
          <w:color w:val="auto"/>
          <w:spacing w:val="0"/>
          <w:sz w:val="28"/>
          <w:szCs w:val="28"/>
          <w:highlight w:val="none"/>
          <w:shd w:val="clear" w:color="auto" w:fill="FFFFFF"/>
          <w:vertAlign w:val="baseline"/>
          <w:lang w:eastAsia="zh-CN"/>
        </w:rPr>
        <w:t>月</w:t>
      </w:r>
      <w:r>
        <w:rPr>
          <w:rFonts w:hint="eastAsia" w:ascii="仿宋" w:hAnsi="仿宋" w:eastAsia="仿宋" w:cs="仿宋"/>
          <w:b w:val="0"/>
          <w:bCs/>
          <w:i w:val="0"/>
          <w:caps w:val="0"/>
          <w:color w:val="auto"/>
          <w:spacing w:val="0"/>
          <w:sz w:val="28"/>
          <w:szCs w:val="28"/>
          <w:highlight w:val="none"/>
          <w:shd w:val="clear" w:color="auto" w:fill="FFFFFF"/>
          <w:vertAlign w:val="baseline"/>
          <w:lang w:val="en-US" w:eastAsia="zh-CN"/>
        </w:rPr>
        <w:t>21</w:t>
      </w:r>
      <w:bookmarkStart w:id="0" w:name="_GoBack"/>
      <w:bookmarkEnd w:id="0"/>
      <w:r>
        <w:rPr>
          <w:rFonts w:hint="eastAsia" w:ascii="仿宋" w:hAnsi="仿宋" w:eastAsia="仿宋" w:cs="仿宋"/>
          <w:b w:val="0"/>
          <w:bCs/>
          <w:i w:val="0"/>
          <w:caps w:val="0"/>
          <w:color w:val="auto"/>
          <w:spacing w:val="0"/>
          <w:sz w:val="28"/>
          <w:szCs w:val="28"/>
          <w:highlight w:val="none"/>
          <w:shd w:val="clear" w:color="auto" w:fill="FFFFFF"/>
          <w:vertAlign w:val="baseline"/>
          <w:lang w:eastAsia="zh-CN"/>
        </w:rPr>
        <w:t>日17:</w:t>
      </w:r>
      <w:r>
        <w:rPr>
          <w:rFonts w:hint="eastAsia" w:ascii="仿宋" w:hAnsi="仿宋" w:eastAsia="仿宋" w:cs="仿宋"/>
          <w:b w:val="0"/>
          <w:bCs/>
          <w:i w:val="0"/>
          <w:caps w:val="0"/>
          <w:color w:val="auto"/>
          <w:spacing w:val="0"/>
          <w:sz w:val="28"/>
          <w:szCs w:val="28"/>
          <w:highlight w:val="none"/>
          <w:shd w:val="clear" w:color="auto" w:fill="FFFFFF"/>
          <w:vertAlign w:val="baseline"/>
          <w:lang w:val="en-US" w:eastAsia="zh-CN"/>
        </w:rPr>
        <w:t>3</w:t>
      </w:r>
      <w:r>
        <w:rPr>
          <w:rFonts w:hint="eastAsia" w:ascii="仿宋" w:hAnsi="仿宋" w:eastAsia="仿宋" w:cs="仿宋"/>
          <w:b w:val="0"/>
          <w:bCs/>
          <w:i w:val="0"/>
          <w:caps w:val="0"/>
          <w:color w:val="auto"/>
          <w:spacing w:val="0"/>
          <w:sz w:val="28"/>
          <w:szCs w:val="28"/>
          <w:highlight w:val="none"/>
          <w:shd w:val="clear" w:color="auto" w:fill="FFFFFF"/>
          <w:vertAlign w:val="baseline"/>
          <w:lang w:eastAsia="zh-CN"/>
        </w:rPr>
        <w:t>0</w:t>
      </w:r>
      <w:r>
        <w:rPr>
          <w:rFonts w:hint="eastAsia" w:ascii="仿宋" w:hAnsi="仿宋" w:eastAsia="仿宋" w:cs="仿宋"/>
          <w:bCs/>
          <w:color w:val="auto"/>
          <w:sz w:val="28"/>
          <w:szCs w:val="28"/>
          <w:highlight w:val="none"/>
          <w:shd w:val="clear" w:color="auto" w:fill="FFFFFF"/>
        </w:rPr>
        <w:t>止</w:t>
      </w:r>
      <w:r>
        <w:rPr>
          <w:rFonts w:hint="eastAsia" w:ascii="仿宋" w:hAnsi="仿宋" w:eastAsia="仿宋" w:cs="仿宋"/>
          <w:bCs/>
          <w:color w:val="auto"/>
          <w:sz w:val="28"/>
          <w:szCs w:val="28"/>
          <w:highlight w:val="none"/>
          <w:shd w:val="clear" w:color="auto" w:fill="FFFFFF"/>
          <w:lang w:eastAsia="zh-CN"/>
        </w:rPr>
        <w:t>，</w:t>
      </w:r>
      <w:r>
        <w:rPr>
          <w:rFonts w:hint="eastAsia" w:ascii="仿宋" w:hAnsi="仿宋" w:eastAsia="仿宋" w:cs="仿宋"/>
          <w:bCs/>
          <w:color w:val="auto"/>
          <w:sz w:val="28"/>
          <w:szCs w:val="28"/>
          <w:highlight w:val="none"/>
          <w:shd w:val="clear" w:color="auto" w:fill="FFFFFF"/>
        </w:rPr>
        <w:t>（逾期送达或未按要求提交书面意见的，不予接受</w:t>
      </w:r>
      <w:r>
        <w:rPr>
          <w:rFonts w:hint="eastAsia" w:ascii="仿宋" w:hAnsi="仿宋" w:eastAsia="仿宋" w:cs="仿宋"/>
          <w:bCs/>
          <w:color w:val="auto"/>
          <w:sz w:val="28"/>
          <w:szCs w:val="28"/>
          <w:highlight w:val="none"/>
          <w:shd w:val="clear" w:color="auto" w:fill="FFFFFF"/>
          <w:lang w:eastAsia="zh-CN"/>
        </w:rPr>
        <w:t>。</w:t>
      </w:r>
      <w:r>
        <w:rPr>
          <w:rFonts w:hint="eastAsia" w:ascii="仿宋" w:hAnsi="仿宋" w:eastAsia="仿宋" w:cs="仿宋"/>
          <w:bCs/>
          <w:color w:val="auto"/>
          <w:sz w:val="28"/>
          <w:szCs w:val="28"/>
          <w:highlight w:val="none"/>
          <w:shd w:val="clear" w:color="auto" w:fill="FFFFFF"/>
        </w:rPr>
        <w:t>）</w:t>
      </w:r>
    </w:p>
    <w:p w14:paraId="49012D8E">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bCs/>
          <w:color w:val="auto"/>
          <w:sz w:val="28"/>
          <w:szCs w:val="28"/>
          <w:highlight w:val="none"/>
          <w:shd w:val="clear" w:color="auto" w:fill="FFFFFF"/>
          <w:lang w:eastAsia="zh-CN"/>
        </w:rPr>
      </w:pPr>
      <w:r>
        <w:rPr>
          <w:rFonts w:hint="eastAsia" w:ascii="仿宋" w:hAnsi="仿宋" w:eastAsia="仿宋" w:cs="仿宋"/>
          <w:bCs/>
          <w:color w:val="auto"/>
          <w:sz w:val="28"/>
          <w:szCs w:val="28"/>
          <w:highlight w:val="none"/>
          <w:shd w:val="clear" w:color="auto" w:fill="FFFFFF"/>
        </w:rPr>
        <w:t>（</w:t>
      </w:r>
      <w:r>
        <w:rPr>
          <w:rFonts w:hint="eastAsia" w:ascii="仿宋" w:hAnsi="仿宋" w:eastAsia="仿宋" w:cs="仿宋"/>
          <w:bCs/>
          <w:color w:val="auto"/>
          <w:sz w:val="28"/>
          <w:szCs w:val="28"/>
          <w:highlight w:val="none"/>
          <w:shd w:val="clear" w:color="auto" w:fill="FFFFFF"/>
          <w:lang w:val="en-US" w:eastAsia="zh-CN"/>
        </w:rPr>
        <w:t>3</w:t>
      </w:r>
      <w:r>
        <w:rPr>
          <w:rFonts w:hint="eastAsia" w:ascii="仿宋" w:hAnsi="仿宋" w:eastAsia="仿宋" w:cs="仿宋"/>
          <w:bCs/>
          <w:color w:val="auto"/>
          <w:sz w:val="28"/>
          <w:szCs w:val="28"/>
          <w:highlight w:val="none"/>
          <w:shd w:val="clear" w:color="auto" w:fill="FFFFFF"/>
        </w:rPr>
        <w:t>）回复意见方式：请对本项目</w:t>
      </w:r>
      <w:r>
        <w:rPr>
          <w:rFonts w:hint="eastAsia" w:ascii="仿宋" w:hAnsi="仿宋" w:eastAsia="仿宋" w:cs="仿宋"/>
          <w:bCs/>
          <w:color w:val="auto"/>
          <w:sz w:val="28"/>
          <w:szCs w:val="28"/>
          <w:highlight w:val="none"/>
          <w:shd w:val="clear" w:color="auto" w:fill="FFFFFF"/>
          <w:lang w:eastAsia="zh-CN"/>
        </w:rPr>
        <w:t>有意向</w:t>
      </w:r>
      <w:r>
        <w:rPr>
          <w:rFonts w:hint="eastAsia" w:ascii="仿宋" w:hAnsi="仿宋" w:eastAsia="仿宋" w:cs="仿宋"/>
          <w:bCs/>
          <w:color w:val="auto"/>
          <w:sz w:val="28"/>
          <w:szCs w:val="28"/>
          <w:highlight w:val="none"/>
          <w:shd w:val="clear" w:color="auto" w:fill="FFFFFF"/>
        </w:rPr>
        <w:t>的潜在供应商按附件中《采购需求和技术方案征集回复函》的格式，将技术方案（加盖单位公章的pdf扫描件和word版本）同时发送至以下邮箱：吉安市盛德建设发展有限公司：1129922713@qq.com；采购代理机构：</w:t>
      </w:r>
      <w:r>
        <w:rPr>
          <w:rFonts w:hint="eastAsia" w:ascii="仿宋" w:hAnsi="仿宋" w:eastAsia="仿宋" w:cs="仿宋"/>
          <w:bCs/>
          <w:color w:val="auto"/>
          <w:sz w:val="28"/>
          <w:szCs w:val="28"/>
          <w:highlight w:val="none"/>
          <w:shd w:val="clear" w:color="auto" w:fill="FFFFFF"/>
          <w:lang w:val="en-US" w:eastAsia="zh-CN"/>
        </w:rPr>
        <w:t>at1503</w:t>
      </w:r>
      <w:r>
        <w:rPr>
          <w:rFonts w:hint="eastAsia" w:ascii="仿宋" w:hAnsi="仿宋" w:eastAsia="仿宋" w:cs="仿宋"/>
          <w:bCs/>
          <w:color w:val="auto"/>
          <w:sz w:val="28"/>
          <w:szCs w:val="28"/>
          <w:highlight w:val="none"/>
          <w:shd w:val="clear" w:color="auto" w:fill="FFFFFF"/>
        </w:rPr>
        <w:t>@qq.com。并将纸质版文件</w:t>
      </w:r>
      <w:r>
        <w:rPr>
          <w:rFonts w:hint="eastAsia" w:ascii="仿宋" w:hAnsi="仿宋" w:eastAsia="仿宋" w:cs="仿宋"/>
          <w:bCs/>
          <w:color w:val="auto"/>
          <w:sz w:val="28"/>
          <w:szCs w:val="28"/>
          <w:highlight w:val="none"/>
          <w:shd w:val="clear" w:color="auto" w:fill="FFFFFF"/>
          <w:lang w:val="en-US" w:eastAsia="zh-CN"/>
        </w:rPr>
        <w:t>贰</w:t>
      </w:r>
      <w:r>
        <w:rPr>
          <w:rFonts w:hint="eastAsia" w:ascii="仿宋" w:hAnsi="仿宋" w:eastAsia="仿宋" w:cs="仿宋"/>
          <w:bCs/>
          <w:color w:val="auto"/>
          <w:sz w:val="28"/>
          <w:szCs w:val="28"/>
          <w:highlight w:val="none"/>
          <w:shd w:val="clear" w:color="auto" w:fill="FFFFFF"/>
        </w:rPr>
        <w:t>份</w:t>
      </w:r>
      <w:r>
        <w:rPr>
          <w:rFonts w:hint="eastAsia" w:ascii="仿宋" w:hAnsi="仿宋" w:eastAsia="仿宋" w:cs="仿宋"/>
          <w:bCs/>
          <w:color w:val="auto"/>
          <w:sz w:val="28"/>
          <w:szCs w:val="28"/>
          <w:highlight w:val="none"/>
          <w:shd w:val="clear" w:color="auto" w:fill="FFFFFF"/>
          <w:lang w:val="en-US" w:eastAsia="zh-CN"/>
        </w:rPr>
        <w:t>密封</w:t>
      </w:r>
      <w:r>
        <w:rPr>
          <w:rFonts w:hint="eastAsia" w:ascii="仿宋" w:hAnsi="仿宋" w:eastAsia="仿宋" w:cs="仿宋"/>
          <w:bCs/>
          <w:color w:val="auto"/>
          <w:sz w:val="28"/>
          <w:szCs w:val="28"/>
          <w:highlight w:val="none"/>
          <w:shd w:val="clear" w:color="auto" w:fill="FFFFFF"/>
        </w:rPr>
        <w:t>邮寄或送至</w:t>
      </w:r>
      <w:r>
        <w:rPr>
          <w:rFonts w:hint="eastAsia" w:ascii="仿宋" w:hAnsi="仿宋" w:eastAsia="仿宋" w:cs="仿宋"/>
          <w:bCs/>
          <w:color w:val="auto"/>
          <w:sz w:val="28"/>
          <w:szCs w:val="28"/>
          <w:highlight w:val="none"/>
          <w:shd w:val="clear" w:color="auto" w:fill="FFFFFF"/>
          <w:lang w:eastAsia="zh-CN"/>
        </w:rPr>
        <w:t>吉安市安泰工程项目管理服务有限公司（吉安市吉州区吉州大道36号希尔顿欢朋酒店1705室）。</w:t>
      </w:r>
    </w:p>
    <w:p w14:paraId="06DF1DA5">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bCs/>
          <w:color w:val="auto"/>
          <w:sz w:val="28"/>
          <w:szCs w:val="28"/>
          <w:highlight w:val="none"/>
          <w:shd w:val="clear" w:color="auto" w:fill="FFFFFF"/>
        </w:rPr>
      </w:pPr>
      <w:r>
        <w:rPr>
          <w:rFonts w:hint="eastAsia" w:ascii="仿宋" w:hAnsi="仿宋" w:eastAsia="仿宋" w:cs="仿宋"/>
          <w:bCs/>
          <w:color w:val="auto"/>
          <w:sz w:val="28"/>
          <w:szCs w:val="28"/>
          <w:highlight w:val="none"/>
          <w:shd w:val="clear" w:color="auto" w:fill="FFFFFF"/>
        </w:rPr>
        <w:t>2.其他说明</w:t>
      </w:r>
    </w:p>
    <w:p w14:paraId="54952D6D">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bCs/>
          <w:color w:val="auto"/>
          <w:sz w:val="28"/>
          <w:szCs w:val="28"/>
          <w:highlight w:val="none"/>
          <w:shd w:val="clear" w:color="auto" w:fill="FFFFFF"/>
        </w:rPr>
      </w:pPr>
      <w:r>
        <w:rPr>
          <w:rFonts w:hint="eastAsia" w:ascii="仿宋" w:hAnsi="仿宋" w:eastAsia="仿宋" w:cs="仿宋"/>
          <w:bCs/>
          <w:color w:val="auto"/>
          <w:sz w:val="28"/>
          <w:szCs w:val="28"/>
          <w:highlight w:val="none"/>
          <w:shd w:val="clear" w:color="auto" w:fill="FFFFFF"/>
        </w:rPr>
        <w:t>（1）参与本次征集意见的潜在供应商并不会因此在本项目正式采购中得到特别的优待；即使未参加征集建议的潜在供应商仍然有资格参与本项目采购活动。</w:t>
      </w:r>
    </w:p>
    <w:p w14:paraId="719FEB8A">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bCs/>
          <w:color w:val="auto"/>
          <w:sz w:val="28"/>
          <w:szCs w:val="28"/>
          <w:highlight w:val="none"/>
          <w:shd w:val="clear" w:color="auto" w:fill="FFFFFF"/>
        </w:rPr>
      </w:pPr>
      <w:r>
        <w:rPr>
          <w:rFonts w:hint="eastAsia" w:ascii="仿宋" w:hAnsi="仿宋" w:eastAsia="仿宋" w:cs="仿宋"/>
          <w:bCs/>
          <w:color w:val="auto"/>
          <w:sz w:val="28"/>
          <w:szCs w:val="28"/>
          <w:highlight w:val="none"/>
          <w:shd w:val="clear" w:color="auto" w:fill="FFFFFF"/>
        </w:rPr>
        <w:t>（</w:t>
      </w:r>
      <w:r>
        <w:rPr>
          <w:rFonts w:hint="eastAsia" w:ascii="仿宋" w:hAnsi="仿宋" w:eastAsia="仿宋" w:cs="仿宋"/>
          <w:bCs/>
          <w:color w:val="auto"/>
          <w:sz w:val="28"/>
          <w:szCs w:val="28"/>
          <w:highlight w:val="none"/>
          <w:shd w:val="clear" w:color="auto" w:fill="FFFFFF"/>
          <w:lang w:val="en-US" w:eastAsia="zh-CN"/>
        </w:rPr>
        <w:t>2</w:t>
      </w:r>
      <w:r>
        <w:rPr>
          <w:rFonts w:hint="eastAsia" w:ascii="仿宋" w:hAnsi="仿宋" w:eastAsia="仿宋" w:cs="仿宋"/>
          <w:bCs/>
          <w:color w:val="auto"/>
          <w:sz w:val="28"/>
          <w:szCs w:val="28"/>
          <w:highlight w:val="none"/>
          <w:shd w:val="clear" w:color="auto" w:fill="FFFFFF"/>
        </w:rPr>
        <w:t>）潜在供应商也不会因参与征集意见提出问题而遭到征集人的歧视，请潜在供应商充分表达对推进本项目实施的合理性和建设性建议。</w:t>
      </w:r>
    </w:p>
    <w:p w14:paraId="2B65B6EF">
      <w:pPr>
        <w:pStyle w:val="7"/>
        <w:widowControl/>
        <w:shd w:val="clear" w:color="auto" w:fill="FFFFFF"/>
        <w:spacing w:before="0" w:beforeAutospacing="0" w:after="0" w:afterAutospacing="0" w:line="600" w:lineRule="exact"/>
        <w:textAlignment w:val="baseline"/>
        <w:rPr>
          <w:rFonts w:ascii="仿宋" w:hAnsi="仿宋" w:eastAsia="仿宋" w:cs="仿宋"/>
          <w:b/>
          <w:color w:val="auto"/>
          <w:sz w:val="28"/>
          <w:szCs w:val="28"/>
        </w:rPr>
      </w:pPr>
      <w:r>
        <w:rPr>
          <w:rFonts w:hint="eastAsia" w:ascii="仿宋" w:hAnsi="仿宋" w:eastAsia="仿宋" w:cs="仿宋"/>
          <w:b/>
          <w:color w:val="auto"/>
          <w:sz w:val="28"/>
          <w:szCs w:val="28"/>
          <w:shd w:val="clear" w:color="auto" w:fill="FFFFFF"/>
        </w:rPr>
        <w:t>四、</w:t>
      </w:r>
      <w:r>
        <w:rPr>
          <w:rFonts w:hint="eastAsia" w:ascii="仿宋" w:hAnsi="仿宋" w:eastAsia="仿宋" w:cs="仿宋"/>
          <w:b/>
          <w:color w:val="auto"/>
          <w:sz w:val="28"/>
          <w:szCs w:val="28"/>
          <w:shd w:val="clear" w:color="auto" w:fill="FFFFFF"/>
          <w:lang w:val="en-US" w:eastAsia="zh-CN"/>
        </w:rPr>
        <w:t>征集人</w:t>
      </w:r>
      <w:r>
        <w:rPr>
          <w:rFonts w:hint="eastAsia" w:ascii="仿宋" w:hAnsi="仿宋" w:eastAsia="仿宋" w:cs="仿宋"/>
          <w:b/>
          <w:color w:val="auto"/>
          <w:sz w:val="28"/>
          <w:szCs w:val="28"/>
          <w:shd w:val="clear" w:color="auto" w:fill="FFFFFF"/>
        </w:rPr>
        <w:t>信息</w:t>
      </w:r>
    </w:p>
    <w:p w14:paraId="352F7B32">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bCs/>
          <w:color w:val="auto"/>
          <w:sz w:val="28"/>
          <w:szCs w:val="28"/>
          <w:highlight w:val="none"/>
          <w:shd w:val="clear" w:color="auto" w:fill="FFFFFF"/>
          <w:lang w:eastAsia="zh-CN"/>
        </w:rPr>
      </w:pPr>
      <w:r>
        <w:rPr>
          <w:rFonts w:hint="eastAsia" w:ascii="仿宋" w:hAnsi="仿宋" w:eastAsia="仿宋" w:cs="仿宋"/>
          <w:bCs/>
          <w:color w:val="auto"/>
          <w:sz w:val="28"/>
          <w:szCs w:val="28"/>
          <w:highlight w:val="none"/>
          <w:shd w:val="clear" w:color="auto" w:fill="FFFFFF"/>
          <w:lang w:eastAsia="zh-CN"/>
        </w:rPr>
        <w:t>征集人：吉安市盛德建设发展有限公司</w:t>
      </w:r>
    </w:p>
    <w:p w14:paraId="283050E1">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bCs/>
          <w:color w:val="auto"/>
          <w:sz w:val="28"/>
          <w:szCs w:val="28"/>
          <w:highlight w:val="none"/>
          <w:shd w:val="clear" w:color="auto" w:fill="FFFFFF"/>
          <w:lang w:eastAsia="zh-CN"/>
        </w:rPr>
      </w:pPr>
      <w:r>
        <w:rPr>
          <w:rFonts w:hint="eastAsia" w:ascii="仿宋" w:hAnsi="仿宋" w:eastAsia="仿宋" w:cs="仿宋"/>
          <w:bCs/>
          <w:color w:val="auto"/>
          <w:sz w:val="28"/>
          <w:szCs w:val="28"/>
          <w:highlight w:val="none"/>
          <w:shd w:val="clear" w:color="auto" w:fill="FFFFFF"/>
          <w:lang w:eastAsia="zh-CN"/>
        </w:rPr>
        <w:t>地址：江西省吉安市井冈山经济技术开发区深圳大道236号</w:t>
      </w:r>
    </w:p>
    <w:p w14:paraId="015B1E3F">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bCs/>
          <w:color w:val="auto"/>
          <w:sz w:val="28"/>
          <w:szCs w:val="28"/>
          <w:highlight w:val="none"/>
          <w:shd w:val="clear" w:color="auto" w:fill="FFFFFF"/>
          <w:lang w:val="en-US" w:eastAsia="zh-CN"/>
        </w:rPr>
      </w:pPr>
      <w:r>
        <w:rPr>
          <w:rFonts w:hint="eastAsia" w:ascii="仿宋" w:hAnsi="仿宋" w:eastAsia="仿宋" w:cs="仿宋"/>
          <w:bCs/>
          <w:color w:val="auto"/>
          <w:sz w:val="28"/>
          <w:szCs w:val="28"/>
          <w:highlight w:val="none"/>
          <w:shd w:val="clear" w:color="auto" w:fill="FFFFFF"/>
          <w:lang w:eastAsia="zh-CN"/>
        </w:rPr>
        <w:t>联系人：</w:t>
      </w:r>
      <w:r>
        <w:rPr>
          <w:rFonts w:hint="eastAsia" w:ascii="仿宋" w:hAnsi="仿宋" w:eastAsia="仿宋" w:cs="仿宋"/>
          <w:bCs/>
          <w:color w:val="auto"/>
          <w:sz w:val="28"/>
          <w:szCs w:val="28"/>
          <w:highlight w:val="none"/>
          <w:shd w:val="clear" w:color="auto" w:fill="FFFFFF"/>
          <w:lang w:val="en-US" w:eastAsia="zh-CN"/>
        </w:rPr>
        <w:t>刘</w:t>
      </w:r>
      <w:r>
        <w:rPr>
          <w:rFonts w:hint="eastAsia" w:ascii="仿宋" w:hAnsi="仿宋" w:eastAsia="仿宋" w:cs="仿宋"/>
          <w:bCs/>
          <w:color w:val="auto"/>
          <w:sz w:val="28"/>
          <w:szCs w:val="28"/>
          <w:highlight w:val="none"/>
          <w:shd w:val="clear" w:color="auto" w:fill="FFFFFF"/>
          <w:lang w:eastAsia="zh-CN"/>
        </w:rPr>
        <w:t>先生</w:t>
      </w:r>
    </w:p>
    <w:p w14:paraId="2CE1BBD3">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bCs/>
          <w:color w:val="auto"/>
          <w:sz w:val="28"/>
          <w:szCs w:val="28"/>
          <w:highlight w:val="none"/>
          <w:shd w:val="clear" w:color="auto" w:fill="FFFFFF"/>
          <w:lang w:val="en-US" w:eastAsia="zh-CN"/>
        </w:rPr>
      </w:pPr>
      <w:r>
        <w:rPr>
          <w:rFonts w:hint="eastAsia" w:ascii="仿宋" w:hAnsi="仿宋" w:eastAsia="仿宋" w:cs="仿宋"/>
          <w:bCs/>
          <w:color w:val="auto"/>
          <w:sz w:val="28"/>
          <w:szCs w:val="28"/>
          <w:highlight w:val="none"/>
          <w:shd w:val="clear" w:color="auto" w:fill="FFFFFF"/>
          <w:lang w:eastAsia="zh-CN"/>
        </w:rPr>
        <w:t>联系电话：0796-8401303</w:t>
      </w:r>
    </w:p>
    <w:p w14:paraId="590C2515">
      <w:pPr>
        <w:pStyle w:val="7"/>
        <w:widowControl/>
        <w:shd w:val="clear" w:color="auto" w:fill="FFFFFF"/>
        <w:spacing w:before="0" w:beforeAutospacing="0" w:after="0" w:afterAutospacing="0" w:line="600" w:lineRule="exact"/>
        <w:textAlignment w:val="baseline"/>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lang w:val="en-US" w:eastAsia="zh-CN"/>
        </w:rPr>
        <w:t>五、</w:t>
      </w:r>
      <w:r>
        <w:rPr>
          <w:rFonts w:hint="eastAsia" w:ascii="仿宋" w:hAnsi="仿宋" w:eastAsia="仿宋" w:cs="仿宋"/>
          <w:b/>
          <w:bCs/>
          <w:color w:val="auto"/>
          <w:sz w:val="28"/>
          <w:szCs w:val="28"/>
          <w:shd w:val="clear" w:color="auto" w:fill="FFFFFF"/>
        </w:rPr>
        <w:t>采购代理机构信息</w:t>
      </w:r>
    </w:p>
    <w:p w14:paraId="611E2EAB">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bCs/>
          <w:color w:val="auto"/>
          <w:sz w:val="28"/>
          <w:szCs w:val="28"/>
          <w:highlight w:val="none"/>
          <w:shd w:val="clear" w:color="auto" w:fill="FFFFFF"/>
          <w:lang w:eastAsia="zh-CN"/>
        </w:rPr>
      </w:pPr>
      <w:r>
        <w:rPr>
          <w:rFonts w:hint="eastAsia" w:ascii="仿宋" w:hAnsi="仿宋" w:eastAsia="仿宋" w:cs="仿宋"/>
          <w:bCs/>
          <w:color w:val="auto"/>
          <w:sz w:val="28"/>
          <w:szCs w:val="28"/>
          <w:highlight w:val="none"/>
          <w:shd w:val="clear" w:color="auto" w:fill="FFFFFF"/>
          <w:lang w:eastAsia="zh-CN"/>
        </w:rPr>
        <w:t>采购代理机构：吉安市安泰工程项目管理服务有限公司</w:t>
      </w:r>
    </w:p>
    <w:p w14:paraId="377CF3E6">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bCs/>
          <w:color w:val="auto"/>
          <w:sz w:val="28"/>
          <w:szCs w:val="28"/>
          <w:highlight w:val="none"/>
          <w:shd w:val="clear" w:color="auto" w:fill="FFFFFF"/>
          <w:lang w:eastAsia="zh-CN"/>
        </w:rPr>
      </w:pPr>
      <w:r>
        <w:rPr>
          <w:rFonts w:hint="eastAsia" w:ascii="仿宋" w:hAnsi="仿宋" w:eastAsia="仿宋" w:cs="仿宋"/>
          <w:bCs/>
          <w:color w:val="auto"/>
          <w:sz w:val="28"/>
          <w:szCs w:val="28"/>
          <w:highlight w:val="none"/>
          <w:shd w:val="clear" w:color="auto" w:fill="FFFFFF"/>
          <w:lang w:eastAsia="zh-CN"/>
        </w:rPr>
        <w:t>地址：吉安市吉州区吉州大道36号希尔顿欢朋酒店1705室</w:t>
      </w:r>
    </w:p>
    <w:p w14:paraId="7C51DF71">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bCs/>
          <w:color w:val="auto"/>
          <w:sz w:val="28"/>
          <w:szCs w:val="28"/>
          <w:highlight w:val="none"/>
          <w:shd w:val="clear" w:color="auto" w:fill="FFFFFF"/>
          <w:lang w:eastAsia="zh-CN"/>
        </w:rPr>
      </w:pPr>
      <w:r>
        <w:rPr>
          <w:rFonts w:hint="eastAsia" w:ascii="仿宋" w:hAnsi="仿宋" w:eastAsia="仿宋" w:cs="仿宋"/>
          <w:bCs/>
          <w:color w:val="auto"/>
          <w:sz w:val="28"/>
          <w:szCs w:val="28"/>
          <w:highlight w:val="none"/>
          <w:shd w:val="clear" w:color="auto" w:fill="FFFFFF"/>
          <w:lang w:eastAsia="zh-CN"/>
        </w:rPr>
        <w:t>项目联系人：</w:t>
      </w:r>
      <w:r>
        <w:rPr>
          <w:rFonts w:hint="eastAsia" w:ascii="仿宋" w:hAnsi="仿宋" w:eastAsia="仿宋" w:cs="仿宋"/>
          <w:bCs/>
          <w:color w:val="auto"/>
          <w:sz w:val="28"/>
          <w:szCs w:val="28"/>
          <w:highlight w:val="none"/>
          <w:shd w:val="clear" w:color="auto" w:fill="FFFFFF"/>
          <w:lang w:val="en-US" w:eastAsia="zh-CN"/>
        </w:rPr>
        <w:t>兰女士</w:t>
      </w:r>
    </w:p>
    <w:p w14:paraId="4A61ACA3">
      <w:pPr>
        <w:pStyle w:val="7"/>
        <w:widowControl/>
        <w:shd w:val="clear" w:color="auto" w:fill="FFFFFF"/>
        <w:spacing w:before="0" w:beforeAutospacing="0" w:after="0" w:afterAutospacing="0" w:line="600" w:lineRule="exact"/>
        <w:ind w:firstLine="560" w:firstLineChars="200"/>
        <w:textAlignment w:val="baseline"/>
        <w:rPr>
          <w:rFonts w:hint="default" w:ascii="仿宋" w:hAnsi="仿宋" w:eastAsia="仿宋" w:cs="仿宋"/>
          <w:bCs/>
          <w:color w:val="auto"/>
          <w:sz w:val="28"/>
          <w:szCs w:val="28"/>
          <w:highlight w:val="none"/>
          <w:shd w:val="clear" w:color="auto" w:fill="FFFFFF"/>
          <w:lang w:val="en-US" w:eastAsia="zh-CN"/>
        </w:rPr>
      </w:pPr>
      <w:r>
        <w:rPr>
          <w:rFonts w:hint="eastAsia" w:ascii="仿宋" w:hAnsi="仿宋" w:eastAsia="仿宋" w:cs="仿宋"/>
          <w:bCs/>
          <w:color w:val="auto"/>
          <w:sz w:val="28"/>
          <w:szCs w:val="28"/>
          <w:highlight w:val="none"/>
          <w:shd w:val="clear" w:color="auto" w:fill="FFFFFF"/>
          <w:lang w:eastAsia="zh-CN"/>
        </w:rPr>
        <w:t>联系电话：0796-8256816</w:t>
      </w:r>
      <w:r>
        <w:rPr>
          <w:rFonts w:hint="eastAsia" w:ascii="仿宋" w:hAnsi="仿宋" w:eastAsia="仿宋" w:cs="仿宋"/>
          <w:bCs/>
          <w:color w:val="auto"/>
          <w:sz w:val="28"/>
          <w:szCs w:val="28"/>
          <w:highlight w:val="none"/>
          <w:shd w:val="clear" w:color="auto" w:fill="FFFFFF"/>
          <w:lang w:val="en-US" w:eastAsia="zh-CN"/>
        </w:rPr>
        <w:t>/18679662864</w:t>
      </w:r>
    </w:p>
    <w:p w14:paraId="17A2D8F9">
      <w:pPr>
        <w:pStyle w:val="7"/>
        <w:widowControl/>
        <w:shd w:val="clear" w:color="auto" w:fill="FFFFFF"/>
        <w:spacing w:before="0" w:beforeAutospacing="0" w:after="0" w:afterAutospacing="0" w:line="600" w:lineRule="exact"/>
        <w:textAlignment w:val="baseline"/>
        <w:rPr>
          <w:rFonts w:hint="eastAsia" w:ascii="仿宋" w:hAnsi="仿宋" w:eastAsia="仿宋" w:cs="仿宋"/>
          <w:b/>
          <w:bCs/>
          <w:color w:val="auto"/>
          <w:kern w:val="0"/>
          <w:sz w:val="28"/>
          <w:szCs w:val="28"/>
          <w:shd w:val="clear" w:color="auto" w:fill="FFFFFF"/>
          <w:lang w:val="en-US" w:eastAsia="zh-CN" w:bidi="ar-SA"/>
        </w:rPr>
      </w:pPr>
      <w:r>
        <w:rPr>
          <w:rFonts w:hint="eastAsia" w:ascii="仿宋" w:hAnsi="仿宋" w:eastAsia="仿宋" w:cs="仿宋"/>
          <w:b/>
          <w:bCs/>
          <w:color w:val="auto"/>
          <w:kern w:val="0"/>
          <w:sz w:val="28"/>
          <w:szCs w:val="28"/>
          <w:shd w:val="clear" w:color="auto" w:fill="FFFFFF"/>
          <w:lang w:val="en-US" w:eastAsia="zh-CN" w:bidi="ar-SA"/>
        </w:rPr>
        <w:t>特别声明：本公告仅作为本项目采购前期市场调研，所有征集的方案仅供我单位参考。</w:t>
      </w:r>
    </w:p>
    <w:p w14:paraId="3AD229E2">
      <w:pPr>
        <w:pStyle w:val="7"/>
        <w:widowControl/>
        <w:shd w:val="clear" w:color="auto" w:fill="FFFFFF"/>
        <w:spacing w:before="0" w:beforeAutospacing="0" w:after="0" w:afterAutospacing="0" w:line="600" w:lineRule="exact"/>
        <w:textAlignment w:val="baseline"/>
        <w:rPr>
          <w:rFonts w:ascii="仿宋" w:hAnsi="仿宋" w:eastAsia="仿宋" w:cs="仿宋"/>
          <w:color w:val="auto"/>
          <w:sz w:val="24"/>
        </w:rPr>
      </w:pPr>
      <w:r>
        <w:rPr>
          <w:rFonts w:hint="eastAsia" w:ascii="仿宋" w:hAnsi="仿宋" w:eastAsia="仿宋" w:cs="仿宋"/>
          <w:b/>
          <w:bCs/>
          <w:color w:val="auto"/>
          <w:spacing w:val="-1"/>
          <w:kern w:val="0"/>
          <w:sz w:val="44"/>
          <w:szCs w:val="44"/>
          <w:lang w:bidi="ar"/>
        </w:rPr>
        <w:br w:type="page"/>
      </w:r>
    </w:p>
    <w:p w14:paraId="7CDDBBF2">
      <w:pPr>
        <w:spacing w:line="360" w:lineRule="auto"/>
        <w:rPr>
          <w:rFonts w:ascii="仿宋" w:hAnsi="仿宋" w:eastAsia="仿宋" w:cs="仿宋"/>
          <w:b/>
          <w:bCs/>
          <w:color w:val="auto"/>
          <w:kern w:val="0"/>
          <w:sz w:val="44"/>
          <w:szCs w:val="44"/>
          <w:lang w:bidi="ar"/>
        </w:rPr>
      </w:pPr>
      <w:r>
        <w:rPr>
          <w:rFonts w:hint="eastAsia" w:ascii="仿宋" w:hAnsi="仿宋" w:eastAsia="仿宋" w:cs="仿宋"/>
          <w:b/>
          <w:bCs/>
          <w:color w:val="auto"/>
          <w:kern w:val="0"/>
          <w:sz w:val="44"/>
          <w:szCs w:val="44"/>
          <w:lang w:bidi="ar"/>
        </w:rPr>
        <w:t>附件：</w:t>
      </w:r>
    </w:p>
    <w:p w14:paraId="006924AE">
      <w:pPr>
        <w:spacing w:line="360" w:lineRule="auto"/>
        <w:jc w:val="center"/>
        <w:rPr>
          <w:rFonts w:ascii="仿宋" w:hAnsi="仿宋" w:eastAsia="仿宋" w:cs="仿宋"/>
          <w:b/>
          <w:bCs/>
          <w:color w:val="auto"/>
          <w:kern w:val="0"/>
          <w:sz w:val="44"/>
          <w:szCs w:val="44"/>
          <w:lang w:bidi="ar"/>
        </w:rPr>
      </w:pPr>
      <w:r>
        <w:rPr>
          <w:rFonts w:hint="eastAsia" w:ascii="仿宋" w:hAnsi="仿宋" w:eastAsia="仿宋" w:cs="仿宋"/>
          <w:b/>
          <w:bCs/>
          <w:color w:val="auto"/>
          <w:kern w:val="0"/>
          <w:sz w:val="44"/>
          <w:szCs w:val="44"/>
          <w:lang w:bidi="ar"/>
        </w:rPr>
        <w:t>采购需求和技术方案征集回复函</w:t>
      </w:r>
    </w:p>
    <w:p w14:paraId="3B2D2C7E">
      <w:pPr>
        <w:spacing w:line="480" w:lineRule="auto"/>
        <w:rPr>
          <w:rFonts w:ascii="仿宋" w:hAnsi="仿宋" w:eastAsia="仿宋" w:cs="仿宋"/>
          <w:color w:val="auto"/>
          <w:sz w:val="24"/>
        </w:rPr>
      </w:pPr>
    </w:p>
    <w:p w14:paraId="4296175C">
      <w:pPr>
        <w:spacing w:line="360" w:lineRule="auto"/>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项目名称：</w:t>
      </w:r>
    </w:p>
    <w:p w14:paraId="04DB63FB">
      <w:pPr>
        <w:spacing w:line="360" w:lineRule="auto"/>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公司名称：（盖章）</w:t>
      </w:r>
    </w:p>
    <w:p w14:paraId="4B73A23C">
      <w:pPr>
        <w:spacing w:line="360" w:lineRule="auto"/>
        <w:rPr>
          <w:rFonts w:hint="eastAsia"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联系人：　　　　　　　　</w:t>
      </w:r>
    </w:p>
    <w:p w14:paraId="7033A56F">
      <w:pPr>
        <w:spacing w:line="360" w:lineRule="auto"/>
        <w:rPr>
          <w:rFonts w:hint="eastAsia"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联系电话：　　　　　　　</w:t>
      </w:r>
    </w:p>
    <w:p w14:paraId="551A9C8F">
      <w:pPr>
        <w:spacing w:line="360" w:lineRule="auto"/>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电子邮箱：　　　　　　　</w:t>
      </w:r>
    </w:p>
    <w:p w14:paraId="34883541">
      <w:pPr>
        <w:spacing w:line="360" w:lineRule="auto"/>
        <w:rPr>
          <w:rFonts w:ascii="仿宋" w:hAnsi="仿宋" w:eastAsia="仿宋" w:cs="仿宋"/>
          <w:color w:val="auto"/>
          <w:sz w:val="24"/>
          <w:szCs w:val="24"/>
        </w:rPr>
      </w:pPr>
    </w:p>
    <w:p w14:paraId="5DE5EB9F">
      <w:pPr>
        <w:spacing w:line="360" w:lineRule="auto"/>
        <w:rPr>
          <w:rFonts w:hint="eastAsia" w:ascii="仿宋" w:hAnsi="仿宋" w:eastAsia="仿宋" w:cs="仿宋"/>
          <w:b/>
          <w:color w:val="auto"/>
          <w:sz w:val="28"/>
          <w:szCs w:val="28"/>
          <w:shd w:val="clear" w:color="auto" w:fill="FFFFFF"/>
          <w:lang w:eastAsia="zh-CN"/>
        </w:rPr>
      </w:pPr>
      <w:r>
        <w:rPr>
          <w:rFonts w:hint="eastAsia" w:ascii="仿宋" w:hAnsi="仿宋" w:eastAsia="仿宋" w:cs="仿宋"/>
          <w:b/>
          <w:color w:val="auto"/>
          <w:sz w:val="28"/>
          <w:szCs w:val="28"/>
          <w:shd w:val="clear" w:color="auto" w:fill="FFFFFF"/>
        </w:rPr>
        <w:t>一、</w:t>
      </w:r>
      <w:r>
        <w:rPr>
          <w:rFonts w:hint="eastAsia" w:ascii="仿宋" w:hAnsi="仿宋" w:eastAsia="仿宋" w:cs="仿宋"/>
          <w:b/>
          <w:color w:val="auto"/>
          <w:sz w:val="28"/>
          <w:szCs w:val="28"/>
          <w:shd w:val="clear" w:color="auto" w:fill="FFFFFF"/>
          <w:lang w:eastAsia="zh-CN"/>
        </w:rPr>
        <w:t>采购设备清单</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1693"/>
        <w:gridCol w:w="1386"/>
        <w:gridCol w:w="1197"/>
        <w:gridCol w:w="1284"/>
        <w:gridCol w:w="1353"/>
        <w:gridCol w:w="1635"/>
      </w:tblGrid>
      <w:tr w14:paraId="74233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399" w:type="pct"/>
            <w:vAlign w:val="center"/>
          </w:tcPr>
          <w:p w14:paraId="3DCC2DC5">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序号</w:t>
            </w:r>
          </w:p>
        </w:tc>
        <w:tc>
          <w:tcPr>
            <w:tcW w:w="910" w:type="pct"/>
            <w:vAlign w:val="center"/>
          </w:tcPr>
          <w:p w14:paraId="7EFE9E07">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品目</w:t>
            </w:r>
            <w:r>
              <w:rPr>
                <w:rFonts w:hint="eastAsia" w:ascii="仿宋" w:hAnsi="仿宋" w:eastAsia="仿宋" w:cs="仿宋"/>
                <w:b/>
                <w:bCs/>
                <w:sz w:val="24"/>
                <w:szCs w:val="24"/>
              </w:rPr>
              <w:t>名称</w:t>
            </w:r>
          </w:p>
        </w:tc>
        <w:tc>
          <w:tcPr>
            <w:tcW w:w="746" w:type="pct"/>
            <w:vAlign w:val="center"/>
          </w:tcPr>
          <w:p w14:paraId="00C2A2B5">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品牌、制造商全称</w:t>
            </w:r>
          </w:p>
        </w:tc>
        <w:tc>
          <w:tcPr>
            <w:tcW w:w="644" w:type="pct"/>
            <w:vAlign w:val="center"/>
          </w:tcPr>
          <w:p w14:paraId="637FBB23">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规格型号</w:t>
            </w:r>
          </w:p>
        </w:tc>
        <w:tc>
          <w:tcPr>
            <w:tcW w:w="691" w:type="pct"/>
            <w:vAlign w:val="center"/>
          </w:tcPr>
          <w:p w14:paraId="4CA79A49">
            <w:pPr>
              <w:spacing w:line="360" w:lineRule="auto"/>
              <w:jc w:val="center"/>
              <w:rPr>
                <w:rFonts w:hint="eastAsia" w:ascii="仿宋" w:hAnsi="仿宋" w:eastAsia="仿宋" w:cs="仿宋"/>
                <w:b/>
                <w:bCs/>
                <w:sz w:val="24"/>
                <w:szCs w:val="24"/>
                <w:lang w:eastAsia="zh-CN"/>
              </w:rPr>
            </w:pPr>
            <w:r>
              <w:rPr>
                <w:rFonts w:hint="eastAsia" w:ascii="仿宋" w:hAnsi="仿宋" w:eastAsia="仿宋" w:cs="仿宋"/>
                <w:b/>
                <w:bCs/>
                <w:sz w:val="24"/>
                <w:szCs w:val="24"/>
              </w:rPr>
              <w:t>数量</w:t>
            </w:r>
          </w:p>
        </w:tc>
        <w:tc>
          <w:tcPr>
            <w:tcW w:w="728" w:type="pct"/>
            <w:vAlign w:val="center"/>
          </w:tcPr>
          <w:p w14:paraId="0C0FE604">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单价（元）</w:t>
            </w:r>
          </w:p>
        </w:tc>
        <w:tc>
          <w:tcPr>
            <w:tcW w:w="878" w:type="pct"/>
            <w:vAlign w:val="center"/>
          </w:tcPr>
          <w:p w14:paraId="7CC9C979">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合计（元）</w:t>
            </w:r>
          </w:p>
        </w:tc>
      </w:tr>
      <w:tr w14:paraId="5461C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399" w:type="pct"/>
            <w:vAlign w:val="center"/>
          </w:tcPr>
          <w:p w14:paraId="12409CA8">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1</w:t>
            </w:r>
          </w:p>
        </w:tc>
        <w:tc>
          <w:tcPr>
            <w:tcW w:w="910" w:type="pct"/>
            <w:vAlign w:val="center"/>
          </w:tcPr>
          <w:p w14:paraId="15452094">
            <w:pPr>
              <w:spacing w:line="360" w:lineRule="auto"/>
              <w:jc w:val="center"/>
              <w:rPr>
                <w:rFonts w:hint="eastAsia" w:ascii="仿宋" w:hAnsi="仿宋" w:eastAsia="仿宋" w:cs="仿宋"/>
                <w:sz w:val="24"/>
                <w:szCs w:val="24"/>
              </w:rPr>
            </w:pPr>
            <w:r>
              <w:rPr>
                <w:rFonts w:hint="eastAsia" w:ascii="仿宋" w:hAnsi="仿宋" w:eastAsia="仿宋" w:cs="仿宋"/>
                <w:b/>
                <w:bCs/>
                <w:color w:val="auto"/>
                <w:sz w:val="24"/>
                <w:szCs w:val="24"/>
                <w:highlight w:val="none"/>
                <w:lang w:val="en-US" w:eastAsia="zh-CN"/>
              </w:rPr>
              <w:t>泡沫液输传车</w:t>
            </w:r>
          </w:p>
        </w:tc>
        <w:tc>
          <w:tcPr>
            <w:tcW w:w="746" w:type="pct"/>
            <w:vAlign w:val="center"/>
          </w:tcPr>
          <w:p w14:paraId="155F9194">
            <w:pPr>
              <w:spacing w:line="360" w:lineRule="auto"/>
              <w:jc w:val="center"/>
              <w:rPr>
                <w:rFonts w:hint="eastAsia" w:ascii="仿宋" w:hAnsi="仿宋" w:eastAsia="仿宋" w:cs="仿宋"/>
                <w:sz w:val="24"/>
                <w:szCs w:val="24"/>
              </w:rPr>
            </w:pPr>
          </w:p>
        </w:tc>
        <w:tc>
          <w:tcPr>
            <w:tcW w:w="644" w:type="pct"/>
            <w:vAlign w:val="center"/>
          </w:tcPr>
          <w:p w14:paraId="5E13A8C4">
            <w:pPr>
              <w:spacing w:line="360" w:lineRule="auto"/>
              <w:jc w:val="center"/>
              <w:rPr>
                <w:rFonts w:hint="eastAsia" w:ascii="仿宋" w:hAnsi="仿宋" w:eastAsia="仿宋" w:cs="仿宋"/>
                <w:sz w:val="24"/>
                <w:szCs w:val="24"/>
              </w:rPr>
            </w:pPr>
          </w:p>
        </w:tc>
        <w:tc>
          <w:tcPr>
            <w:tcW w:w="691" w:type="pct"/>
            <w:vAlign w:val="center"/>
          </w:tcPr>
          <w:p w14:paraId="22FC62BB">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1辆</w:t>
            </w:r>
          </w:p>
        </w:tc>
        <w:tc>
          <w:tcPr>
            <w:tcW w:w="728" w:type="pct"/>
            <w:vAlign w:val="center"/>
          </w:tcPr>
          <w:p w14:paraId="59536A1F">
            <w:pPr>
              <w:spacing w:line="360" w:lineRule="auto"/>
              <w:jc w:val="center"/>
              <w:rPr>
                <w:rFonts w:hint="eastAsia" w:ascii="仿宋" w:hAnsi="仿宋" w:eastAsia="仿宋" w:cs="仿宋"/>
                <w:sz w:val="24"/>
                <w:szCs w:val="24"/>
              </w:rPr>
            </w:pPr>
          </w:p>
        </w:tc>
        <w:tc>
          <w:tcPr>
            <w:tcW w:w="878" w:type="pct"/>
            <w:vAlign w:val="center"/>
          </w:tcPr>
          <w:p w14:paraId="5C87F67C">
            <w:pPr>
              <w:spacing w:line="360" w:lineRule="auto"/>
              <w:jc w:val="center"/>
              <w:rPr>
                <w:rFonts w:hint="eastAsia" w:ascii="仿宋" w:hAnsi="仿宋" w:eastAsia="仿宋" w:cs="仿宋"/>
                <w:sz w:val="24"/>
                <w:szCs w:val="24"/>
              </w:rPr>
            </w:pPr>
          </w:p>
        </w:tc>
      </w:tr>
      <w:tr w14:paraId="249E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399" w:type="pct"/>
            <w:vAlign w:val="center"/>
          </w:tcPr>
          <w:p w14:paraId="55E41B84">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2</w:t>
            </w:r>
          </w:p>
        </w:tc>
        <w:tc>
          <w:tcPr>
            <w:tcW w:w="910" w:type="pct"/>
            <w:vAlign w:val="center"/>
          </w:tcPr>
          <w:p w14:paraId="74AA4E62">
            <w:pPr>
              <w:spacing w:line="360" w:lineRule="auto"/>
              <w:jc w:val="center"/>
              <w:rPr>
                <w:rFonts w:hint="eastAsia" w:ascii="仿宋" w:hAnsi="仿宋" w:eastAsia="仿宋" w:cs="仿宋"/>
                <w:sz w:val="24"/>
                <w:szCs w:val="24"/>
              </w:rPr>
            </w:pPr>
            <w:r>
              <w:rPr>
                <w:rFonts w:hint="eastAsia" w:ascii="仿宋" w:hAnsi="仿宋" w:eastAsia="仿宋" w:cs="仿宋"/>
                <w:b/>
                <w:bCs/>
                <w:color w:val="auto"/>
                <w:sz w:val="24"/>
                <w:szCs w:val="24"/>
                <w:highlight w:val="none"/>
                <w:lang w:val="en-US" w:eastAsia="zh-CN"/>
              </w:rPr>
              <w:t>通信指挥车</w:t>
            </w:r>
          </w:p>
        </w:tc>
        <w:tc>
          <w:tcPr>
            <w:tcW w:w="746" w:type="pct"/>
            <w:vAlign w:val="center"/>
          </w:tcPr>
          <w:p w14:paraId="55C6E37B">
            <w:pPr>
              <w:spacing w:line="360" w:lineRule="auto"/>
              <w:jc w:val="center"/>
              <w:rPr>
                <w:rFonts w:hint="eastAsia" w:ascii="仿宋" w:hAnsi="仿宋" w:eastAsia="仿宋" w:cs="仿宋"/>
                <w:sz w:val="24"/>
                <w:szCs w:val="24"/>
              </w:rPr>
            </w:pPr>
          </w:p>
        </w:tc>
        <w:tc>
          <w:tcPr>
            <w:tcW w:w="644" w:type="pct"/>
            <w:vAlign w:val="center"/>
          </w:tcPr>
          <w:p w14:paraId="7CDE3FFB">
            <w:pPr>
              <w:spacing w:line="360" w:lineRule="auto"/>
              <w:jc w:val="center"/>
              <w:rPr>
                <w:rFonts w:hint="eastAsia" w:ascii="仿宋" w:hAnsi="仿宋" w:eastAsia="仿宋" w:cs="仿宋"/>
                <w:sz w:val="24"/>
                <w:szCs w:val="24"/>
              </w:rPr>
            </w:pPr>
          </w:p>
        </w:tc>
        <w:tc>
          <w:tcPr>
            <w:tcW w:w="691" w:type="pct"/>
            <w:vAlign w:val="center"/>
          </w:tcPr>
          <w:p w14:paraId="2AA750C7">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1辆</w:t>
            </w:r>
          </w:p>
        </w:tc>
        <w:tc>
          <w:tcPr>
            <w:tcW w:w="728" w:type="pct"/>
            <w:vAlign w:val="center"/>
          </w:tcPr>
          <w:p w14:paraId="5040B832">
            <w:pPr>
              <w:spacing w:line="360" w:lineRule="auto"/>
              <w:jc w:val="center"/>
              <w:rPr>
                <w:rFonts w:hint="eastAsia" w:ascii="仿宋" w:hAnsi="仿宋" w:eastAsia="仿宋" w:cs="仿宋"/>
                <w:sz w:val="24"/>
                <w:szCs w:val="24"/>
              </w:rPr>
            </w:pPr>
          </w:p>
        </w:tc>
        <w:tc>
          <w:tcPr>
            <w:tcW w:w="878" w:type="pct"/>
            <w:vAlign w:val="center"/>
          </w:tcPr>
          <w:p w14:paraId="251243C3">
            <w:pPr>
              <w:spacing w:line="360" w:lineRule="auto"/>
              <w:jc w:val="center"/>
              <w:rPr>
                <w:rFonts w:hint="eastAsia" w:ascii="仿宋" w:hAnsi="仿宋" w:eastAsia="仿宋" w:cs="仿宋"/>
                <w:sz w:val="24"/>
                <w:szCs w:val="24"/>
              </w:rPr>
            </w:pPr>
          </w:p>
        </w:tc>
      </w:tr>
      <w:tr w14:paraId="5C0A8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310" w:type="pct"/>
            <w:gridSpan w:val="2"/>
            <w:vAlign w:val="center"/>
          </w:tcPr>
          <w:p w14:paraId="2AB56416">
            <w:pPr>
              <w:spacing w:line="360" w:lineRule="auto"/>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sz w:val="24"/>
                <w:szCs w:val="24"/>
                <w:lang w:val="en-US" w:eastAsia="zh-CN"/>
              </w:rPr>
              <w:t>总计：</w:t>
            </w:r>
          </w:p>
        </w:tc>
        <w:tc>
          <w:tcPr>
            <w:tcW w:w="3689" w:type="pct"/>
            <w:gridSpan w:val="5"/>
            <w:vAlign w:val="center"/>
          </w:tcPr>
          <w:p w14:paraId="29DC4152">
            <w:pPr>
              <w:spacing w:line="360" w:lineRule="auto"/>
              <w:jc w:val="center"/>
              <w:rPr>
                <w:rFonts w:hint="eastAsia" w:ascii="仿宋" w:hAnsi="仿宋" w:eastAsia="仿宋" w:cs="仿宋"/>
                <w:sz w:val="24"/>
                <w:szCs w:val="24"/>
              </w:rPr>
            </w:pPr>
          </w:p>
        </w:tc>
      </w:tr>
    </w:tbl>
    <w:p w14:paraId="1E4E361A">
      <w:pPr>
        <w:spacing w:line="360" w:lineRule="auto"/>
        <w:jc w:val="left"/>
        <w:rPr>
          <w:rFonts w:hint="eastAsia" w:ascii="仿宋" w:hAnsi="仿宋" w:eastAsia="仿宋" w:cs="仿宋"/>
          <w:b/>
          <w:bCs/>
          <w:sz w:val="24"/>
          <w:szCs w:val="24"/>
          <w:lang w:val="en-US" w:eastAsia="zh-CN"/>
        </w:rPr>
      </w:pPr>
    </w:p>
    <w:p w14:paraId="7097C320">
      <w:pPr>
        <w:spacing w:line="360" w:lineRule="auto"/>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注：报价均以人民币/元报价，供应商报价须包含完成本项目所有货物、材料、运输、转运、辅材、上牌（黄牌）、安装、调试、验收、培训、现场回访、实地巡检、税金等一切相关费用。</w:t>
      </w:r>
    </w:p>
    <w:p w14:paraId="5E4EA2B7">
      <w:pPr>
        <w:rPr>
          <w:rFonts w:hint="eastAsia" w:ascii="仿宋" w:hAnsi="仿宋" w:eastAsia="仿宋" w:cs="仿宋"/>
          <w:b/>
          <w:color w:val="auto"/>
          <w:sz w:val="24"/>
          <w:szCs w:val="24"/>
          <w:shd w:val="clear" w:color="auto" w:fill="FFFFFF"/>
          <w:lang w:val="en-US" w:eastAsia="zh-CN"/>
        </w:rPr>
      </w:pPr>
      <w:r>
        <w:rPr>
          <w:rFonts w:hint="eastAsia" w:ascii="仿宋" w:hAnsi="仿宋" w:eastAsia="仿宋" w:cs="仿宋"/>
          <w:b/>
          <w:color w:val="auto"/>
          <w:sz w:val="24"/>
          <w:szCs w:val="24"/>
          <w:shd w:val="clear" w:color="auto" w:fill="FFFFFF"/>
          <w:lang w:val="en-US" w:eastAsia="zh-CN"/>
        </w:rPr>
        <w:br w:type="page"/>
      </w:r>
    </w:p>
    <w:p w14:paraId="2D9D7B23">
      <w:pPr>
        <w:spacing w:line="360" w:lineRule="auto"/>
        <w:rPr>
          <w:rFonts w:hint="eastAsia" w:ascii="仿宋" w:hAnsi="仿宋" w:eastAsia="仿宋" w:cs="仿宋"/>
          <w:b/>
          <w:color w:val="auto"/>
          <w:sz w:val="28"/>
          <w:szCs w:val="28"/>
          <w:shd w:val="clear" w:color="auto" w:fill="FFFFFF"/>
          <w:lang w:val="en-US" w:eastAsia="zh-CN"/>
        </w:rPr>
      </w:pPr>
      <w:r>
        <w:rPr>
          <w:rFonts w:hint="eastAsia" w:ascii="仿宋" w:hAnsi="仿宋" w:eastAsia="仿宋" w:cs="仿宋"/>
          <w:b/>
          <w:color w:val="auto"/>
          <w:sz w:val="28"/>
          <w:szCs w:val="28"/>
          <w:shd w:val="clear" w:color="auto" w:fill="FFFFFF"/>
          <w:lang w:eastAsia="zh-CN"/>
        </w:rPr>
        <w:t>二</w:t>
      </w:r>
      <w:r>
        <w:rPr>
          <w:rFonts w:hint="eastAsia" w:ascii="仿宋" w:hAnsi="仿宋" w:eastAsia="仿宋" w:cs="仿宋"/>
          <w:b/>
          <w:color w:val="auto"/>
          <w:sz w:val="28"/>
          <w:szCs w:val="28"/>
          <w:shd w:val="clear" w:color="auto" w:fill="FFFFFF"/>
        </w:rPr>
        <w:t>、</w:t>
      </w:r>
      <w:r>
        <w:rPr>
          <w:rFonts w:hint="eastAsia" w:ascii="仿宋" w:hAnsi="仿宋" w:eastAsia="仿宋" w:cs="仿宋"/>
          <w:b/>
          <w:color w:val="auto"/>
          <w:sz w:val="28"/>
          <w:szCs w:val="28"/>
          <w:shd w:val="clear" w:color="auto" w:fill="FFFFFF"/>
          <w:lang w:eastAsia="zh-CN"/>
        </w:rPr>
        <w:t>技术参数（可在征集人提供的技术参数要求上进行补充完善以及提出修正性意见）</w:t>
      </w:r>
    </w:p>
    <w:p w14:paraId="3E9069C1">
      <w:pPr>
        <w:pStyle w:val="7"/>
        <w:widowControl/>
        <w:shd w:val="clear" w:color="auto" w:fill="FFFFFF"/>
        <w:spacing w:before="0" w:beforeAutospacing="0" w:after="0" w:afterAutospacing="0" w:line="600" w:lineRule="exact"/>
        <w:textAlignment w:val="baseline"/>
        <w:rPr>
          <w:rFonts w:hint="eastAsia" w:ascii="仿宋" w:hAnsi="仿宋" w:eastAsia="仿宋" w:cs="仿宋"/>
          <w:b/>
          <w:color w:val="auto"/>
          <w:sz w:val="24"/>
          <w:szCs w:val="24"/>
          <w:shd w:val="clear" w:color="auto" w:fill="FFFFFF"/>
          <w:lang w:val="en-US" w:eastAsia="zh-CN"/>
        </w:rPr>
      </w:pPr>
      <w:r>
        <w:rPr>
          <w:rFonts w:hint="eastAsia" w:ascii="仿宋" w:hAnsi="仿宋" w:eastAsia="仿宋" w:cs="仿宋"/>
          <w:b/>
          <w:color w:val="auto"/>
          <w:sz w:val="24"/>
          <w:szCs w:val="24"/>
          <w:shd w:val="clear" w:color="auto" w:fill="FFFFFF"/>
          <w:lang w:val="en-US" w:eastAsia="zh-CN"/>
        </w:rPr>
        <w:t>（一）泡沫液输传车</w:t>
      </w:r>
    </w:p>
    <w:tbl>
      <w:tblPr>
        <w:tblStyle w:val="9"/>
        <w:tblW w:w="11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6903"/>
        <w:gridCol w:w="1675"/>
        <w:gridCol w:w="1735"/>
      </w:tblGrid>
      <w:tr w14:paraId="5F95A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11" w:type="dxa"/>
            <w:vAlign w:val="center"/>
          </w:tcPr>
          <w:p w14:paraId="5ED6B0EA">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b/>
                <w:bCs/>
                <w:i w:val="0"/>
                <w:iCs w:val="0"/>
                <w:color w:val="auto"/>
                <w:kern w:val="0"/>
                <w:sz w:val="24"/>
                <w:szCs w:val="24"/>
                <w:highlight w:val="none"/>
                <w:u w:val="none"/>
                <w:vertAlign w:val="baseline"/>
                <w:lang w:val="en-US" w:eastAsia="zh-CN" w:bidi="ar"/>
              </w:rPr>
            </w:pPr>
            <w:r>
              <w:rPr>
                <w:rFonts w:hint="eastAsia" w:ascii="仿宋" w:hAnsi="仿宋" w:eastAsia="仿宋" w:cs="仿宋"/>
                <w:b/>
                <w:bCs/>
                <w:i w:val="0"/>
                <w:iCs w:val="0"/>
                <w:color w:val="auto"/>
                <w:kern w:val="0"/>
                <w:sz w:val="24"/>
                <w:szCs w:val="24"/>
                <w:highlight w:val="none"/>
                <w:u w:val="none"/>
                <w:vertAlign w:val="baseline"/>
                <w:lang w:val="en-US" w:eastAsia="zh-CN" w:bidi="ar"/>
              </w:rPr>
              <w:t>序号</w:t>
            </w:r>
          </w:p>
        </w:tc>
        <w:tc>
          <w:tcPr>
            <w:tcW w:w="6903" w:type="dxa"/>
            <w:vAlign w:val="center"/>
          </w:tcPr>
          <w:p w14:paraId="49BAFE70">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b/>
                <w:bCs/>
                <w:i w:val="0"/>
                <w:iCs w:val="0"/>
                <w:color w:val="auto"/>
                <w:kern w:val="0"/>
                <w:sz w:val="24"/>
                <w:szCs w:val="24"/>
                <w:highlight w:val="none"/>
                <w:u w:val="none"/>
                <w:vertAlign w:val="baseline"/>
                <w:lang w:val="en-US" w:eastAsia="zh-CN" w:bidi="ar"/>
              </w:rPr>
            </w:pPr>
            <w:r>
              <w:rPr>
                <w:rFonts w:hint="eastAsia" w:ascii="仿宋" w:hAnsi="仿宋" w:eastAsia="仿宋" w:cs="仿宋"/>
                <w:b/>
                <w:bCs/>
                <w:i w:val="0"/>
                <w:iCs w:val="0"/>
                <w:color w:val="auto"/>
                <w:kern w:val="0"/>
                <w:sz w:val="24"/>
                <w:szCs w:val="24"/>
                <w:highlight w:val="none"/>
                <w:u w:val="none"/>
                <w:vertAlign w:val="baseline"/>
                <w:lang w:val="en-US" w:eastAsia="zh-CN" w:bidi="ar"/>
              </w:rPr>
              <w:t>技术参数要求</w:t>
            </w:r>
          </w:p>
        </w:tc>
        <w:tc>
          <w:tcPr>
            <w:tcW w:w="1675" w:type="dxa"/>
            <w:vAlign w:val="center"/>
          </w:tcPr>
          <w:p w14:paraId="6D8D4C59">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b/>
                <w:bCs/>
                <w:i w:val="0"/>
                <w:iCs w:val="0"/>
                <w:color w:val="auto"/>
                <w:kern w:val="0"/>
                <w:sz w:val="24"/>
                <w:szCs w:val="24"/>
                <w:highlight w:val="none"/>
                <w:u w:val="none"/>
                <w:vertAlign w:val="baseline"/>
                <w:lang w:val="en-US" w:eastAsia="zh-CN" w:bidi="ar"/>
              </w:rPr>
            </w:pPr>
            <w:r>
              <w:rPr>
                <w:rFonts w:hint="eastAsia" w:ascii="仿宋" w:hAnsi="仿宋" w:eastAsia="仿宋" w:cs="仿宋"/>
                <w:b/>
                <w:bCs/>
                <w:i w:val="0"/>
                <w:iCs w:val="0"/>
                <w:color w:val="auto"/>
                <w:kern w:val="0"/>
                <w:sz w:val="24"/>
                <w:szCs w:val="24"/>
                <w:highlight w:val="none"/>
                <w:u w:val="none"/>
                <w:vertAlign w:val="baseline"/>
                <w:lang w:val="en-US" w:eastAsia="zh-CN" w:bidi="ar"/>
              </w:rPr>
              <w:t>补充技术参数</w:t>
            </w:r>
          </w:p>
        </w:tc>
        <w:tc>
          <w:tcPr>
            <w:tcW w:w="1735" w:type="dxa"/>
            <w:vAlign w:val="center"/>
          </w:tcPr>
          <w:p w14:paraId="619D4657">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b/>
                <w:bCs/>
                <w:i w:val="0"/>
                <w:iCs w:val="0"/>
                <w:color w:val="auto"/>
                <w:kern w:val="0"/>
                <w:sz w:val="24"/>
                <w:szCs w:val="24"/>
                <w:highlight w:val="none"/>
                <w:u w:val="none"/>
                <w:vertAlign w:val="baseline"/>
                <w:lang w:val="en-US" w:eastAsia="zh-CN" w:bidi="ar"/>
              </w:rPr>
            </w:pPr>
            <w:r>
              <w:rPr>
                <w:rFonts w:hint="eastAsia" w:ascii="仿宋" w:hAnsi="仿宋" w:eastAsia="仿宋" w:cs="仿宋"/>
                <w:b/>
                <w:bCs/>
                <w:i w:val="0"/>
                <w:iCs w:val="0"/>
                <w:color w:val="auto"/>
                <w:kern w:val="0"/>
                <w:sz w:val="24"/>
                <w:szCs w:val="24"/>
                <w:highlight w:val="none"/>
                <w:u w:val="none"/>
                <w:vertAlign w:val="baseline"/>
                <w:lang w:val="en-US" w:eastAsia="zh-CN" w:bidi="ar"/>
              </w:rPr>
              <w:t>修正意见</w:t>
            </w:r>
          </w:p>
        </w:tc>
      </w:tr>
      <w:tr w14:paraId="41D7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11" w:type="dxa"/>
            <w:vAlign w:val="center"/>
          </w:tcPr>
          <w:p w14:paraId="16046277">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b/>
                <w:bCs/>
                <w:i w:val="0"/>
                <w:iCs w:val="0"/>
                <w:color w:val="auto"/>
                <w:kern w:val="0"/>
                <w:sz w:val="24"/>
                <w:szCs w:val="24"/>
                <w:highlight w:val="none"/>
                <w:u w:val="none"/>
                <w:vertAlign w:val="baseline"/>
                <w:lang w:val="en-US" w:eastAsia="zh-CN" w:bidi="ar"/>
              </w:rPr>
            </w:pPr>
            <w:r>
              <w:rPr>
                <w:rFonts w:hint="eastAsia" w:ascii="仿宋" w:hAnsi="仿宋" w:eastAsia="仿宋" w:cs="仿宋"/>
                <w:b/>
                <w:bCs/>
                <w:i w:val="0"/>
                <w:iCs w:val="0"/>
                <w:color w:val="auto"/>
                <w:kern w:val="0"/>
                <w:sz w:val="24"/>
                <w:szCs w:val="24"/>
                <w:highlight w:val="none"/>
                <w:u w:val="none"/>
                <w:vertAlign w:val="baseline"/>
                <w:lang w:val="en-US" w:eastAsia="zh-CN" w:bidi="ar"/>
              </w:rPr>
              <w:t>1</w:t>
            </w:r>
          </w:p>
        </w:tc>
        <w:tc>
          <w:tcPr>
            <w:tcW w:w="6903" w:type="dxa"/>
            <w:vAlign w:val="center"/>
          </w:tcPr>
          <w:p w14:paraId="281F7D67">
            <w:pPr>
              <w:keepNext w:val="0"/>
              <w:keepLines w:val="0"/>
              <w:pageBreakBefore w:val="0"/>
              <w:widowControl/>
              <w:kinsoku/>
              <w:wordWrap/>
              <w:overflowPunct/>
              <w:topLinePunct w:val="0"/>
              <w:bidi w:val="0"/>
              <w:adjustRightInd w:val="0"/>
              <w:snapToGrid w:val="0"/>
              <w:spacing w:line="240" w:lineRule="auto"/>
              <w:ind w:left="0" w:leftChars="0" w:firstLine="0" w:firstLineChars="0"/>
              <w:jc w:val="left"/>
              <w:textAlignment w:val="auto"/>
              <w:outlineLvl w:val="2"/>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一、泡沫液输传车</w:t>
            </w:r>
          </w:p>
          <w:p w14:paraId="18BE707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(一)货物名称：供液消防车</w:t>
            </w:r>
          </w:p>
          <w:p w14:paraId="27A19CE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(二)载液量：国产底盘，载液量21t</w:t>
            </w:r>
          </w:p>
          <w:p w14:paraId="2111916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(三)数量：1(辆)</w:t>
            </w:r>
          </w:p>
          <w:p w14:paraId="377E6B2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(四)主要技术规格、参数及要求：</w:t>
            </w:r>
          </w:p>
          <w:p w14:paraId="09CDF52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4.1底盘</w:t>
            </w:r>
          </w:p>
          <w:p w14:paraId="30A51CE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★4.1.1发动机功率功率：≥380KW;</w:t>
            </w:r>
          </w:p>
          <w:p w14:paraId="356F2D1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4.1.2燃料：柴油；</w:t>
            </w:r>
          </w:p>
          <w:p w14:paraId="30A28F3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4.1.3驱动型式：8×4</w:t>
            </w:r>
          </w:p>
          <w:p w14:paraId="46EEA54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4.1.4尾气排放：国V标准；</w:t>
            </w:r>
          </w:p>
          <w:p w14:paraId="6CAD3F4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4.1.5带倒车警告、倒车摄像头；</w:t>
            </w:r>
          </w:p>
          <w:p w14:paraId="639107D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4.1.6电瓶位置在经过上装改装后必须便于检查、保养、维修、更换；必须安装电瓶总开关。</w:t>
            </w:r>
          </w:p>
          <w:p w14:paraId="4D8B1EF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4.1.7整车尺寸：≤12000mm×2550mm×3400mm</w:t>
            </w:r>
          </w:p>
          <w:p w14:paraId="0B09F71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4.1.7满载总质量：≤39200kg</w:t>
            </w:r>
          </w:p>
          <w:p w14:paraId="6E22BD9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4.2驾驶室</w:t>
            </w:r>
          </w:p>
          <w:p w14:paraId="04D03A9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4.2.1结构：原车双排座一体式焊接结构，带专用液压翻转机构；</w:t>
            </w:r>
          </w:p>
          <w:p w14:paraId="24392F8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4.2.2座位设置：2+4,其中前排2座，后排4座。后排靠背处设有四个空气呼吸器架。座位前面适当高度加装不锈钢安全栏杆。驾驶员座椅高度、角度、前后位置可调，安全带；副驾驶座角度和前后位置可调，配有安全带；乘员座椅采用模具成型设计且耐磨防划，并安装有3点式加长安全带；</w:t>
            </w:r>
          </w:p>
          <w:p w14:paraId="07CD959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4.2.3驾驶室设备：除原车设备外，加装取力器控制开关，警报器、警灯开关，设置冷暖空调、USB接口，预留电台电源线桩头、GPS和笔记本电脑电源接口(220V)、电源接口(12V、24V)等；</w:t>
            </w:r>
          </w:p>
          <w:p w14:paraId="3385545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4.3主要性能及配置</w:t>
            </w:r>
          </w:p>
          <w:p w14:paraId="5AEA5DA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4.3.1泡沫液消防泵技术参数</w:t>
            </w:r>
          </w:p>
          <w:p w14:paraId="2677027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4.3.1.1型式：螺旋转子泡沫液消防泵；</w:t>
            </w:r>
          </w:p>
          <w:p w14:paraId="4242E6E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4.3.1.2流量：≥1500L/min;扬程：≥120m;上液时间：≤50s;</w:t>
            </w:r>
          </w:p>
          <w:p w14:paraId="4396652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4.3.1.3材质：不锈钢或铜合金材料；放余液装置：设置在泵的低处；泵驱动：通过取力器由汽车发动机驱动；</w:t>
            </w:r>
          </w:p>
          <w:p w14:paraId="278AC06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4.3.1.4进出液管路</w:t>
            </w:r>
          </w:p>
          <w:p w14:paraId="46EEF6E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4.3.1.4.1罐到泵进液口：液罐后端面设置3个DN125进水管路并各配DN125气动控制阀3个；</w:t>
            </w:r>
          </w:p>
          <w:p w14:paraId="2AB8056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4.3.1.4.2吸液管路：泵室左右两侧各设带手动控制阀的DN65内扣式接口的吸液口4个；正后方设置1个带手动控制阀的DN125内扣式吸液口</w:t>
            </w:r>
          </w:p>
          <w:p w14:paraId="4F082E4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4.3.1.4.3出液管路：泵室左右两侧各设带手动控制阀的DN65内扣式出液口2个。</w:t>
            </w:r>
          </w:p>
          <w:p w14:paraId="271B520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4.3.2泡沫液罐</w:t>
            </w:r>
          </w:p>
          <w:p w14:paraId="29C6CCE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4.3.2.1载液量：21000kg</w:t>
            </w:r>
          </w:p>
          <w:p w14:paraId="0288343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4.3.2.2材质：PP高分子材料</w:t>
            </w:r>
          </w:p>
          <w:p w14:paraId="0A11CF3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4.3.2.3隔板：罐内设有阻浪板(含横向和纵向板；阻浪板上的孔口直径满足人员清洁或检查之用);</w:t>
            </w:r>
          </w:p>
          <w:p w14:paraId="16A79D7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4.3.2.4人孔：罐顶设有3个450mm人孔；</w:t>
            </w:r>
          </w:p>
          <w:p w14:paraId="435C963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4.3.2.5通风：在罐内设置通大气的排气管路，排气管一端穿过罐体底板与外部大气相通，另一端高出罐体顶板，顶板上方安装一与溢流管同心的圆柱型盖帽，保证向液罐加注液时，能将液罐里的空气充分排出，且当满载消防车行驶过程中，液罐里的泡沫不会大量从排气管中溢出。排气管路尺寸1个DN65,排气管路高出罐顶。设有液位装置以显示液罐的储量(表设置在系统控制面板上),罐底部设置有排污装置，带不锈钢球阀配DN50内扣式接口，带涂黄色闷盖。喷涂黄色；</w:t>
            </w:r>
          </w:p>
          <w:p w14:paraId="54C5C29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4.3.2.6罐体具有极强防腐蚀能力，能保护罐体免被腐蚀；</w:t>
            </w:r>
          </w:p>
          <w:p w14:paraId="32CB1B3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4.3.2.7在距罐底30-50mm加装DN80注液分配管，并在管下部开椭圆孔，孔距120mm。</w:t>
            </w:r>
          </w:p>
          <w:p w14:paraId="6F2A2B6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4.3.4泡沫液泵及液路系统</w:t>
            </w:r>
          </w:p>
          <w:p w14:paraId="35904A6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4.3.4.1液泵具有抗泡沫液腐蚀的性能；耐空转时间≥10分钟；</w:t>
            </w:r>
          </w:p>
          <w:p w14:paraId="6E317B5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4.3.4.2液泵具有自吸功能，性能指标满足技术要求；</w:t>
            </w:r>
          </w:p>
          <w:p w14:paraId="78F4E66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4.3.4.3液路系统的所有管路和球阀等元件均采用不锈钢材质。</w:t>
            </w:r>
          </w:p>
          <w:p w14:paraId="45F373F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4.3.4.4液路系统</w:t>
            </w:r>
          </w:p>
          <w:p w14:paraId="59386DE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4.3.4.4.1联结外接水源可对泵、管路进行清洗；</w:t>
            </w:r>
          </w:p>
          <w:p w14:paraId="13BD5EB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4.3.4.4.2能通过泡沫泵将泡沫液桶内的泡沫液吸入本车或直接供给其它受液设备中；</w:t>
            </w:r>
          </w:p>
          <w:p w14:paraId="7EBBDB6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4.3.4.4.3能循环本车液罐中的泡沫液；</w:t>
            </w:r>
          </w:p>
          <w:p w14:paraId="3AF5CFC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4.3.4.4.4泡沫泵吸液口设在车辆侧面时，在车辆两侧均设吸液口并在吸液口处设立滤网；</w:t>
            </w:r>
          </w:p>
          <w:p w14:paraId="7A1F23D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4.3.4.4.5泡沫泵及管路最低处，设置放余液装置；</w:t>
            </w:r>
          </w:p>
          <w:p w14:paraId="2E40886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4.3.4.4.6泡沫泵的吸液管路设计与泵的流量匹配；</w:t>
            </w:r>
          </w:p>
          <w:p w14:paraId="742A678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4.3.4.4.7泡沫泵出液管等承压组件在承受最大工作压力值的1.5倍时，不出现渗漏和残余变形。</w:t>
            </w:r>
          </w:p>
          <w:p w14:paraId="1C9981E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4.4外观、上装</w:t>
            </w:r>
          </w:p>
          <w:p w14:paraId="5E685F2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4.4.1、装饰和喷漆</w:t>
            </w:r>
          </w:p>
          <w:p w14:paraId="538D4EE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4.4.1.1消防车车身的颜色应符合GB3181中规定的R03大红色。外观应光滑、平整、色泽均匀，不应有缺漆等缺陷；</w:t>
            </w:r>
          </w:p>
          <w:p w14:paraId="193C069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4.4.1.2防腐保护：驾驶室及上装均采用内涂层等进行防腐处理。</w:t>
            </w:r>
          </w:p>
          <w:p w14:paraId="6E21E02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4.4.2、泵房</w:t>
            </w:r>
          </w:p>
          <w:p w14:paraId="5B2C203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4.4.2.1总体要求空间利用率高、外形的美观、取放器材方便。在结构设计时，应遵循上轻、下重，常用在外等原则；</w:t>
            </w:r>
          </w:p>
          <w:p w14:paraId="7002212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4.4.2.2随车器材应按照轻、小的器材放置在器材箱上面，重、大的器材放置在下面，同类或相关的器材放在同一器材箱或邻近的器材箱的原则布置；</w:t>
            </w:r>
          </w:p>
          <w:p w14:paraId="155E5B6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4.4.2.3在车身外部、内部和厢体，凡操作者可能触及的任何部件、构件等都不应有任何使人致伤的尖锐突出物或锐利边缘。</w:t>
            </w:r>
          </w:p>
          <w:p w14:paraId="5340503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4.4.2.4供应商在泵房结构设计布置时需提前与采购单位联系，根据采购单位提供的装载器材种类及数量进行定位、定量设计器材箱结构，设计方案必须经采购单位同意后方可进行生产；</w:t>
            </w:r>
          </w:p>
          <w:p w14:paraId="7322903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4.4.2.5材质：铝合金型材及合金板材；</w:t>
            </w:r>
          </w:p>
          <w:p w14:paraId="28F66CF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4.4.2.6结构：泵房外骨架为优质铝合金型材，内骨架为铝合金型材，内装饰板及底板均为光面铝合金板；</w:t>
            </w:r>
          </w:p>
          <w:p w14:paraId="4B45B3C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4.4.2.7器材箱门：采用轻型优质铝合金，带铝合金大幅卷帘门，启闭灵活、密封性好、噪音低、外形美观、轻便可靠，所有卷帘门均可通用一把钥匙开启。每个器材厢内有照明灯，由卷帘门开闭控制并在驾驶室内有集中控制开关；设置行进途中器材箱门开启、车门开启声光自动报警装置；</w:t>
            </w:r>
          </w:p>
          <w:p w14:paraId="7AB7224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4.4.2.8内部结构：内骨架采用铝型材搭接技术，能根据客户要求灵活布局，最大限度地提高空间利用率，充分利用车厢内部有限空间；内饰板和底板均为光面铝合金板；</w:t>
            </w:r>
          </w:p>
          <w:p w14:paraId="7FDE2EC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4.4.2.9车厢顶部配备拉梯架固定架，进行防滑处理，积水自然下流。</w:t>
            </w:r>
          </w:p>
          <w:p w14:paraId="3FFC9AA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4.4.3脚踏板：防滑设计，安装有防碰撞警示灯，单个踏脚承载能力≥150kg。</w:t>
            </w:r>
          </w:p>
          <w:p w14:paraId="5E9EFF8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4.4.4警示照明系统</w:t>
            </w:r>
          </w:p>
          <w:p w14:paraId="014B790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4.4.4.1驾驶室顶部配备长排豪华警灯；</w:t>
            </w:r>
          </w:p>
          <w:p w14:paraId="4737ADA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4.4.4.2车辆后尾两侧下方设有安全标志灯及安全标识带，车身、尾部按标准粘贴反光标识；</w:t>
            </w:r>
          </w:p>
          <w:p w14:paraId="17F8625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4.4.4.3所有器材箱均安装LED照明灯，方便夜间作战照明之用。</w:t>
            </w:r>
          </w:p>
          <w:p w14:paraId="356D928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4.4.4.4警报器功率≥100W;警报器、警灯、频闪灯、电路为独立式附加电路，控制器件安装在驾驶室内；</w:t>
            </w:r>
          </w:p>
          <w:p w14:paraId="56B52B7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4.4.4.5所有线路均采用套管进行保护，并采用不同颜色区分线路连接形式、作用。在后器材箱附加电器操纵线路中，均采用线槽予以保护，并设有防震设施。</w:t>
            </w:r>
          </w:p>
          <w:p w14:paraId="475BDFE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4.5随车附件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1921"/>
              <w:gridCol w:w="2726"/>
              <w:gridCol w:w="1330"/>
            </w:tblGrid>
            <w:tr w14:paraId="2C67B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7EFBDA3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序号</w:t>
                  </w:r>
                </w:p>
              </w:tc>
              <w:tc>
                <w:tcPr>
                  <w:tcW w:w="2029" w:type="dxa"/>
                  <w:vAlign w:val="center"/>
                </w:tcPr>
                <w:p w14:paraId="3525D42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器材名称</w:t>
                  </w:r>
                </w:p>
              </w:tc>
              <w:tc>
                <w:tcPr>
                  <w:tcW w:w="2761" w:type="dxa"/>
                  <w:vAlign w:val="center"/>
                </w:tcPr>
                <w:p w14:paraId="45CDF06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规格型号</w:t>
                  </w:r>
                </w:p>
              </w:tc>
              <w:tc>
                <w:tcPr>
                  <w:tcW w:w="1395" w:type="dxa"/>
                  <w:vAlign w:val="center"/>
                </w:tcPr>
                <w:p w14:paraId="5062835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数量</w:t>
                  </w:r>
                </w:p>
              </w:tc>
            </w:tr>
            <w:tr w14:paraId="76A5E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425B08A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029" w:type="dxa"/>
                  <w:vAlign w:val="center"/>
                </w:tcPr>
                <w:p w14:paraId="60DB859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吸液胶管</w:t>
                  </w:r>
                </w:p>
              </w:tc>
              <w:tc>
                <w:tcPr>
                  <w:tcW w:w="2761" w:type="dxa"/>
                  <w:vAlign w:val="center"/>
                </w:tcPr>
                <w:p w14:paraId="723D74B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DN50×4000mm,DN65内扣式接口</w:t>
                  </w:r>
                </w:p>
              </w:tc>
              <w:tc>
                <w:tcPr>
                  <w:tcW w:w="1395" w:type="dxa"/>
                  <w:vAlign w:val="center"/>
                </w:tcPr>
                <w:p w14:paraId="2CF2FBF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4根</w:t>
                  </w:r>
                </w:p>
              </w:tc>
            </w:tr>
            <w:tr w14:paraId="1EA3C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4BA940A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029" w:type="dxa"/>
                  <w:vAlign w:val="center"/>
                </w:tcPr>
                <w:p w14:paraId="3442CB8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不锈钢吸液管</w:t>
                  </w:r>
                </w:p>
              </w:tc>
              <w:tc>
                <w:tcPr>
                  <w:tcW w:w="2761" w:type="dxa"/>
                  <w:vAlign w:val="center"/>
                </w:tcPr>
                <w:p w14:paraId="24ED6C8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DN50管径，DN65内扣式接口</w:t>
                  </w:r>
                </w:p>
              </w:tc>
              <w:tc>
                <w:tcPr>
                  <w:tcW w:w="1395" w:type="dxa"/>
                  <w:vAlign w:val="center"/>
                </w:tcPr>
                <w:p w14:paraId="36D64A9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4根</w:t>
                  </w:r>
                </w:p>
              </w:tc>
            </w:tr>
            <w:tr w14:paraId="35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70D0B86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029" w:type="dxa"/>
                  <w:vAlign w:val="center"/>
                </w:tcPr>
                <w:p w14:paraId="6EE87C3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吸液管</w:t>
                  </w:r>
                </w:p>
              </w:tc>
              <w:tc>
                <w:tcPr>
                  <w:tcW w:w="2761" w:type="dxa"/>
                  <w:vAlign w:val="center"/>
                </w:tcPr>
                <w:p w14:paraId="299F0D9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DN125×4000mm,内扣式</w:t>
                  </w:r>
                </w:p>
              </w:tc>
              <w:tc>
                <w:tcPr>
                  <w:tcW w:w="1395" w:type="dxa"/>
                  <w:vAlign w:val="center"/>
                </w:tcPr>
                <w:p w14:paraId="6976BFD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1根</w:t>
                  </w:r>
                </w:p>
              </w:tc>
            </w:tr>
            <w:tr w14:paraId="50514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41EE7E5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2029" w:type="dxa"/>
                  <w:vAlign w:val="center"/>
                </w:tcPr>
                <w:p w14:paraId="5B672C1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吸液管扳手</w:t>
                  </w:r>
                </w:p>
              </w:tc>
              <w:tc>
                <w:tcPr>
                  <w:tcW w:w="2761" w:type="dxa"/>
                  <w:vAlign w:val="center"/>
                </w:tcPr>
                <w:p w14:paraId="33337A2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DN65、DN125各一把</w:t>
                  </w:r>
                </w:p>
              </w:tc>
              <w:tc>
                <w:tcPr>
                  <w:tcW w:w="1395" w:type="dxa"/>
                  <w:vAlign w:val="center"/>
                </w:tcPr>
                <w:p w14:paraId="470D444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2把</w:t>
                  </w:r>
                </w:p>
              </w:tc>
            </w:tr>
            <w:tr w14:paraId="3B78F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64C2171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2029" w:type="dxa"/>
                  <w:vAlign w:val="center"/>
                </w:tcPr>
                <w:p w14:paraId="7C9BEC2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消防水带</w:t>
                  </w:r>
                </w:p>
              </w:tc>
              <w:tc>
                <w:tcPr>
                  <w:tcW w:w="2761" w:type="dxa"/>
                  <w:vAlign w:val="center"/>
                </w:tcPr>
                <w:p w14:paraId="70166A6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16-65-20、内扣式接口</w:t>
                  </w:r>
                </w:p>
              </w:tc>
              <w:tc>
                <w:tcPr>
                  <w:tcW w:w="1395" w:type="dxa"/>
                  <w:vAlign w:val="center"/>
                </w:tcPr>
                <w:p w14:paraId="565FE59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10盘</w:t>
                  </w:r>
                </w:p>
              </w:tc>
            </w:tr>
            <w:tr w14:paraId="21F6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4476371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2029" w:type="dxa"/>
                  <w:vAlign w:val="center"/>
                </w:tcPr>
                <w:p w14:paraId="3C002BE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护带桥</w:t>
                  </w:r>
                </w:p>
              </w:tc>
              <w:tc>
                <w:tcPr>
                  <w:tcW w:w="2761" w:type="dxa"/>
                  <w:vAlign w:val="center"/>
                </w:tcPr>
                <w:p w14:paraId="02FFD80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1395" w:type="dxa"/>
                  <w:vAlign w:val="center"/>
                </w:tcPr>
                <w:p w14:paraId="0DE9F92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2件</w:t>
                  </w:r>
                </w:p>
              </w:tc>
            </w:tr>
            <w:tr w14:paraId="4A3D9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11EC91A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2029" w:type="dxa"/>
                  <w:vAlign w:val="center"/>
                </w:tcPr>
                <w:p w14:paraId="6DBF7C6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异径接口</w:t>
                  </w:r>
                </w:p>
              </w:tc>
              <w:tc>
                <w:tcPr>
                  <w:tcW w:w="2761" w:type="dxa"/>
                  <w:vAlign w:val="center"/>
                </w:tcPr>
                <w:p w14:paraId="7AA5631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DN50内扣转DN65内扣</w:t>
                  </w:r>
                </w:p>
              </w:tc>
              <w:tc>
                <w:tcPr>
                  <w:tcW w:w="1395" w:type="dxa"/>
                  <w:vAlign w:val="center"/>
                </w:tcPr>
                <w:p w14:paraId="1852072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4个</w:t>
                  </w:r>
                </w:p>
              </w:tc>
            </w:tr>
            <w:tr w14:paraId="7A03C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5061533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2029" w:type="dxa"/>
                  <w:vAlign w:val="center"/>
                </w:tcPr>
                <w:p w14:paraId="2D98A7E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异径接口</w:t>
                  </w:r>
                </w:p>
              </w:tc>
              <w:tc>
                <w:tcPr>
                  <w:tcW w:w="2761" w:type="dxa"/>
                  <w:vAlign w:val="center"/>
                </w:tcPr>
                <w:p w14:paraId="1AC484D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DN65内扣转DN80内扣</w:t>
                  </w:r>
                </w:p>
              </w:tc>
              <w:tc>
                <w:tcPr>
                  <w:tcW w:w="1395" w:type="dxa"/>
                  <w:vAlign w:val="center"/>
                </w:tcPr>
                <w:p w14:paraId="5E905E1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4个</w:t>
                  </w:r>
                </w:p>
              </w:tc>
            </w:tr>
            <w:tr w14:paraId="28E7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2AF2D36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2029" w:type="dxa"/>
                  <w:vAlign w:val="center"/>
                </w:tcPr>
                <w:p w14:paraId="455CB4A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铁锹</w:t>
                  </w:r>
                </w:p>
              </w:tc>
              <w:tc>
                <w:tcPr>
                  <w:tcW w:w="2761" w:type="dxa"/>
                  <w:vAlign w:val="center"/>
                </w:tcPr>
                <w:p w14:paraId="3AF5982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PSXFQ-S503D</w:t>
                  </w:r>
                </w:p>
              </w:tc>
              <w:tc>
                <w:tcPr>
                  <w:tcW w:w="1395" w:type="dxa"/>
                  <w:vAlign w:val="center"/>
                </w:tcPr>
                <w:p w14:paraId="591987E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1把</w:t>
                  </w:r>
                </w:p>
              </w:tc>
            </w:tr>
            <w:tr w14:paraId="35DF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1FF4E7D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2029" w:type="dxa"/>
                  <w:vAlign w:val="center"/>
                </w:tcPr>
                <w:p w14:paraId="148ECBB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尖斧</w:t>
                  </w:r>
                </w:p>
              </w:tc>
              <w:tc>
                <w:tcPr>
                  <w:tcW w:w="2761" w:type="dxa"/>
                  <w:vAlign w:val="center"/>
                </w:tcPr>
                <w:p w14:paraId="6D78733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GFJ900F</w:t>
                  </w:r>
                </w:p>
              </w:tc>
              <w:tc>
                <w:tcPr>
                  <w:tcW w:w="1395" w:type="dxa"/>
                  <w:vAlign w:val="center"/>
                </w:tcPr>
                <w:p w14:paraId="43983CF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1把</w:t>
                  </w:r>
                </w:p>
              </w:tc>
            </w:tr>
            <w:tr w14:paraId="67E8C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573CD4A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w:t>
                  </w:r>
                </w:p>
              </w:tc>
              <w:tc>
                <w:tcPr>
                  <w:tcW w:w="2029" w:type="dxa"/>
                  <w:vAlign w:val="center"/>
                </w:tcPr>
                <w:p w14:paraId="29C32E3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丁字镐</w:t>
                  </w:r>
                </w:p>
              </w:tc>
              <w:tc>
                <w:tcPr>
                  <w:tcW w:w="2761" w:type="dxa"/>
                  <w:vAlign w:val="center"/>
                </w:tcPr>
                <w:p w14:paraId="59E1088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1395" w:type="dxa"/>
                  <w:vAlign w:val="center"/>
                </w:tcPr>
                <w:p w14:paraId="7846324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1支</w:t>
                  </w:r>
                </w:p>
              </w:tc>
            </w:tr>
            <w:tr w14:paraId="2E3BC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59C4311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c>
                <w:tcPr>
                  <w:tcW w:w="2029" w:type="dxa"/>
                  <w:vAlign w:val="center"/>
                </w:tcPr>
                <w:p w14:paraId="649324C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手提式干粉</w:t>
                  </w:r>
                </w:p>
                <w:p w14:paraId="2782A5F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灭火器</w:t>
                  </w:r>
                </w:p>
              </w:tc>
              <w:tc>
                <w:tcPr>
                  <w:tcW w:w="2761" w:type="dxa"/>
                  <w:vAlign w:val="center"/>
                </w:tcPr>
                <w:p w14:paraId="1CFB8CF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MFZ/ABC2</w:t>
                  </w:r>
                </w:p>
              </w:tc>
              <w:tc>
                <w:tcPr>
                  <w:tcW w:w="1395" w:type="dxa"/>
                  <w:vAlign w:val="center"/>
                </w:tcPr>
                <w:p w14:paraId="738990C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1具</w:t>
                  </w:r>
                </w:p>
              </w:tc>
            </w:tr>
            <w:tr w14:paraId="45E45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4B73113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p>
              </w:tc>
              <w:tc>
                <w:tcPr>
                  <w:tcW w:w="2029" w:type="dxa"/>
                  <w:vAlign w:val="center"/>
                </w:tcPr>
                <w:p w14:paraId="026BA8B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原车工具</w:t>
                  </w:r>
                </w:p>
              </w:tc>
              <w:tc>
                <w:tcPr>
                  <w:tcW w:w="2761" w:type="dxa"/>
                  <w:vAlign w:val="center"/>
                </w:tcPr>
                <w:p w14:paraId="2977FAE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1395" w:type="dxa"/>
                  <w:vAlign w:val="center"/>
                </w:tcPr>
                <w:p w14:paraId="7A6B31F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1套</w:t>
                  </w:r>
                </w:p>
              </w:tc>
            </w:tr>
            <w:tr w14:paraId="57044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2DFC9A9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14</w:t>
                  </w:r>
                </w:p>
              </w:tc>
              <w:tc>
                <w:tcPr>
                  <w:tcW w:w="2029" w:type="dxa"/>
                  <w:vAlign w:val="center"/>
                </w:tcPr>
                <w:p w14:paraId="1A6C257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水桶</w:t>
                  </w:r>
                </w:p>
              </w:tc>
              <w:tc>
                <w:tcPr>
                  <w:tcW w:w="2761" w:type="dxa"/>
                  <w:vAlign w:val="center"/>
                </w:tcPr>
                <w:p w14:paraId="06BD1C3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1395" w:type="dxa"/>
                  <w:vAlign w:val="center"/>
                </w:tcPr>
                <w:p w14:paraId="12D4763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2个</w:t>
                  </w:r>
                </w:p>
              </w:tc>
            </w:tr>
            <w:tr w14:paraId="19B5B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756FD26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w:t>
                  </w:r>
                </w:p>
              </w:tc>
              <w:tc>
                <w:tcPr>
                  <w:tcW w:w="2029" w:type="dxa"/>
                  <w:vAlign w:val="center"/>
                </w:tcPr>
                <w:p w14:paraId="21917B7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车用三角警告牌</w:t>
                  </w:r>
                </w:p>
              </w:tc>
              <w:tc>
                <w:tcPr>
                  <w:tcW w:w="2761" w:type="dxa"/>
                  <w:vAlign w:val="center"/>
                </w:tcPr>
                <w:p w14:paraId="190FEFA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GB19151-2003</w:t>
                  </w:r>
                </w:p>
              </w:tc>
              <w:tc>
                <w:tcPr>
                  <w:tcW w:w="1395" w:type="dxa"/>
                  <w:vAlign w:val="center"/>
                </w:tcPr>
                <w:p w14:paraId="033E2D9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1个</w:t>
                  </w:r>
                </w:p>
              </w:tc>
            </w:tr>
          </w:tbl>
          <w:p w14:paraId="3D07981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p>
        </w:tc>
        <w:tc>
          <w:tcPr>
            <w:tcW w:w="1675" w:type="dxa"/>
            <w:vAlign w:val="center"/>
          </w:tcPr>
          <w:p w14:paraId="18F13ED3">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b/>
                <w:bCs/>
                <w:i w:val="0"/>
                <w:iCs w:val="0"/>
                <w:color w:val="auto"/>
                <w:kern w:val="0"/>
                <w:sz w:val="24"/>
                <w:szCs w:val="24"/>
                <w:highlight w:val="none"/>
                <w:u w:val="none"/>
                <w:vertAlign w:val="baseline"/>
                <w:lang w:val="en-US" w:eastAsia="zh-CN" w:bidi="ar"/>
              </w:rPr>
            </w:pPr>
          </w:p>
        </w:tc>
        <w:tc>
          <w:tcPr>
            <w:tcW w:w="1735" w:type="dxa"/>
            <w:vAlign w:val="center"/>
          </w:tcPr>
          <w:p w14:paraId="0863189A">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b/>
                <w:bCs/>
                <w:i w:val="0"/>
                <w:iCs w:val="0"/>
                <w:color w:val="auto"/>
                <w:kern w:val="0"/>
                <w:sz w:val="24"/>
                <w:szCs w:val="24"/>
                <w:highlight w:val="none"/>
                <w:u w:val="none"/>
                <w:vertAlign w:val="baseline"/>
                <w:lang w:val="en-US" w:eastAsia="zh-CN" w:bidi="ar"/>
              </w:rPr>
            </w:pPr>
          </w:p>
        </w:tc>
      </w:tr>
    </w:tbl>
    <w:p w14:paraId="5F65BF4B">
      <w:pPr>
        <w:pStyle w:val="18"/>
        <w:keepNext w:val="0"/>
        <w:keepLines w:val="0"/>
        <w:pageBreakBefore w:val="0"/>
        <w:widowControl w:val="0"/>
        <w:shd w:val="clear" w:color="auto" w:fill="FFFFFF"/>
        <w:kinsoku/>
        <w:wordWrap/>
        <w:overflowPunct/>
        <w:topLinePunct w:val="0"/>
        <w:autoSpaceDE/>
        <w:autoSpaceDN/>
        <w:bidi w:val="0"/>
        <w:adjustRightInd w:val="0"/>
        <w:snapToGrid/>
        <w:spacing w:line="264" w:lineRule="auto"/>
        <w:ind w:left="0" w:leftChars="0" w:firstLine="0" w:firstLineChars="0"/>
        <w:jc w:val="both"/>
        <w:textAlignment w:val="auto"/>
        <w:rPr>
          <w:color w:val="auto"/>
          <w:highlight w:val="none"/>
        </w:rPr>
      </w:pPr>
    </w:p>
    <w:p w14:paraId="2C331F1C">
      <w:pPr>
        <w:pStyle w:val="7"/>
        <w:widowControl/>
        <w:shd w:val="clear" w:color="auto" w:fill="FFFFFF"/>
        <w:spacing w:before="0" w:beforeAutospacing="0" w:after="0" w:afterAutospacing="0" w:line="600" w:lineRule="exact"/>
        <w:textAlignment w:val="baseline"/>
        <w:rPr>
          <w:rFonts w:hint="eastAsia" w:ascii="仿宋" w:hAnsi="仿宋" w:eastAsia="仿宋" w:cs="仿宋"/>
          <w:b/>
          <w:color w:val="auto"/>
          <w:sz w:val="24"/>
          <w:szCs w:val="24"/>
          <w:shd w:val="clear" w:color="auto" w:fill="FFFFFF"/>
          <w:lang w:val="en-US" w:eastAsia="zh-CN"/>
        </w:rPr>
      </w:pPr>
      <w:r>
        <w:rPr>
          <w:rFonts w:hint="eastAsia" w:ascii="仿宋" w:hAnsi="仿宋" w:eastAsia="仿宋" w:cs="仿宋"/>
          <w:b/>
          <w:color w:val="auto"/>
          <w:sz w:val="24"/>
          <w:szCs w:val="24"/>
          <w:shd w:val="clear" w:color="auto" w:fill="FFFFFF"/>
          <w:lang w:val="en-US" w:eastAsia="zh-CN"/>
        </w:rPr>
        <w:t>（二）通信指挥车</w:t>
      </w:r>
    </w:p>
    <w:tbl>
      <w:tblPr>
        <w:tblStyle w:val="9"/>
        <w:tblW w:w="11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6900"/>
        <w:gridCol w:w="1689"/>
        <w:gridCol w:w="1716"/>
      </w:tblGrid>
      <w:tr w14:paraId="23B1B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22" w:type="dxa"/>
            <w:vAlign w:val="center"/>
          </w:tcPr>
          <w:p w14:paraId="55297705">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b/>
                <w:bCs/>
                <w:i w:val="0"/>
                <w:iCs w:val="0"/>
                <w:color w:val="auto"/>
                <w:kern w:val="0"/>
                <w:sz w:val="24"/>
                <w:szCs w:val="24"/>
                <w:highlight w:val="none"/>
                <w:u w:val="none"/>
                <w:vertAlign w:val="baseline"/>
                <w:lang w:val="en-US" w:eastAsia="zh-CN" w:bidi="ar"/>
              </w:rPr>
            </w:pPr>
            <w:r>
              <w:rPr>
                <w:rFonts w:hint="eastAsia" w:ascii="仿宋" w:hAnsi="仿宋" w:eastAsia="仿宋" w:cs="仿宋"/>
                <w:b/>
                <w:bCs/>
                <w:i w:val="0"/>
                <w:iCs w:val="0"/>
                <w:color w:val="auto"/>
                <w:kern w:val="0"/>
                <w:sz w:val="24"/>
                <w:szCs w:val="24"/>
                <w:highlight w:val="none"/>
                <w:u w:val="none"/>
                <w:vertAlign w:val="baseline"/>
                <w:lang w:val="en-US" w:eastAsia="zh-CN" w:bidi="ar"/>
              </w:rPr>
              <w:t>序号</w:t>
            </w:r>
          </w:p>
        </w:tc>
        <w:tc>
          <w:tcPr>
            <w:tcW w:w="6900" w:type="dxa"/>
            <w:vAlign w:val="center"/>
          </w:tcPr>
          <w:p w14:paraId="4A4AC16C">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b/>
                <w:bCs/>
                <w:i w:val="0"/>
                <w:iCs w:val="0"/>
                <w:color w:val="auto"/>
                <w:kern w:val="0"/>
                <w:sz w:val="24"/>
                <w:szCs w:val="24"/>
                <w:highlight w:val="none"/>
                <w:u w:val="none"/>
                <w:vertAlign w:val="baseline"/>
                <w:lang w:val="en-US" w:eastAsia="zh-CN" w:bidi="ar"/>
              </w:rPr>
            </w:pPr>
            <w:r>
              <w:rPr>
                <w:rFonts w:hint="eastAsia" w:ascii="仿宋" w:hAnsi="仿宋" w:eastAsia="仿宋" w:cs="仿宋"/>
                <w:b/>
                <w:bCs/>
                <w:i w:val="0"/>
                <w:iCs w:val="0"/>
                <w:color w:val="auto"/>
                <w:kern w:val="0"/>
                <w:sz w:val="24"/>
                <w:szCs w:val="24"/>
                <w:highlight w:val="none"/>
                <w:u w:val="none"/>
                <w:vertAlign w:val="baseline"/>
                <w:lang w:val="en-US" w:eastAsia="zh-CN" w:bidi="ar"/>
              </w:rPr>
              <w:t>技术参数要求</w:t>
            </w:r>
          </w:p>
        </w:tc>
        <w:tc>
          <w:tcPr>
            <w:tcW w:w="1689" w:type="dxa"/>
            <w:vAlign w:val="center"/>
          </w:tcPr>
          <w:p w14:paraId="4E49C6B8">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b/>
                <w:bCs/>
                <w:i w:val="0"/>
                <w:iCs w:val="0"/>
                <w:color w:val="auto"/>
                <w:kern w:val="0"/>
                <w:sz w:val="24"/>
                <w:szCs w:val="24"/>
                <w:highlight w:val="none"/>
                <w:u w:val="none"/>
                <w:vertAlign w:val="baseline"/>
                <w:lang w:val="en-US" w:eastAsia="zh-CN" w:bidi="ar"/>
              </w:rPr>
            </w:pPr>
            <w:r>
              <w:rPr>
                <w:rFonts w:hint="eastAsia" w:ascii="仿宋" w:hAnsi="仿宋" w:eastAsia="仿宋" w:cs="仿宋"/>
                <w:b/>
                <w:bCs/>
                <w:i w:val="0"/>
                <w:iCs w:val="0"/>
                <w:color w:val="auto"/>
                <w:kern w:val="0"/>
                <w:sz w:val="24"/>
                <w:szCs w:val="24"/>
                <w:highlight w:val="none"/>
                <w:u w:val="none"/>
                <w:vertAlign w:val="baseline"/>
                <w:lang w:val="en-US" w:eastAsia="zh-CN" w:bidi="ar"/>
              </w:rPr>
              <w:t>补充技术参数</w:t>
            </w:r>
          </w:p>
        </w:tc>
        <w:tc>
          <w:tcPr>
            <w:tcW w:w="1716" w:type="dxa"/>
            <w:vAlign w:val="center"/>
          </w:tcPr>
          <w:p w14:paraId="43453ACE">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b/>
                <w:bCs/>
                <w:i w:val="0"/>
                <w:iCs w:val="0"/>
                <w:color w:val="auto"/>
                <w:kern w:val="0"/>
                <w:sz w:val="24"/>
                <w:szCs w:val="24"/>
                <w:highlight w:val="none"/>
                <w:u w:val="none"/>
                <w:vertAlign w:val="baseline"/>
                <w:lang w:val="en-US" w:eastAsia="zh-CN" w:bidi="ar"/>
              </w:rPr>
            </w:pPr>
            <w:r>
              <w:rPr>
                <w:rFonts w:hint="eastAsia" w:ascii="仿宋" w:hAnsi="仿宋" w:eastAsia="仿宋" w:cs="仿宋"/>
                <w:b/>
                <w:bCs/>
                <w:i w:val="0"/>
                <w:iCs w:val="0"/>
                <w:color w:val="auto"/>
                <w:kern w:val="0"/>
                <w:sz w:val="24"/>
                <w:szCs w:val="24"/>
                <w:highlight w:val="none"/>
                <w:u w:val="none"/>
                <w:vertAlign w:val="baseline"/>
                <w:lang w:val="en-US" w:eastAsia="zh-CN" w:bidi="ar"/>
              </w:rPr>
              <w:t>修正意见</w:t>
            </w:r>
          </w:p>
        </w:tc>
      </w:tr>
      <w:tr w14:paraId="6192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22" w:type="dxa"/>
            <w:vAlign w:val="center"/>
          </w:tcPr>
          <w:p w14:paraId="3421C9C2">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b/>
                <w:bCs/>
                <w:i w:val="0"/>
                <w:iCs w:val="0"/>
                <w:color w:val="auto"/>
                <w:kern w:val="0"/>
                <w:sz w:val="24"/>
                <w:szCs w:val="24"/>
                <w:highlight w:val="none"/>
                <w:u w:val="none"/>
                <w:vertAlign w:val="baseline"/>
                <w:lang w:val="en-US" w:eastAsia="zh-CN" w:bidi="ar"/>
              </w:rPr>
            </w:pPr>
            <w:r>
              <w:rPr>
                <w:rFonts w:hint="eastAsia" w:ascii="仿宋" w:hAnsi="仿宋" w:eastAsia="仿宋" w:cs="仿宋"/>
                <w:b/>
                <w:bCs/>
                <w:i w:val="0"/>
                <w:iCs w:val="0"/>
                <w:color w:val="auto"/>
                <w:kern w:val="0"/>
                <w:sz w:val="24"/>
                <w:szCs w:val="24"/>
                <w:highlight w:val="none"/>
                <w:u w:val="none"/>
                <w:vertAlign w:val="baseline"/>
                <w:lang w:val="en-US" w:eastAsia="zh-CN" w:bidi="ar"/>
              </w:rPr>
              <w:t>1</w:t>
            </w:r>
          </w:p>
        </w:tc>
        <w:tc>
          <w:tcPr>
            <w:tcW w:w="6900" w:type="dxa"/>
            <w:vAlign w:val="center"/>
          </w:tcPr>
          <w:p w14:paraId="2E7F83EA">
            <w:pPr>
              <w:keepNext w:val="0"/>
              <w:keepLines w:val="0"/>
              <w:pageBreakBefore w:val="0"/>
              <w:widowControl/>
              <w:kinsoku/>
              <w:wordWrap/>
              <w:overflowPunct/>
              <w:topLinePunct w:val="0"/>
              <w:bidi w:val="0"/>
              <w:adjustRightInd w:val="0"/>
              <w:snapToGrid w:val="0"/>
              <w:spacing w:line="240" w:lineRule="auto"/>
              <w:ind w:left="0" w:leftChars="0" w:firstLine="0" w:firstLineChars="0"/>
              <w:jc w:val="left"/>
              <w:textAlignment w:val="auto"/>
              <w:outlineLvl w:val="2"/>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二、通信指挥车</w:t>
            </w:r>
          </w:p>
          <w:p w14:paraId="6BCBEF4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(一)货物名车：中巴车改装</w:t>
            </w:r>
          </w:p>
          <w:p w14:paraId="5CB0B1C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(二)载客量：20+1</w:t>
            </w:r>
          </w:p>
          <w:p w14:paraId="563F8AE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(三)数量：1(辆)</w:t>
            </w:r>
          </w:p>
          <w:p w14:paraId="0A19129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(四)主要技术规格、参数及要求</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2029"/>
              <w:gridCol w:w="3913"/>
            </w:tblGrid>
            <w:tr w14:paraId="31CF0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30AD32B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序号</w:t>
                  </w:r>
                </w:p>
              </w:tc>
              <w:tc>
                <w:tcPr>
                  <w:tcW w:w="2029" w:type="dxa"/>
                  <w:vAlign w:val="center"/>
                </w:tcPr>
                <w:p w14:paraId="6B4A567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项 目</w:t>
                  </w:r>
                </w:p>
              </w:tc>
              <w:tc>
                <w:tcPr>
                  <w:tcW w:w="3913" w:type="dxa"/>
                  <w:vAlign w:val="center"/>
                </w:tcPr>
                <w:p w14:paraId="5313DDB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配置要求</w:t>
                  </w:r>
                </w:p>
              </w:tc>
            </w:tr>
            <w:tr w14:paraId="2676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1873EFF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029" w:type="dxa"/>
                  <w:vMerge w:val="restart"/>
                  <w:vAlign w:val="center"/>
                </w:tcPr>
                <w:p w14:paraId="2F62B27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基本参数</w:t>
                  </w:r>
                </w:p>
              </w:tc>
              <w:tc>
                <w:tcPr>
                  <w:tcW w:w="3913" w:type="dxa"/>
                  <w:vAlign w:val="center"/>
                </w:tcPr>
                <w:p w14:paraId="23B0A76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▲7250*2300*3300≥外形尺寸(mm):7190*2250*3150</w:t>
                  </w:r>
                </w:p>
              </w:tc>
            </w:tr>
            <w:tr w14:paraId="45046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2E47A9E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029" w:type="dxa"/>
                  <w:vMerge w:val="continue"/>
                  <w:vAlign w:val="center"/>
                </w:tcPr>
                <w:p w14:paraId="09420A0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7F6A197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▲轴距(mm):≥3935</w:t>
                  </w:r>
                </w:p>
              </w:tc>
            </w:tr>
            <w:tr w14:paraId="0A74E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00284DA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029" w:type="dxa"/>
                  <w:vMerge w:val="continue"/>
                  <w:vAlign w:val="center"/>
                </w:tcPr>
                <w:p w14:paraId="05851DA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4549BF9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▲前/后悬长(mm):≥1190/2070</w:t>
                  </w:r>
                </w:p>
              </w:tc>
            </w:tr>
            <w:tr w14:paraId="7C2EE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25B19A7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2029" w:type="dxa"/>
                  <w:vMerge w:val="continue"/>
                  <w:vAlign w:val="center"/>
                </w:tcPr>
                <w:p w14:paraId="085AEA6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27FDDA2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▲车厢内高(mm):≥1890</w:t>
                  </w:r>
                </w:p>
              </w:tc>
            </w:tr>
            <w:tr w14:paraId="235B7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075B921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2029" w:type="dxa"/>
                  <w:vMerge w:val="continue"/>
                  <w:vAlign w:val="center"/>
                </w:tcPr>
                <w:p w14:paraId="5FF9448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6055C38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▲接近角/离去角(</w:t>
                  </w:r>
                  <w:r>
                    <w:rPr>
                      <w:rFonts w:hint="eastAsia" w:ascii="仿宋" w:hAnsi="仿宋" w:eastAsia="仿宋" w:cs="仿宋"/>
                      <w:color w:val="auto"/>
                      <w:sz w:val="24"/>
                      <w:szCs w:val="24"/>
                      <w:highlight w:val="none"/>
                      <w:vertAlign w:val="superscript"/>
                      <w:lang w:val="en-US" w:eastAsia="zh-CN"/>
                    </w:rPr>
                    <w:t>°</w:t>
                  </w:r>
                  <w:r>
                    <w:rPr>
                      <w:rFonts w:hint="eastAsia" w:ascii="仿宋" w:hAnsi="仿宋" w:eastAsia="仿宋" w:cs="仿宋"/>
                      <w:color w:val="auto"/>
                      <w:sz w:val="24"/>
                      <w:szCs w:val="24"/>
                      <w:highlight w:val="none"/>
                      <w:lang w:val="en-US" w:eastAsia="zh-CN"/>
                    </w:rPr>
                    <w:t>):≤25/14</w:t>
                  </w:r>
                </w:p>
              </w:tc>
            </w:tr>
            <w:tr w14:paraId="32459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3E04CD8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2029" w:type="dxa"/>
                  <w:vMerge w:val="continue"/>
                  <w:vAlign w:val="center"/>
                </w:tcPr>
                <w:p w14:paraId="37585C5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3F27209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制动距离(v=30km/h):≤10m</w:t>
                  </w:r>
                </w:p>
              </w:tc>
            </w:tr>
            <w:tr w14:paraId="29935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2BDDA16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2029" w:type="dxa"/>
                  <w:vMerge w:val="continue"/>
                  <w:vAlign w:val="center"/>
                </w:tcPr>
                <w:p w14:paraId="1B34565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63EC813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油箱容积：≥130L</w:t>
                  </w:r>
                </w:p>
              </w:tc>
            </w:tr>
            <w:tr w14:paraId="630F6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7E3B1D1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2029" w:type="dxa"/>
                  <w:vMerge w:val="continue"/>
                  <w:vAlign w:val="center"/>
                </w:tcPr>
                <w:p w14:paraId="2A3E246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1283BE1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最高车速(km/h):≥110</w:t>
                  </w:r>
                </w:p>
              </w:tc>
            </w:tr>
            <w:tr w14:paraId="07CD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1C688CF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2029" w:type="dxa"/>
                  <w:vMerge w:val="continue"/>
                  <w:vAlign w:val="center"/>
                </w:tcPr>
                <w:p w14:paraId="6E1DDC8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533F9FD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离地间隙(mm):≥200</w:t>
                  </w:r>
                </w:p>
              </w:tc>
            </w:tr>
            <w:tr w14:paraId="6EE8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6E09959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2029" w:type="dxa"/>
                  <w:vMerge w:val="restart"/>
                  <w:vAlign w:val="center"/>
                </w:tcPr>
                <w:p w14:paraId="4268F01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底盘配置</w:t>
                  </w:r>
                </w:p>
              </w:tc>
              <w:tc>
                <w:tcPr>
                  <w:tcW w:w="3913" w:type="dxa"/>
                  <w:vAlign w:val="center"/>
                </w:tcPr>
                <w:p w14:paraId="56484DA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▲发动机：排量≥2.97L,功率≥121kW</w:t>
                  </w:r>
                </w:p>
              </w:tc>
            </w:tr>
            <w:tr w14:paraId="445D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6AB46E8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w:t>
                  </w:r>
                </w:p>
              </w:tc>
              <w:tc>
                <w:tcPr>
                  <w:tcW w:w="2029" w:type="dxa"/>
                  <w:vMerge w:val="continue"/>
                  <w:vAlign w:val="center"/>
                </w:tcPr>
                <w:p w14:paraId="4B495CC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3FC57F3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燃料类型：柴油</w:t>
                  </w:r>
                </w:p>
              </w:tc>
            </w:tr>
            <w:tr w14:paraId="54732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0AA9591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c>
                <w:tcPr>
                  <w:tcW w:w="2029" w:type="dxa"/>
                  <w:vMerge w:val="continue"/>
                  <w:vAlign w:val="center"/>
                </w:tcPr>
                <w:p w14:paraId="79A0AFC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0A36C08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排放标准：国六</w:t>
                  </w:r>
                </w:p>
              </w:tc>
            </w:tr>
            <w:tr w14:paraId="387E0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03E6889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p>
              </w:tc>
              <w:tc>
                <w:tcPr>
                  <w:tcW w:w="2029" w:type="dxa"/>
                  <w:vMerge w:val="continue"/>
                  <w:vAlign w:val="center"/>
                </w:tcPr>
                <w:p w14:paraId="495EAE0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6D7589A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变速箱：国产8档高低速</w:t>
                  </w:r>
                </w:p>
              </w:tc>
            </w:tr>
            <w:tr w14:paraId="512F1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6A0EDD4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14</w:t>
                  </w:r>
                </w:p>
              </w:tc>
              <w:tc>
                <w:tcPr>
                  <w:tcW w:w="2029" w:type="dxa"/>
                  <w:vMerge w:val="continue"/>
                  <w:vAlign w:val="center"/>
                </w:tcPr>
                <w:p w14:paraId="5A3FDAB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6DB1978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悬架：少片簧</w:t>
                  </w:r>
                </w:p>
              </w:tc>
            </w:tr>
            <w:tr w14:paraId="659F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2D9B654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w:t>
                  </w:r>
                </w:p>
              </w:tc>
              <w:tc>
                <w:tcPr>
                  <w:tcW w:w="2029" w:type="dxa"/>
                  <w:vMerge w:val="continue"/>
                  <w:vAlign w:val="center"/>
                </w:tcPr>
                <w:p w14:paraId="77DA8E2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7805A2C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制动系统：前盘后盘制动器，电子稳定系统</w:t>
                  </w:r>
                </w:p>
              </w:tc>
            </w:tr>
            <w:tr w14:paraId="08898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03812D7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16</w:t>
                  </w:r>
                </w:p>
              </w:tc>
              <w:tc>
                <w:tcPr>
                  <w:tcW w:w="2029" w:type="dxa"/>
                  <w:vMerge w:val="continue"/>
                  <w:vAlign w:val="center"/>
                </w:tcPr>
                <w:p w14:paraId="2603239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03CB125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转向系统：液压助力转向</w:t>
                  </w:r>
                </w:p>
              </w:tc>
            </w:tr>
            <w:tr w14:paraId="4450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1FAE3F8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17</w:t>
                  </w:r>
                </w:p>
              </w:tc>
              <w:tc>
                <w:tcPr>
                  <w:tcW w:w="2029" w:type="dxa"/>
                  <w:vMerge w:val="continue"/>
                  <w:vAlign w:val="center"/>
                </w:tcPr>
                <w:p w14:paraId="5481228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5DD8384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▲轮胎：子午线真空胎或优于该轮胎</w:t>
                  </w:r>
                </w:p>
              </w:tc>
            </w:tr>
            <w:tr w14:paraId="4F189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44A4CEC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18</w:t>
                  </w:r>
                </w:p>
              </w:tc>
              <w:tc>
                <w:tcPr>
                  <w:tcW w:w="2029" w:type="dxa"/>
                  <w:vMerge w:val="continue"/>
                  <w:vAlign w:val="center"/>
                </w:tcPr>
                <w:p w14:paraId="4C7704A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2A2D3CD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其它：电涡流缓速器</w:t>
                  </w:r>
                </w:p>
              </w:tc>
            </w:tr>
            <w:tr w14:paraId="5F079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3A3A318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19</w:t>
                  </w:r>
                </w:p>
              </w:tc>
              <w:tc>
                <w:tcPr>
                  <w:tcW w:w="2029" w:type="dxa"/>
                  <w:vMerge w:val="restart"/>
                  <w:vAlign w:val="center"/>
                </w:tcPr>
                <w:p w14:paraId="557EC2F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车身配置</w:t>
                  </w:r>
                </w:p>
              </w:tc>
              <w:tc>
                <w:tcPr>
                  <w:tcW w:w="3913" w:type="dxa"/>
                  <w:vAlign w:val="center"/>
                </w:tcPr>
                <w:p w14:paraId="338EE9A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车身结构：半承载全金属车身</w:t>
                  </w:r>
                </w:p>
              </w:tc>
            </w:tr>
            <w:tr w14:paraId="7FEFF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6990731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w:t>
                  </w:r>
                </w:p>
              </w:tc>
              <w:tc>
                <w:tcPr>
                  <w:tcW w:w="2029" w:type="dxa"/>
                  <w:vMerge w:val="continue"/>
                  <w:vAlign w:val="center"/>
                </w:tcPr>
                <w:p w14:paraId="6C3370A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62C8BEB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车门及门泵：玻璃外摆门，司机门</w:t>
                  </w:r>
                </w:p>
              </w:tc>
            </w:tr>
            <w:tr w14:paraId="05936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279DEEE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21</w:t>
                  </w:r>
                </w:p>
              </w:tc>
              <w:tc>
                <w:tcPr>
                  <w:tcW w:w="2029" w:type="dxa"/>
                  <w:vMerge w:val="continue"/>
                  <w:vAlign w:val="center"/>
                </w:tcPr>
                <w:p w14:paraId="772A4FB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5D1701F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白色玻璃推拉司机窗，牡丹绿(含乘客门、后风挡玻璃):上封闭下铝合金推拉窗(倒数第一、二侧窗上铝合金推拉窗下封闭窗)</w:t>
                  </w:r>
                </w:p>
              </w:tc>
            </w:tr>
            <w:tr w14:paraId="4A5C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41758D4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22</w:t>
                  </w:r>
                </w:p>
              </w:tc>
              <w:tc>
                <w:tcPr>
                  <w:tcW w:w="2029" w:type="dxa"/>
                  <w:vMerge w:val="continue"/>
                  <w:vAlign w:val="center"/>
                </w:tcPr>
                <w:p w14:paraId="62F3794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18EDB62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内饰：商务灰内饰基调，分体式内行李架</w:t>
                  </w:r>
                </w:p>
              </w:tc>
            </w:tr>
            <w:tr w14:paraId="611F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1978BBA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23</w:t>
                  </w:r>
                </w:p>
              </w:tc>
              <w:tc>
                <w:tcPr>
                  <w:tcW w:w="2029" w:type="dxa"/>
                  <w:vMerge w:val="continue"/>
                  <w:vAlign w:val="center"/>
                </w:tcPr>
                <w:p w14:paraId="0BE45E8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1EB5969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▲空调系统：顶置空调，制冷量≥14000Kcal/h,优先采用整车所供产品</w:t>
                  </w:r>
                </w:p>
              </w:tc>
            </w:tr>
            <w:tr w14:paraId="6F05C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1FC2974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24</w:t>
                  </w:r>
                </w:p>
              </w:tc>
              <w:tc>
                <w:tcPr>
                  <w:tcW w:w="2029" w:type="dxa"/>
                  <w:vMerge w:val="continue"/>
                  <w:vAlign w:val="center"/>
                </w:tcPr>
                <w:p w14:paraId="66101C5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345B504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暖风系统：非独立燃油加热器+四壁挂散热器</w:t>
                  </w:r>
                </w:p>
              </w:tc>
            </w:tr>
            <w:tr w14:paraId="0F566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0299152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25</w:t>
                  </w:r>
                </w:p>
              </w:tc>
              <w:tc>
                <w:tcPr>
                  <w:tcW w:w="2029" w:type="dxa"/>
                  <w:vMerge w:val="continue"/>
                  <w:vAlign w:val="center"/>
                </w:tcPr>
                <w:p w14:paraId="780D20F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60589F8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除霜系统：大功率水暖除霜器(内外进风)</w:t>
                  </w:r>
                </w:p>
              </w:tc>
            </w:tr>
            <w:tr w14:paraId="4278E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3A62D77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26</w:t>
                  </w:r>
                </w:p>
              </w:tc>
              <w:tc>
                <w:tcPr>
                  <w:tcW w:w="2029" w:type="dxa"/>
                  <w:vMerge w:val="continue"/>
                  <w:vAlign w:val="center"/>
                </w:tcPr>
                <w:p w14:paraId="20FFB84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503DF09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灯具：整体式前大灯，分体式后尾灯，高位刹车灯</w:t>
                  </w:r>
                </w:p>
              </w:tc>
            </w:tr>
            <w:tr w14:paraId="6A2C3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66F70AE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27</w:t>
                  </w:r>
                </w:p>
              </w:tc>
              <w:tc>
                <w:tcPr>
                  <w:tcW w:w="2029" w:type="dxa"/>
                  <w:vMerge w:val="continue"/>
                  <w:vAlign w:val="center"/>
                </w:tcPr>
                <w:p w14:paraId="0AB1D78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4BF41C7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▲座椅：≥20+1座</w:t>
                  </w:r>
                </w:p>
              </w:tc>
            </w:tr>
            <w:tr w14:paraId="37AB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3D1DB58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28</w:t>
                  </w:r>
                </w:p>
              </w:tc>
              <w:tc>
                <w:tcPr>
                  <w:tcW w:w="2029" w:type="dxa"/>
                  <w:vMerge w:val="continue"/>
                  <w:vAlign w:val="center"/>
                </w:tcPr>
                <w:p w14:paraId="03D9510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16C003A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顶风窗：≥1个换气扇顶风窗</w:t>
                  </w:r>
                </w:p>
              </w:tc>
            </w:tr>
            <w:tr w14:paraId="5CF8B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049B488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29</w:t>
                  </w:r>
                </w:p>
              </w:tc>
              <w:tc>
                <w:tcPr>
                  <w:tcW w:w="2029" w:type="dxa"/>
                  <w:vMerge w:val="continue"/>
                  <w:vAlign w:val="center"/>
                </w:tcPr>
                <w:p w14:paraId="52F8A2B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64DA390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电子钟：有电子钟</w:t>
                  </w:r>
                </w:p>
              </w:tc>
            </w:tr>
            <w:tr w14:paraId="747D6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2648FB6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w:t>
                  </w:r>
                </w:p>
              </w:tc>
              <w:tc>
                <w:tcPr>
                  <w:tcW w:w="2029" w:type="dxa"/>
                  <w:vMerge w:val="continue"/>
                  <w:vAlign w:val="center"/>
                </w:tcPr>
                <w:p w14:paraId="00CFEB7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10F2697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倒车监视系统：单探头彩色监视器(倒车)</w:t>
                  </w:r>
                </w:p>
              </w:tc>
            </w:tr>
            <w:tr w14:paraId="29B0B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665B040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31</w:t>
                  </w:r>
                </w:p>
              </w:tc>
              <w:tc>
                <w:tcPr>
                  <w:tcW w:w="2029" w:type="dxa"/>
                  <w:vMerge w:val="continue"/>
                  <w:vAlign w:val="center"/>
                </w:tcPr>
                <w:p w14:paraId="458B1E8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1A90DCC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倒车雷达：有倒车雷达</w:t>
                  </w:r>
                </w:p>
              </w:tc>
            </w:tr>
            <w:tr w14:paraId="34EB0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3714EEC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32</w:t>
                  </w:r>
                </w:p>
              </w:tc>
              <w:tc>
                <w:tcPr>
                  <w:tcW w:w="2029" w:type="dxa"/>
                  <w:vMerge w:val="continue"/>
                  <w:vAlign w:val="center"/>
                </w:tcPr>
                <w:p w14:paraId="633CB89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6526B01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灭火器：≥2个2kg干粉灭火器</w:t>
                  </w:r>
                </w:p>
              </w:tc>
            </w:tr>
            <w:tr w14:paraId="1ACA2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57A0DF7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33</w:t>
                  </w:r>
                </w:p>
              </w:tc>
              <w:tc>
                <w:tcPr>
                  <w:tcW w:w="2029" w:type="dxa"/>
                  <w:vAlign w:val="center"/>
                </w:tcPr>
                <w:p w14:paraId="7738A8C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▲工艺要求</w:t>
                  </w:r>
                </w:p>
              </w:tc>
              <w:tc>
                <w:tcPr>
                  <w:tcW w:w="3913" w:type="dxa"/>
                  <w:vAlign w:val="center"/>
                </w:tcPr>
                <w:p w14:paraId="27C87FC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1、为保证投标产品喷涂效果始终如一，漆膜均匀，要求制造商拥有机器人全自动喷涂生产线工艺。(提供设备采购合同复印件加盖投标人公章)</w:t>
                  </w:r>
                </w:p>
                <w:p w14:paraId="737E5F7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2、制造商具有优良的阴极电泳防腐工艺、可保证车辆的防腐效果，采用进口整车阴极电泳防腐技术处理，保证8-10年防腐效果。(提供设备采购合同复印件加盖投标人公章)</w:t>
                  </w:r>
                </w:p>
                <w:p w14:paraId="056F097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3、为保证产品质量，制造商需具备完善的质量保证体系。焊接工艺先进，采用集中供气、二氧化碳气体保护焊，焊接质量牢固，焊接水平达到国际焊接质量体系标准ISO3834。(提供证明材料复印件加盖投标人公章)</w:t>
                  </w:r>
                </w:p>
                <w:p w14:paraId="7BB275F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4、制造商需注重产品性能的验证，建设功能齐全的整车试验场，保证车辆出厂验收质量，投标时提供试验场鉴定报告，以及制造商试验场地照片以及试验场地试验功能规划图。</w:t>
                  </w:r>
                </w:p>
              </w:tc>
            </w:tr>
            <w:tr w14:paraId="1DF71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4A38226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34</w:t>
                  </w:r>
                </w:p>
              </w:tc>
              <w:tc>
                <w:tcPr>
                  <w:tcW w:w="2029" w:type="dxa"/>
                  <w:vMerge w:val="restart"/>
                  <w:vAlign w:val="center"/>
                </w:tcPr>
                <w:p w14:paraId="1A15590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其他</w:t>
                  </w:r>
                </w:p>
              </w:tc>
              <w:tc>
                <w:tcPr>
                  <w:tcW w:w="3913" w:type="dxa"/>
                  <w:vAlign w:val="center"/>
                </w:tcPr>
                <w:p w14:paraId="417843B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车内供电系统：乘客座椅位置安装220V电源插座(带USB口),逆变器功率≥600W</w:t>
                  </w:r>
                </w:p>
              </w:tc>
            </w:tr>
            <w:tr w14:paraId="3E6BC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01E1468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35</w:t>
                  </w:r>
                </w:p>
              </w:tc>
              <w:tc>
                <w:tcPr>
                  <w:tcW w:w="2029" w:type="dxa"/>
                  <w:vMerge w:val="continue"/>
                  <w:vAlign w:val="center"/>
                </w:tcPr>
                <w:p w14:paraId="2C5B0E9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p>
              </w:tc>
              <w:tc>
                <w:tcPr>
                  <w:tcW w:w="3913" w:type="dxa"/>
                  <w:vAlign w:val="center"/>
                </w:tcPr>
                <w:p w14:paraId="519DF84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360环视系统：720P,256G内存，集成倒车监视</w:t>
                  </w:r>
                </w:p>
              </w:tc>
            </w:tr>
            <w:tr w14:paraId="081B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797EFA5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36</w:t>
                  </w:r>
                </w:p>
              </w:tc>
              <w:tc>
                <w:tcPr>
                  <w:tcW w:w="2029" w:type="dxa"/>
                  <w:vAlign w:val="center"/>
                </w:tcPr>
                <w:p w14:paraId="3EBA155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警示灯具</w:t>
                  </w:r>
                </w:p>
              </w:tc>
              <w:tc>
                <w:tcPr>
                  <w:tcW w:w="3913" w:type="dxa"/>
                  <w:vAlign w:val="center"/>
                </w:tcPr>
                <w:p w14:paraId="0DA772C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加装符合行业要求的警示灯具，警报器功率≥200W</w:t>
                  </w:r>
                </w:p>
              </w:tc>
            </w:tr>
            <w:tr w14:paraId="7D51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6027831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37</w:t>
                  </w:r>
                </w:p>
              </w:tc>
              <w:tc>
                <w:tcPr>
                  <w:tcW w:w="2029" w:type="dxa"/>
                  <w:vAlign w:val="center"/>
                </w:tcPr>
                <w:p w14:paraId="2876C85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数字集群 车载台</w:t>
                  </w:r>
                </w:p>
              </w:tc>
              <w:tc>
                <w:tcPr>
                  <w:tcW w:w="3913" w:type="dxa"/>
                  <w:vAlign w:val="center"/>
                </w:tcPr>
                <w:p w14:paraId="2FE7651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1、350MHZ数字集群车载台，配置吸盘天线</w:t>
                  </w:r>
                </w:p>
                <w:p w14:paraId="2655B21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2、信道容量≥1024</w:t>
                  </w:r>
                </w:p>
                <w:p w14:paraId="33C565C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3、区域容量≥64</w:t>
                  </w:r>
                </w:p>
                <w:p w14:paraId="23D18A2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4、信道间隔12.5kHz/20kHz/25kHz</w:t>
                  </w:r>
                </w:p>
                <w:p w14:paraId="31DD657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5、工作电压13.6V±15%</w:t>
                  </w:r>
                </w:p>
                <w:p w14:paraId="66B9119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6、频率稳定度±0.5ppm</w:t>
                  </w:r>
                </w:p>
                <w:p w14:paraId="52C90E9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7、天线阻抗50Ω"</w:t>
                  </w:r>
                </w:p>
              </w:tc>
            </w:tr>
            <w:tr w14:paraId="4C116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44F4C70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38</w:t>
                  </w:r>
                </w:p>
              </w:tc>
              <w:tc>
                <w:tcPr>
                  <w:tcW w:w="2029" w:type="dxa"/>
                  <w:vAlign w:val="center"/>
                </w:tcPr>
                <w:p w14:paraId="364D446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集群手台</w:t>
                  </w:r>
                </w:p>
              </w:tc>
              <w:tc>
                <w:tcPr>
                  <w:tcW w:w="3913" w:type="dxa"/>
                  <w:vAlign w:val="center"/>
                </w:tcPr>
                <w:p w14:paraId="4AD980C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频率范围UHF3:350-400MHz</w:t>
                  </w:r>
                </w:p>
                <w:p w14:paraId="237A28E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信道容量≥1024</w:t>
                  </w:r>
                </w:p>
                <w:p w14:paraId="5B424B9F">
                  <w:pPr>
                    <w:keepNext w:val="0"/>
                    <w:keepLines w:val="0"/>
                    <w:pageBreakBefore w:val="0"/>
                    <w:widowControl w:val="0"/>
                    <w:kinsoku/>
                    <w:wordWrap w:val="0"/>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区域容量≥64(每个区域最大64群组)"</w:t>
                  </w:r>
                </w:p>
              </w:tc>
            </w:tr>
            <w:tr w14:paraId="19EFC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8" w:type="dxa"/>
                  <w:vAlign w:val="center"/>
                </w:tcPr>
                <w:p w14:paraId="1B57EBD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39</w:t>
                  </w:r>
                </w:p>
              </w:tc>
              <w:tc>
                <w:tcPr>
                  <w:tcW w:w="2029" w:type="dxa"/>
                  <w:vAlign w:val="center"/>
                </w:tcPr>
                <w:p w14:paraId="35C2957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六联充</w:t>
                  </w:r>
                </w:p>
              </w:tc>
              <w:tc>
                <w:tcPr>
                  <w:tcW w:w="3913" w:type="dxa"/>
                  <w:vAlign w:val="center"/>
                </w:tcPr>
                <w:p w14:paraId="682F3C6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"可同时对6台机器或八块电池进行充电。</w:t>
                  </w:r>
                </w:p>
                <w:p w14:paraId="332C26C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具有正负极片短路保护功能；</w:t>
                  </w:r>
                </w:p>
                <w:p w14:paraId="7AA8E0E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充电极性反接保护功能；"</w:t>
                  </w:r>
                </w:p>
              </w:tc>
            </w:tr>
          </w:tbl>
          <w:p w14:paraId="0AA8EF4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仿宋" w:hAnsi="仿宋" w:eastAsia="仿宋" w:cs="仿宋"/>
                <w:color w:val="auto"/>
                <w:sz w:val="24"/>
                <w:szCs w:val="24"/>
                <w:highlight w:val="none"/>
                <w:lang w:val="en-US" w:eastAsia="zh-CN"/>
              </w:rPr>
            </w:pPr>
          </w:p>
        </w:tc>
        <w:tc>
          <w:tcPr>
            <w:tcW w:w="1689" w:type="dxa"/>
            <w:vAlign w:val="center"/>
          </w:tcPr>
          <w:p w14:paraId="229B5BA4">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b/>
                <w:bCs/>
                <w:i w:val="0"/>
                <w:iCs w:val="0"/>
                <w:color w:val="auto"/>
                <w:kern w:val="0"/>
                <w:sz w:val="24"/>
                <w:szCs w:val="24"/>
                <w:highlight w:val="none"/>
                <w:u w:val="none"/>
                <w:vertAlign w:val="baseline"/>
                <w:lang w:val="en-US" w:eastAsia="zh-CN" w:bidi="ar"/>
              </w:rPr>
            </w:pPr>
          </w:p>
        </w:tc>
        <w:tc>
          <w:tcPr>
            <w:tcW w:w="1716" w:type="dxa"/>
            <w:vAlign w:val="center"/>
          </w:tcPr>
          <w:p w14:paraId="2C60B2FF">
            <w:pPr>
              <w:pStyle w:val="18"/>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 w:hAnsi="仿宋" w:eastAsia="仿宋" w:cs="仿宋"/>
                <w:b/>
                <w:bCs/>
                <w:i w:val="0"/>
                <w:iCs w:val="0"/>
                <w:color w:val="auto"/>
                <w:kern w:val="0"/>
                <w:sz w:val="24"/>
                <w:szCs w:val="24"/>
                <w:highlight w:val="none"/>
                <w:u w:val="none"/>
                <w:vertAlign w:val="baseline"/>
                <w:lang w:val="en-US" w:eastAsia="zh-CN" w:bidi="ar"/>
              </w:rPr>
            </w:pPr>
          </w:p>
        </w:tc>
      </w:tr>
    </w:tbl>
    <w:p w14:paraId="2C44FBB5">
      <w:pPr>
        <w:rPr>
          <w:rFonts w:hint="eastAsia"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br w:type="page"/>
      </w:r>
    </w:p>
    <w:p w14:paraId="3DFD6397">
      <w:pPr>
        <w:spacing w:line="360" w:lineRule="auto"/>
        <w:rPr>
          <w:rFonts w:hint="eastAsia" w:ascii="仿宋" w:hAnsi="仿宋" w:eastAsia="仿宋" w:cs="仿宋"/>
          <w:b/>
          <w:color w:val="auto"/>
          <w:sz w:val="28"/>
          <w:szCs w:val="28"/>
          <w:shd w:val="clear" w:color="auto" w:fill="FFFFFF"/>
          <w:lang w:eastAsia="zh-CN"/>
        </w:rPr>
      </w:pPr>
      <w:r>
        <w:rPr>
          <w:rFonts w:hint="eastAsia" w:ascii="仿宋" w:hAnsi="仿宋" w:eastAsia="仿宋" w:cs="仿宋"/>
          <w:b/>
          <w:color w:val="auto"/>
          <w:sz w:val="28"/>
          <w:szCs w:val="28"/>
          <w:shd w:val="clear" w:color="auto" w:fill="FFFFFF"/>
          <w:lang w:eastAsia="zh-CN"/>
        </w:rPr>
        <w:t>三、评分细则</w:t>
      </w:r>
    </w:p>
    <w:tbl>
      <w:tblPr>
        <w:tblStyle w:val="8"/>
        <w:tblW w:w="1102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5" w:type="dxa"/>
          <w:left w:w="15" w:type="dxa"/>
          <w:bottom w:w="15" w:type="dxa"/>
          <w:right w:w="15" w:type="dxa"/>
        </w:tblCellMar>
      </w:tblPr>
      <w:tblGrid>
        <w:gridCol w:w="697"/>
        <w:gridCol w:w="1360"/>
        <w:gridCol w:w="1155"/>
        <w:gridCol w:w="6947"/>
        <w:gridCol w:w="868"/>
      </w:tblGrid>
      <w:tr w14:paraId="1C225E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80" w:hRule="atLeast"/>
          <w:jc w:val="center"/>
        </w:trPr>
        <w:tc>
          <w:tcPr>
            <w:tcW w:w="573" w:type="dxa"/>
            <w:noWrap/>
            <w:vAlign w:val="center"/>
          </w:tcPr>
          <w:p w14:paraId="767A92CF">
            <w:pPr>
              <w:widowControl/>
              <w:spacing w:line="360" w:lineRule="auto"/>
              <w:jc w:val="center"/>
              <w:textAlignment w:val="center"/>
              <w:rPr>
                <w:rFonts w:ascii="仿宋" w:hAnsi="仿宋" w:eastAsia="仿宋" w:cs="仿宋"/>
                <w:b/>
                <w:color w:val="auto"/>
                <w:sz w:val="24"/>
                <w:szCs w:val="24"/>
              </w:rPr>
            </w:pPr>
            <w:r>
              <w:rPr>
                <w:rFonts w:hint="eastAsia" w:ascii="仿宋" w:hAnsi="仿宋" w:eastAsia="仿宋" w:cs="仿宋"/>
                <w:b/>
                <w:color w:val="auto"/>
                <w:kern w:val="0"/>
                <w:sz w:val="24"/>
                <w:szCs w:val="24"/>
              </w:rPr>
              <w:t>序号</w:t>
            </w:r>
          </w:p>
        </w:tc>
        <w:tc>
          <w:tcPr>
            <w:tcW w:w="1119" w:type="dxa"/>
            <w:noWrap/>
            <w:vAlign w:val="center"/>
          </w:tcPr>
          <w:p w14:paraId="052EA705">
            <w:pPr>
              <w:widowControl/>
              <w:spacing w:line="360" w:lineRule="auto"/>
              <w:jc w:val="center"/>
              <w:textAlignment w:val="center"/>
              <w:rPr>
                <w:rFonts w:ascii="仿宋" w:hAnsi="仿宋" w:eastAsia="仿宋" w:cs="仿宋"/>
                <w:b/>
                <w:color w:val="auto"/>
                <w:sz w:val="24"/>
                <w:szCs w:val="24"/>
              </w:rPr>
            </w:pPr>
            <w:r>
              <w:rPr>
                <w:rFonts w:hint="eastAsia" w:ascii="仿宋" w:hAnsi="仿宋" w:eastAsia="仿宋" w:cs="仿宋"/>
                <w:b/>
                <w:color w:val="auto"/>
                <w:kern w:val="0"/>
                <w:sz w:val="24"/>
                <w:szCs w:val="24"/>
              </w:rPr>
              <w:t>评分项目</w:t>
            </w:r>
          </w:p>
        </w:tc>
        <w:tc>
          <w:tcPr>
            <w:tcW w:w="6665" w:type="dxa"/>
            <w:gridSpan w:val="2"/>
            <w:noWrap/>
            <w:vAlign w:val="center"/>
          </w:tcPr>
          <w:p w14:paraId="6CAA41B2">
            <w:pPr>
              <w:widowControl/>
              <w:spacing w:line="360" w:lineRule="auto"/>
              <w:jc w:val="center"/>
              <w:textAlignment w:val="center"/>
              <w:rPr>
                <w:rFonts w:ascii="仿宋" w:hAnsi="仿宋" w:eastAsia="仿宋" w:cs="仿宋"/>
                <w:b/>
                <w:color w:val="auto"/>
                <w:sz w:val="24"/>
                <w:szCs w:val="24"/>
              </w:rPr>
            </w:pPr>
            <w:r>
              <w:rPr>
                <w:rFonts w:hint="eastAsia" w:ascii="仿宋" w:hAnsi="仿宋" w:eastAsia="仿宋" w:cs="仿宋"/>
                <w:b/>
                <w:color w:val="auto"/>
                <w:kern w:val="0"/>
                <w:sz w:val="24"/>
                <w:szCs w:val="24"/>
              </w:rPr>
              <w:t>评审内容</w:t>
            </w:r>
          </w:p>
        </w:tc>
        <w:tc>
          <w:tcPr>
            <w:tcW w:w="714" w:type="dxa"/>
            <w:noWrap/>
            <w:vAlign w:val="center"/>
          </w:tcPr>
          <w:p w14:paraId="62A9FF84">
            <w:pPr>
              <w:widowControl/>
              <w:spacing w:line="360" w:lineRule="auto"/>
              <w:jc w:val="center"/>
              <w:textAlignment w:val="center"/>
              <w:rPr>
                <w:rFonts w:ascii="仿宋" w:hAnsi="仿宋" w:eastAsia="仿宋" w:cs="仿宋"/>
                <w:b/>
                <w:color w:val="auto"/>
                <w:sz w:val="24"/>
                <w:szCs w:val="24"/>
              </w:rPr>
            </w:pPr>
            <w:r>
              <w:rPr>
                <w:rFonts w:hint="eastAsia" w:ascii="仿宋" w:hAnsi="仿宋" w:eastAsia="仿宋" w:cs="仿宋"/>
                <w:b/>
                <w:color w:val="auto"/>
                <w:kern w:val="0"/>
                <w:sz w:val="24"/>
                <w:szCs w:val="24"/>
              </w:rPr>
              <w:t>分值</w:t>
            </w:r>
          </w:p>
        </w:tc>
      </w:tr>
      <w:tr w14:paraId="3E8C69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80" w:hRule="atLeast"/>
          <w:jc w:val="center"/>
        </w:trPr>
        <w:tc>
          <w:tcPr>
            <w:tcW w:w="573" w:type="dxa"/>
            <w:noWrap/>
            <w:vAlign w:val="center"/>
          </w:tcPr>
          <w:p w14:paraId="37E8ED93">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rPr>
              <w:t>1</w:t>
            </w:r>
          </w:p>
        </w:tc>
        <w:tc>
          <w:tcPr>
            <w:tcW w:w="1119" w:type="dxa"/>
            <w:noWrap/>
            <w:vAlign w:val="center"/>
          </w:tcPr>
          <w:p w14:paraId="7CBF23F9">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rPr>
              <w:t>价格部分（  分）</w:t>
            </w:r>
          </w:p>
        </w:tc>
        <w:tc>
          <w:tcPr>
            <w:tcW w:w="6665" w:type="dxa"/>
            <w:gridSpan w:val="2"/>
            <w:noWrap/>
            <w:vAlign w:val="center"/>
          </w:tcPr>
          <w:p w14:paraId="10950796">
            <w:pPr>
              <w:widowControl/>
              <w:spacing w:line="360" w:lineRule="auto"/>
              <w:ind w:firstLine="240" w:firstLineChars="100"/>
              <w:jc w:val="left"/>
              <w:textAlignment w:val="center"/>
              <w:rPr>
                <w:rFonts w:ascii="仿宋" w:hAnsi="仿宋" w:eastAsia="仿宋" w:cs="仿宋"/>
                <w:color w:val="auto"/>
                <w:sz w:val="24"/>
                <w:szCs w:val="24"/>
              </w:rPr>
            </w:pPr>
          </w:p>
        </w:tc>
        <w:tc>
          <w:tcPr>
            <w:tcW w:w="714" w:type="dxa"/>
            <w:noWrap/>
            <w:vAlign w:val="center"/>
          </w:tcPr>
          <w:p w14:paraId="545078E6">
            <w:pPr>
              <w:widowControl/>
              <w:spacing w:line="360" w:lineRule="auto"/>
              <w:jc w:val="center"/>
              <w:textAlignment w:val="center"/>
              <w:rPr>
                <w:rFonts w:ascii="仿宋" w:hAnsi="仿宋" w:eastAsia="仿宋" w:cs="仿宋"/>
                <w:color w:val="auto"/>
                <w:sz w:val="24"/>
                <w:szCs w:val="24"/>
              </w:rPr>
            </w:pPr>
          </w:p>
        </w:tc>
      </w:tr>
      <w:tr w14:paraId="42A88B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80" w:hRule="atLeast"/>
          <w:jc w:val="center"/>
        </w:trPr>
        <w:tc>
          <w:tcPr>
            <w:tcW w:w="573" w:type="dxa"/>
            <w:vMerge w:val="restart"/>
            <w:noWrap/>
            <w:vAlign w:val="center"/>
          </w:tcPr>
          <w:p w14:paraId="06480C4C">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rPr>
              <w:t>2</w:t>
            </w:r>
          </w:p>
        </w:tc>
        <w:tc>
          <w:tcPr>
            <w:tcW w:w="1119" w:type="dxa"/>
            <w:vMerge w:val="restart"/>
            <w:noWrap/>
            <w:vAlign w:val="center"/>
          </w:tcPr>
          <w:p w14:paraId="7C452C43">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rPr>
              <w:t>技术部分（  分）</w:t>
            </w:r>
          </w:p>
        </w:tc>
        <w:tc>
          <w:tcPr>
            <w:tcW w:w="950" w:type="dxa"/>
            <w:noWrap/>
            <w:vAlign w:val="center"/>
          </w:tcPr>
          <w:p w14:paraId="39F8E2AC">
            <w:pPr>
              <w:widowControl/>
              <w:spacing w:line="360" w:lineRule="auto"/>
              <w:jc w:val="center"/>
              <w:textAlignment w:val="center"/>
              <w:rPr>
                <w:rFonts w:ascii="仿宋" w:hAnsi="仿宋" w:eastAsia="仿宋" w:cs="仿宋"/>
                <w:color w:val="auto"/>
                <w:sz w:val="24"/>
                <w:szCs w:val="24"/>
              </w:rPr>
            </w:pPr>
          </w:p>
        </w:tc>
        <w:tc>
          <w:tcPr>
            <w:tcW w:w="5715" w:type="dxa"/>
            <w:noWrap/>
            <w:vAlign w:val="center"/>
          </w:tcPr>
          <w:p w14:paraId="2F6F66FE">
            <w:pPr>
              <w:widowControl/>
              <w:spacing w:line="360" w:lineRule="auto"/>
              <w:jc w:val="left"/>
              <w:textAlignment w:val="center"/>
              <w:rPr>
                <w:rFonts w:ascii="仿宋" w:hAnsi="仿宋" w:eastAsia="仿宋" w:cs="仿宋"/>
                <w:color w:val="auto"/>
                <w:sz w:val="24"/>
                <w:szCs w:val="24"/>
              </w:rPr>
            </w:pPr>
          </w:p>
        </w:tc>
        <w:tc>
          <w:tcPr>
            <w:tcW w:w="714" w:type="dxa"/>
            <w:noWrap/>
            <w:vAlign w:val="center"/>
          </w:tcPr>
          <w:p w14:paraId="2DADB15F">
            <w:pPr>
              <w:widowControl/>
              <w:spacing w:line="360" w:lineRule="auto"/>
              <w:jc w:val="center"/>
              <w:textAlignment w:val="center"/>
              <w:rPr>
                <w:rFonts w:ascii="仿宋" w:hAnsi="仿宋" w:eastAsia="仿宋" w:cs="仿宋"/>
                <w:color w:val="auto"/>
                <w:sz w:val="24"/>
                <w:szCs w:val="24"/>
              </w:rPr>
            </w:pPr>
          </w:p>
        </w:tc>
      </w:tr>
      <w:tr w14:paraId="68EEBF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80" w:hRule="atLeast"/>
          <w:jc w:val="center"/>
        </w:trPr>
        <w:tc>
          <w:tcPr>
            <w:tcW w:w="573" w:type="dxa"/>
            <w:vMerge w:val="continue"/>
            <w:noWrap/>
            <w:vAlign w:val="center"/>
          </w:tcPr>
          <w:p w14:paraId="08D97FC5">
            <w:pPr>
              <w:widowControl/>
              <w:spacing w:line="360" w:lineRule="auto"/>
              <w:jc w:val="center"/>
              <w:textAlignment w:val="center"/>
              <w:rPr>
                <w:rFonts w:ascii="仿宋" w:hAnsi="仿宋" w:eastAsia="仿宋" w:cs="仿宋"/>
                <w:color w:val="auto"/>
                <w:kern w:val="0"/>
                <w:sz w:val="24"/>
                <w:szCs w:val="24"/>
              </w:rPr>
            </w:pPr>
          </w:p>
        </w:tc>
        <w:tc>
          <w:tcPr>
            <w:tcW w:w="1119" w:type="dxa"/>
            <w:vMerge w:val="continue"/>
            <w:noWrap/>
            <w:vAlign w:val="center"/>
          </w:tcPr>
          <w:p w14:paraId="476C0EA0">
            <w:pPr>
              <w:widowControl/>
              <w:spacing w:line="360" w:lineRule="auto"/>
              <w:jc w:val="center"/>
              <w:textAlignment w:val="center"/>
              <w:rPr>
                <w:rFonts w:ascii="仿宋" w:hAnsi="仿宋" w:eastAsia="仿宋" w:cs="仿宋"/>
                <w:color w:val="auto"/>
                <w:kern w:val="0"/>
                <w:sz w:val="24"/>
                <w:szCs w:val="24"/>
              </w:rPr>
            </w:pPr>
          </w:p>
        </w:tc>
        <w:tc>
          <w:tcPr>
            <w:tcW w:w="950" w:type="dxa"/>
            <w:noWrap/>
            <w:vAlign w:val="center"/>
          </w:tcPr>
          <w:p w14:paraId="1BF8A214">
            <w:pPr>
              <w:spacing w:line="360" w:lineRule="auto"/>
              <w:jc w:val="center"/>
              <w:rPr>
                <w:rFonts w:ascii="仿宋" w:hAnsi="仿宋" w:eastAsia="仿宋" w:cs="仿宋"/>
                <w:color w:val="auto"/>
                <w:kern w:val="0"/>
                <w:sz w:val="24"/>
                <w:szCs w:val="24"/>
              </w:rPr>
            </w:pPr>
          </w:p>
        </w:tc>
        <w:tc>
          <w:tcPr>
            <w:tcW w:w="5715" w:type="dxa"/>
            <w:noWrap/>
            <w:vAlign w:val="center"/>
          </w:tcPr>
          <w:p w14:paraId="1E09893E">
            <w:pPr>
              <w:spacing w:line="360" w:lineRule="auto"/>
              <w:rPr>
                <w:rFonts w:ascii="仿宋" w:hAnsi="仿宋" w:eastAsia="仿宋" w:cs="仿宋"/>
                <w:color w:val="auto"/>
                <w:sz w:val="24"/>
                <w:szCs w:val="24"/>
              </w:rPr>
            </w:pPr>
          </w:p>
        </w:tc>
        <w:tc>
          <w:tcPr>
            <w:tcW w:w="714" w:type="dxa"/>
            <w:noWrap/>
            <w:vAlign w:val="center"/>
          </w:tcPr>
          <w:p w14:paraId="6EDF6577">
            <w:pPr>
              <w:widowControl/>
              <w:spacing w:line="360" w:lineRule="auto"/>
              <w:jc w:val="center"/>
              <w:textAlignment w:val="center"/>
              <w:rPr>
                <w:rFonts w:ascii="仿宋" w:hAnsi="仿宋" w:eastAsia="仿宋" w:cs="仿宋"/>
                <w:color w:val="auto"/>
                <w:kern w:val="0"/>
                <w:sz w:val="24"/>
                <w:szCs w:val="24"/>
              </w:rPr>
            </w:pPr>
          </w:p>
        </w:tc>
      </w:tr>
      <w:tr w14:paraId="361547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80" w:hRule="atLeast"/>
          <w:jc w:val="center"/>
        </w:trPr>
        <w:tc>
          <w:tcPr>
            <w:tcW w:w="573" w:type="dxa"/>
            <w:vMerge w:val="continue"/>
            <w:noWrap/>
            <w:vAlign w:val="center"/>
          </w:tcPr>
          <w:p w14:paraId="001C2F2F">
            <w:pPr>
              <w:widowControl/>
              <w:spacing w:line="360" w:lineRule="auto"/>
              <w:jc w:val="center"/>
              <w:textAlignment w:val="center"/>
              <w:rPr>
                <w:rFonts w:ascii="仿宋" w:hAnsi="仿宋" w:eastAsia="仿宋" w:cs="仿宋"/>
                <w:color w:val="auto"/>
                <w:kern w:val="0"/>
                <w:sz w:val="24"/>
                <w:szCs w:val="24"/>
              </w:rPr>
            </w:pPr>
          </w:p>
        </w:tc>
        <w:tc>
          <w:tcPr>
            <w:tcW w:w="1119" w:type="dxa"/>
            <w:vMerge w:val="continue"/>
            <w:noWrap/>
            <w:vAlign w:val="center"/>
          </w:tcPr>
          <w:p w14:paraId="261508F5">
            <w:pPr>
              <w:widowControl/>
              <w:spacing w:line="360" w:lineRule="auto"/>
              <w:jc w:val="center"/>
              <w:textAlignment w:val="center"/>
              <w:rPr>
                <w:rFonts w:ascii="仿宋" w:hAnsi="仿宋" w:eastAsia="仿宋" w:cs="仿宋"/>
                <w:color w:val="auto"/>
                <w:kern w:val="0"/>
                <w:sz w:val="24"/>
                <w:szCs w:val="24"/>
              </w:rPr>
            </w:pPr>
          </w:p>
        </w:tc>
        <w:tc>
          <w:tcPr>
            <w:tcW w:w="950" w:type="dxa"/>
            <w:noWrap/>
            <w:vAlign w:val="center"/>
          </w:tcPr>
          <w:p w14:paraId="688EEC9E">
            <w:pPr>
              <w:spacing w:line="360" w:lineRule="auto"/>
              <w:jc w:val="center"/>
              <w:rPr>
                <w:rFonts w:ascii="仿宋" w:hAnsi="仿宋" w:eastAsia="仿宋" w:cs="仿宋"/>
                <w:color w:val="auto"/>
                <w:kern w:val="0"/>
                <w:sz w:val="24"/>
                <w:szCs w:val="24"/>
              </w:rPr>
            </w:pPr>
          </w:p>
        </w:tc>
        <w:tc>
          <w:tcPr>
            <w:tcW w:w="5715" w:type="dxa"/>
            <w:noWrap/>
            <w:vAlign w:val="center"/>
          </w:tcPr>
          <w:p w14:paraId="68729E79">
            <w:pPr>
              <w:spacing w:line="360" w:lineRule="auto"/>
              <w:rPr>
                <w:rFonts w:ascii="仿宋" w:hAnsi="仿宋" w:eastAsia="仿宋" w:cs="仿宋"/>
                <w:color w:val="auto"/>
                <w:sz w:val="24"/>
                <w:szCs w:val="24"/>
              </w:rPr>
            </w:pPr>
          </w:p>
        </w:tc>
        <w:tc>
          <w:tcPr>
            <w:tcW w:w="714" w:type="dxa"/>
            <w:noWrap/>
            <w:vAlign w:val="center"/>
          </w:tcPr>
          <w:p w14:paraId="7844FE11">
            <w:pPr>
              <w:widowControl/>
              <w:spacing w:line="360" w:lineRule="auto"/>
              <w:jc w:val="center"/>
              <w:textAlignment w:val="center"/>
              <w:rPr>
                <w:rFonts w:ascii="仿宋" w:hAnsi="仿宋" w:eastAsia="仿宋" w:cs="仿宋"/>
                <w:color w:val="auto"/>
                <w:kern w:val="0"/>
                <w:sz w:val="24"/>
                <w:szCs w:val="24"/>
              </w:rPr>
            </w:pPr>
          </w:p>
        </w:tc>
      </w:tr>
      <w:tr w14:paraId="38A182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80" w:hRule="atLeast"/>
          <w:jc w:val="center"/>
        </w:trPr>
        <w:tc>
          <w:tcPr>
            <w:tcW w:w="573" w:type="dxa"/>
            <w:vMerge w:val="continue"/>
            <w:noWrap/>
            <w:vAlign w:val="center"/>
          </w:tcPr>
          <w:p w14:paraId="138AAE95">
            <w:pPr>
              <w:widowControl/>
              <w:spacing w:line="360" w:lineRule="auto"/>
              <w:jc w:val="center"/>
              <w:textAlignment w:val="center"/>
              <w:rPr>
                <w:rFonts w:ascii="仿宋" w:hAnsi="仿宋" w:eastAsia="仿宋" w:cs="仿宋"/>
                <w:color w:val="auto"/>
                <w:kern w:val="0"/>
                <w:sz w:val="24"/>
                <w:szCs w:val="24"/>
              </w:rPr>
            </w:pPr>
          </w:p>
        </w:tc>
        <w:tc>
          <w:tcPr>
            <w:tcW w:w="1119" w:type="dxa"/>
            <w:vMerge w:val="continue"/>
            <w:noWrap/>
            <w:vAlign w:val="center"/>
          </w:tcPr>
          <w:p w14:paraId="609C2884">
            <w:pPr>
              <w:widowControl/>
              <w:spacing w:line="360" w:lineRule="auto"/>
              <w:jc w:val="center"/>
              <w:textAlignment w:val="center"/>
              <w:rPr>
                <w:rFonts w:ascii="仿宋" w:hAnsi="仿宋" w:eastAsia="仿宋" w:cs="仿宋"/>
                <w:color w:val="auto"/>
                <w:kern w:val="0"/>
                <w:sz w:val="24"/>
                <w:szCs w:val="24"/>
              </w:rPr>
            </w:pPr>
          </w:p>
        </w:tc>
        <w:tc>
          <w:tcPr>
            <w:tcW w:w="950" w:type="dxa"/>
            <w:noWrap/>
            <w:vAlign w:val="center"/>
          </w:tcPr>
          <w:p w14:paraId="132325A8">
            <w:pPr>
              <w:widowControl/>
              <w:spacing w:line="360" w:lineRule="auto"/>
              <w:jc w:val="center"/>
              <w:textAlignment w:val="center"/>
              <w:rPr>
                <w:rFonts w:ascii="仿宋" w:hAnsi="仿宋" w:eastAsia="仿宋" w:cs="仿宋"/>
                <w:color w:val="auto"/>
                <w:kern w:val="0"/>
                <w:sz w:val="24"/>
                <w:szCs w:val="24"/>
              </w:rPr>
            </w:pPr>
          </w:p>
        </w:tc>
        <w:tc>
          <w:tcPr>
            <w:tcW w:w="5715" w:type="dxa"/>
            <w:noWrap/>
            <w:vAlign w:val="center"/>
          </w:tcPr>
          <w:p w14:paraId="4D23AD8B">
            <w:pPr>
              <w:widowControl/>
              <w:spacing w:line="360" w:lineRule="auto"/>
              <w:textAlignment w:val="center"/>
              <w:rPr>
                <w:rFonts w:ascii="仿宋" w:hAnsi="仿宋" w:eastAsia="仿宋" w:cs="仿宋"/>
                <w:color w:val="auto"/>
                <w:sz w:val="24"/>
                <w:szCs w:val="24"/>
              </w:rPr>
            </w:pPr>
          </w:p>
        </w:tc>
        <w:tc>
          <w:tcPr>
            <w:tcW w:w="714" w:type="dxa"/>
            <w:noWrap/>
            <w:vAlign w:val="center"/>
          </w:tcPr>
          <w:p w14:paraId="2C629506">
            <w:pPr>
              <w:widowControl/>
              <w:spacing w:line="360" w:lineRule="auto"/>
              <w:ind w:firstLine="240" w:firstLineChars="100"/>
              <w:textAlignment w:val="center"/>
              <w:rPr>
                <w:rFonts w:ascii="仿宋" w:hAnsi="仿宋" w:eastAsia="仿宋" w:cs="仿宋"/>
                <w:color w:val="auto"/>
                <w:kern w:val="0"/>
                <w:sz w:val="24"/>
                <w:szCs w:val="24"/>
              </w:rPr>
            </w:pPr>
          </w:p>
        </w:tc>
      </w:tr>
      <w:tr w14:paraId="3413D7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80" w:hRule="atLeast"/>
          <w:jc w:val="center"/>
        </w:trPr>
        <w:tc>
          <w:tcPr>
            <w:tcW w:w="573" w:type="dxa"/>
            <w:vMerge w:val="continue"/>
            <w:noWrap/>
            <w:vAlign w:val="center"/>
          </w:tcPr>
          <w:p w14:paraId="73A9FC00">
            <w:pPr>
              <w:widowControl/>
              <w:spacing w:line="360" w:lineRule="auto"/>
              <w:jc w:val="center"/>
              <w:textAlignment w:val="center"/>
              <w:rPr>
                <w:rFonts w:ascii="仿宋" w:hAnsi="仿宋" w:eastAsia="仿宋" w:cs="仿宋"/>
                <w:color w:val="auto"/>
                <w:kern w:val="0"/>
                <w:sz w:val="24"/>
                <w:szCs w:val="24"/>
              </w:rPr>
            </w:pPr>
          </w:p>
        </w:tc>
        <w:tc>
          <w:tcPr>
            <w:tcW w:w="1119" w:type="dxa"/>
            <w:vMerge w:val="continue"/>
            <w:noWrap/>
            <w:vAlign w:val="center"/>
          </w:tcPr>
          <w:p w14:paraId="62E8A97F">
            <w:pPr>
              <w:widowControl/>
              <w:spacing w:line="360" w:lineRule="auto"/>
              <w:jc w:val="center"/>
              <w:textAlignment w:val="center"/>
              <w:rPr>
                <w:rFonts w:ascii="仿宋" w:hAnsi="仿宋" w:eastAsia="仿宋" w:cs="仿宋"/>
                <w:color w:val="auto"/>
                <w:kern w:val="0"/>
                <w:sz w:val="24"/>
                <w:szCs w:val="24"/>
              </w:rPr>
            </w:pPr>
          </w:p>
        </w:tc>
        <w:tc>
          <w:tcPr>
            <w:tcW w:w="950" w:type="dxa"/>
            <w:noWrap/>
            <w:vAlign w:val="center"/>
          </w:tcPr>
          <w:p w14:paraId="2E3DDAF9">
            <w:pPr>
              <w:spacing w:line="360" w:lineRule="auto"/>
              <w:jc w:val="center"/>
              <w:rPr>
                <w:rFonts w:ascii="仿宋" w:hAnsi="仿宋" w:eastAsia="仿宋" w:cs="仿宋"/>
                <w:color w:val="auto"/>
                <w:sz w:val="24"/>
                <w:szCs w:val="24"/>
              </w:rPr>
            </w:pPr>
          </w:p>
        </w:tc>
        <w:tc>
          <w:tcPr>
            <w:tcW w:w="5715" w:type="dxa"/>
            <w:noWrap/>
            <w:vAlign w:val="center"/>
          </w:tcPr>
          <w:p w14:paraId="07C5959E">
            <w:pPr>
              <w:spacing w:line="360" w:lineRule="auto"/>
              <w:rPr>
                <w:rFonts w:ascii="仿宋" w:hAnsi="仿宋" w:eastAsia="仿宋" w:cs="仿宋"/>
                <w:b/>
                <w:bCs/>
                <w:color w:val="auto"/>
                <w:sz w:val="24"/>
                <w:szCs w:val="24"/>
              </w:rPr>
            </w:pPr>
          </w:p>
        </w:tc>
        <w:tc>
          <w:tcPr>
            <w:tcW w:w="714" w:type="dxa"/>
            <w:noWrap/>
            <w:vAlign w:val="center"/>
          </w:tcPr>
          <w:p w14:paraId="3DD338D7">
            <w:pPr>
              <w:widowControl/>
              <w:spacing w:line="360" w:lineRule="auto"/>
              <w:ind w:firstLine="240" w:firstLineChars="100"/>
              <w:textAlignment w:val="center"/>
              <w:rPr>
                <w:rFonts w:ascii="仿宋" w:hAnsi="仿宋" w:eastAsia="仿宋" w:cs="仿宋"/>
                <w:color w:val="auto"/>
                <w:kern w:val="0"/>
                <w:sz w:val="24"/>
                <w:szCs w:val="24"/>
              </w:rPr>
            </w:pPr>
          </w:p>
        </w:tc>
      </w:tr>
      <w:tr w14:paraId="534C10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80" w:hRule="atLeast"/>
          <w:jc w:val="center"/>
        </w:trPr>
        <w:tc>
          <w:tcPr>
            <w:tcW w:w="573" w:type="dxa"/>
            <w:vMerge w:val="restart"/>
            <w:noWrap/>
            <w:vAlign w:val="center"/>
          </w:tcPr>
          <w:p w14:paraId="261236C8">
            <w:pPr>
              <w:widowControl/>
              <w:spacing w:line="360" w:lineRule="auto"/>
              <w:ind w:firstLine="240" w:firstLineChars="100"/>
              <w:jc w:val="left"/>
              <w:textAlignment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3</w:t>
            </w:r>
          </w:p>
        </w:tc>
        <w:tc>
          <w:tcPr>
            <w:tcW w:w="1119" w:type="dxa"/>
            <w:vMerge w:val="restart"/>
            <w:noWrap/>
            <w:vAlign w:val="center"/>
          </w:tcPr>
          <w:p w14:paraId="3790688F">
            <w:pPr>
              <w:widowControl/>
              <w:spacing w:line="360" w:lineRule="auto"/>
              <w:jc w:val="left"/>
              <w:textAlignment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商务部分（  分）</w:t>
            </w:r>
          </w:p>
        </w:tc>
        <w:tc>
          <w:tcPr>
            <w:tcW w:w="950" w:type="dxa"/>
            <w:noWrap/>
          </w:tcPr>
          <w:p w14:paraId="7D117AE6">
            <w:pPr>
              <w:spacing w:line="320" w:lineRule="exact"/>
              <w:rPr>
                <w:rFonts w:ascii="仿宋" w:hAnsi="仿宋" w:eastAsia="仿宋" w:cs="仿宋"/>
                <w:color w:val="auto"/>
                <w:sz w:val="24"/>
                <w:szCs w:val="24"/>
              </w:rPr>
            </w:pPr>
          </w:p>
        </w:tc>
        <w:tc>
          <w:tcPr>
            <w:tcW w:w="5715" w:type="dxa"/>
            <w:noWrap/>
          </w:tcPr>
          <w:p w14:paraId="28D6ECED">
            <w:pPr>
              <w:spacing w:line="360" w:lineRule="auto"/>
              <w:rPr>
                <w:rFonts w:ascii="仿宋" w:hAnsi="仿宋" w:eastAsia="仿宋" w:cs="仿宋"/>
                <w:b/>
                <w:bCs/>
                <w:color w:val="auto"/>
                <w:sz w:val="24"/>
                <w:szCs w:val="24"/>
              </w:rPr>
            </w:pPr>
          </w:p>
        </w:tc>
        <w:tc>
          <w:tcPr>
            <w:tcW w:w="714" w:type="dxa"/>
            <w:noWrap/>
            <w:vAlign w:val="center"/>
          </w:tcPr>
          <w:p w14:paraId="3EBA9F1A">
            <w:pPr>
              <w:widowControl/>
              <w:spacing w:line="360" w:lineRule="auto"/>
              <w:ind w:firstLine="240" w:firstLineChars="100"/>
              <w:jc w:val="left"/>
              <w:textAlignment w:val="center"/>
              <w:rPr>
                <w:rFonts w:ascii="仿宋" w:hAnsi="仿宋" w:eastAsia="仿宋" w:cs="仿宋"/>
                <w:color w:val="auto"/>
                <w:kern w:val="0"/>
                <w:sz w:val="24"/>
                <w:szCs w:val="24"/>
              </w:rPr>
            </w:pPr>
          </w:p>
        </w:tc>
      </w:tr>
      <w:tr w14:paraId="4C32B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80" w:hRule="atLeast"/>
          <w:jc w:val="center"/>
        </w:trPr>
        <w:tc>
          <w:tcPr>
            <w:tcW w:w="573" w:type="dxa"/>
            <w:vMerge w:val="continue"/>
            <w:noWrap/>
            <w:vAlign w:val="center"/>
          </w:tcPr>
          <w:p w14:paraId="3CD17D32">
            <w:pPr>
              <w:widowControl/>
              <w:spacing w:line="360" w:lineRule="auto"/>
              <w:ind w:firstLine="240" w:firstLineChars="100"/>
              <w:jc w:val="left"/>
              <w:textAlignment w:val="center"/>
              <w:rPr>
                <w:rFonts w:ascii="仿宋" w:hAnsi="仿宋" w:eastAsia="仿宋" w:cs="仿宋"/>
                <w:color w:val="auto"/>
                <w:kern w:val="0"/>
                <w:sz w:val="24"/>
                <w:szCs w:val="24"/>
              </w:rPr>
            </w:pPr>
          </w:p>
        </w:tc>
        <w:tc>
          <w:tcPr>
            <w:tcW w:w="1119" w:type="dxa"/>
            <w:vMerge w:val="continue"/>
            <w:noWrap/>
            <w:vAlign w:val="center"/>
          </w:tcPr>
          <w:p w14:paraId="2C61EBB3">
            <w:pPr>
              <w:widowControl/>
              <w:spacing w:line="360" w:lineRule="auto"/>
              <w:jc w:val="left"/>
              <w:textAlignment w:val="center"/>
              <w:rPr>
                <w:rFonts w:ascii="仿宋" w:hAnsi="仿宋" w:eastAsia="仿宋" w:cs="仿宋"/>
                <w:color w:val="auto"/>
                <w:kern w:val="0"/>
                <w:sz w:val="24"/>
                <w:szCs w:val="24"/>
              </w:rPr>
            </w:pPr>
          </w:p>
        </w:tc>
        <w:tc>
          <w:tcPr>
            <w:tcW w:w="950" w:type="dxa"/>
            <w:noWrap/>
          </w:tcPr>
          <w:p w14:paraId="532569F3">
            <w:pPr>
              <w:spacing w:line="320" w:lineRule="exact"/>
              <w:rPr>
                <w:rFonts w:ascii="仿宋" w:hAnsi="仿宋" w:eastAsia="仿宋" w:cs="仿宋"/>
                <w:bCs/>
                <w:color w:val="auto"/>
                <w:sz w:val="24"/>
                <w:szCs w:val="24"/>
              </w:rPr>
            </w:pPr>
          </w:p>
        </w:tc>
        <w:tc>
          <w:tcPr>
            <w:tcW w:w="5715" w:type="dxa"/>
            <w:noWrap/>
          </w:tcPr>
          <w:p w14:paraId="753CC68F">
            <w:pPr>
              <w:widowControl/>
              <w:spacing w:line="360" w:lineRule="auto"/>
              <w:jc w:val="left"/>
              <w:rPr>
                <w:rFonts w:ascii="仿宋" w:hAnsi="仿宋" w:eastAsia="仿宋" w:cs="仿宋"/>
                <w:b/>
                <w:bCs/>
                <w:color w:val="auto"/>
                <w:sz w:val="24"/>
                <w:szCs w:val="24"/>
              </w:rPr>
            </w:pPr>
          </w:p>
        </w:tc>
        <w:tc>
          <w:tcPr>
            <w:tcW w:w="714" w:type="dxa"/>
            <w:noWrap/>
            <w:vAlign w:val="center"/>
          </w:tcPr>
          <w:p w14:paraId="27B47C5C">
            <w:pPr>
              <w:widowControl/>
              <w:spacing w:line="360" w:lineRule="auto"/>
              <w:ind w:firstLine="240" w:firstLineChars="100"/>
              <w:jc w:val="left"/>
              <w:textAlignment w:val="center"/>
              <w:rPr>
                <w:rFonts w:ascii="仿宋" w:hAnsi="仿宋" w:eastAsia="仿宋" w:cs="仿宋"/>
                <w:color w:val="auto"/>
                <w:kern w:val="0"/>
                <w:sz w:val="24"/>
                <w:szCs w:val="24"/>
              </w:rPr>
            </w:pPr>
          </w:p>
        </w:tc>
      </w:tr>
      <w:tr w14:paraId="5F799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80" w:hRule="atLeast"/>
          <w:jc w:val="center"/>
        </w:trPr>
        <w:tc>
          <w:tcPr>
            <w:tcW w:w="573" w:type="dxa"/>
            <w:vMerge w:val="continue"/>
            <w:noWrap/>
            <w:vAlign w:val="center"/>
          </w:tcPr>
          <w:p w14:paraId="0C3F3687">
            <w:pPr>
              <w:widowControl/>
              <w:spacing w:line="360" w:lineRule="auto"/>
              <w:ind w:firstLine="240" w:firstLineChars="100"/>
              <w:jc w:val="left"/>
              <w:textAlignment w:val="center"/>
              <w:rPr>
                <w:rFonts w:ascii="仿宋" w:hAnsi="仿宋" w:eastAsia="仿宋" w:cs="仿宋"/>
                <w:color w:val="auto"/>
                <w:kern w:val="0"/>
                <w:sz w:val="24"/>
                <w:szCs w:val="24"/>
              </w:rPr>
            </w:pPr>
          </w:p>
        </w:tc>
        <w:tc>
          <w:tcPr>
            <w:tcW w:w="1119" w:type="dxa"/>
            <w:vMerge w:val="continue"/>
            <w:noWrap/>
            <w:vAlign w:val="center"/>
          </w:tcPr>
          <w:p w14:paraId="70682B79">
            <w:pPr>
              <w:widowControl/>
              <w:spacing w:line="360" w:lineRule="auto"/>
              <w:jc w:val="left"/>
              <w:textAlignment w:val="center"/>
              <w:rPr>
                <w:rFonts w:ascii="仿宋" w:hAnsi="仿宋" w:eastAsia="仿宋" w:cs="仿宋"/>
                <w:color w:val="auto"/>
                <w:kern w:val="0"/>
                <w:sz w:val="24"/>
                <w:szCs w:val="24"/>
              </w:rPr>
            </w:pPr>
          </w:p>
        </w:tc>
        <w:tc>
          <w:tcPr>
            <w:tcW w:w="950" w:type="dxa"/>
            <w:noWrap/>
          </w:tcPr>
          <w:p w14:paraId="31463732">
            <w:pPr>
              <w:spacing w:line="320" w:lineRule="exact"/>
              <w:rPr>
                <w:rFonts w:ascii="仿宋" w:hAnsi="仿宋" w:eastAsia="仿宋" w:cs="仿宋"/>
                <w:bCs/>
                <w:color w:val="auto"/>
                <w:sz w:val="24"/>
                <w:szCs w:val="24"/>
              </w:rPr>
            </w:pPr>
          </w:p>
        </w:tc>
        <w:tc>
          <w:tcPr>
            <w:tcW w:w="5715" w:type="dxa"/>
            <w:noWrap/>
          </w:tcPr>
          <w:p w14:paraId="1CEEBF80">
            <w:pPr>
              <w:spacing w:line="360" w:lineRule="auto"/>
              <w:rPr>
                <w:rFonts w:ascii="仿宋" w:hAnsi="仿宋" w:eastAsia="仿宋" w:cs="仿宋"/>
                <w:b/>
                <w:bCs/>
                <w:color w:val="auto"/>
                <w:sz w:val="24"/>
                <w:szCs w:val="24"/>
              </w:rPr>
            </w:pPr>
          </w:p>
        </w:tc>
        <w:tc>
          <w:tcPr>
            <w:tcW w:w="714" w:type="dxa"/>
            <w:noWrap/>
            <w:vAlign w:val="center"/>
          </w:tcPr>
          <w:p w14:paraId="405EA35B">
            <w:pPr>
              <w:widowControl/>
              <w:spacing w:line="360" w:lineRule="auto"/>
              <w:jc w:val="center"/>
              <w:textAlignment w:val="center"/>
              <w:rPr>
                <w:rFonts w:ascii="仿宋" w:hAnsi="仿宋" w:eastAsia="仿宋" w:cs="仿宋"/>
                <w:color w:val="auto"/>
                <w:kern w:val="0"/>
                <w:sz w:val="24"/>
                <w:szCs w:val="24"/>
              </w:rPr>
            </w:pPr>
          </w:p>
        </w:tc>
      </w:tr>
      <w:tr w14:paraId="056B8C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80" w:hRule="atLeast"/>
          <w:jc w:val="center"/>
        </w:trPr>
        <w:tc>
          <w:tcPr>
            <w:tcW w:w="573" w:type="dxa"/>
            <w:vMerge w:val="continue"/>
            <w:noWrap/>
            <w:vAlign w:val="center"/>
          </w:tcPr>
          <w:p w14:paraId="5294DF13">
            <w:pPr>
              <w:widowControl/>
              <w:spacing w:line="360" w:lineRule="auto"/>
              <w:ind w:firstLine="240" w:firstLineChars="100"/>
              <w:jc w:val="left"/>
              <w:textAlignment w:val="center"/>
              <w:rPr>
                <w:rFonts w:ascii="仿宋" w:hAnsi="仿宋" w:eastAsia="仿宋" w:cs="仿宋"/>
                <w:color w:val="auto"/>
                <w:kern w:val="0"/>
                <w:sz w:val="24"/>
                <w:szCs w:val="24"/>
              </w:rPr>
            </w:pPr>
          </w:p>
        </w:tc>
        <w:tc>
          <w:tcPr>
            <w:tcW w:w="1119" w:type="dxa"/>
            <w:vMerge w:val="continue"/>
            <w:noWrap/>
            <w:vAlign w:val="center"/>
          </w:tcPr>
          <w:p w14:paraId="6FC3BFD8">
            <w:pPr>
              <w:widowControl/>
              <w:spacing w:line="360" w:lineRule="auto"/>
              <w:jc w:val="left"/>
              <w:textAlignment w:val="center"/>
              <w:rPr>
                <w:rFonts w:ascii="仿宋" w:hAnsi="仿宋" w:eastAsia="仿宋" w:cs="仿宋"/>
                <w:color w:val="auto"/>
                <w:kern w:val="0"/>
                <w:sz w:val="24"/>
                <w:szCs w:val="24"/>
              </w:rPr>
            </w:pPr>
          </w:p>
        </w:tc>
        <w:tc>
          <w:tcPr>
            <w:tcW w:w="950" w:type="dxa"/>
            <w:noWrap/>
          </w:tcPr>
          <w:p w14:paraId="56D7DD20">
            <w:pPr>
              <w:spacing w:line="320" w:lineRule="exact"/>
              <w:rPr>
                <w:rFonts w:ascii="仿宋" w:hAnsi="仿宋" w:eastAsia="仿宋" w:cs="仿宋"/>
                <w:bCs/>
                <w:color w:val="auto"/>
                <w:sz w:val="24"/>
                <w:szCs w:val="24"/>
              </w:rPr>
            </w:pPr>
          </w:p>
        </w:tc>
        <w:tc>
          <w:tcPr>
            <w:tcW w:w="5715" w:type="dxa"/>
            <w:noWrap/>
          </w:tcPr>
          <w:p w14:paraId="119F6F7A">
            <w:pPr>
              <w:spacing w:line="360" w:lineRule="auto"/>
              <w:rPr>
                <w:rFonts w:ascii="仿宋" w:hAnsi="仿宋" w:eastAsia="仿宋" w:cs="仿宋"/>
                <w:b/>
                <w:bCs/>
                <w:color w:val="auto"/>
                <w:sz w:val="24"/>
                <w:szCs w:val="24"/>
              </w:rPr>
            </w:pPr>
          </w:p>
        </w:tc>
        <w:tc>
          <w:tcPr>
            <w:tcW w:w="714" w:type="dxa"/>
            <w:noWrap/>
            <w:vAlign w:val="center"/>
          </w:tcPr>
          <w:p w14:paraId="311C7450">
            <w:pPr>
              <w:widowControl/>
              <w:spacing w:line="360" w:lineRule="auto"/>
              <w:jc w:val="center"/>
              <w:textAlignment w:val="center"/>
              <w:rPr>
                <w:rFonts w:ascii="仿宋" w:hAnsi="仿宋" w:eastAsia="仿宋" w:cs="仿宋"/>
                <w:color w:val="auto"/>
                <w:kern w:val="0"/>
                <w:sz w:val="24"/>
                <w:szCs w:val="24"/>
              </w:rPr>
            </w:pPr>
          </w:p>
        </w:tc>
      </w:tr>
      <w:tr w14:paraId="477FF2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80" w:hRule="atLeast"/>
          <w:jc w:val="center"/>
        </w:trPr>
        <w:tc>
          <w:tcPr>
            <w:tcW w:w="573" w:type="dxa"/>
            <w:vMerge w:val="continue"/>
            <w:noWrap/>
            <w:vAlign w:val="center"/>
          </w:tcPr>
          <w:p w14:paraId="50EA3324">
            <w:pPr>
              <w:widowControl/>
              <w:spacing w:line="360" w:lineRule="auto"/>
              <w:ind w:firstLine="240" w:firstLineChars="100"/>
              <w:jc w:val="left"/>
              <w:textAlignment w:val="center"/>
              <w:rPr>
                <w:rFonts w:ascii="仿宋" w:hAnsi="仿宋" w:eastAsia="仿宋" w:cs="仿宋"/>
                <w:color w:val="auto"/>
                <w:kern w:val="0"/>
                <w:sz w:val="24"/>
                <w:szCs w:val="24"/>
              </w:rPr>
            </w:pPr>
          </w:p>
        </w:tc>
        <w:tc>
          <w:tcPr>
            <w:tcW w:w="1119" w:type="dxa"/>
            <w:vMerge w:val="continue"/>
            <w:noWrap/>
            <w:vAlign w:val="center"/>
          </w:tcPr>
          <w:p w14:paraId="1533B6DD">
            <w:pPr>
              <w:widowControl/>
              <w:spacing w:line="360" w:lineRule="auto"/>
              <w:jc w:val="left"/>
              <w:textAlignment w:val="center"/>
              <w:rPr>
                <w:rFonts w:ascii="仿宋" w:hAnsi="仿宋" w:eastAsia="仿宋" w:cs="仿宋"/>
                <w:color w:val="auto"/>
                <w:kern w:val="0"/>
                <w:sz w:val="24"/>
                <w:szCs w:val="24"/>
              </w:rPr>
            </w:pPr>
          </w:p>
        </w:tc>
        <w:tc>
          <w:tcPr>
            <w:tcW w:w="950" w:type="dxa"/>
            <w:noWrap/>
          </w:tcPr>
          <w:p w14:paraId="58B2C358">
            <w:pPr>
              <w:spacing w:line="320" w:lineRule="exact"/>
              <w:rPr>
                <w:rFonts w:ascii="仿宋" w:hAnsi="仿宋" w:eastAsia="仿宋" w:cs="仿宋"/>
                <w:bCs/>
                <w:color w:val="auto"/>
                <w:sz w:val="24"/>
                <w:szCs w:val="24"/>
              </w:rPr>
            </w:pPr>
          </w:p>
        </w:tc>
        <w:tc>
          <w:tcPr>
            <w:tcW w:w="5715" w:type="dxa"/>
            <w:noWrap/>
          </w:tcPr>
          <w:p w14:paraId="17CD6A15">
            <w:pPr>
              <w:spacing w:line="360" w:lineRule="auto"/>
              <w:rPr>
                <w:rFonts w:ascii="仿宋" w:hAnsi="仿宋" w:eastAsia="仿宋" w:cs="仿宋"/>
                <w:b/>
                <w:bCs/>
                <w:color w:val="auto"/>
                <w:sz w:val="24"/>
                <w:szCs w:val="24"/>
              </w:rPr>
            </w:pPr>
          </w:p>
        </w:tc>
        <w:tc>
          <w:tcPr>
            <w:tcW w:w="714" w:type="dxa"/>
            <w:noWrap/>
            <w:vAlign w:val="center"/>
          </w:tcPr>
          <w:p w14:paraId="0B0DD9F7">
            <w:pPr>
              <w:widowControl/>
              <w:spacing w:line="360" w:lineRule="auto"/>
              <w:jc w:val="center"/>
              <w:textAlignment w:val="center"/>
              <w:rPr>
                <w:rFonts w:ascii="仿宋" w:hAnsi="仿宋" w:eastAsia="仿宋" w:cs="仿宋"/>
                <w:color w:val="auto"/>
                <w:kern w:val="0"/>
                <w:sz w:val="24"/>
                <w:szCs w:val="24"/>
              </w:rPr>
            </w:pPr>
          </w:p>
        </w:tc>
      </w:tr>
    </w:tbl>
    <w:p w14:paraId="23EA6569">
      <w:pPr>
        <w:spacing w:line="360" w:lineRule="auto"/>
        <w:rPr>
          <w:rFonts w:hint="eastAsia" w:ascii="仿宋" w:hAnsi="仿宋" w:eastAsia="仿宋" w:cs="仿宋"/>
          <w:b/>
          <w:color w:val="auto"/>
          <w:sz w:val="28"/>
          <w:szCs w:val="28"/>
          <w:shd w:val="clear" w:color="auto" w:fill="FFFFFF"/>
          <w:lang w:val="en-US" w:eastAsia="zh-CN"/>
        </w:rPr>
      </w:pPr>
    </w:p>
    <w:p w14:paraId="29540234">
      <w:pPr>
        <w:spacing w:line="360" w:lineRule="auto"/>
        <w:rPr>
          <w:rFonts w:hint="eastAsia" w:ascii="仿宋" w:hAnsi="仿宋" w:eastAsia="仿宋" w:cs="仿宋"/>
          <w:b/>
          <w:color w:val="auto"/>
          <w:sz w:val="28"/>
          <w:szCs w:val="28"/>
          <w:shd w:val="clear" w:color="auto" w:fill="FFFFFF"/>
          <w:lang w:eastAsia="zh-CN"/>
        </w:rPr>
      </w:pPr>
      <w:r>
        <w:rPr>
          <w:rFonts w:hint="eastAsia" w:ascii="仿宋" w:hAnsi="仿宋" w:eastAsia="仿宋" w:cs="仿宋"/>
          <w:b/>
          <w:color w:val="auto"/>
          <w:sz w:val="28"/>
          <w:szCs w:val="28"/>
          <w:shd w:val="clear" w:color="auto" w:fill="FFFFFF"/>
          <w:lang w:val="en-US" w:eastAsia="zh-CN"/>
        </w:rPr>
        <w:t>四</w:t>
      </w:r>
      <w:r>
        <w:rPr>
          <w:rFonts w:hint="eastAsia" w:ascii="仿宋" w:hAnsi="仿宋" w:eastAsia="仿宋" w:cs="仿宋"/>
          <w:b/>
          <w:color w:val="auto"/>
          <w:sz w:val="28"/>
          <w:szCs w:val="28"/>
          <w:shd w:val="clear" w:color="auto" w:fill="FFFFFF"/>
          <w:lang w:eastAsia="zh-CN"/>
        </w:rPr>
        <w:t>、商务条款</w:t>
      </w:r>
    </w:p>
    <w:p w14:paraId="130CFE0B">
      <w:pPr>
        <w:spacing w:line="360" w:lineRule="auto"/>
        <w:rPr>
          <w:rFonts w:ascii="仿宋" w:hAnsi="仿宋" w:eastAsia="仿宋" w:cs="仿宋"/>
          <w:b/>
          <w:bCs w:val="0"/>
          <w:color w:val="auto"/>
          <w:sz w:val="24"/>
          <w:szCs w:val="24"/>
          <w:shd w:val="clear" w:color="auto" w:fill="FFFFFF"/>
        </w:rPr>
      </w:pPr>
      <w:r>
        <w:rPr>
          <w:rFonts w:hint="eastAsia" w:ascii="仿宋" w:hAnsi="仿宋" w:eastAsia="仿宋" w:cs="仿宋"/>
          <w:b/>
          <w:bCs w:val="0"/>
          <w:color w:val="auto"/>
          <w:sz w:val="24"/>
          <w:szCs w:val="24"/>
          <w:shd w:val="clear" w:color="auto" w:fill="FFFFFF"/>
        </w:rPr>
        <w:t>（自行填写</w:t>
      </w:r>
      <w:r>
        <w:rPr>
          <w:rFonts w:hint="eastAsia" w:ascii="仿宋" w:hAnsi="仿宋" w:eastAsia="仿宋" w:cs="仿宋"/>
          <w:b/>
          <w:bCs w:val="0"/>
          <w:color w:val="auto"/>
          <w:sz w:val="24"/>
          <w:szCs w:val="24"/>
          <w:shd w:val="clear" w:color="auto" w:fill="FFFFFF"/>
          <w:lang w:eastAsia="zh-CN"/>
        </w:rPr>
        <w:t>，</w:t>
      </w:r>
      <w:r>
        <w:rPr>
          <w:rFonts w:hint="eastAsia" w:ascii="仿宋" w:hAnsi="仿宋" w:eastAsia="仿宋" w:cs="仿宋"/>
          <w:b/>
          <w:bCs w:val="0"/>
          <w:color w:val="auto"/>
          <w:sz w:val="24"/>
          <w:szCs w:val="24"/>
          <w:shd w:val="clear" w:color="auto" w:fill="FFFFFF"/>
          <w:lang w:val="en-US" w:eastAsia="zh-CN"/>
        </w:rPr>
        <w:t>含</w:t>
      </w:r>
      <w:r>
        <w:rPr>
          <w:rFonts w:hint="eastAsia" w:ascii="仿宋" w:hAnsi="仿宋" w:eastAsia="仿宋" w:cs="仿宋"/>
          <w:b/>
          <w:bCs w:val="0"/>
          <w:color w:val="auto"/>
          <w:kern w:val="0"/>
          <w:sz w:val="24"/>
          <w:szCs w:val="24"/>
        </w:rPr>
        <w:t>售后服务</w:t>
      </w:r>
      <w:r>
        <w:rPr>
          <w:rFonts w:hint="eastAsia" w:ascii="仿宋" w:hAnsi="仿宋" w:eastAsia="仿宋" w:cs="仿宋"/>
          <w:b/>
          <w:bCs w:val="0"/>
          <w:color w:val="auto"/>
          <w:kern w:val="0"/>
          <w:sz w:val="24"/>
          <w:szCs w:val="24"/>
          <w:lang w:eastAsia="zh-CN"/>
        </w:rPr>
        <w:t>、质保期等</w:t>
      </w:r>
      <w:r>
        <w:rPr>
          <w:rFonts w:hint="eastAsia" w:ascii="仿宋" w:hAnsi="仿宋" w:eastAsia="仿宋" w:cs="仿宋"/>
          <w:b/>
          <w:bCs w:val="0"/>
          <w:color w:val="auto"/>
          <w:sz w:val="24"/>
          <w:szCs w:val="24"/>
          <w:shd w:val="clear" w:color="auto" w:fill="FFFFFF"/>
        </w:rPr>
        <w:t>）</w:t>
      </w:r>
    </w:p>
    <w:p w14:paraId="72B1FB8E">
      <w:pPr>
        <w:spacing w:line="360" w:lineRule="auto"/>
        <w:rPr>
          <w:rFonts w:hint="eastAsia" w:ascii="仿宋" w:hAnsi="仿宋" w:eastAsia="仿宋" w:cs="仿宋"/>
          <w:b/>
          <w:color w:val="auto"/>
          <w:sz w:val="28"/>
          <w:szCs w:val="28"/>
          <w:shd w:val="clear" w:color="auto" w:fill="FFFFFF"/>
          <w:lang w:val="en-US" w:eastAsia="zh-CN"/>
        </w:rPr>
      </w:pPr>
    </w:p>
    <w:p w14:paraId="3B1E84DF">
      <w:pPr>
        <w:spacing w:line="360" w:lineRule="auto"/>
        <w:rPr>
          <w:rFonts w:hint="eastAsia" w:ascii="仿宋" w:hAnsi="仿宋" w:eastAsia="仿宋" w:cs="仿宋"/>
          <w:b/>
          <w:color w:val="auto"/>
          <w:sz w:val="28"/>
          <w:szCs w:val="28"/>
          <w:shd w:val="clear" w:color="auto" w:fill="FFFFFF"/>
          <w:lang w:val="en-US" w:eastAsia="zh-CN"/>
        </w:rPr>
      </w:pPr>
      <w:r>
        <w:rPr>
          <w:rFonts w:hint="eastAsia" w:ascii="仿宋" w:hAnsi="仿宋" w:eastAsia="仿宋" w:cs="仿宋"/>
          <w:b/>
          <w:color w:val="auto"/>
          <w:sz w:val="28"/>
          <w:szCs w:val="28"/>
          <w:shd w:val="clear" w:color="auto" w:fill="FFFFFF"/>
          <w:lang w:val="en-US" w:eastAsia="zh-CN"/>
        </w:rPr>
        <w:t>五、其他材料</w:t>
      </w:r>
    </w:p>
    <w:p w14:paraId="56CB69D5">
      <w:pPr>
        <w:spacing w:line="360" w:lineRule="auto"/>
        <w:rPr>
          <w:rFonts w:hint="eastAsia" w:ascii="仿宋" w:hAnsi="仿宋" w:eastAsia="仿宋" w:cs="仿宋"/>
          <w:b/>
          <w:bCs w:val="0"/>
          <w:color w:val="auto"/>
          <w:sz w:val="24"/>
          <w:szCs w:val="24"/>
          <w:shd w:val="clear" w:color="auto" w:fill="FFFFFF"/>
        </w:rPr>
      </w:pPr>
      <w:r>
        <w:rPr>
          <w:rFonts w:hint="eastAsia" w:ascii="仿宋" w:hAnsi="仿宋" w:eastAsia="仿宋" w:cs="仿宋"/>
          <w:b/>
          <w:bCs w:val="0"/>
          <w:color w:val="auto"/>
          <w:sz w:val="24"/>
          <w:szCs w:val="24"/>
          <w:shd w:val="clear" w:color="auto" w:fill="FFFFFF"/>
          <w:lang w:val="en-US" w:eastAsia="zh-CN"/>
        </w:rPr>
        <w:t>（包含征集公告中要求提供的材料及其他相关合理性和建设性建议）</w:t>
      </w:r>
    </w:p>
    <w:p w14:paraId="66AFBEA3">
      <w:pPr>
        <w:rPr>
          <w:rFonts w:ascii="仿宋" w:hAnsi="仿宋" w:eastAsia="仿宋" w:cs="仿宋"/>
          <w:color w:val="auto"/>
          <w:sz w:val="24"/>
        </w:rPr>
      </w:pPr>
      <w:r>
        <w:rPr>
          <w:rFonts w:ascii="仿宋" w:hAnsi="仿宋" w:eastAsia="仿宋" w:cs="仿宋"/>
          <w:color w:val="auto"/>
          <w:sz w:val="24"/>
        </w:rPr>
        <w:br w:type="page"/>
      </w:r>
    </w:p>
    <w:p w14:paraId="6CB6B9F8">
      <w:pPr>
        <w:jc w:val="center"/>
        <w:rPr>
          <w:rFonts w:hint="eastAsia" w:ascii="仿宋" w:hAnsi="仿宋" w:eastAsia="仿宋" w:cs="仿宋"/>
          <w:color w:val="auto"/>
          <w:sz w:val="21"/>
          <w:highlight w:val="none"/>
        </w:rPr>
      </w:pPr>
      <w:r>
        <w:rPr>
          <w:rFonts w:hint="eastAsia" w:ascii="仿宋" w:hAnsi="仿宋" w:eastAsia="仿宋" w:cs="仿宋"/>
          <w:b/>
          <w:bCs/>
          <w:color w:val="auto"/>
          <w:spacing w:val="9"/>
          <w:position w:val="3"/>
          <w:sz w:val="43"/>
          <w:szCs w:val="43"/>
          <w:highlight w:val="none"/>
        </w:rPr>
        <w:t>资格信用承诺函</w:t>
      </w:r>
    </w:p>
    <w:p w14:paraId="5BC5D75E">
      <w:pPr>
        <w:pStyle w:val="3"/>
        <w:spacing w:line="202" w:lineRule="auto"/>
        <w:ind w:left="0" w:leftChars="0" w:firstLine="0" w:firstLineChars="0"/>
        <w:rPr>
          <w:rFonts w:hint="eastAsia" w:ascii="仿宋" w:hAnsi="仿宋" w:eastAsia="仿宋" w:cs="仿宋"/>
          <w:bCs/>
          <w:color w:val="000000"/>
          <w:kern w:val="0"/>
          <w:sz w:val="24"/>
          <w:szCs w:val="24"/>
          <w:lang w:val="en-US"/>
        </w:rPr>
      </w:pPr>
    </w:p>
    <w:p w14:paraId="1BE790B6">
      <w:pPr>
        <w:pStyle w:val="3"/>
        <w:spacing w:line="202" w:lineRule="auto"/>
        <w:ind w:left="0" w:leftChars="0" w:firstLine="0" w:firstLineChars="0"/>
        <w:rPr>
          <w:rFonts w:hint="eastAsia" w:ascii="仿宋" w:hAnsi="仿宋" w:eastAsia="仿宋" w:cs="仿宋"/>
          <w:bCs/>
          <w:color w:val="000000"/>
          <w:kern w:val="0"/>
          <w:sz w:val="24"/>
          <w:szCs w:val="24"/>
          <w:lang w:val="en-US"/>
        </w:rPr>
      </w:pPr>
      <w:r>
        <w:rPr>
          <w:rFonts w:hint="eastAsia" w:ascii="仿宋" w:hAnsi="仿宋" w:eastAsia="仿宋" w:cs="仿宋"/>
          <w:bCs/>
          <w:color w:val="000000"/>
          <w:kern w:val="0"/>
          <w:sz w:val="24"/>
          <w:szCs w:val="24"/>
          <w:lang w:val="en-US"/>
        </w:rPr>
        <w:t>致（</w:t>
      </w:r>
      <w:r>
        <w:rPr>
          <w:rFonts w:hint="eastAsia" w:ascii="仿宋" w:hAnsi="仿宋" w:eastAsia="仿宋" w:cs="仿宋"/>
          <w:bCs/>
          <w:color w:val="000000"/>
          <w:kern w:val="0"/>
          <w:sz w:val="24"/>
          <w:szCs w:val="24"/>
          <w:lang w:val="en-US" w:eastAsia="zh-CN"/>
        </w:rPr>
        <w:t>征集人</w:t>
      </w:r>
      <w:r>
        <w:rPr>
          <w:rFonts w:hint="eastAsia" w:ascii="仿宋" w:hAnsi="仿宋" w:eastAsia="仿宋" w:cs="仿宋"/>
          <w:bCs/>
          <w:color w:val="000000"/>
          <w:kern w:val="0"/>
          <w:sz w:val="24"/>
          <w:szCs w:val="24"/>
          <w:lang w:val="en-US"/>
        </w:rPr>
        <w:t>）</w:t>
      </w:r>
      <w:r>
        <w:rPr>
          <w:rFonts w:hint="eastAsia" w:ascii="仿宋" w:hAnsi="仿宋" w:eastAsia="仿宋" w:cs="仿宋"/>
          <w:bCs/>
          <w:color w:val="000000"/>
          <w:kern w:val="0"/>
          <w:sz w:val="24"/>
          <w:szCs w:val="24"/>
          <w:u w:val="single"/>
          <w:lang w:val="en-US" w:eastAsia="zh-CN"/>
        </w:rPr>
        <w:t xml:space="preserve">          </w:t>
      </w:r>
      <w:r>
        <w:rPr>
          <w:rFonts w:hint="eastAsia" w:ascii="仿宋" w:hAnsi="仿宋" w:eastAsia="仿宋" w:cs="仿宋"/>
          <w:bCs/>
          <w:color w:val="000000"/>
          <w:kern w:val="0"/>
          <w:sz w:val="24"/>
          <w:szCs w:val="24"/>
          <w:u w:val="single"/>
          <w:lang w:val="en-US"/>
        </w:rPr>
        <w:t xml:space="preserve"> </w:t>
      </w:r>
    </w:p>
    <w:p w14:paraId="6E5C35EA">
      <w:pPr>
        <w:pStyle w:val="3"/>
        <w:spacing w:line="202" w:lineRule="auto"/>
        <w:ind w:left="0" w:leftChars="0" w:firstLine="480" w:firstLineChars="200"/>
        <w:rPr>
          <w:rFonts w:hint="eastAsia" w:ascii="仿宋" w:hAnsi="仿宋" w:eastAsia="仿宋" w:cs="仿宋"/>
          <w:bCs/>
          <w:color w:val="000000"/>
          <w:kern w:val="0"/>
          <w:sz w:val="24"/>
          <w:szCs w:val="24"/>
          <w:lang w:val="en-US"/>
        </w:rPr>
      </w:pPr>
      <w:r>
        <w:rPr>
          <w:rFonts w:hint="eastAsia" w:ascii="仿宋" w:hAnsi="仿宋" w:eastAsia="仿宋" w:cs="仿宋"/>
          <w:bCs/>
          <w:color w:val="000000"/>
          <w:kern w:val="0"/>
          <w:sz w:val="24"/>
          <w:szCs w:val="24"/>
          <w:lang w:val="en-US"/>
        </w:rPr>
        <w:t>单位名称(自然人姓名):</w:t>
      </w:r>
    </w:p>
    <w:p w14:paraId="4D055B09">
      <w:pPr>
        <w:pStyle w:val="3"/>
        <w:spacing w:line="202" w:lineRule="auto"/>
        <w:ind w:left="0" w:leftChars="0" w:firstLine="480" w:firstLineChars="200"/>
        <w:rPr>
          <w:rFonts w:hint="eastAsia" w:ascii="仿宋" w:hAnsi="仿宋" w:eastAsia="仿宋" w:cs="仿宋"/>
          <w:bCs/>
          <w:color w:val="000000"/>
          <w:kern w:val="0"/>
          <w:sz w:val="24"/>
          <w:szCs w:val="24"/>
          <w:lang w:val="en-US"/>
        </w:rPr>
      </w:pPr>
      <w:r>
        <w:rPr>
          <w:rFonts w:hint="eastAsia" w:ascii="仿宋" w:hAnsi="仿宋" w:eastAsia="仿宋" w:cs="仿宋"/>
          <w:bCs/>
          <w:color w:val="000000"/>
          <w:kern w:val="0"/>
          <w:sz w:val="24"/>
          <w:szCs w:val="24"/>
          <w:lang w:val="en-US"/>
        </w:rPr>
        <w:t>统一社会信用代码(身份证号码):</w:t>
      </w:r>
    </w:p>
    <w:p w14:paraId="72F758B4">
      <w:pPr>
        <w:pStyle w:val="3"/>
        <w:spacing w:line="202" w:lineRule="auto"/>
        <w:ind w:left="0" w:leftChars="0" w:firstLine="496" w:firstLineChars="200"/>
        <w:rPr>
          <w:rFonts w:hint="eastAsia" w:ascii="仿宋" w:hAnsi="仿宋" w:eastAsia="仿宋" w:cs="仿宋"/>
          <w:color w:val="auto"/>
          <w:highlight w:val="none"/>
        </w:rPr>
      </w:pPr>
      <w:r>
        <w:rPr>
          <w:rFonts w:hint="eastAsia" w:ascii="仿宋" w:hAnsi="仿宋" w:eastAsia="仿宋" w:cs="仿宋"/>
          <w:color w:val="auto"/>
          <w:spacing w:val="4"/>
          <w:highlight w:val="none"/>
        </w:rPr>
        <w:t>法定代表人(负责人):</w:t>
      </w:r>
    </w:p>
    <w:p w14:paraId="25F19A4A">
      <w:pPr>
        <w:pStyle w:val="3"/>
        <w:spacing w:before="202" w:line="207" w:lineRule="auto"/>
        <w:ind w:left="0" w:leftChars="0" w:firstLine="504" w:firstLineChars="200"/>
        <w:rPr>
          <w:rFonts w:hint="eastAsia" w:ascii="仿宋" w:hAnsi="仿宋" w:eastAsia="仿宋" w:cs="仿宋"/>
          <w:color w:val="auto"/>
          <w:highlight w:val="none"/>
        </w:rPr>
      </w:pPr>
      <w:r>
        <w:rPr>
          <w:rFonts w:hint="eastAsia" w:ascii="仿宋" w:hAnsi="仿宋" w:eastAsia="仿宋" w:cs="仿宋"/>
          <w:color w:val="auto"/>
          <w:spacing w:val="6"/>
          <w:highlight w:val="none"/>
        </w:rPr>
        <w:t>联系地址和电话：</w:t>
      </w:r>
    </w:p>
    <w:p w14:paraId="2ECF205B">
      <w:pPr>
        <w:pStyle w:val="3"/>
        <w:keepNext w:val="0"/>
        <w:keepLines w:val="0"/>
        <w:pageBreakBefore w:val="0"/>
        <w:widowControl w:val="0"/>
        <w:kinsoku/>
        <w:wordWrap/>
        <w:overflowPunct/>
        <w:topLinePunct w:val="0"/>
        <w:autoSpaceDE w:val="0"/>
        <w:autoSpaceDN w:val="0"/>
        <w:bidi w:val="0"/>
        <w:adjustRightInd w:val="0"/>
        <w:snapToGrid/>
        <w:spacing w:before="194" w:line="293" w:lineRule="auto"/>
        <w:ind w:left="0" w:leftChars="0" w:firstLine="512" w:firstLineChars="200"/>
        <w:textAlignment w:val="auto"/>
        <w:rPr>
          <w:rFonts w:hint="eastAsia" w:ascii="仿宋" w:hAnsi="仿宋" w:eastAsia="仿宋" w:cs="仿宋"/>
          <w:color w:val="auto"/>
          <w:highlight w:val="none"/>
        </w:rPr>
      </w:pPr>
      <w:r>
        <w:rPr>
          <w:rFonts w:hint="eastAsia" w:ascii="仿宋" w:hAnsi="仿宋" w:eastAsia="仿宋" w:cs="仿宋"/>
          <w:color w:val="auto"/>
          <w:spacing w:val="8"/>
          <w:highlight w:val="none"/>
        </w:rPr>
        <w:t>我单位(本人)自愿参加本次</w:t>
      </w:r>
      <w:r>
        <w:rPr>
          <w:rFonts w:hint="eastAsia" w:ascii="仿宋" w:hAnsi="仿宋" w:eastAsia="仿宋" w:cs="仿宋"/>
          <w:color w:val="auto"/>
          <w:spacing w:val="8"/>
          <w:highlight w:val="none"/>
          <w:lang w:eastAsia="zh-CN"/>
        </w:rPr>
        <w:t>意向征集</w:t>
      </w:r>
      <w:r>
        <w:rPr>
          <w:rFonts w:hint="eastAsia" w:ascii="仿宋" w:hAnsi="仿宋" w:eastAsia="仿宋" w:cs="仿宋"/>
          <w:color w:val="auto"/>
          <w:spacing w:val="8"/>
          <w:highlight w:val="none"/>
        </w:rPr>
        <w:t>活动。严格遵守《中华</w:t>
      </w:r>
      <w:r>
        <w:rPr>
          <w:rFonts w:hint="eastAsia" w:ascii="仿宋" w:hAnsi="仿宋" w:eastAsia="仿宋" w:cs="仿宋"/>
          <w:color w:val="auto"/>
          <w:spacing w:val="5"/>
          <w:highlight w:val="none"/>
        </w:rPr>
        <w:t>人民共和国政府采购法》及相关法律法规，坚守公开、公平、公正和诚实信用等原则，</w:t>
      </w:r>
      <w:r>
        <w:rPr>
          <w:rFonts w:hint="eastAsia" w:ascii="仿宋" w:hAnsi="仿宋" w:eastAsia="仿宋" w:cs="仿宋"/>
          <w:color w:val="auto"/>
          <w:spacing w:val="-54"/>
          <w:highlight w:val="none"/>
        </w:rPr>
        <w:t xml:space="preserve"> </w:t>
      </w:r>
      <w:r>
        <w:rPr>
          <w:rFonts w:hint="eastAsia" w:ascii="仿宋" w:hAnsi="仿宋" w:eastAsia="仿宋" w:cs="仿宋"/>
          <w:color w:val="auto"/>
          <w:spacing w:val="5"/>
          <w:highlight w:val="none"/>
        </w:rPr>
        <w:t>依法诚信经营，并郑重承诺：</w:t>
      </w:r>
    </w:p>
    <w:p w14:paraId="13546004">
      <w:pPr>
        <w:adjustRightInd w:val="0"/>
        <w:spacing w:line="360" w:lineRule="auto"/>
        <w:ind w:firstLine="240" w:firstLineChars="100"/>
        <w:jc w:val="left"/>
        <w:rPr>
          <w:rFonts w:hint="eastAsia" w:ascii="仿宋" w:hAnsi="仿宋" w:eastAsia="仿宋" w:cs="仿宋"/>
          <w:bCs/>
          <w:color w:val="000000"/>
          <w:kern w:val="0"/>
          <w:sz w:val="24"/>
          <w:szCs w:val="24"/>
          <w:lang w:val="en-US" w:eastAsia="zh-CN"/>
        </w:rPr>
      </w:pPr>
      <w:r>
        <w:rPr>
          <w:rFonts w:hint="eastAsia" w:ascii="仿宋" w:hAnsi="仿宋" w:eastAsia="仿宋" w:cs="仿宋"/>
          <w:bCs/>
          <w:color w:val="000000"/>
          <w:kern w:val="0"/>
          <w:sz w:val="24"/>
          <w:szCs w:val="24"/>
          <w:lang w:val="en-US"/>
        </w:rPr>
        <w:t>（一）我单位(本人)符合</w:t>
      </w:r>
      <w:r>
        <w:rPr>
          <w:rFonts w:hint="eastAsia" w:ascii="仿宋" w:hAnsi="仿宋" w:eastAsia="仿宋" w:cs="仿宋"/>
          <w:bCs/>
          <w:color w:val="000000"/>
          <w:kern w:val="0"/>
          <w:sz w:val="24"/>
          <w:szCs w:val="24"/>
          <w:lang w:val="en-US" w:eastAsia="zh-CN"/>
        </w:rPr>
        <w:t>公告</w:t>
      </w:r>
      <w:r>
        <w:rPr>
          <w:rFonts w:hint="eastAsia" w:ascii="仿宋" w:hAnsi="仿宋" w:eastAsia="仿宋" w:cs="仿宋"/>
          <w:bCs/>
          <w:color w:val="000000"/>
          <w:kern w:val="0"/>
          <w:sz w:val="24"/>
          <w:szCs w:val="24"/>
          <w:lang w:val="en-US"/>
        </w:rPr>
        <w:t>要求以及《中华人民共和</w:t>
      </w:r>
      <w:r>
        <w:rPr>
          <w:rFonts w:hint="eastAsia" w:ascii="仿宋" w:hAnsi="仿宋" w:eastAsia="仿宋" w:cs="仿宋"/>
          <w:bCs/>
          <w:color w:val="000000"/>
          <w:kern w:val="0"/>
          <w:sz w:val="24"/>
          <w:szCs w:val="24"/>
          <w:lang w:val="en-US" w:eastAsia="zh-CN"/>
        </w:rPr>
        <w:t>国政府采购法》第二十二条规定的条件：</w:t>
      </w:r>
    </w:p>
    <w:p w14:paraId="31BB374D">
      <w:pPr>
        <w:pStyle w:val="3"/>
        <w:keepNext w:val="0"/>
        <w:keepLines w:val="0"/>
        <w:pageBreakBefore w:val="0"/>
        <w:widowControl w:val="0"/>
        <w:kinsoku/>
        <w:wordWrap/>
        <w:overflowPunct/>
        <w:topLinePunct w:val="0"/>
        <w:autoSpaceDE w:val="0"/>
        <w:autoSpaceDN w:val="0"/>
        <w:bidi w:val="0"/>
        <w:adjustRightInd w:val="0"/>
        <w:snapToGrid/>
        <w:spacing w:before="194" w:line="293" w:lineRule="auto"/>
        <w:ind w:left="0" w:leftChars="0" w:firstLine="512" w:firstLineChars="200"/>
        <w:textAlignment w:val="auto"/>
        <w:rPr>
          <w:rFonts w:hint="eastAsia" w:ascii="仿宋" w:hAnsi="仿宋" w:eastAsia="仿宋" w:cs="仿宋"/>
          <w:color w:val="auto"/>
          <w:spacing w:val="8"/>
          <w:highlight w:val="none"/>
        </w:rPr>
      </w:pPr>
      <w:r>
        <w:rPr>
          <w:rFonts w:hint="eastAsia" w:ascii="仿宋" w:hAnsi="仿宋" w:eastAsia="仿宋" w:cs="仿宋"/>
          <w:color w:val="auto"/>
          <w:spacing w:val="8"/>
          <w:highlight w:val="none"/>
        </w:rPr>
        <w:t>1.具有独立承担民事责任的能力；</w:t>
      </w:r>
    </w:p>
    <w:p w14:paraId="24F6EE64">
      <w:pPr>
        <w:pStyle w:val="3"/>
        <w:keepNext w:val="0"/>
        <w:keepLines w:val="0"/>
        <w:pageBreakBefore w:val="0"/>
        <w:widowControl w:val="0"/>
        <w:kinsoku/>
        <w:wordWrap/>
        <w:overflowPunct/>
        <w:topLinePunct w:val="0"/>
        <w:autoSpaceDE w:val="0"/>
        <w:autoSpaceDN w:val="0"/>
        <w:bidi w:val="0"/>
        <w:adjustRightInd w:val="0"/>
        <w:snapToGrid/>
        <w:spacing w:before="194" w:line="293" w:lineRule="auto"/>
        <w:ind w:left="0" w:leftChars="0" w:firstLine="512" w:firstLineChars="200"/>
        <w:textAlignment w:val="auto"/>
        <w:rPr>
          <w:rFonts w:hint="eastAsia" w:ascii="仿宋" w:hAnsi="仿宋" w:eastAsia="仿宋" w:cs="仿宋"/>
          <w:color w:val="auto"/>
          <w:spacing w:val="8"/>
          <w:highlight w:val="none"/>
        </w:rPr>
      </w:pPr>
      <w:r>
        <w:rPr>
          <w:rFonts w:hint="eastAsia" w:ascii="仿宋" w:hAnsi="仿宋" w:eastAsia="仿宋" w:cs="仿宋"/>
          <w:color w:val="auto"/>
          <w:spacing w:val="8"/>
          <w:highlight w:val="none"/>
        </w:rPr>
        <w:t>2.具有良好的商业信誉和健全的财务会计制度；</w:t>
      </w:r>
    </w:p>
    <w:p w14:paraId="293F03E0">
      <w:pPr>
        <w:pStyle w:val="3"/>
        <w:keepNext w:val="0"/>
        <w:keepLines w:val="0"/>
        <w:pageBreakBefore w:val="0"/>
        <w:widowControl w:val="0"/>
        <w:kinsoku/>
        <w:wordWrap/>
        <w:overflowPunct/>
        <w:topLinePunct w:val="0"/>
        <w:autoSpaceDE w:val="0"/>
        <w:autoSpaceDN w:val="0"/>
        <w:bidi w:val="0"/>
        <w:adjustRightInd w:val="0"/>
        <w:snapToGrid/>
        <w:spacing w:before="194" w:line="293" w:lineRule="auto"/>
        <w:ind w:left="0" w:leftChars="0" w:firstLine="512" w:firstLineChars="200"/>
        <w:textAlignment w:val="auto"/>
        <w:rPr>
          <w:rFonts w:hint="eastAsia" w:ascii="仿宋" w:hAnsi="仿宋" w:eastAsia="仿宋" w:cs="仿宋"/>
          <w:color w:val="auto"/>
          <w:spacing w:val="8"/>
          <w:highlight w:val="none"/>
        </w:rPr>
      </w:pPr>
      <w:r>
        <w:rPr>
          <w:rFonts w:hint="eastAsia" w:ascii="仿宋" w:hAnsi="仿宋" w:eastAsia="仿宋" w:cs="仿宋"/>
          <w:color w:val="auto"/>
          <w:spacing w:val="8"/>
          <w:highlight w:val="none"/>
        </w:rPr>
        <w:t>3.具有履行合同所必需的设备和专业技术能力；</w:t>
      </w:r>
    </w:p>
    <w:p w14:paraId="13D3E2C4">
      <w:pPr>
        <w:pStyle w:val="3"/>
        <w:keepNext w:val="0"/>
        <w:keepLines w:val="0"/>
        <w:pageBreakBefore w:val="0"/>
        <w:widowControl w:val="0"/>
        <w:kinsoku/>
        <w:wordWrap/>
        <w:overflowPunct/>
        <w:topLinePunct w:val="0"/>
        <w:autoSpaceDE w:val="0"/>
        <w:autoSpaceDN w:val="0"/>
        <w:bidi w:val="0"/>
        <w:adjustRightInd w:val="0"/>
        <w:snapToGrid/>
        <w:spacing w:before="194" w:line="293" w:lineRule="auto"/>
        <w:ind w:left="0" w:leftChars="0" w:firstLine="512" w:firstLineChars="200"/>
        <w:textAlignment w:val="auto"/>
        <w:rPr>
          <w:rFonts w:hint="eastAsia" w:ascii="仿宋" w:hAnsi="仿宋" w:eastAsia="仿宋" w:cs="仿宋"/>
          <w:color w:val="auto"/>
          <w:spacing w:val="8"/>
          <w:highlight w:val="none"/>
        </w:rPr>
      </w:pPr>
      <w:r>
        <w:rPr>
          <w:rFonts w:hint="eastAsia" w:ascii="仿宋" w:hAnsi="仿宋" w:eastAsia="仿宋" w:cs="仿宋"/>
          <w:color w:val="auto"/>
          <w:spacing w:val="8"/>
          <w:highlight w:val="none"/>
        </w:rPr>
        <w:t>4.有依法缴纳税收和社会保障资金的良好记录；</w:t>
      </w:r>
    </w:p>
    <w:p w14:paraId="63C4DBA0">
      <w:pPr>
        <w:pStyle w:val="3"/>
        <w:keepNext w:val="0"/>
        <w:keepLines w:val="0"/>
        <w:pageBreakBefore w:val="0"/>
        <w:widowControl w:val="0"/>
        <w:kinsoku/>
        <w:wordWrap/>
        <w:overflowPunct/>
        <w:topLinePunct w:val="0"/>
        <w:autoSpaceDE w:val="0"/>
        <w:autoSpaceDN w:val="0"/>
        <w:bidi w:val="0"/>
        <w:adjustRightInd w:val="0"/>
        <w:snapToGrid/>
        <w:spacing w:before="194" w:line="293" w:lineRule="auto"/>
        <w:ind w:left="0" w:leftChars="0" w:firstLine="512" w:firstLineChars="200"/>
        <w:textAlignment w:val="auto"/>
        <w:rPr>
          <w:rFonts w:hint="eastAsia" w:ascii="仿宋" w:hAnsi="仿宋" w:eastAsia="仿宋" w:cs="仿宋"/>
          <w:color w:val="auto"/>
          <w:spacing w:val="8"/>
          <w:highlight w:val="none"/>
        </w:rPr>
      </w:pPr>
      <w:r>
        <w:rPr>
          <w:rFonts w:hint="eastAsia" w:ascii="仿宋" w:hAnsi="仿宋" w:eastAsia="仿宋" w:cs="仿宋"/>
          <w:color w:val="auto"/>
          <w:spacing w:val="8"/>
          <w:highlight w:val="none"/>
        </w:rPr>
        <w:t>5.参加本次政府采购活动前三年内，在经营活动中没有重大违法记录。</w:t>
      </w:r>
    </w:p>
    <w:p w14:paraId="3DA69D39">
      <w:pPr>
        <w:adjustRightInd w:val="0"/>
        <w:spacing w:line="360" w:lineRule="auto"/>
        <w:ind w:firstLine="240" w:firstLineChars="100"/>
        <w:jc w:val="left"/>
        <w:rPr>
          <w:rFonts w:hint="eastAsia" w:ascii="仿宋" w:hAnsi="仿宋" w:eastAsia="仿宋" w:cs="仿宋"/>
          <w:bCs/>
          <w:color w:val="000000"/>
          <w:kern w:val="0"/>
          <w:sz w:val="24"/>
          <w:szCs w:val="24"/>
          <w:lang w:val="en-US"/>
        </w:rPr>
      </w:pPr>
      <w:r>
        <w:rPr>
          <w:rFonts w:hint="eastAsia" w:ascii="仿宋" w:hAnsi="仿宋" w:eastAsia="仿宋" w:cs="仿宋"/>
          <w:bCs/>
          <w:color w:val="000000"/>
          <w:kern w:val="0"/>
          <w:sz w:val="24"/>
          <w:szCs w:val="24"/>
          <w:lang w:val="en-US"/>
        </w:rPr>
        <w:t>（二）我单位（本人）未被列入严重失信主体名单、失信被</w:t>
      </w:r>
      <w:r>
        <w:rPr>
          <w:rFonts w:hint="eastAsia" w:ascii="仿宋" w:hAnsi="仿宋" w:eastAsia="仿宋" w:cs="仿宋"/>
          <w:bCs/>
          <w:color w:val="000000"/>
          <w:kern w:val="0"/>
          <w:sz w:val="24"/>
          <w:szCs w:val="24"/>
          <w:lang w:val="en-US" w:eastAsia="zh-CN"/>
        </w:rPr>
        <w:t>执行人、税收违法黑名单、政府采购严重违法失信行为记录名单。</w:t>
      </w:r>
    </w:p>
    <w:p w14:paraId="38ED20C8">
      <w:pPr>
        <w:pStyle w:val="3"/>
        <w:keepNext w:val="0"/>
        <w:keepLines w:val="0"/>
        <w:pageBreakBefore w:val="0"/>
        <w:widowControl w:val="0"/>
        <w:kinsoku/>
        <w:wordWrap/>
        <w:overflowPunct/>
        <w:topLinePunct w:val="0"/>
        <w:autoSpaceDE w:val="0"/>
        <w:autoSpaceDN w:val="0"/>
        <w:bidi w:val="0"/>
        <w:adjustRightInd w:val="0"/>
        <w:snapToGrid/>
        <w:spacing w:before="194" w:line="293" w:lineRule="auto"/>
        <w:ind w:left="0" w:leftChars="0" w:firstLine="512" w:firstLineChars="200"/>
        <w:textAlignment w:val="auto"/>
        <w:rPr>
          <w:rFonts w:hint="eastAsia" w:ascii="仿宋" w:hAnsi="仿宋" w:eastAsia="仿宋" w:cs="仿宋"/>
          <w:color w:val="auto"/>
          <w:spacing w:val="8"/>
          <w:highlight w:val="none"/>
        </w:rPr>
      </w:pPr>
      <w:r>
        <w:rPr>
          <w:rFonts w:hint="eastAsia" w:ascii="仿宋" w:hAnsi="仿宋" w:eastAsia="仿宋" w:cs="仿宋"/>
          <w:color w:val="auto"/>
          <w:spacing w:val="8"/>
          <w:highlight w:val="none"/>
        </w:rPr>
        <w:t>我单位(本人)对本承诺函及所承诺事项的真实性、合法性及有效性负责，并已知晓如所做信用承诺不实，存在“提供虚假材料谋取中标成交”的违法情形，愿意接受行政监管部门按照《中华人民共和国政府采购法》有关条款进行处理，给他人造成损失的，依照有关民事法律规定承担民事责任。</w:t>
      </w:r>
    </w:p>
    <w:p w14:paraId="68F97E4B">
      <w:pPr>
        <w:spacing w:line="271" w:lineRule="auto"/>
        <w:rPr>
          <w:rFonts w:hint="eastAsia" w:ascii="仿宋" w:hAnsi="仿宋" w:eastAsia="仿宋" w:cs="仿宋"/>
          <w:color w:val="auto"/>
          <w:sz w:val="21"/>
          <w:highlight w:val="none"/>
        </w:rPr>
      </w:pPr>
    </w:p>
    <w:p w14:paraId="0D1B2FC0">
      <w:pPr>
        <w:pStyle w:val="3"/>
        <w:keepNext w:val="0"/>
        <w:keepLines w:val="0"/>
        <w:pageBreakBefore w:val="0"/>
        <w:widowControl w:val="0"/>
        <w:kinsoku/>
        <w:wordWrap/>
        <w:overflowPunct/>
        <w:topLinePunct w:val="0"/>
        <w:autoSpaceDE w:val="0"/>
        <w:autoSpaceDN w:val="0"/>
        <w:bidi w:val="0"/>
        <w:adjustRightInd w:val="0"/>
        <w:snapToGrid/>
        <w:spacing w:before="0" w:line="560" w:lineRule="exact"/>
        <w:ind w:left="0" w:right="840" w:rightChars="400"/>
        <w:jc w:val="right"/>
        <w:textAlignment w:val="auto"/>
        <w:rPr>
          <w:rFonts w:hint="eastAsia" w:ascii="仿宋" w:hAnsi="仿宋" w:eastAsia="仿宋" w:cs="仿宋"/>
          <w:color w:val="auto"/>
          <w:highlight w:val="none"/>
        </w:rPr>
      </w:pPr>
      <w:r>
        <w:rPr>
          <w:rFonts w:hint="eastAsia" w:ascii="仿宋" w:hAnsi="仿宋" w:eastAsia="仿宋" w:cs="仿宋"/>
          <w:color w:val="auto"/>
          <w:spacing w:val="6"/>
          <w:position w:val="24"/>
          <w:highlight w:val="none"/>
        </w:rPr>
        <w:t>供应商名称(单位公章):</w:t>
      </w:r>
    </w:p>
    <w:p w14:paraId="10A0B875">
      <w:pPr>
        <w:pStyle w:val="3"/>
        <w:keepNext w:val="0"/>
        <w:keepLines w:val="0"/>
        <w:pageBreakBefore w:val="0"/>
        <w:widowControl w:val="0"/>
        <w:kinsoku/>
        <w:wordWrap/>
        <w:overflowPunct/>
        <w:topLinePunct w:val="0"/>
        <w:autoSpaceDE w:val="0"/>
        <w:autoSpaceDN w:val="0"/>
        <w:bidi w:val="0"/>
        <w:adjustRightInd w:val="0"/>
        <w:snapToGrid/>
        <w:spacing w:before="0" w:line="360" w:lineRule="exact"/>
        <w:ind w:left="0" w:right="840" w:rightChars="400"/>
        <w:jc w:val="right"/>
        <w:textAlignment w:val="auto"/>
        <w:rPr>
          <w:rFonts w:hint="eastAsia" w:ascii="仿宋" w:hAnsi="仿宋" w:eastAsia="仿宋" w:cs="仿宋"/>
          <w:color w:val="auto"/>
          <w:highlight w:val="none"/>
        </w:rPr>
      </w:pPr>
      <w:r>
        <w:rPr>
          <w:rFonts w:hint="eastAsia" w:ascii="仿宋" w:hAnsi="仿宋" w:eastAsia="仿宋" w:cs="仿宋"/>
          <w:color w:val="auto"/>
          <w:spacing w:val="-4"/>
          <w:highlight w:val="none"/>
        </w:rPr>
        <w:t>自然人(签字):</w:t>
      </w:r>
    </w:p>
    <w:p w14:paraId="21C04F46">
      <w:pPr>
        <w:pStyle w:val="3"/>
        <w:keepNext w:val="0"/>
        <w:keepLines w:val="0"/>
        <w:pageBreakBefore w:val="0"/>
        <w:widowControl w:val="0"/>
        <w:kinsoku/>
        <w:wordWrap/>
        <w:overflowPunct/>
        <w:topLinePunct w:val="0"/>
        <w:autoSpaceDE w:val="0"/>
        <w:autoSpaceDN w:val="0"/>
        <w:bidi w:val="0"/>
        <w:adjustRightInd w:val="0"/>
        <w:snapToGrid/>
        <w:spacing w:before="204" w:line="400" w:lineRule="exact"/>
        <w:ind w:right="840" w:rightChars="400"/>
        <w:jc w:val="right"/>
        <w:textAlignment w:val="auto"/>
        <w:rPr>
          <w:rFonts w:hint="eastAsia" w:ascii="仿宋" w:hAnsi="仿宋" w:eastAsia="仿宋" w:cs="仿宋"/>
          <w:color w:val="auto"/>
          <w:sz w:val="24"/>
          <w:highlight w:val="none"/>
        </w:rPr>
      </w:pPr>
      <w:r>
        <w:rPr>
          <w:rFonts w:hint="eastAsia" w:ascii="仿宋" w:hAnsi="仿宋" w:eastAsia="仿宋" w:cs="仿宋"/>
          <w:color w:val="auto"/>
          <w:spacing w:val="-10"/>
          <w:highlight w:val="none"/>
        </w:rPr>
        <w:t>年</w:t>
      </w:r>
      <w:r>
        <w:rPr>
          <w:rFonts w:hint="eastAsia" w:ascii="仿宋" w:hAnsi="仿宋" w:eastAsia="仿宋" w:cs="仿宋"/>
          <w:color w:val="auto"/>
          <w:spacing w:val="4"/>
          <w:highlight w:val="none"/>
        </w:rPr>
        <w:t xml:space="preserve">       </w:t>
      </w:r>
      <w:r>
        <w:rPr>
          <w:rFonts w:hint="eastAsia" w:ascii="仿宋" w:hAnsi="仿宋" w:eastAsia="仿宋" w:cs="仿宋"/>
          <w:color w:val="auto"/>
          <w:spacing w:val="-10"/>
          <w:highlight w:val="none"/>
        </w:rPr>
        <w:t>月</w:t>
      </w:r>
      <w:r>
        <w:rPr>
          <w:rFonts w:hint="eastAsia" w:ascii="仿宋" w:hAnsi="仿宋" w:eastAsia="仿宋" w:cs="仿宋"/>
          <w:color w:val="auto"/>
          <w:spacing w:val="12"/>
          <w:highlight w:val="none"/>
        </w:rPr>
        <w:t xml:space="preserve">       </w:t>
      </w:r>
      <w:r>
        <w:rPr>
          <w:rFonts w:hint="eastAsia" w:ascii="仿宋" w:hAnsi="仿宋" w:eastAsia="仿宋" w:cs="仿宋"/>
          <w:color w:val="auto"/>
          <w:spacing w:val="-10"/>
          <w:highlight w:val="none"/>
        </w:rPr>
        <w:t>日</w:t>
      </w:r>
    </w:p>
    <w:p w14:paraId="7D065B50">
      <w:pPr>
        <w:spacing w:line="360" w:lineRule="auto"/>
        <w:rPr>
          <w:rFonts w:ascii="仿宋" w:hAnsi="仿宋" w:eastAsia="仿宋" w:cs="仿宋"/>
          <w:color w:val="auto"/>
          <w:sz w:val="24"/>
        </w:rPr>
      </w:pPr>
    </w:p>
    <w:sectPr>
      <w:pgSz w:w="11906" w:h="16838"/>
      <w:pgMar w:top="1417" w:right="1417" w:bottom="1417" w:left="1417"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wNzI1NTlmMDNhOWE5MjM1ZGMzYmQxMjBkYTkzZmYifQ=="/>
    <w:docVar w:name="KSO_WPS_MARK_KEY" w:val="b3123864-d8f4-4f11-8615-00c9e64d557a"/>
  </w:docVars>
  <w:rsids>
    <w:rsidRoot w:val="1A151712"/>
    <w:rsid w:val="003A5DEA"/>
    <w:rsid w:val="00492C01"/>
    <w:rsid w:val="007C7679"/>
    <w:rsid w:val="00A9244C"/>
    <w:rsid w:val="00E32D5A"/>
    <w:rsid w:val="01662859"/>
    <w:rsid w:val="01892885"/>
    <w:rsid w:val="01F04361"/>
    <w:rsid w:val="02C62CF8"/>
    <w:rsid w:val="02F27709"/>
    <w:rsid w:val="03757AE3"/>
    <w:rsid w:val="046D2830"/>
    <w:rsid w:val="050F1CE1"/>
    <w:rsid w:val="053A5EC3"/>
    <w:rsid w:val="06BE736E"/>
    <w:rsid w:val="07D84A09"/>
    <w:rsid w:val="08787D8B"/>
    <w:rsid w:val="08D84EA5"/>
    <w:rsid w:val="0B7C4365"/>
    <w:rsid w:val="0CB832EC"/>
    <w:rsid w:val="0CFA5CEA"/>
    <w:rsid w:val="0D360E82"/>
    <w:rsid w:val="0D512367"/>
    <w:rsid w:val="116D36B5"/>
    <w:rsid w:val="11E06076"/>
    <w:rsid w:val="12FD43A6"/>
    <w:rsid w:val="13103780"/>
    <w:rsid w:val="145C30F7"/>
    <w:rsid w:val="15145780"/>
    <w:rsid w:val="17A1399F"/>
    <w:rsid w:val="17D11706"/>
    <w:rsid w:val="181F0358"/>
    <w:rsid w:val="198A17AD"/>
    <w:rsid w:val="1A151712"/>
    <w:rsid w:val="1D291FE4"/>
    <w:rsid w:val="1D6C06A0"/>
    <w:rsid w:val="1E965458"/>
    <w:rsid w:val="1FDC2548"/>
    <w:rsid w:val="2000363C"/>
    <w:rsid w:val="205F2768"/>
    <w:rsid w:val="20DE6BCD"/>
    <w:rsid w:val="20EA188C"/>
    <w:rsid w:val="20F841A8"/>
    <w:rsid w:val="21700B1F"/>
    <w:rsid w:val="23574F07"/>
    <w:rsid w:val="244D2A2D"/>
    <w:rsid w:val="24687DF7"/>
    <w:rsid w:val="24DB12B7"/>
    <w:rsid w:val="24E543C5"/>
    <w:rsid w:val="266A2F07"/>
    <w:rsid w:val="28660436"/>
    <w:rsid w:val="28991DCC"/>
    <w:rsid w:val="2C085FFB"/>
    <w:rsid w:val="2CA0156E"/>
    <w:rsid w:val="2CDB5DAC"/>
    <w:rsid w:val="2E8E4403"/>
    <w:rsid w:val="2EB85728"/>
    <w:rsid w:val="2F0A5634"/>
    <w:rsid w:val="30226CE1"/>
    <w:rsid w:val="304C3BC8"/>
    <w:rsid w:val="30E05769"/>
    <w:rsid w:val="31765784"/>
    <w:rsid w:val="324B7C8E"/>
    <w:rsid w:val="336824D2"/>
    <w:rsid w:val="34A3421F"/>
    <w:rsid w:val="34F80970"/>
    <w:rsid w:val="357960CC"/>
    <w:rsid w:val="35AD5402"/>
    <w:rsid w:val="37542D46"/>
    <w:rsid w:val="39CD5D7A"/>
    <w:rsid w:val="3A405D74"/>
    <w:rsid w:val="3A505DA7"/>
    <w:rsid w:val="3B9C3C56"/>
    <w:rsid w:val="3CCC42B8"/>
    <w:rsid w:val="3ED30239"/>
    <w:rsid w:val="3F1B465A"/>
    <w:rsid w:val="3F475259"/>
    <w:rsid w:val="3FCA4B09"/>
    <w:rsid w:val="3FFB2F15"/>
    <w:rsid w:val="40EF540B"/>
    <w:rsid w:val="418059B8"/>
    <w:rsid w:val="41E232E6"/>
    <w:rsid w:val="41E64DD8"/>
    <w:rsid w:val="42497F67"/>
    <w:rsid w:val="424F47FB"/>
    <w:rsid w:val="429501E5"/>
    <w:rsid w:val="4339142F"/>
    <w:rsid w:val="440C749E"/>
    <w:rsid w:val="44E73BDE"/>
    <w:rsid w:val="478A7709"/>
    <w:rsid w:val="49226CE1"/>
    <w:rsid w:val="4A161085"/>
    <w:rsid w:val="4B114FF9"/>
    <w:rsid w:val="4BFE07A3"/>
    <w:rsid w:val="4D694B78"/>
    <w:rsid w:val="4D782C75"/>
    <w:rsid w:val="4E632F5A"/>
    <w:rsid w:val="4E8D7471"/>
    <w:rsid w:val="4EC31B81"/>
    <w:rsid w:val="4FAB4A53"/>
    <w:rsid w:val="51A76D92"/>
    <w:rsid w:val="523B43FE"/>
    <w:rsid w:val="535C1B71"/>
    <w:rsid w:val="56BB03C9"/>
    <w:rsid w:val="57901CD5"/>
    <w:rsid w:val="57B61F99"/>
    <w:rsid w:val="57F8E8F7"/>
    <w:rsid w:val="5AA71877"/>
    <w:rsid w:val="5B305D11"/>
    <w:rsid w:val="5BF97248"/>
    <w:rsid w:val="5DEB5BC4"/>
    <w:rsid w:val="5E5E54EE"/>
    <w:rsid w:val="5E9A3FC4"/>
    <w:rsid w:val="5E9D0581"/>
    <w:rsid w:val="5F0978B7"/>
    <w:rsid w:val="5FD17AC2"/>
    <w:rsid w:val="6017014C"/>
    <w:rsid w:val="601D3A98"/>
    <w:rsid w:val="606D05F0"/>
    <w:rsid w:val="60CE2F05"/>
    <w:rsid w:val="612B3202"/>
    <w:rsid w:val="61E7226F"/>
    <w:rsid w:val="63077E13"/>
    <w:rsid w:val="64EF4547"/>
    <w:rsid w:val="64F63B27"/>
    <w:rsid w:val="6531690D"/>
    <w:rsid w:val="659F5F6D"/>
    <w:rsid w:val="65CC76D3"/>
    <w:rsid w:val="66321B48"/>
    <w:rsid w:val="689E69AF"/>
    <w:rsid w:val="697B0A9F"/>
    <w:rsid w:val="69C705DA"/>
    <w:rsid w:val="6B8E6209"/>
    <w:rsid w:val="6C726189"/>
    <w:rsid w:val="6DD71183"/>
    <w:rsid w:val="6E437A58"/>
    <w:rsid w:val="6EC9405A"/>
    <w:rsid w:val="6F143527"/>
    <w:rsid w:val="707D0D1C"/>
    <w:rsid w:val="70893AA1"/>
    <w:rsid w:val="70F41E7F"/>
    <w:rsid w:val="72CC4119"/>
    <w:rsid w:val="72DB435C"/>
    <w:rsid w:val="72DD425C"/>
    <w:rsid w:val="730A041E"/>
    <w:rsid w:val="7346211D"/>
    <w:rsid w:val="75CF458C"/>
    <w:rsid w:val="75D41B0C"/>
    <w:rsid w:val="761E2EDE"/>
    <w:rsid w:val="76975769"/>
    <w:rsid w:val="769B62DC"/>
    <w:rsid w:val="777E4A45"/>
    <w:rsid w:val="782E58DB"/>
    <w:rsid w:val="789F4079"/>
    <w:rsid w:val="79750948"/>
    <w:rsid w:val="7B670E83"/>
    <w:rsid w:val="7BC10184"/>
    <w:rsid w:val="7BE8028C"/>
    <w:rsid w:val="7C4D1E27"/>
    <w:rsid w:val="7D7B5AB1"/>
    <w:rsid w:val="7E4C7A8A"/>
    <w:rsid w:val="F2FFB4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7"/>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0" w:after="20" w:line="416" w:lineRule="auto"/>
      <w:outlineLvl w:val="1"/>
    </w:pPr>
    <w:rPr>
      <w:rFonts w:ascii="Arial" w:hAnsi="Arial" w:eastAsia="宋体"/>
      <w:b/>
      <w:bCs/>
      <w:sz w:val="24"/>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autoRedefine/>
    <w:unhideWhenUsed/>
    <w:qFormat/>
    <w:uiPriority w:val="99"/>
    <w:pPr>
      <w:autoSpaceDE w:val="0"/>
      <w:autoSpaceDN w:val="0"/>
      <w:adjustRightInd w:val="0"/>
      <w:spacing w:before="185"/>
      <w:ind w:left="1080"/>
      <w:jc w:val="left"/>
    </w:pPr>
    <w:rPr>
      <w:rFonts w:ascii="宋体" w:cs="宋体"/>
      <w:kern w:val="0"/>
      <w:sz w:val="24"/>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2"/>
    <w:basedOn w:val="1"/>
    <w:next w:val="1"/>
    <w:autoRedefine/>
    <w:qFormat/>
    <w:uiPriority w:val="0"/>
    <w:pPr>
      <w:ind w:left="420" w:leftChars="200"/>
    </w:pPr>
    <w:rPr>
      <w:rFonts w:ascii="Times New Roman" w:hAnsi="Times New Roman" w:eastAsia="宋体" w:cs="Times New Roman"/>
    </w:rPr>
  </w:style>
  <w:style w:type="paragraph" w:styleId="7">
    <w:name w:val="Normal (Web)"/>
    <w:basedOn w:val="1"/>
    <w:autoRedefine/>
    <w:qFormat/>
    <w:uiPriority w:val="0"/>
    <w:pPr>
      <w:spacing w:before="100" w:beforeAutospacing="1" w:after="100" w:afterAutospacing="1"/>
      <w:jc w:val="left"/>
    </w:pPr>
    <w:rPr>
      <w:rFonts w:ascii="Times New Roman" w:hAnsi="Times New Roman" w:eastAsia="宋体" w:cs="Times New Roman"/>
      <w:kern w:val="0"/>
      <w:sz w:val="24"/>
    </w:rPr>
  </w:style>
  <w:style w:type="table" w:styleId="9">
    <w:name w:val="Table Grid"/>
    <w:basedOn w:val="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FollowedHyperlink"/>
    <w:basedOn w:val="10"/>
    <w:autoRedefine/>
    <w:qFormat/>
    <w:uiPriority w:val="0"/>
    <w:rPr>
      <w:color w:val="333333"/>
      <w:u w:val="none"/>
    </w:rPr>
  </w:style>
  <w:style w:type="character" w:styleId="12">
    <w:name w:val="Hyperlink"/>
    <w:basedOn w:val="10"/>
    <w:autoRedefine/>
    <w:qFormat/>
    <w:uiPriority w:val="0"/>
    <w:rPr>
      <w:color w:val="333333"/>
      <w:u w:val="none"/>
    </w:rPr>
  </w:style>
  <w:style w:type="character" w:styleId="13">
    <w:name w:val="HTML Code"/>
    <w:basedOn w:val="10"/>
    <w:autoRedefine/>
    <w:qFormat/>
    <w:uiPriority w:val="0"/>
    <w:rPr>
      <w:rFonts w:ascii="Courier New" w:hAnsi="Courier New"/>
      <w:sz w:val="24"/>
      <w:szCs w:val="24"/>
      <w:vertAlign w:val="baseline"/>
    </w:rPr>
  </w:style>
  <w:style w:type="paragraph" w:customStyle="1" w:styleId="14">
    <w:name w:val="Table Text"/>
    <w:basedOn w:val="1"/>
    <w:autoRedefine/>
    <w:semiHidden/>
    <w:qFormat/>
    <w:uiPriority w:val="0"/>
    <w:rPr>
      <w:rFonts w:ascii="宋体" w:hAnsi="宋体" w:eastAsia="宋体" w:cs="宋体"/>
      <w:sz w:val="18"/>
      <w:szCs w:val="18"/>
      <w:lang w:eastAsia="en-US"/>
    </w:rPr>
  </w:style>
  <w:style w:type="paragraph" w:customStyle="1" w:styleId="15">
    <w:name w:val="标题 41"/>
    <w:basedOn w:val="1"/>
    <w:autoRedefine/>
    <w:qFormat/>
    <w:uiPriority w:val="0"/>
    <w:pPr>
      <w:keepNext/>
      <w:keepLines/>
      <w:spacing w:before="280" w:after="290" w:line="376" w:lineRule="auto"/>
      <w:outlineLvl w:val="3"/>
    </w:pPr>
    <w:rPr>
      <w:rFonts w:ascii="Arial" w:hAnsi="Arial" w:eastAsia="黑体"/>
      <w:b/>
      <w:bCs/>
      <w:sz w:val="28"/>
      <w:szCs w:val="28"/>
    </w:rPr>
  </w:style>
  <w:style w:type="paragraph" w:customStyle="1" w:styleId="16">
    <w:name w:val="普通正文"/>
    <w:basedOn w:val="1"/>
    <w:autoRedefine/>
    <w:qFormat/>
    <w:uiPriority w:val="0"/>
    <w:pPr>
      <w:spacing w:before="120" w:after="120"/>
      <w:ind w:firstLine="480"/>
      <w:jc w:val="left"/>
    </w:pPr>
    <w:rPr>
      <w:rFonts w:ascii="Arial" w:hAnsi="Arial"/>
    </w:rPr>
  </w:style>
  <w:style w:type="character" w:customStyle="1" w:styleId="17">
    <w:name w:val="NormalCharacter"/>
    <w:link w:val="1"/>
    <w:semiHidden/>
    <w:qFormat/>
    <w:uiPriority w:val="0"/>
    <w:rPr>
      <w:rFonts w:asciiTheme="minorHAnsi" w:hAnsiTheme="minorHAnsi" w:eastAsiaTheme="minorEastAsia" w:cstheme="minorBidi"/>
      <w:kern w:val="2"/>
      <w:sz w:val="21"/>
      <w:szCs w:val="24"/>
      <w:lang w:val="en-US" w:eastAsia="zh-CN" w:bidi="ar-SA"/>
    </w:rPr>
  </w:style>
  <w:style w:type="paragraph" w:customStyle="1" w:styleId="1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3872</Words>
  <Characters>4545</Characters>
  <Lines>12</Lines>
  <Paragraphs>3</Paragraphs>
  <TotalTime>0</TotalTime>
  <ScaleCrop>false</ScaleCrop>
  <LinksUpToDate>false</LinksUpToDate>
  <CharactersWithSpaces>4571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2024-02-20T17:37:00Z</dcterms:created>
  <dc:creator>腾 讯 新 闻</dc:creator>
  <cp:lastModifiedBy>Administrator</cp:lastModifiedBy>
  <cp:lastPrinted>2024-06-03T00:15:00Z</cp:lastPrinted>
  <dcterms:modified xsi:type="dcterms:W3CDTF">2026-03-13T08:44:58Z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917D1A0ECE21410C8853BBCF823E0D94_13</vt:lpwstr>
  </property>
  <property fmtid="{D5CDD505-2E9C-101B-9397-08002B2CF9AE}" pid="4" name="KSOTemplateDocerSaveRecord">
    <vt:lpwstr>eyJoZGlkIjoiZTVmMDJmOTQ1MTAzYTAxYmI2YmU1M2MxMTRlOTQ5NzQiLCJ1c2VySWQiOiIxMTY1OTU3NzA0In0=</vt:lpwstr>
  </property>
</Properties>
</file>