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7CA74">
      <w:pPr>
        <w:jc w:val="center"/>
        <w:rPr>
          <w:rFonts w:ascii="黑体" w:hAnsi="黑体" w:eastAsia="黑体" w:cs="黑体"/>
          <w:bCs/>
          <w:color w:val="auto"/>
          <w:sz w:val="48"/>
          <w:szCs w:val="48"/>
          <w:highlight w:val="none"/>
        </w:rPr>
      </w:pPr>
    </w:p>
    <w:p w14:paraId="6B020393">
      <w:pPr>
        <w:jc w:val="center"/>
        <w:rPr>
          <w:rFonts w:ascii="黑体" w:hAnsi="黑体" w:eastAsia="黑体" w:cs="黑体"/>
          <w:bCs/>
          <w:color w:val="auto"/>
          <w:sz w:val="106"/>
          <w:szCs w:val="106"/>
          <w:highlight w:val="none"/>
        </w:rPr>
      </w:pPr>
    </w:p>
    <w:p w14:paraId="5B9E0BA4">
      <w:pPr>
        <w:jc w:val="center"/>
        <w:rPr>
          <w:rFonts w:ascii="黑体" w:hAnsi="黑体" w:eastAsia="黑体" w:cs="黑体"/>
          <w:bCs/>
          <w:color w:val="auto"/>
          <w:sz w:val="106"/>
          <w:szCs w:val="106"/>
          <w:highlight w:val="none"/>
        </w:rPr>
      </w:pPr>
      <w:r>
        <w:rPr>
          <w:rFonts w:hint="eastAsia" w:ascii="黑体" w:hAnsi="黑体" w:eastAsia="黑体" w:cs="黑体"/>
          <w:bCs/>
          <w:color w:val="auto"/>
          <w:sz w:val="106"/>
          <w:szCs w:val="106"/>
          <w:highlight w:val="none"/>
          <w:lang w:val="en-US" w:eastAsia="zh-CN"/>
        </w:rPr>
        <w:t>公开</w:t>
      </w:r>
      <w:r>
        <w:rPr>
          <w:rFonts w:hint="eastAsia" w:ascii="黑体" w:hAnsi="黑体" w:eastAsia="黑体" w:cs="黑体"/>
          <w:bCs/>
          <w:color w:val="auto"/>
          <w:sz w:val="106"/>
          <w:szCs w:val="106"/>
          <w:highlight w:val="none"/>
        </w:rPr>
        <w:t>招标文件</w:t>
      </w:r>
    </w:p>
    <w:p w14:paraId="7C2D06C3">
      <w:pPr>
        <w:jc w:val="center"/>
        <w:rPr>
          <w:rFonts w:hint="eastAsia" w:ascii="黑体" w:hAnsi="黑体" w:eastAsia="黑体" w:cs="黑体"/>
          <w:color w:val="auto"/>
          <w:sz w:val="52"/>
          <w:szCs w:val="52"/>
          <w:highlight w:val="none"/>
          <w:u w:val="none"/>
          <w:lang w:eastAsia="zh-CN"/>
        </w:rPr>
      </w:pPr>
      <w:r>
        <w:rPr>
          <w:rFonts w:hint="eastAsia" w:ascii="黑体" w:hAnsi="黑体" w:eastAsia="黑体" w:cs="黑体"/>
          <w:color w:val="auto"/>
          <w:sz w:val="52"/>
          <w:szCs w:val="52"/>
          <w:highlight w:val="none"/>
          <w:u w:val="none"/>
          <w:lang w:eastAsia="zh-CN"/>
        </w:rPr>
        <w:t>（</w:t>
      </w:r>
      <w:r>
        <w:rPr>
          <w:rFonts w:hint="eastAsia" w:ascii="黑体" w:hAnsi="黑体" w:eastAsia="黑体" w:cs="黑体"/>
          <w:color w:val="auto"/>
          <w:sz w:val="52"/>
          <w:szCs w:val="52"/>
          <w:highlight w:val="none"/>
          <w:u w:val="none"/>
          <w:lang w:val="en-US" w:eastAsia="zh-CN"/>
        </w:rPr>
        <w:t>服务类</w:t>
      </w:r>
      <w:r>
        <w:rPr>
          <w:rFonts w:hint="eastAsia" w:ascii="黑体" w:hAnsi="黑体" w:eastAsia="黑体" w:cs="黑体"/>
          <w:color w:val="auto"/>
          <w:sz w:val="52"/>
          <w:szCs w:val="52"/>
          <w:highlight w:val="none"/>
          <w:u w:val="none"/>
          <w:lang w:eastAsia="zh-CN"/>
        </w:rPr>
        <w:t>）</w:t>
      </w:r>
    </w:p>
    <w:p w14:paraId="05274BCE">
      <w:pPr>
        <w:jc w:val="center"/>
        <w:rPr>
          <w:rFonts w:ascii="黑体" w:hAnsi="黑体" w:eastAsia="黑体" w:cs="黑体"/>
          <w:color w:val="auto"/>
          <w:sz w:val="44"/>
          <w:szCs w:val="44"/>
          <w:highlight w:val="none"/>
          <w:u w:val="single"/>
        </w:rPr>
      </w:pPr>
      <w:r>
        <w:rPr>
          <w:rFonts w:hint="eastAsia" w:ascii="黑体" w:hAnsi="黑体" w:eastAsia="黑体" w:cs="黑体"/>
          <w:color w:val="auto"/>
          <w:sz w:val="44"/>
          <w:szCs w:val="44"/>
          <w:highlight w:val="none"/>
          <w:u w:val="single"/>
        </w:rPr>
        <w:drawing>
          <wp:anchor distT="0" distB="0" distL="114300" distR="114300" simplePos="0" relativeHeight="251659264" behindDoc="1" locked="0" layoutInCell="1" allowOverlap="1">
            <wp:simplePos x="0" y="0"/>
            <wp:positionH relativeFrom="column">
              <wp:posOffset>2425065</wp:posOffset>
            </wp:positionH>
            <wp:positionV relativeFrom="paragraph">
              <wp:posOffset>294005</wp:posOffset>
            </wp:positionV>
            <wp:extent cx="1137920" cy="1137920"/>
            <wp:effectExtent l="0" t="0" r="5080" b="5080"/>
            <wp:wrapNone/>
            <wp:docPr id="3" name="图片 3" descr="微信图片_2019052307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523075603"/>
                    <pic:cNvPicPr>
                      <a:picLocks noChangeAspect="1"/>
                    </pic:cNvPicPr>
                  </pic:nvPicPr>
                  <pic:blipFill>
                    <a:blip r:embed="rId17"/>
                    <a:stretch>
                      <a:fillRect/>
                    </a:stretch>
                  </pic:blipFill>
                  <pic:spPr>
                    <a:xfrm>
                      <a:off x="0" y="0"/>
                      <a:ext cx="1137920" cy="1137920"/>
                    </a:xfrm>
                    <a:prstGeom prst="rect">
                      <a:avLst/>
                    </a:prstGeom>
                  </pic:spPr>
                </pic:pic>
              </a:graphicData>
            </a:graphic>
          </wp:anchor>
        </w:drawing>
      </w:r>
    </w:p>
    <w:p w14:paraId="79B0F21A">
      <w:pPr>
        <w:pStyle w:val="10"/>
        <w:jc w:val="center"/>
        <w:rPr>
          <w:rFonts w:ascii="黑体" w:hAnsi="黑体" w:eastAsia="黑体" w:cs="黑体"/>
          <w:color w:val="auto"/>
          <w:sz w:val="44"/>
          <w:szCs w:val="44"/>
          <w:highlight w:val="none"/>
          <w:u w:val="single"/>
        </w:rPr>
      </w:pPr>
    </w:p>
    <w:p w14:paraId="52726A4E">
      <w:pPr>
        <w:pStyle w:val="10"/>
        <w:rPr>
          <w:rFonts w:ascii="黑体" w:hAnsi="黑体" w:eastAsia="黑体" w:cs="黑体"/>
          <w:color w:val="auto"/>
          <w:sz w:val="44"/>
          <w:szCs w:val="44"/>
          <w:highlight w:val="none"/>
          <w:u w:val="single"/>
        </w:rPr>
      </w:pPr>
    </w:p>
    <w:p w14:paraId="7EEB36C0">
      <w:pPr>
        <w:jc w:val="center"/>
        <w:rPr>
          <w:rFonts w:ascii="黑体" w:hAnsi="黑体" w:eastAsia="黑体" w:cs="黑体"/>
          <w:color w:val="auto"/>
          <w:sz w:val="44"/>
          <w:szCs w:val="44"/>
          <w:highlight w:val="none"/>
          <w:u w:val="single"/>
        </w:rPr>
      </w:pPr>
    </w:p>
    <w:p w14:paraId="746E336F">
      <w:pPr>
        <w:ind w:left="-197" w:leftChars="-93" w:firstLine="0" w:firstLineChars="0"/>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项目名称：</w:t>
      </w:r>
      <w:r>
        <w:rPr>
          <w:rFonts w:hint="eastAsia" w:ascii="黑体" w:hAnsi="黑体" w:eastAsia="黑体" w:cs="黑体"/>
          <w:color w:val="auto"/>
          <w:sz w:val="36"/>
          <w:szCs w:val="36"/>
          <w:highlight w:val="none"/>
          <w:u w:val="single"/>
          <w:lang w:eastAsia="zh-CN"/>
        </w:rPr>
        <w:t>吉水县工业园区CXGYY0602地块土方平整采购项目</w:t>
      </w:r>
    </w:p>
    <w:p w14:paraId="73C84DB3">
      <w:pPr>
        <w:ind w:left="-197" w:leftChars="-93" w:firstLine="0" w:firstLineChars="0"/>
        <w:rPr>
          <w:rFonts w:ascii="黑体" w:hAnsi="黑体" w:eastAsia="黑体" w:cs="黑体"/>
          <w:bCs/>
          <w:color w:val="auto"/>
          <w:sz w:val="32"/>
          <w:szCs w:val="32"/>
          <w:highlight w:val="none"/>
        </w:rPr>
      </w:pPr>
    </w:p>
    <w:p w14:paraId="2B528CDF">
      <w:pPr>
        <w:ind w:left="-197" w:leftChars="-93" w:firstLine="0" w:firstLineChars="0"/>
        <w:jc w:val="center"/>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项目编号：</w:t>
      </w:r>
      <w:r>
        <w:rPr>
          <w:rFonts w:hint="eastAsia" w:ascii="黑体" w:hAnsi="黑体" w:eastAsia="黑体" w:cs="黑体"/>
          <w:bCs/>
          <w:color w:val="auto"/>
          <w:sz w:val="32"/>
          <w:szCs w:val="32"/>
          <w:highlight w:val="none"/>
          <w:lang w:eastAsia="zh-CN"/>
        </w:rPr>
        <w:t>【ABXZBNB202601016】</w:t>
      </w:r>
    </w:p>
    <w:p w14:paraId="780057B2">
      <w:pPr>
        <w:ind w:firstLine="630"/>
        <w:rPr>
          <w:rFonts w:eastAsia="Times New Roman"/>
          <w:color w:val="auto"/>
          <w:sz w:val="32"/>
          <w:highlight w:val="none"/>
        </w:rPr>
      </w:pPr>
    </w:p>
    <w:p w14:paraId="733158F0">
      <w:pPr>
        <w:spacing w:line="600" w:lineRule="auto"/>
        <w:ind w:firstLine="906" w:firstLineChars="300"/>
        <w:rPr>
          <w:rFonts w:hint="default" w:ascii="黑体" w:hAnsi="黑体" w:eastAsia="黑体" w:cs="黑体"/>
          <w:color w:val="auto"/>
          <w:kern w:val="0"/>
          <w:sz w:val="30"/>
          <w:szCs w:val="30"/>
          <w:highlight w:val="none"/>
          <w:u w:val="single"/>
          <w:lang w:val="en-US" w:eastAsia="zh-CN"/>
        </w:rPr>
      </w:pPr>
      <w:r>
        <w:rPr>
          <w:rFonts w:hint="eastAsia" w:ascii="黑体" w:hAnsi="黑体" w:eastAsia="黑体" w:cs="黑体"/>
          <w:color w:val="auto"/>
          <w:kern w:val="0"/>
          <w:sz w:val="30"/>
          <w:szCs w:val="30"/>
          <w:highlight w:val="none"/>
          <w:lang w:eastAsia="zh-CN"/>
        </w:rPr>
        <w:t>采购人</w:t>
      </w:r>
      <w:r>
        <w:rPr>
          <w:rFonts w:hint="eastAsia" w:ascii="黑体" w:hAnsi="黑体" w:eastAsia="黑体" w:cs="黑体"/>
          <w:color w:val="auto"/>
          <w:kern w:val="0"/>
          <w:sz w:val="30"/>
          <w:szCs w:val="30"/>
          <w:highlight w:val="none"/>
        </w:rPr>
        <w:t>名称：</w:t>
      </w:r>
      <w:r>
        <w:rPr>
          <w:rFonts w:hint="eastAsia" w:ascii="黑体" w:hAnsi="黑体" w:eastAsia="黑体" w:cs="黑体"/>
          <w:color w:val="auto"/>
          <w:kern w:val="0"/>
          <w:sz w:val="30"/>
          <w:szCs w:val="30"/>
          <w:highlight w:val="none"/>
          <w:u w:val="single"/>
        </w:rPr>
        <w:t xml:space="preserve">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kern w:val="0"/>
          <w:sz w:val="30"/>
          <w:szCs w:val="30"/>
          <w:highlight w:val="none"/>
          <w:u w:val="single"/>
          <w:lang w:eastAsia="zh-CN"/>
        </w:rPr>
        <w:t>吉水园区资产运营管理有限责任公司</w:t>
      </w:r>
      <w:r>
        <w:rPr>
          <w:rFonts w:hint="eastAsia" w:ascii="黑体" w:hAnsi="黑体" w:eastAsia="黑体" w:cs="黑体"/>
          <w:color w:val="auto"/>
          <w:kern w:val="0"/>
          <w:sz w:val="30"/>
          <w:szCs w:val="30"/>
          <w:highlight w:val="none"/>
          <w:u w:val="single"/>
          <w:lang w:val="en-US" w:eastAsia="zh-CN"/>
        </w:rPr>
        <w:t xml:space="preserve">  </w:t>
      </w:r>
    </w:p>
    <w:p w14:paraId="748AFADE">
      <w:pPr>
        <w:spacing w:line="600" w:lineRule="auto"/>
        <w:ind w:firstLine="906" w:firstLineChars="300"/>
        <w:rPr>
          <w:rFonts w:ascii="黑体" w:hAnsi="黑体" w:eastAsia="黑体" w:cs="黑体"/>
          <w:color w:val="auto"/>
          <w:sz w:val="30"/>
          <w:szCs w:val="30"/>
          <w:highlight w:val="none"/>
          <w:u w:val="single"/>
        </w:rPr>
      </w:pPr>
      <w:r>
        <w:rPr>
          <w:rFonts w:hint="eastAsia" w:ascii="黑体" w:hAnsi="黑体" w:eastAsia="黑体" w:cs="黑体"/>
          <w:color w:val="auto"/>
          <w:kern w:val="0"/>
          <w:sz w:val="30"/>
          <w:szCs w:val="30"/>
          <w:highlight w:val="none"/>
          <w:lang w:eastAsia="zh-CN"/>
        </w:rPr>
        <w:t>采购代理机构</w:t>
      </w:r>
      <w:r>
        <w:rPr>
          <w:rFonts w:hint="eastAsia" w:ascii="黑体" w:hAnsi="黑体" w:eastAsia="黑体" w:cs="黑体"/>
          <w:color w:val="auto"/>
          <w:kern w:val="0"/>
          <w:sz w:val="30"/>
          <w:szCs w:val="30"/>
          <w:highlight w:val="none"/>
        </w:rPr>
        <w:t>：</w:t>
      </w:r>
      <w:r>
        <w:rPr>
          <w:rFonts w:hint="eastAsia" w:ascii="黑体" w:hAnsi="黑体" w:eastAsia="黑体" w:cs="黑体"/>
          <w:color w:val="auto"/>
          <w:kern w:val="0"/>
          <w:sz w:val="30"/>
          <w:szCs w:val="30"/>
          <w:highlight w:val="none"/>
          <w:u w:val="single"/>
        </w:rPr>
        <w:t>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kern w:val="0"/>
          <w:sz w:val="30"/>
          <w:szCs w:val="30"/>
          <w:highlight w:val="none"/>
          <w:u w:val="single"/>
        </w:rPr>
        <w:t xml:space="preserve"> </w:t>
      </w:r>
      <w:r>
        <w:rPr>
          <w:rFonts w:hint="eastAsia" w:ascii="黑体" w:hAnsi="黑体" w:eastAsia="黑体" w:cs="黑体"/>
          <w:color w:val="auto"/>
          <w:sz w:val="30"/>
          <w:szCs w:val="30"/>
          <w:highlight w:val="none"/>
          <w:u w:val="single"/>
        </w:rPr>
        <w:t>江西安必信招标咨询有限公司</w:t>
      </w:r>
      <w:r>
        <w:rPr>
          <w:rFonts w:hint="eastAsia" w:ascii="黑体" w:hAnsi="黑体" w:eastAsia="黑体" w:cs="黑体"/>
          <w:color w:val="auto"/>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 xml:space="preserve"> </w:t>
      </w:r>
      <w:r>
        <w:rPr>
          <w:rFonts w:hint="eastAsia" w:ascii="黑体" w:hAnsi="黑体" w:eastAsia="黑体" w:cs="黑体"/>
          <w:color w:val="auto"/>
          <w:sz w:val="30"/>
          <w:szCs w:val="30"/>
          <w:highlight w:val="none"/>
          <w:u w:val="single"/>
          <w:lang w:val="en-US" w:eastAsia="zh-CN"/>
        </w:rPr>
        <w:t xml:space="preserve">  </w:t>
      </w:r>
    </w:p>
    <w:p w14:paraId="2F53B6CE">
      <w:pPr>
        <w:spacing w:line="600" w:lineRule="auto"/>
        <w:ind w:firstLine="906" w:firstLineChars="300"/>
        <w:rPr>
          <w:rFonts w:ascii="黑体" w:hAnsi="黑体" w:eastAsia="黑体" w:cs="黑体"/>
          <w:color w:val="auto"/>
          <w:sz w:val="44"/>
          <w:highlight w:val="none"/>
          <w:u w:val="single"/>
        </w:rPr>
      </w:pPr>
      <w:r>
        <w:rPr>
          <w:rFonts w:hint="eastAsia" w:ascii="黑体" w:hAnsi="黑体" w:eastAsia="黑体" w:cs="黑体"/>
          <w:color w:val="auto"/>
          <w:kern w:val="0"/>
          <w:sz w:val="30"/>
          <w:szCs w:val="30"/>
          <w:highlight w:val="none"/>
        </w:rPr>
        <w:t>文件编制时间：</w:t>
      </w:r>
      <w:r>
        <w:rPr>
          <w:rFonts w:hint="eastAsia" w:ascii="黑体" w:hAnsi="黑体" w:eastAsia="黑体" w:cs="黑体"/>
          <w:color w:val="auto"/>
          <w:kern w:val="0"/>
          <w:sz w:val="30"/>
          <w:szCs w:val="30"/>
          <w:highlight w:val="none"/>
          <w:u w:val="single"/>
        </w:rPr>
        <w:t>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kern w:val="0"/>
          <w:sz w:val="30"/>
          <w:szCs w:val="30"/>
          <w:highlight w:val="none"/>
          <w:u w:val="single"/>
        </w:rPr>
        <w:t>　</w:t>
      </w:r>
      <w:r>
        <w:rPr>
          <w:rFonts w:hint="eastAsia" w:ascii="黑体" w:hAnsi="黑体" w:eastAsia="黑体" w:cs="黑体"/>
          <w:color w:val="auto"/>
          <w:kern w:val="0"/>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二</w:t>
      </w:r>
      <w:r>
        <w:rPr>
          <w:rFonts w:hint="eastAsia" w:ascii="黑体" w:hAnsi="黑体" w:eastAsia="黑体" w:cs="黑体"/>
          <w:color w:val="auto"/>
          <w:sz w:val="30"/>
          <w:szCs w:val="30"/>
          <w:highlight w:val="none"/>
          <w:u w:val="single"/>
          <w:lang w:val="en-US" w:eastAsia="zh-CN"/>
        </w:rPr>
        <w:t>〇</w:t>
      </w:r>
      <w:r>
        <w:rPr>
          <w:rFonts w:hint="eastAsia" w:ascii="黑体" w:hAnsi="黑体" w:eastAsia="黑体" w:cs="黑体"/>
          <w:color w:val="auto"/>
          <w:sz w:val="30"/>
          <w:szCs w:val="30"/>
          <w:highlight w:val="none"/>
          <w:u w:val="single"/>
        </w:rPr>
        <w:t>二</w:t>
      </w:r>
      <w:r>
        <w:rPr>
          <w:rFonts w:hint="eastAsia" w:ascii="黑体" w:hAnsi="黑体" w:eastAsia="黑体" w:cs="黑体"/>
          <w:color w:val="auto"/>
          <w:sz w:val="30"/>
          <w:szCs w:val="30"/>
          <w:highlight w:val="none"/>
          <w:u w:val="single"/>
          <w:lang w:val="en-US" w:eastAsia="zh-CN"/>
        </w:rPr>
        <w:t>六年二</w:t>
      </w:r>
      <w:r>
        <w:rPr>
          <w:rFonts w:hint="eastAsia" w:ascii="黑体" w:hAnsi="黑体" w:eastAsia="黑体" w:cs="黑体"/>
          <w:color w:val="auto"/>
          <w:sz w:val="30"/>
          <w:szCs w:val="30"/>
          <w:highlight w:val="none"/>
          <w:u w:val="single"/>
        </w:rPr>
        <w:t>月</w:t>
      </w:r>
      <w:r>
        <w:rPr>
          <w:rFonts w:hint="eastAsia" w:ascii="黑体" w:hAnsi="黑体" w:eastAsia="黑体" w:cs="黑体"/>
          <w:color w:val="auto"/>
          <w:sz w:val="30"/>
          <w:szCs w:val="30"/>
          <w:highlight w:val="none"/>
          <w:u w:val="single"/>
          <w:lang w:val="en-US" w:eastAsia="zh-CN"/>
        </w:rPr>
        <w:t xml:space="preserve">      </w:t>
      </w:r>
      <w:r>
        <w:rPr>
          <w:rFonts w:hint="eastAsia" w:ascii="黑体" w:hAnsi="黑体" w:eastAsia="黑体" w:cs="黑体"/>
          <w:color w:val="auto"/>
          <w:sz w:val="30"/>
          <w:szCs w:val="30"/>
          <w:highlight w:val="none"/>
          <w:u w:val="single"/>
        </w:rPr>
        <w:t>　　</w:t>
      </w:r>
    </w:p>
    <w:p w14:paraId="2A0482D8">
      <w:pPr>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113"/>
          <w:pgBorders>
            <w:top w:val="none" w:sz="0" w:space="0"/>
            <w:left w:val="none" w:sz="0" w:space="0"/>
            <w:bottom w:val="none" w:sz="0" w:space="0"/>
            <w:right w:val="none" w:sz="0" w:space="0"/>
          </w:pgBorders>
          <w:pgNumType w:fmt="decimal" w:start="1"/>
          <w:cols w:space="0" w:num="1"/>
          <w:titlePg/>
          <w:docGrid w:type="linesAndChars" w:linePitch="326" w:charSpace="614"/>
        </w:sectPr>
      </w:pPr>
    </w:p>
    <w:p w14:paraId="372321F7">
      <w:pPr>
        <w:snapToGrid w:val="0"/>
        <w:spacing w:line="312" w:lineRule="auto"/>
        <w:jc w:val="center"/>
        <w:rPr>
          <w:rFonts w:ascii="宋体" w:cs="宋体"/>
          <w:b/>
          <w:color w:val="auto"/>
          <w:sz w:val="52"/>
          <w:szCs w:val="52"/>
          <w:highlight w:val="none"/>
        </w:rPr>
      </w:pPr>
      <w:r>
        <w:rPr>
          <w:rFonts w:hint="eastAsia" w:ascii="宋体" w:hAnsi="宋体" w:cs="宋体"/>
          <w:b/>
          <w:color w:val="auto"/>
          <w:sz w:val="52"/>
          <w:szCs w:val="52"/>
          <w:highlight w:val="none"/>
        </w:rPr>
        <w:t>目 录</w:t>
      </w:r>
    </w:p>
    <w:p w14:paraId="72D76FD4">
      <w:pPr>
        <w:pStyle w:val="17"/>
        <w:tabs>
          <w:tab w:val="right" w:leader="dot" w:pos="8959"/>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_Toc6792 </w:instrText>
      </w:r>
      <w:r>
        <w:rPr>
          <w:rFonts w:hint="eastAsia" w:ascii="宋体" w:hAnsi="宋体" w:eastAsia="宋体" w:cs="宋体"/>
          <w:color w:val="auto"/>
          <w:szCs w:val="24"/>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_Toc6792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2700045A">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_Toc14422 </w:instrText>
      </w:r>
      <w:r>
        <w:rPr>
          <w:rFonts w:hint="eastAsia" w:ascii="宋体" w:hAnsi="宋体" w:cs="宋体"/>
          <w:color w:val="auto"/>
          <w:highlight w:val="none"/>
        </w:rPr>
        <w:fldChar w:fldCharType="separate"/>
      </w:r>
      <w:r>
        <w:rPr>
          <w:rFonts w:hint="eastAsia"/>
          <w:color w:val="auto"/>
          <w:highlight w:val="none"/>
        </w:rPr>
        <w:t>第二章 招标文件前附表</w:t>
      </w:r>
      <w:r>
        <w:rPr>
          <w:color w:val="auto"/>
          <w:highlight w:val="none"/>
        </w:rPr>
        <w:tab/>
      </w:r>
      <w:r>
        <w:rPr>
          <w:color w:val="auto"/>
          <w:highlight w:val="none"/>
        </w:rPr>
        <w:fldChar w:fldCharType="begin"/>
      </w:r>
      <w:r>
        <w:rPr>
          <w:color w:val="auto"/>
          <w:highlight w:val="none"/>
        </w:rPr>
        <w:instrText xml:space="preserve"> PAGEREF _Toc14422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highlight w:val="none"/>
        </w:rPr>
        <w:fldChar w:fldCharType="end"/>
      </w:r>
    </w:p>
    <w:p w14:paraId="0DEAD3DC">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_Toc18457 </w:instrText>
      </w:r>
      <w:r>
        <w:rPr>
          <w:rFonts w:hint="eastAsia" w:ascii="宋体" w:hAnsi="宋体" w:cs="宋体"/>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_Toc18457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color w:val="auto"/>
          <w:highlight w:val="none"/>
        </w:rPr>
        <w:fldChar w:fldCharType="end"/>
      </w:r>
    </w:p>
    <w:p w14:paraId="3D33E6EC">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_Toc2519 </w:instrText>
      </w:r>
      <w:r>
        <w:rPr>
          <w:rFonts w:hint="eastAsia" w:ascii="宋体" w:hAnsi="宋体" w:cs="宋体"/>
          <w:color w:val="auto"/>
          <w:highlight w:val="none"/>
        </w:rPr>
        <w:fldChar w:fldCharType="separate"/>
      </w:r>
      <w:r>
        <w:rPr>
          <w:rFonts w:hint="eastAsia"/>
          <w:color w:val="auto"/>
          <w:highlight w:val="none"/>
        </w:rPr>
        <w:t>第四章 评标方法及标准</w:t>
      </w:r>
      <w:r>
        <w:rPr>
          <w:color w:val="auto"/>
          <w:highlight w:val="none"/>
        </w:rPr>
        <w:tab/>
      </w:r>
      <w:r>
        <w:rPr>
          <w:color w:val="auto"/>
          <w:highlight w:val="none"/>
        </w:rPr>
        <w:fldChar w:fldCharType="begin"/>
      </w:r>
      <w:r>
        <w:rPr>
          <w:color w:val="auto"/>
          <w:highlight w:val="none"/>
        </w:rPr>
        <w:instrText xml:space="preserve"> PAGEREF _Toc2519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1A04E104">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_Toc20616 </w:instrText>
      </w:r>
      <w:r>
        <w:rPr>
          <w:rFonts w:hint="eastAsia" w:ascii="宋体" w:hAnsi="宋体" w:cs="宋体"/>
          <w:color w:val="auto"/>
          <w:highlight w:val="none"/>
        </w:rPr>
        <w:fldChar w:fldCharType="separate"/>
      </w:r>
      <w:r>
        <w:rPr>
          <w:rFonts w:hint="eastAsia"/>
          <w:color w:val="auto"/>
          <w:highlight w:val="none"/>
        </w:rPr>
        <w:t>第五章 合同条款及格式（仅供参考）</w:t>
      </w:r>
      <w:r>
        <w:rPr>
          <w:color w:val="auto"/>
          <w:highlight w:val="none"/>
        </w:rPr>
        <w:tab/>
      </w:r>
      <w:r>
        <w:rPr>
          <w:color w:val="auto"/>
          <w:highlight w:val="none"/>
        </w:rPr>
        <w:fldChar w:fldCharType="begin"/>
      </w:r>
      <w:r>
        <w:rPr>
          <w:color w:val="auto"/>
          <w:highlight w:val="none"/>
        </w:rPr>
        <w:instrText xml:space="preserve"> PAGEREF _Toc20616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095A47B5">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_Toc11559 </w:instrText>
      </w:r>
      <w:r>
        <w:rPr>
          <w:rFonts w:hint="eastAsia" w:ascii="宋体" w:hAnsi="宋体" w:cs="宋体"/>
          <w:color w:val="auto"/>
          <w:highlight w:val="none"/>
        </w:rPr>
        <w:fldChar w:fldCharType="separate"/>
      </w:r>
      <w:r>
        <w:rPr>
          <w:rFonts w:hint="eastAsia"/>
          <w:color w:val="auto"/>
          <w:highlight w:val="none"/>
        </w:rPr>
        <w:t>第六章 投标文件的组成</w:t>
      </w:r>
      <w:r>
        <w:rPr>
          <w:color w:val="auto"/>
          <w:highlight w:val="none"/>
        </w:rPr>
        <w:tab/>
      </w:r>
      <w:r>
        <w:rPr>
          <w:color w:val="auto"/>
          <w:highlight w:val="none"/>
        </w:rPr>
        <w:fldChar w:fldCharType="begin"/>
      </w:r>
      <w:r>
        <w:rPr>
          <w:color w:val="auto"/>
          <w:highlight w:val="none"/>
        </w:rPr>
        <w:instrText xml:space="preserve"> PAGEREF _Toc11559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4FC89F21">
      <w:pPr>
        <w:pStyle w:val="17"/>
        <w:tabs>
          <w:tab w:val="right" w:leader="dot" w:pos="8959"/>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_Toc18408 </w:instrText>
      </w:r>
      <w:r>
        <w:rPr>
          <w:rFonts w:hint="eastAsia" w:ascii="宋体" w:hAnsi="宋体" w:cs="宋体"/>
          <w:color w:val="auto"/>
          <w:highlight w:val="none"/>
        </w:rPr>
        <w:fldChar w:fldCharType="separate"/>
      </w:r>
      <w:r>
        <w:rPr>
          <w:rFonts w:hint="eastAsia"/>
          <w:color w:val="auto"/>
          <w:highlight w:val="none"/>
          <w:lang w:val="en-US" w:eastAsia="zh-CN"/>
        </w:rPr>
        <w:t xml:space="preserve">第七章 </w:t>
      </w:r>
      <w:r>
        <w:rPr>
          <w:rFonts w:hint="eastAsia"/>
          <w:color w:val="auto"/>
          <w:highlight w:val="none"/>
          <w:lang w:eastAsia="zh-CN"/>
        </w:rPr>
        <w:t>招标</w:t>
      </w:r>
      <w:r>
        <w:rPr>
          <w:rFonts w:hint="eastAsia"/>
          <w:color w:val="auto"/>
          <w:highlight w:val="none"/>
        </w:rPr>
        <w:t>需求</w:t>
      </w:r>
      <w:r>
        <w:rPr>
          <w:color w:val="auto"/>
          <w:highlight w:val="none"/>
        </w:rPr>
        <w:tab/>
      </w:r>
      <w:r>
        <w:rPr>
          <w:color w:val="auto"/>
          <w:highlight w:val="none"/>
        </w:rPr>
        <w:fldChar w:fldCharType="begin"/>
      </w:r>
      <w:r>
        <w:rPr>
          <w:color w:val="auto"/>
          <w:highlight w:val="none"/>
        </w:rPr>
        <w:instrText xml:space="preserve"> PAGEREF _Toc18408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F6325FC">
      <w:pPr>
        <w:snapToGrid w:val="0"/>
        <w:spacing w:line="480" w:lineRule="auto"/>
        <w:jc w:val="center"/>
        <w:rPr>
          <w:rFonts w:ascii="宋体" w:cs="宋体"/>
          <w:b/>
          <w:color w:val="auto"/>
          <w:sz w:val="24"/>
          <w:highlight w:val="none"/>
        </w:rPr>
      </w:pPr>
      <w:r>
        <w:rPr>
          <w:rFonts w:hint="eastAsia" w:ascii="宋体" w:hAnsi="宋体" w:cs="宋体"/>
          <w:color w:val="auto"/>
          <w:highlight w:val="none"/>
        </w:rPr>
        <w:fldChar w:fldCharType="end"/>
      </w:r>
    </w:p>
    <w:p w14:paraId="2A21E5C5">
      <w:pPr>
        <w:rPr>
          <w:color w:val="auto"/>
          <w:highlight w:val="none"/>
        </w:rPr>
      </w:pPr>
    </w:p>
    <w:p w14:paraId="24AD4BA2">
      <w:pPr>
        <w:tabs>
          <w:tab w:val="left" w:pos="5126"/>
        </w:tabs>
        <w:rPr>
          <w:rFonts w:hint="eastAsia"/>
          <w:color w:val="auto"/>
          <w:highlight w:val="none"/>
          <w:lang w:eastAsia="zh-CN"/>
        </w:rPr>
        <w:sectPr>
          <w:footerReference r:id="rId10" w:type="first"/>
          <w:footerReference r:id="rId9"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65B93F3A">
      <w:pPr>
        <w:pStyle w:val="2"/>
        <w:numPr>
          <w:ilvl w:val="0"/>
          <w:numId w:val="2"/>
        </w:numPr>
        <w:rPr>
          <w:color w:val="auto"/>
          <w:highlight w:val="none"/>
        </w:rPr>
      </w:pPr>
      <w:bookmarkStart w:id="0" w:name="_Toc6792"/>
      <w:r>
        <w:rPr>
          <w:rFonts w:hint="eastAsia"/>
          <w:color w:val="auto"/>
          <w:highlight w:val="none"/>
        </w:rPr>
        <w:t>招标公告</w:t>
      </w:r>
      <w:bookmarkEnd w:id="0"/>
    </w:p>
    <w:p w14:paraId="5925DBFB">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江西安必信招标咨询有限公司受</w:t>
      </w:r>
      <w:r>
        <w:rPr>
          <w:rFonts w:hint="eastAsia" w:ascii="宋体" w:hAnsi="宋体" w:eastAsia="宋体" w:cs="宋体"/>
          <w:color w:val="auto"/>
          <w:sz w:val="21"/>
          <w:szCs w:val="21"/>
          <w:highlight w:val="none"/>
          <w:lang w:eastAsia="zh-CN"/>
        </w:rPr>
        <w:t>吉水园区资产运营管理有限责任公司</w:t>
      </w:r>
      <w:r>
        <w:rPr>
          <w:rFonts w:hint="eastAsia" w:ascii="宋体" w:hAnsi="宋体" w:eastAsia="宋体" w:cs="宋体"/>
          <w:color w:val="auto"/>
          <w:sz w:val="21"/>
          <w:szCs w:val="21"/>
          <w:highlight w:val="none"/>
        </w:rPr>
        <w:t>委托，就</w:t>
      </w:r>
      <w:r>
        <w:rPr>
          <w:rFonts w:hint="eastAsia" w:ascii="宋体" w:hAnsi="宋体" w:cs="宋体"/>
          <w:color w:val="auto"/>
          <w:sz w:val="21"/>
          <w:szCs w:val="21"/>
          <w:highlight w:val="none"/>
          <w:lang w:eastAsia="zh-CN"/>
        </w:rPr>
        <w:t>吉水县工业园区CXGYY0602地块土方平整采购项目</w:t>
      </w:r>
      <w:r>
        <w:rPr>
          <w:rFonts w:hint="eastAsia" w:ascii="宋体" w:hAnsi="宋体" w:eastAsia="宋体" w:cs="宋体"/>
          <w:color w:val="auto"/>
          <w:sz w:val="21"/>
          <w:szCs w:val="21"/>
          <w:highlight w:val="none"/>
        </w:rPr>
        <w:t>招标，欢迎合格的投标人参加，有关事项如下：</w:t>
      </w:r>
    </w:p>
    <w:p w14:paraId="4A678083">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bookmarkStart w:id="1" w:name="_Toc29257"/>
      <w:bookmarkStart w:id="2" w:name="_Toc17063"/>
      <w:r>
        <w:rPr>
          <w:rFonts w:hint="eastAsia" w:ascii="宋体" w:hAnsi="宋体" w:eastAsia="宋体" w:cs="宋体"/>
          <w:color w:val="auto"/>
          <w:sz w:val="21"/>
          <w:szCs w:val="21"/>
          <w:highlight w:val="none"/>
        </w:rPr>
        <w:t>一、项目内容：</w:t>
      </w:r>
      <w:bookmarkEnd w:id="1"/>
      <w:bookmarkEnd w:id="2"/>
    </w:p>
    <w:p w14:paraId="117E9BF2">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both"/>
        <w:textAlignment w:val="auto"/>
        <w:rPr>
          <w:rFonts w:hint="eastAsia" w:ascii="宋体" w:hAnsi="宋体" w:eastAsia="宋体" w:cs="宋体"/>
          <w:color w:val="auto"/>
          <w:sz w:val="21"/>
          <w:szCs w:val="21"/>
          <w:highlight w:val="none"/>
          <w:lang w:eastAsia="zh-CN"/>
        </w:rPr>
      </w:pPr>
      <w:bookmarkStart w:id="3" w:name="_Toc24421"/>
      <w:bookmarkStart w:id="4" w:name="_Toc10622"/>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【ABXZBNB202601016】</w:t>
      </w:r>
    </w:p>
    <w:p w14:paraId="76DDDB9C">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吉水县工业园区CXGYY0602地块土方平整采购项目</w:t>
      </w:r>
    </w:p>
    <w:p w14:paraId="429B1B55">
      <w:pPr>
        <w:pStyle w:val="8"/>
        <w:ind w:firstLine="424" w:firstLineChars="200"/>
        <w:rPr>
          <w:rFonts w:hint="default"/>
          <w:color w:val="auto"/>
          <w:highlight w:val="none"/>
          <w:lang w:val="en-US"/>
        </w:rPr>
      </w:pPr>
      <w:r>
        <w:rPr>
          <w:rFonts w:hint="eastAsia" w:ascii="宋体" w:hAnsi="宋体" w:cs="宋体"/>
          <w:color w:val="auto"/>
          <w:sz w:val="21"/>
          <w:szCs w:val="21"/>
          <w:highlight w:val="none"/>
          <w:lang w:eastAsia="zh-CN"/>
        </w:rPr>
        <w:t>项目地址：吉水城西工业园区（地块约49.3亩土方平整，17.3万</w:t>
      </w:r>
      <w:r>
        <w:rPr>
          <w:rFonts w:hint="eastAsia" w:ascii="宋体" w:hAnsi="宋体" w:cs="宋体"/>
          <w:b w:val="0"/>
          <w:bCs w:val="0"/>
          <w:color w:val="auto"/>
          <w:sz w:val="21"/>
          <w:szCs w:val="21"/>
          <w:highlight w:val="none"/>
          <w:lang w:val="en-US" w:eastAsia="zh-CN"/>
        </w:rPr>
        <w:t>立方米</w:t>
      </w:r>
      <w:r>
        <w:rPr>
          <w:rFonts w:hint="eastAsia" w:ascii="宋体" w:hAnsi="宋体" w:cs="宋体"/>
          <w:color w:val="auto"/>
          <w:sz w:val="21"/>
          <w:szCs w:val="21"/>
          <w:highlight w:val="none"/>
          <w:lang w:eastAsia="zh-CN"/>
        </w:rPr>
        <w:t>，回填土方约2000</w:t>
      </w:r>
      <w:r>
        <w:rPr>
          <w:rFonts w:hint="eastAsia" w:ascii="宋体" w:hAnsi="宋体" w:cs="宋体"/>
          <w:b w:val="0"/>
          <w:bCs w:val="0"/>
          <w:color w:val="auto"/>
          <w:sz w:val="21"/>
          <w:szCs w:val="21"/>
          <w:highlight w:val="none"/>
          <w:lang w:val="en-US" w:eastAsia="zh-CN"/>
        </w:rPr>
        <w:t>立方米</w:t>
      </w:r>
      <w:r>
        <w:rPr>
          <w:rFonts w:hint="eastAsia" w:ascii="宋体" w:hAnsi="宋体" w:cs="宋体"/>
          <w:color w:val="auto"/>
          <w:sz w:val="21"/>
          <w:szCs w:val="21"/>
          <w:highlight w:val="none"/>
          <w:lang w:eastAsia="zh-CN"/>
        </w:rPr>
        <w:t>）</w:t>
      </w:r>
    </w:p>
    <w:p w14:paraId="3F999B94">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财政评审金额</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2178269.34</w:t>
      </w:r>
      <w:r>
        <w:rPr>
          <w:rFonts w:hint="eastAsia" w:ascii="宋体" w:hAnsi="宋体" w:eastAsia="宋体" w:cs="宋体"/>
          <w:b w:val="0"/>
          <w:bCs w:val="0"/>
          <w:color w:val="auto"/>
          <w:sz w:val="21"/>
          <w:szCs w:val="21"/>
          <w:highlight w:val="none"/>
          <w:lang w:val="en-US" w:eastAsia="zh-CN"/>
        </w:rPr>
        <w:t>元</w:t>
      </w:r>
    </w:p>
    <w:p w14:paraId="45999FE9">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r>
        <w:rPr>
          <w:rFonts w:hint="eastAsia" w:ascii="宋体" w:hAnsi="宋体" w:cs="宋体"/>
          <w:color w:val="auto"/>
          <w:sz w:val="21"/>
          <w:szCs w:val="21"/>
          <w:highlight w:val="none"/>
          <w:lang w:eastAsia="zh-CN"/>
        </w:rPr>
        <w:t>1778066.60</w:t>
      </w:r>
      <w:r>
        <w:rPr>
          <w:rFonts w:hint="eastAsia" w:ascii="宋体" w:hAnsi="宋体" w:eastAsia="宋体" w:cs="宋体"/>
          <w:b w:val="0"/>
          <w:bCs w:val="0"/>
          <w:color w:val="auto"/>
          <w:sz w:val="21"/>
          <w:szCs w:val="21"/>
          <w:highlight w:val="none"/>
          <w:lang w:val="en-US" w:eastAsia="zh-CN"/>
        </w:rPr>
        <w:t>元</w:t>
      </w:r>
    </w:p>
    <w:p w14:paraId="46E6A03C">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需求：</w:t>
      </w:r>
    </w:p>
    <w:tbl>
      <w:tblPr>
        <w:tblStyle w:val="21"/>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41"/>
        <w:gridCol w:w="1568"/>
        <w:gridCol w:w="4875"/>
        <w:gridCol w:w="984"/>
      </w:tblGrid>
      <w:tr w14:paraId="04C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6AD60C91">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1" w:type="dxa"/>
            <w:vAlign w:val="center"/>
          </w:tcPr>
          <w:p w14:paraId="7489D99B">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68" w:type="dxa"/>
            <w:vAlign w:val="center"/>
          </w:tcPr>
          <w:p w14:paraId="42D02DBE">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w:t>
            </w:r>
          </w:p>
        </w:tc>
        <w:tc>
          <w:tcPr>
            <w:tcW w:w="4875" w:type="dxa"/>
            <w:vAlign w:val="center"/>
          </w:tcPr>
          <w:p w14:paraId="3CE55A23">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服务需求</w:t>
            </w:r>
          </w:p>
        </w:tc>
        <w:tc>
          <w:tcPr>
            <w:tcW w:w="984" w:type="dxa"/>
            <w:vAlign w:val="center"/>
          </w:tcPr>
          <w:p w14:paraId="60710151">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最高限价</w:t>
            </w:r>
          </w:p>
        </w:tc>
      </w:tr>
      <w:tr w14:paraId="57B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4D0B2149">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41" w:type="dxa"/>
            <w:vAlign w:val="center"/>
          </w:tcPr>
          <w:p w14:paraId="51E337D4">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吉水县工业园区CXGYY0602地块土方平整采购项目</w:t>
            </w:r>
          </w:p>
        </w:tc>
        <w:tc>
          <w:tcPr>
            <w:tcW w:w="1568" w:type="dxa"/>
            <w:vAlign w:val="center"/>
          </w:tcPr>
          <w:p w14:paraId="0715C990">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本项目工程量：地块约49.3亩，土方平整约17.3万立方米，回填土方约2000立方米。</w:t>
            </w:r>
          </w:p>
          <w:p w14:paraId="61B2BABE">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left"/>
              <w:textAlignment w:val="auto"/>
              <w:rPr>
                <w:rFonts w:hint="eastAsia" w:ascii="宋体" w:hAnsi="宋体" w:cs="宋体"/>
                <w:b w:val="0"/>
                <w:bCs w:val="0"/>
                <w:color w:val="auto"/>
                <w:sz w:val="21"/>
                <w:szCs w:val="21"/>
                <w:highlight w:val="none"/>
                <w:lang w:eastAsia="zh-CN"/>
              </w:rPr>
            </w:pPr>
          </w:p>
        </w:tc>
        <w:tc>
          <w:tcPr>
            <w:tcW w:w="4875" w:type="dxa"/>
            <w:vAlign w:val="center"/>
          </w:tcPr>
          <w:p w14:paraId="0C634D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吉水县工业园区CXGYY0602地块土方平整工程总面积为49.3亩，土方平整约17.3万</w:t>
            </w:r>
            <w:r>
              <w:rPr>
                <w:rFonts w:hint="eastAsia" w:ascii="宋体" w:hAnsi="宋体" w:cs="宋体"/>
                <w:b w:val="0"/>
                <w:bCs w:val="0"/>
                <w:color w:val="auto"/>
                <w:sz w:val="21"/>
                <w:szCs w:val="21"/>
                <w:highlight w:val="none"/>
                <w:lang w:val="en-US" w:eastAsia="zh-CN"/>
              </w:rPr>
              <w:t>立方米</w:t>
            </w:r>
            <w:r>
              <w:rPr>
                <w:rFonts w:hint="eastAsia" w:ascii="宋体" w:hAnsi="宋体" w:cs="宋体"/>
                <w:b w:val="0"/>
                <w:bCs w:val="0"/>
                <w:color w:val="auto"/>
                <w:sz w:val="21"/>
                <w:szCs w:val="21"/>
                <w:highlight w:val="none"/>
                <w:lang w:eastAsia="zh-CN"/>
              </w:rPr>
              <w:t>，回填土方约2000</w:t>
            </w:r>
            <w:r>
              <w:rPr>
                <w:rFonts w:hint="eastAsia" w:ascii="宋体" w:hAnsi="宋体" w:cs="宋体"/>
                <w:b w:val="0"/>
                <w:bCs w:val="0"/>
                <w:color w:val="auto"/>
                <w:sz w:val="21"/>
                <w:szCs w:val="21"/>
                <w:highlight w:val="none"/>
                <w:lang w:val="en-US" w:eastAsia="zh-CN"/>
              </w:rPr>
              <w:t>立方米</w:t>
            </w:r>
            <w:r>
              <w:rPr>
                <w:rFonts w:hint="eastAsia" w:ascii="宋体" w:hAnsi="宋体" w:cs="宋体"/>
                <w:b w:val="0"/>
                <w:bCs w:val="0"/>
                <w:color w:val="auto"/>
                <w:sz w:val="21"/>
                <w:szCs w:val="21"/>
                <w:highlight w:val="none"/>
                <w:lang w:eastAsia="zh-CN"/>
              </w:rPr>
              <w:t>。中标人负责将该地块土方平整至图纸规定标高，并将多余的土方运输至指定区域（吉水工业园区F10地块，田溪南路以东、群峰路以北），并做好弃方区域场地平整工作。可能存在部分可利用级配料及砂石，如在挖方过程中出现级配料及砂石，须及时报备采购人，中标人不得擅自处置级配料，否则采购人有权取消合同并报相关主管部门追究法律责任。具体如下：</w:t>
            </w:r>
          </w:p>
          <w:p w14:paraId="0F672E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1.对采购人指定区域土方平整至指定标高【详见附件：土石方计算图】。</w:t>
            </w:r>
          </w:p>
          <w:p w14:paraId="166DD7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.填土部分区域的标高满足招标文件规定的规划标高要求，填方费和土方平整费包含在报价中。</w:t>
            </w:r>
          </w:p>
          <w:p w14:paraId="0724D8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3.多余土方运输至指定区域，并做好弃土场场地平整工作，相关费用包含在报价中。</w:t>
            </w:r>
          </w:p>
          <w:p w14:paraId="3B1AFB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.施工期间中标人需对周边因施工原因污染的道路进行冲洗，需做好其他相关安全文明施工措施，相关费用包含在报价中。</w:t>
            </w:r>
          </w:p>
          <w:p w14:paraId="72A487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cs="宋体"/>
                <w:b/>
                <w:bCs/>
                <w:color w:val="auto"/>
                <w:sz w:val="21"/>
                <w:szCs w:val="21"/>
                <w:highlight w:val="none"/>
                <w:lang w:val="en-US" w:eastAsia="zh-CN"/>
              </w:rPr>
              <w:t>投标人需自行组织现场踏勘，全面考察并掌握项目现场的地质条件、环境状况及潜在风险。在项目实施过程中，如遇地质条件变化，包括但不限于风化岩、软土地基、杂填土等复杂情况，采购人将不承担由此产生的任何额外费用，所有相关风险及费用均由投标人自行承担</w:t>
            </w:r>
            <w:r>
              <w:rPr>
                <w:rFonts w:hint="eastAsia" w:ascii="宋体" w:hAnsi="宋体" w:cs="宋体"/>
                <w:b/>
                <w:bCs/>
                <w:color w:val="auto"/>
                <w:sz w:val="21"/>
                <w:szCs w:val="21"/>
                <w:highlight w:val="none"/>
                <w:lang w:eastAsia="zh-CN"/>
              </w:rPr>
              <w:t>）。</w:t>
            </w:r>
          </w:p>
          <w:p w14:paraId="7F97B5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b w:val="0"/>
                <w:bCs w:val="0"/>
                <w:color w:val="auto"/>
                <w:highlight w:val="none"/>
                <w:lang w:val="en-US"/>
              </w:rPr>
            </w:pP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.相关税费包含在报价中。</w:t>
            </w:r>
          </w:p>
        </w:tc>
        <w:tc>
          <w:tcPr>
            <w:tcW w:w="984" w:type="dxa"/>
            <w:vAlign w:val="center"/>
          </w:tcPr>
          <w:p w14:paraId="432DDED4">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1778066.60</w:t>
            </w:r>
            <w:r>
              <w:rPr>
                <w:rFonts w:hint="eastAsia" w:ascii="宋体" w:hAnsi="宋体" w:eastAsia="宋体" w:cs="宋体"/>
                <w:b w:val="0"/>
                <w:bCs w:val="0"/>
                <w:color w:val="auto"/>
                <w:sz w:val="21"/>
                <w:szCs w:val="21"/>
                <w:highlight w:val="none"/>
                <w:lang w:val="en-US" w:eastAsia="zh-CN"/>
              </w:rPr>
              <w:t>元</w:t>
            </w:r>
          </w:p>
        </w:tc>
      </w:tr>
    </w:tbl>
    <w:p w14:paraId="315932FA">
      <w:pPr>
        <w:pStyle w:val="15"/>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合同履行期限：</w:t>
      </w:r>
      <w:r>
        <w:rPr>
          <w:rFonts w:hint="eastAsia" w:ascii="宋体" w:hAnsi="宋体" w:cs="宋体"/>
          <w:b w:val="0"/>
          <w:bCs w:val="0"/>
          <w:color w:val="auto"/>
          <w:sz w:val="21"/>
          <w:szCs w:val="21"/>
          <w:highlight w:val="none"/>
          <w:lang w:eastAsia="zh-CN"/>
        </w:rPr>
        <w:t>合同工期60天，具体以实际开工日期起算时间为准。</w:t>
      </w:r>
    </w:p>
    <w:p w14:paraId="70EEE531">
      <w:pPr>
        <w:pStyle w:val="3"/>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本项目不接受联合体投标。</w:t>
      </w:r>
    </w:p>
    <w:p w14:paraId="2F947CE5">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二、投标人的资格条件：</w:t>
      </w:r>
      <w:bookmarkEnd w:id="3"/>
      <w:bookmarkEnd w:id="4"/>
    </w:p>
    <w:p w14:paraId="15C89ED8">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bookmarkStart w:id="5" w:name="_Toc28693"/>
      <w:bookmarkStart w:id="6" w:name="_Toc12828"/>
      <w:r>
        <w:rPr>
          <w:rFonts w:hint="eastAsia" w:ascii="宋体" w:hAnsi="宋体" w:eastAsia="宋体" w:cs="宋体"/>
          <w:b/>
          <w:bCs/>
          <w:color w:val="auto"/>
          <w:kern w:val="2"/>
          <w:sz w:val="21"/>
          <w:szCs w:val="21"/>
          <w:highlight w:val="none"/>
          <w:lang w:val="en-US" w:eastAsia="zh-CN" w:bidi="ar-SA"/>
        </w:rPr>
        <w:t>1、基本资格条件</w:t>
      </w:r>
    </w:p>
    <w:p w14:paraId="3C8B057A">
      <w:pPr>
        <w:pStyle w:val="18"/>
        <w:keepNext w:val="0"/>
        <w:keepLines w:val="0"/>
        <w:pageBreakBefore w:val="0"/>
        <w:widowControl w:val="0"/>
        <w:numPr>
          <w:ilvl w:val="0"/>
          <w:numId w:val="0"/>
        </w:numPr>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（1）具有独立承担民事责任的能力的资格证明文件；</w:t>
      </w:r>
      <w:r>
        <w:rPr>
          <w:rFonts w:hint="eastAsia" w:ascii="宋体" w:hAnsi="宋体" w:eastAsia="宋体" w:cs="宋体"/>
          <w:b w:val="0"/>
          <w:bCs w:val="0"/>
          <w:color w:val="auto"/>
          <w:kern w:val="2"/>
          <w:sz w:val="21"/>
          <w:szCs w:val="21"/>
          <w:highlight w:val="none"/>
          <w:lang w:val="en-US" w:eastAsia="zh-CN" w:bidi="ar-SA"/>
        </w:rPr>
        <w:t xml:space="preserve">（投标人根据单位性质提供相应的证明：如营业执照、民办非企业证、统一社会信用代码证书或自然人的身份证等，提供复印件加盖公章。） </w:t>
      </w:r>
    </w:p>
    <w:p w14:paraId="6935D454">
      <w:pPr>
        <w:pStyle w:val="18"/>
        <w:keepNext w:val="0"/>
        <w:keepLines w:val="0"/>
        <w:pageBreakBefore w:val="0"/>
        <w:widowControl w:val="0"/>
        <w:numPr>
          <w:ilvl w:val="0"/>
          <w:numId w:val="0"/>
        </w:numPr>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（2）具有良好的商业信誉和健全的财务会计制度；</w:t>
      </w:r>
      <w:r>
        <w:rPr>
          <w:rFonts w:hint="eastAsia" w:ascii="宋体" w:hAnsi="宋体" w:eastAsia="宋体" w:cs="宋体"/>
          <w:b w:val="0"/>
          <w:bCs w:val="0"/>
          <w:color w:val="auto"/>
          <w:kern w:val="2"/>
          <w:sz w:val="21"/>
          <w:szCs w:val="21"/>
          <w:highlight w:val="none"/>
          <w:lang w:val="en-US" w:eastAsia="zh-CN" w:bidi="ar-SA"/>
        </w:rPr>
        <w:t>（提供开标前近六个月其中任意一个月的财务报表或近两年内任意一年的财务审计报告或在开标前三个月内投标人基本账户开户银行出具的资信证明复印件加盖公章）</w:t>
      </w:r>
    </w:p>
    <w:p w14:paraId="644E1ECB">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（3）有依法缴纳税收和社会保障资金的良好记录；</w:t>
      </w:r>
      <w:r>
        <w:rPr>
          <w:rFonts w:hint="eastAsia" w:ascii="宋体" w:hAnsi="宋体" w:eastAsia="宋体" w:cs="宋体"/>
          <w:b w:val="0"/>
          <w:bCs w:val="0"/>
          <w:color w:val="auto"/>
          <w:kern w:val="2"/>
          <w:sz w:val="21"/>
          <w:szCs w:val="21"/>
          <w:highlight w:val="none"/>
          <w:lang w:val="en-US" w:eastAsia="zh-CN" w:bidi="ar-SA"/>
        </w:rPr>
        <w:t>（提供开标前六个月任意一个月的税收和社保缴纳凭证复印件加盖公章；依法免税或不需要缴纳社会保障资金的投标人，应当提供依法免税或不需要缴纳社会保障资金相关证明文件复印件加盖公章）</w:t>
      </w:r>
    </w:p>
    <w:p w14:paraId="131AF111">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（4）具有履行合同所必须的设备和专业技术能力；</w:t>
      </w:r>
      <w:r>
        <w:rPr>
          <w:rFonts w:hint="eastAsia" w:ascii="宋体" w:hAnsi="宋体" w:eastAsia="宋体" w:cs="宋体"/>
          <w:b w:val="0"/>
          <w:bCs w:val="0"/>
          <w:color w:val="auto"/>
          <w:kern w:val="2"/>
          <w:sz w:val="21"/>
          <w:szCs w:val="21"/>
          <w:highlight w:val="none"/>
          <w:lang w:val="en-US" w:eastAsia="zh-CN" w:bidi="ar-SA"/>
        </w:rPr>
        <w:t>（承诺函加盖公章）</w:t>
      </w:r>
    </w:p>
    <w:p w14:paraId="70F961AD">
      <w:pPr>
        <w:pStyle w:val="18"/>
        <w:keepNext w:val="0"/>
        <w:keepLines w:val="0"/>
        <w:pageBreakBefore w:val="0"/>
        <w:widowControl w:val="0"/>
        <w:tabs>
          <w:tab w:val="left" w:pos="5963"/>
        </w:tabs>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（5）参加</w:t>
      </w:r>
      <w:r>
        <w:rPr>
          <w:rFonts w:hint="eastAsia" w:cs="宋体"/>
          <w:b/>
          <w:bCs/>
          <w:color w:val="auto"/>
          <w:kern w:val="2"/>
          <w:sz w:val="21"/>
          <w:szCs w:val="21"/>
          <w:highlight w:val="none"/>
          <w:lang w:val="en-US" w:eastAsia="zh-CN" w:bidi="ar-SA"/>
        </w:rPr>
        <w:t>项目</w:t>
      </w:r>
      <w:r>
        <w:rPr>
          <w:rFonts w:hint="eastAsia" w:ascii="宋体" w:hAnsi="宋体" w:eastAsia="宋体" w:cs="宋体"/>
          <w:b/>
          <w:bCs/>
          <w:color w:val="auto"/>
          <w:kern w:val="2"/>
          <w:sz w:val="21"/>
          <w:szCs w:val="21"/>
          <w:highlight w:val="none"/>
          <w:lang w:val="en-US" w:eastAsia="zh-CN" w:bidi="ar-SA"/>
        </w:rPr>
        <w:t>前三年内，在经营活动中没有重大违法记录；</w:t>
      </w:r>
      <w:r>
        <w:rPr>
          <w:rFonts w:hint="eastAsia" w:ascii="宋体" w:hAnsi="宋体" w:eastAsia="宋体" w:cs="宋体"/>
          <w:b w:val="0"/>
          <w:bCs w:val="0"/>
          <w:color w:val="auto"/>
          <w:kern w:val="2"/>
          <w:sz w:val="21"/>
          <w:szCs w:val="21"/>
          <w:highlight w:val="none"/>
          <w:lang w:val="en-US" w:eastAsia="zh-CN" w:bidi="ar-SA"/>
        </w:rPr>
        <w:t>（承诺函加盖公章）</w:t>
      </w:r>
    </w:p>
    <w:p w14:paraId="23A020CC">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2、其它条件</w:t>
      </w:r>
    </w:p>
    <w:p w14:paraId="53E1EAAD">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（1）单位负责人为同一人或者存在直接控股、管理关系的不同投标人，不得参加同一合同项下的</w:t>
      </w:r>
      <w:r>
        <w:rPr>
          <w:rFonts w:hint="eastAsia" w:cs="宋体"/>
          <w:b w:val="0"/>
          <w:bCs w:val="0"/>
          <w:color w:val="auto"/>
          <w:kern w:val="2"/>
          <w:sz w:val="21"/>
          <w:szCs w:val="21"/>
          <w:highlight w:val="none"/>
          <w:lang w:val="en-US" w:eastAsia="zh-CN" w:bidi="ar-SA"/>
        </w:rPr>
        <w:t>招标</w:t>
      </w:r>
      <w:r>
        <w:rPr>
          <w:rFonts w:hint="eastAsia" w:ascii="宋体" w:hAnsi="宋体" w:eastAsia="宋体" w:cs="宋体"/>
          <w:b w:val="0"/>
          <w:bCs w:val="0"/>
          <w:color w:val="auto"/>
          <w:kern w:val="2"/>
          <w:sz w:val="21"/>
          <w:szCs w:val="21"/>
          <w:highlight w:val="none"/>
          <w:lang w:val="en-US" w:eastAsia="zh-CN" w:bidi="ar-SA"/>
        </w:rPr>
        <w:t>活动；</w:t>
      </w:r>
    </w:p>
    <w:p w14:paraId="6FCA3C21">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（2）投标人在</w:t>
      </w:r>
      <w:r>
        <w:rPr>
          <w:rFonts w:hint="eastAsia" w:cs="宋体"/>
          <w:b w:val="0"/>
          <w:bCs w:val="0"/>
          <w:color w:val="auto"/>
          <w:kern w:val="2"/>
          <w:sz w:val="21"/>
          <w:szCs w:val="21"/>
          <w:highlight w:val="none"/>
          <w:lang w:val="en-US" w:eastAsia="zh-CN" w:bidi="ar-SA"/>
        </w:rPr>
        <w:t>投标</w:t>
      </w:r>
      <w:r>
        <w:rPr>
          <w:rFonts w:hint="eastAsia" w:ascii="宋体" w:hAnsi="宋体" w:eastAsia="宋体" w:cs="宋体"/>
          <w:b w:val="0"/>
          <w:bCs w:val="0"/>
          <w:color w:val="auto"/>
          <w:kern w:val="2"/>
          <w:sz w:val="21"/>
          <w:szCs w:val="21"/>
          <w:highlight w:val="none"/>
          <w:lang w:val="en-US" w:eastAsia="zh-CN" w:bidi="ar-SA"/>
        </w:rPr>
        <w:t>文件递交截止时间前被“信用中国”网站列入失信被执行人或重大税收违法案件当事人名单的，或被“中国政府采购网”网站列入政府采购严重违法失信行为记录名单（处罚期限尚未届满的），不得参与本项目；</w:t>
      </w:r>
    </w:p>
    <w:p w14:paraId="75EB0DF0">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（3）投标人须提供法人身份证明或法人代表授权委托书及被授权人身份证复印件加盖公章。</w:t>
      </w:r>
    </w:p>
    <w:p w14:paraId="0B785AFA">
      <w:pPr>
        <w:pStyle w:val="3"/>
        <w:keepNext w:val="0"/>
        <w:keepLines w:val="0"/>
        <w:pageBreakBefore w:val="0"/>
        <w:widowControl w:val="0"/>
        <w:kinsoku/>
        <w:overflowPunct/>
        <w:topLinePunct w:val="0"/>
        <w:autoSpaceDE/>
        <w:autoSpaceDN/>
        <w:bidi w:val="0"/>
        <w:adjustRightInd w:val="0"/>
        <w:snapToGrid/>
        <w:spacing w:before="0" w:after="0" w:line="360" w:lineRule="auto"/>
        <w:ind w:firstLine="424"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具有</w:t>
      </w:r>
      <w:r>
        <w:rPr>
          <w:rFonts w:ascii="宋体" w:hAnsi="宋体" w:eastAsia="宋体" w:cs="宋体"/>
          <w:b w:val="0"/>
          <w:bCs w:val="0"/>
          <w:color w:val="auto"/>
          <w:sz w:val="21"/>
          <w:szCs w:val="21"/>
          <w:highlight w:val="none"/>
        </w:rPr>
        <w:t>市政公用工程施工总承包</w:t>
      </w:r>
      <w:r>
        <w:rPr>
          <w:rFonts w:hint="eastAsia" w:ascii="宋体" w:hAnsi="宋体" w:eastAsia="宋体" w:cs="宋体"/>
          <w:b w:val="0"/>
          <w:bCs w:val="0"/>
          <w:color w:val="auto"/>
          <w:sz w:val="21"/>
          <w:szCs w:val="21"/>
          <w:highlight w:val="none"/>
        </w:rPr>
        <w:t>三级及以上</w:t>
      </w:r>
      <w:r>
        <w:rPr>
          <w:rFonts w:ascii="宋体" w:hAnsi="宋体" w:eastAsia="宋体" w:cs="宋体"/>
          <w:b w:val="0"/>
          <w:bCs w:val="0"/>
          <w:color w:val="auto"/>
          <w:sz w:val="21"/>
          <w:szCs w:val="21"/>
          <w:highlight w:val="none"/>
        </w:rPr>
        <w:t>资质</w:t>
      </w:r>
      <w:r>
        <w:rPr>
          <w:rFonts w:hint="eastAsia" w:ascii="宋体" w:hAnsi="宋体" w:eastAsia="宋体" w:cs="宋体"/>
          <w:b w:val="0"/>
          <w:bCs w:val="0"/>
          <w:color w:val="auto"/>
          <w:sz w:val="21"/>
          <w:szCs w:val="21"/>
          <w:highlight w:val="none"/>
          <w:lang w:val="en-US" w:eastAsia="zh-CN"/>
        </w:rPr>
        <w:t>及安全生产许可证</w:t>
      </w:r>
      <w:r>
        <w:rPr>
          <w:rFonts w:hint="eastAsia" w:ascii="宋体" w:hAnsi="宋体" w:eastAsia="宋体" w:cs="宋体"/>
          <w:b w:val="0"/>
          <w:bCs w:val="0"/>
          <w:color w:val="auto"/>
          <w:sz w:val="21"/>
          <w:szCs w:val="21"/>
          <w:highlight w:val="none"/>
        </w:rPr>
        <w:t>。（提供证书复印件加盖公章）</w:t>
      </w:r>
    </w:p>
    <w:p w14:paraId="3DBA7306">
      <w:pPr>
        <w:pStyle w:val="3"/>
        <w:keepNext w:val="0"/>
        <w:keepLines w:val="0"/>
        <w:pageBreakBefore w:val="0"/>
        <w:widowControl w:val="0"/>
        <w:kinsoku/>
        <w:overflowPunct/>
        <w:topLinePunct w:val="0"/>
        <w:autoSpaceDE/>
        <w:autoSpaceDN/>
        <w:bidi w:val="0"/>
        <w:adjustRightInd w:val="0"/>
        <w:snapToGrid/>
        <w:spacing w:before="0" w:after="0" w:line="360" w:lineRule="auto"/>
        <w:ind w:firstLine="424"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拟派的注册建造师的专业及级别要求：具有市政公用工程贰级及以上注册建造师证书（不含临时执业资格）、B类安全生产考核合格证书。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提供证书复印件</w:t>
      </w:r>
      <w:r>
        <w:rPr>
          <w:rFonts w:hint="eastAsia" w:ascii="宋体" w:hAnsi="宋体" w:eastAsia="宋体" w:cs="宋体"/>
          <w:b w:val="0"/>
          <w:bCs w:val="0"/>
          <w:color w:val="auto"/>
          <w:sz w:val="21"/>
          <w:szCs w:val="21"/>
          <w:highlight w:val="none"/>
          <w:lang w:val="en-US" w:eastAsia="zh-CN"/>
        </w:rPr>
        <w:t>及开标前六个月任意一个月投标人为其缴纳的社保证明加盖公章</w:t>
      </w:r>
      <w:r>
        <w:rPr>
          <w:rFonts w:hint="eastAsia" w:ascii="宋体" w:hAnsi="宋体" w:eastAsia="宋体" w:cs="宋体"/>
          <w:b w:val="0"/>
          <w:bCs w:val="0"/>
          <w:color w:val="auto"/>
          <w:sz w:val="21"/>
          <w:szCs w:val="21"/>
          <w:highlight w:val="none"/>
          <w:lang w:eastAsia="zh-CN"/>
        </w:rPr>
        <w:t>）</w:t>
      </w:r>
    </w:p>
    <w:p w14:paraId="6DDB72D8">
      <w:pPr>
        <w:pStyle w:val="18"/>
        <w:keepNext w:val="0"/>
        <w:keepLines w:val="0"/>
        <w:pageBreakBefore w:val="0"/>
        <w:widowControl w:val="0"/>
        <w:kinsoku/>
        <w:overflowPunct/>
        <w:topLinePunct w:val="0"/>
        <w:autoSpaceDE/>
        <w:autoSpaceDN/>
        <w:bidi w:val="0"/>
        <w:adjustRightInd w:val="0"/>
        <w:snapToGrid/>
        <w:spacing w:before="0" w:beforeAutospacing="0" w:after="0" w:afterAutospacing="0" w:line="360" w:lineRule="auto"/>
        <w:ind w:firstLine="424"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拟派的</w:t>
      </w:r>
      <w:r>
        <w:rPr>
          <w:rFonts w:hint="eastAsia" w:ascii="宋体" w:hAnsi="宋体" w:eastAsia="宋体" w:cs="宋体"/>
          <w:b w:val="0"/>
          <w:bCs w:val="0"/>
          <w:color w:val="auto"/>
          <w:sz w:val="21"/>
          <w:szCs w:val="21"/>
          <w:highlight w:val="none"/>
          <w:lang w:val="en-US" w:eastAsia="zh-CN"/>
        </w:rPr>
        <w:t>三大员</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val="en-US" w:eastAsia="zh-CN"/>
        </w:rPr>
        <w:t>：施工员、质量员具有有效岗位证书或培训合格证书（施工员、 质量员专业必须为市政专业）</w:t>
      </w:r>
      <w:r>
        <w:rPr>
          <w:rFonts w:hint="eastAsia"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专职安全员具有C类安全生产考核合格证书。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提供证书复印件</w:t>
      </w:r>
      <w:r>
        <w:rPr>
          <w:rFonts w:hint="eastAsia" w:ascii="宋体" w:hAnsi="宋体" w:eastAsia="宋体" w:cs="宋体"/>
          <w:b w:val="0"/>
          <w:bCs w:val="0"/>
          <w:color w:val="auto"/>
          <w:sz w:val="21"/>
          <w:szCs w:val="21"/>
          <w:highlight w:val="none"/>
          <w:lang w:val="en-US" w:eastAsia="zh-CN"/>
        </w:rPr>
        <w:t>及开标前六个月任意一个月投标人为其缴纳的社保证明加盖公章</w:t>
      </w:r>
      <w:r>
        <w:rPr>
          <w:rFonts w:hint="eastAsia" w:ascii="宋体" w:hAnsi="宋体" w:eastAsia="宋体" w:cs="宋体"/>
          <w:b w:val="0"/>
          <w:bCs w:val="0"/>
          <w:color w:val="auto"/>
          <w:sz w:val="21"/>
          <w:szCs w:val="21"/>
          <w:highlight w:val="none"/>
          <w:lang w:eastAsia="zh-CN"/>
        </w:rPr>
        <w:t>）</w:t>
      </w:r>
    </w:p>
    <w:p w14:paraId="48B3B15D">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color w:val="auto"/>
          <w:sz w:val="21"/>
          <w:szCs w:val="21"/>
          <w:highlight w:val="none"/>
        </w:rPr>
        <w:t>获取招标文件地点及方式：</w:t>
      </w:r>
      <w:bookmarkEnd w:id="5"/>
      <w:bookmarkEnd w:id="6"/>
    </w:p>
    <w:p w14:paraId="5035E5A9">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firstLine="424"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凡参加本</w:t>
      </w:r>
      <w:r>
        <w:rPr>
          <w:rFonts w:hint="eastAsia" w:ascii="宋体" w:hAnsi="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eastAsia="zh-CN"/>
        </w:rPr>
        <w:t>的</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eastAsia="zh-CN"/>
        </w:rPr>
        <w:t>，均通过</w:t>
      </w:r>
      <w:r>
        <w:rPr>
          <w:rFonts w:hint="eastAsia" w:ascii="宋体" w:hAnsi="宋体" w:eastAsia="宋体" w:cs="宋体"/>
          <w:b w:val="0"/>
          <w:bCs w:val="0"/>
          <w:color w:val="auto"/>
          <w:sz w:val="21"/>
          <w:szCs w:val="21"/>
          <w:highlight w:val="none"/>
          <w:lang w:val="en-US" w:eastAsia="zh-CN"/>
        </w:rPr>
        <w:t>江西省招标投标网</w:t>
      </w:r>
      <w:r>
        <w:rPr>
          <w:rFonts w:hint="eastAsia" w:ascii="宋体" w:hAnsi="宋体" w:cs="宋体"/>
          <w:b w:val="0"/>
          <w:bCs w:val="0"/>
          <w:color w:val="auto"/>
          <w:sz w:val="21"/>
          <w:szCs w:val="21"/>
          <w:highlight w:val="none"/>
          <w:lang w:val="en-US" w:eastAsia="zh-CN"/>
        </w:rPr>
        <w:t>、吉水县园区开发建设有限公司微信公众号</w:t>
      </w:r>
      <w:r>
        <w:rPr>
          <w:rFonts w:hint="eastAsia" w:ascii="宋体" w:hAnsi="宋体" w:eastAsia="宋体" w:cs="宋体"/>
          <w:b w:val="0"/>
          <w:bCs w:val="0"/>
          <w:color w:val="auto"/>
          <w:sz w:val="21"/>
          <w:szCs w:val="21"/>
          <w:highlight w:val="none"/>
          <w:lang w:eastAsia="zh-CN"/>
        </w:rPr>
        <w:t>免费自行获取</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文件并按</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文件要求编制</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文件在规定的时间准时参加。</w:t>
      </w:r>
    </w:p>
    <w:p w14:paraId="27BD8D39">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文件获取时间：</w:t>
      </w:r>
      <w:r>
        <w:rPr>
          <w:rFonts w:hint="eastAsia" w:ascii="宋体" w:hAnsi="宋体" w:cs="宋体"/>
          <w:b w:val="0"/>
          <w:bCs w:val="0"/>
          <w:color w:val="auto"/>
          <w:sz w:val="21"/>
          <w:szCs w:val="21"/>
          <w:highlight w:val="none"/>
          <w:lang w:eastAsia="zh-CN"/>
        </w:rPr>
        <w:t>202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日</w:t>
      </w:r>
      <w:r>
        <w:rPr>
          <w:rFonts w:hint="eastAsia" w:ascii="宋体" w:hAnsi="宋体" w:eastAsia="宋体" w:cs="宋体"/>
          <w:color w:val="auto"/>
          <w:sz w:val="21"/>
          <w:szCs w:val="21"/>
          <w:highlight w:val="none"/>
        </w:rPr>
        <w:t>8:00-</w:t>
      </w:r>
      <w:r>
        <w:rPr>
          <w:rFonts w:hint="eastAsia" w:ascii="宋体" w:hAnsi="宋体" w:cs="宋体"/>
          <w:b w:val="0"/>
          <w:bCs w:val="0"/>
          <w:color w:val="auto"/>
          <w:sz w:val="21"/>
          <w:szCs w:val="21"/>
          <w:highlight w:val="none"/>
          <w:lang w:eastAsia="zh-CN"/>
        </w:rPr>
        <w:t>202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28</w:t>
      </w:r>
      <w:r>
        <w:rPr>
          <w:rFonts w:hint="eastAsia" w:ascii="宋体" w:hAnsi="宋体" w:eastAsia="宋体" w:cs="宋体"/>
          <w:b w:val="0"/>
          <w:bCs w:val="0"/>
          <w:color w:val="auto"/>
          <w:sz w:val="21"/>
          <w:szCs w:val="21"/>
          <w:highlight w:val="none"/>
        </w:rPr>
        <w:t>日</w:t>
      </w:r>
      <w:r>
        <w:rPr>
          <w:rFonts w:hint="eastAsia" w:ascii="宋体" w:hAnsi="宋体" w:cs="宋体"/>
          <w:b w:val="0"/>
          <w:bCs w:val="0"/>
          <w:color w:val="auto"/>
          <w:sz w:val="21"/>
          <w:szCs w:val="21"/>
          <w:highlight w:val="none"/>
          <w:lang w:val="en-US" w:eastAsia="zh-CN"/>
        </w:rPr>
        <w:t>17</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lang w:eastAsia="zh-CN"/>
        </w:rPr>
        <w:t>0（北京时间，法定节假日除外）</w:t>
      </w:r>
      <w:r>
        <w:rPr>
          <w:rFonts w:hint="eastAsia" w:ascii="宋体" w:hAnsi="宋体" w:eastAsia="宋体" w:cs="宋体"/>
          <w:color w:val="auto"/>
          <w:sz w:val="21"/>
          <w:szCs w:val="21"/>
          <w:highlight w:val="none"/>
        </w:rPr>
        <w:t>。</w:t>
      </w:r>
    </w:p>
    <w:p w14:paraId="43C6EAEB">
      <w:pPr>
        <w:keepNext w:val="0"/>
        <w:keepLines w:val="0"/>
        <w:pageBreakBefore w:val="0"/>
        <w:widowControl w:val="0"/>
        <w:kinsoku/>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售价：0元/份</w:t>
      </w:r>
    </w:p>
    <w:p w14:paraId="605F02CB">
      <w:pPr>
        <w:keepNext w:val="0"/>
        <w:keepLines w:val="0"/>
        <w:pageBreakBefore w:val="0"/>
        <w:widowControl w:val="0"/>
        <w:numPr>
          <w:ilvl w:val="0"/>
          <w:numId w:val="0"/>
        </w:numPr>
        <w:kinsoku/>
        <w:overflowPunct/>
        <w:topLinePunct w:val="0"/>
        <w:autoSpaceDE/>
        <w:autoSpaceDN/>
        <w:bidi w:val="0"/>
        <w:adjustRightInd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期限：</w:t>
      </w:r>
    </w:p>
    <w:p w14:paraId="464C8617">
      <w:pPr>
        <w:keepNext w:val="0"/>
        <w:keepLines w:val="0"/>
        <w:pageBreakBefore w:val="0"/>
        <w:widowControl w:val="0"/>
        <w:kinsoku/>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期限：</w:t>
      </w:r>
      <w:r>
        <w:rPr>
          <w:rFonts w:hint="eastAsia" w:ascii="宋体" w:hAnsi="宋体" w:eastAsia="宋体" w:cs="宋体"/>
          <w:b w:val="0"/>
          <w:bCs w:val="0"/>
          <w:color w:val="auto"/>
          <w:kern w:val="0"/>
          <w:sz w:val="21"/>
          <w:szCs w:val="21"/>
          <w:highlight w:val="none"/>
        </w:rPr>
        <w:t>自</w:t>
      </w:r>
      <w:r>
        <w:rPr>
          <w:rFonts w:hint="eastAsia" w:ascii="宋体" w:hAnsi="宋体" w:eastAsia="宋体" w:cs="宋体"/>
          <w:b w:val="0"/>
          <w:bCs w:val="0"/>
          <w:color w:val="auto"/>
          <w:kern w:val="0"/>
          <w:sz w:val="21"/>
          <w:szCs w:val="21"/>
          <w:highlight w:val="none"/>
          <w:lang w:val="en-US" w:eastAsia="zh-CN"/>
        </w:rPr>
        <w:t>招标公告发出</w:t>
      </w:r>
      <w:r>
        <w:rPr>
          <w:rFonts w:hint="eastAsia" w:ascii="宋体" w:hAnsi="宋体" w:eastAsia="宋体" w:cs="宋体"/>
          <w:b w:val="0"/>
          <w:bCs w:val="0"/>
          <w:color w:val="auto"/>
          <w:kern w:val="0"/>
          <w:sz w:val="21"/>
          <w:szCs w:val="21"/>
          <w:highlight w:val="none"/>
        </w:rPr>
        <w:t>之日起</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个工作日</w:t>
      </w:r>
      <w:r>
        <w:rPr>
          <w:rFonts w:hint="eastAsia" w:ascii="宋体" w:hAnsi="宋体" w:eastAsia="宋体" w:cs="宋体"/>
          <w:color w:val="auto"/>
          <w:sz w:val="21"/>
          <w:szCs w:val="21"/>
          <w:highlight w:val="none"/>
        </w:rPr>
        <w:t>。</w:t>
      </w:r>
    </w:p>
    <w:p w14:paraId="2A78FA49">
      <w:pPr>
        <w:pStyle w:val="3"/>
        <w:keepNext w:val="0"/>
        <w:keepLines w:val="0"/>
        <w:pageBreakBefore w:val="0"/>
        <w:widowControl w:val="0"/>
        <w:kinsoku/>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bookmarkStart w:id="7" w:name="_Toc26321"/>
      <w:bookmarkStart w:id="8" w:name="_Toc22573"/>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投标文件接收及开标信息：</w:t>
      </w:r>
      <w:bookmarkEnd w:id="7"/>
      <w:bookmarkEnd w:id="8"/>
    </w:p>
    <w:p w14:paraId="3540FDF6">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bookmarkStart w:id="9" w:name="_Toc10974"/>
      <w:bookmarkStart w:id="10" w:name="_Toc8112"/>
      <w:r>
        <w:rPr>
          <w:rFonts w:hint="eastAsia" w:ascii="宋体" w:hAnsi="宋体" w:eastAsia="宋体" w:cs="宋体"/>
          <w:color w:val="auto"/>
          <w:sz w:val="21"/>
          <w:szCs w:val="21"/>
          <w:highlight w:val="none"/>
        </w:rPr>
        <w:t>1、投标截止：投标人请在</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6</w:t>
      </w:r>
      <w:r>
        <w:rPr>
          <w:rFonts w:hint="eastAsia" w:ascii="宋体" w:hAnsi="宋体" w:cs="宋体"/>
          <w:color w:val="auto"/>
          <w:sz w:val="21"/>
          <w:szCs w:val="21"/>
          <w:highlight w:val="none"/>
          <w:lang w:eastAsia="zh-CN"/>
        </w:rPr>
        <w:t>日9:30</w:t>
      </w:r>
      <w:r>
        <w:rPr>
          <w:rFonts w:hint="eastAsia" w:ascii="宋体" w:hAnsi="宋体" w:eastAsia="宋体" w:cs="宋体"/>
          <w:color w:val="auto"/>
          <w:sz w:val="21"/>
          <w:szCs w:val="21"/>
          <w:highlight w:val="none"/>
        </w:rPr>
        <w:t>前将投标文件递交至指定开标地点，逾期作无效投标处理。</w:t>
      </w:r>
    </w:p>
    <w:p w14:paraId="2776F617">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日9:30</w:t>
      </w:r>
      <w:r>
        <w:rPr>
          <w:rFonts w:hint="eastAsia" w:ascii="宋体" w:hAnsi="宋体" w:eastAsia="宋体" w:cs="宋体"/>
          <w:color w:val="auto"/>
          <w:sz w:val="21"/>
          <w:szCs w:val="21"/>
          <w:highlight w:val="none"/>
        </w:rPr>
        <w:t>；</w:t>
      </w:r>
    </w:p>
    <w:p w14:paraId="5C6B42BE">
      <w:pPr>
        <w:keepNext w:val="0"/>
        <w:keepLines w:val="0"/>
        <w:pageBreakBefore w:val="0"/>
        <w:widowControl w:val="0"/>
        <w:kinsoku/>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eastAsia="宋体" w:cs="宋体"/>
          <w:color w:val="auto"/>
          <w:sz w:val="21"/>
          <w:szCs w:val="21"/>
          <w:highlight w:val="none"/>
          <w:lang w:eastAsia="zh-CN"/>
        </w:rPr>
        <w:t>江西省吉安市吉州区国隆花园里1栋1</w:t>
      </w:r>
      <w:r>
        <w:rPr>
          <w:rFonts w:hint="eastAsia" w:ascii="宋体" w:hAnsi="宋体" w:cs="宋体"/>
          <w:color w:val="auto"/>
          <w:sz w:val="21"/>
          <w:szCs w:val="21"/>
          <w:highlight w:val="none"/>
          <w:lang w:val="en-US" w:eastAsia="zh-CN"/>
        </w:rPr>
        <w:t>809</w:t>
      </w:r>
      <w:r>
        <w:rPr>
          <w:rFonts w:hint="eastAsia" w:ascii="宋体" w:hAnsi="宋体" w:eastAsia="宋体" w:cs="宋体"/>
          <w:color w:val="auto"/>
          <w:sz w:val="21"/>
          <w:szCs w:val="21"/>
          <w:highlight w:val="none"/>
          <w:lang w:eastAsia="zh-CN"/>
        </w:rPr>
        <w:t>室</w:t>
      </w:r>
      <w:r>
        <w:rPr>
          <w:rFonts w:hint="eastAsia" w:ascii="宋体" w:hAnsi="宋体" w:eastAsia="宋体" w:cs="宋体"/>
          <w:color w:val="auto"/>
          <w:sz w:val="21"/>
          <w:szCs w:val="21"/>
          <w:highlight w:val="none"/>
        </w:rPr>
        <w:t>。</w:t>
      </w:r>
    </w:p>
    <w:bookmarkEnd w:id="9"/>
    <w:bookmarkEnd w:id="10"/>
    <w:p w14:paraId="7ABCBF76">
      <w:pPr>
        <w:keepNext w:val="0"/>
        <w:keepLines w:val="0"/>
        <w:pageBreakBefore w:val="0"/>
        <w:widowControl w:val="0"/>
        <w:kinsoku/>
        <w:overflowPunct/>
        <w:topLinePunct w:val="0"/>
        <w:autoSpaceDE/>
        <w:autoSpaceDN/>
        <w:bidi w:val="0"/>
        <w:adjustRightInd w:val="0"/>
        <w:snapToGrid/>
        <w:spacing w:line="360" w:lineRule="auto"/>
        <w:textAlignment w:val="auto"/>
        <w:outlineLvl w:val="9"/>
        <w:rPr>
          <w:rFonts w:hint="eastAsia" w:ascii="宋体" w:hAnsi="宋体" w:eastAsia="宋体" w:cs="宋体"/>
          <w:b/>
          <w:bCs/>
          <w:color w:val="auto"/>
          <w:sz w:val="21"/>
          <w:szCs w:val="21"/>
          <w:highlight w:val="none"/>
        </w:rPr>
      </w:pPr>
      <w:bookmarkStart w:id="11" w:name="_Toc17808"/>
      <w:bookmarkStart w:id="12" w:name="_Toc26636"/>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、评审办法</w:t>
      </w:r>
    </w:p>
    <w:p w14:paraId="373E07D7">
      <w:pPr>
        <w:keepNext w:val="0"/>
        <w:keepLines w:val="0"/>
        <w:pageBreakBefore w:val="0"/>
        <w:widowControl w:val="0"/>
        <w:kinsoku/>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本项目评审采用</w:t>
      </w:r>
      <w:r>
        <w:rPr>
          <w:rFonts w:hint="eastAsia" w:ascii="宋体" w:hAnsi="宋体" w:cs="宋体"/>
          <w:color w:val="auto"/>
          <w:szCs w:val="21"/>
          <w:highlight w:val="none"/>
        </w:rPr>
        <w:t>最低评标价法，即投标文件满足招标文件全部实质性要求且经评审投标报价最低的投标人为中标候选人的评标方法。</w:t>
      </w:r>
    </w:p>
    <w:p w14:paraId="5838017E">
      <w:pPr>
        <w:keepNext w:val="0"/>
        <w:keepLines w:val="0"/>
        <w:pageBreakBefore w:val="0"/>
        <w:widowControl w:val="0"/>
        <w:kinsoku/>
        <w:overflowPunct/>
        <w:topLinePunct w:val="0"/>
        <w:autoSpaceDE/>
        <w:autoSpaceDN/>
        <w:bidi w:val="0"/>
        <w:adjustRightInd w:val="0"/>
        <w:snapToGrid/>
        <w:spacing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公告发布地址：</w:t>
      </w:r>
    </w:p>
    <w:p w14:paraId="496CD368">
      <w:pPr>
        <w:keepNext w:val="0"/>
        <w:keepLines w:val="0"/>
        <w:pageBreakBefore w:val="0"/>
        <w:widowControl w:val="0"/>
        <w:kinsoku/>
        <w:wordWrap w:val="0"/>
        <w:overflowPunct/>
        <w:topLinePunct w:val="0"/>
        <w:autoSpaceDE/>
        <w:autoSpaceDN/>
        <w:bidi w:val="0"/>
        <w:adjustRightInd w:val="0"/>
        <w:snapToGrid/>
        <w:spacing w:line="360" w:lineRule="auto"/>
        <w:ind w:firstLine="414" w:firstLineChars="196"/>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江西省招标投标网、</w:t>
      </w:r>
      <w:r>
        <w:rPr>
          <w:rFonts w:hint="eastAsia" w:ascii="宋体" w:hAnsi="宋体" w:cs="宋体"/>
          <w:b w:val="0"/>
          <w:bCs w:val="0"/>
          <w:color w:val="auto"/>
          <w:sz w:val="21"/>
          <w:szCs w:val="21"/>
          <w:highlight w:val="none"/>
          <w:lang w:val="en-US" w:eastAsia="zh-CN"/>
        </w:rPr>
        <w:t>吉水县园区开发建设有限公司微信公众号</w:t>
      </w:r>
      <w:r>
        <w:rPr>
          <w:rFonts w:hint="eastAsia" w:ascii="宋体" w:hAnsi="宋体" w:eastAsia="宋体" w:cs="宋体"/>
          <w:color w:val="auto"/>
          <w:kern w:val="0"/>
          <w:sz w:val="21"/>
          <w:szCs w:val="21"/>
          <w:highlight w:val="none"/>
        </w:rPr>
        <w:t>。</w:t>
      </w:r>
    </w:p>
    <w:p w14:paraId="36F2FFED">
      <w:pPr>
        <w:pStyle w:val="3"/>
        <w:keepNext w:val="0"/>
        <w:keepLines w:val="0"/>
        <w:pageBreakBefore w:val="0"/>
        <w:widowControl w:val="0"/>
        <w:kinsoku/>
        <w:overflowPunct/>
        <w:topLinePunct w:val="0"/>
        <w:autoSpaceDE/>
        <w:autoSpaceDN/>
        <w:bidi w:val="0"/>
        <w:adjustRightInd w:val="0"/>
        <w:snapToGrid/>
        <w:spacing w:line="360" w:lineRule="auto"/>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bookmarkEnd w:id="11"/>
      <w:bookmarkEnd w:id="12"/>
      <w:bookmarkStart w:id="13" w:name="_Toc28359018"/>
      <w:bookmarkStart w:id="14" w:name="_Toc28359095"/>
      <w:bookmarkStart w:id="15" w:name="_Toc35393636"/>
      <w:bookmarkStart w:id="16" w:name="_Toc35393805"/>
      <w:r>
        <w:rPr>
          <w:rFonts w:hint="eastAsia" w:ascii="宋体" w:hAnsi="宋体" w:eastAsia="宋体" w:cs="宋体"/>
          <w:bCs w:val="0"/>
          <w:color w:val="auto"/>
          <w:sz w:val="21"/>
          <w:szCs w:val="21"/>
          <w:highlight w:val="none"/>
        </w:rPr>
        <w:t>凡对本次</w:t>
      </w:r>
      <w:r>
        <w:rPr>
          <w:rFonts w:hint="eastAsia" w:ascii="宋体" w:hAnsi="宋体" w:eastAsia="宋体" w:cs="宋体"/>
          <w:bCs w:val="0"/>
          <w:color w:val="auto"/>
          <w:sz w:val="21"/>
          <w:szCs w:val="21"/>
          <w:highlight w:val="none"/>
          <w:lang w:eastAsia="zh-CN"/>
        </w:rPr>
        <w:t>招标</w:t>
      </w:r>
      <w:r>
        <w:rPr>
          <w:rFonts w:hint="eastAsia" w:ascii="宋体" w:hAnsi="宋体" w:eastAsia="宋体" w:cs="宋体"/>
          <w:bCs w:val="0"/>
          <w:color w:val="auto"/>
          <w:sz w:val="21"/>
          <w:szCs w:val="21"/>
          <w:highlight w:val="none"/>
        </w:rPr>
        <w:t>提出询问，请按以下方式联系。</w:t>
      </w:r>
      <w:bookmarkEnd w:id="13"/>
      <w:bookmarkEnd w:id="14"/>
      <w:bookmarkEnd w:id="15"/>
      <w:bookmarkEnd w:id="16"/>
    </w:p>
    <w:p w14:paraId="3864F212">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lang w:val="en-US" w:eastAsia="zh-CN"/>
        </w:rPr>
        <w:t>：吉水园区资产运营管理有限责任公司</w:t>
      </w:r>
    </w:p>
    <w:p w14:paraId="487B1E6D">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王林辉15579635563</w:t>
      </w:r>
    </w:p>
    <w:p w14:paraId="1E5EF32B">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采购代理机构</w:t>
      </w:r>
      <w:r>
        <w:rPr>
          <w:rFonts w:hint="eastAsia" w:ascii="宋体" w:hAnsi="宋体" w:eastAsia="宋体" w:cs="宋体"/>
          <w:b/>
          <w:bCs/>
          <w:color w:val="auto"/>
          <w:sz w:val="21"/>
          <w:szCs w:val="21"/>
          <w:highlight w:val="none"/>
          <w:lang w:val="en-US" w:eastAsia="zh-CN"/>
        </w:rPr>
        <w:t>：江西安必信招标咨询有限公司</w:t>
      </w:r>
    </w:p>
    <w:p w14:paraId="56BF5D90">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江西省吉安市吉州区国隆花园里1栋1408室</w:t>
      </w:r>
      <w:r>
        <w:rPr>
          <w:rFonts w:hint="eastAsia" w:ascii="宋体" w:hAnsi="宋体" w:eastAsia="宋体" w:cs="宋体"/>
          <w:color w:val="auto"/>
          <w:sz w:val="21"/>
          <w:szCs w:val="21"/>
          <w:highlight w:val="none"/>
        </w:rPr>
        <w:t xml:space="preserve"> </w:t>
      </w:r>
    </w:p>
    <w:p w14:paraId="0B796C6A">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周</w:t>
      </w:r>
      <w:r>
        <w:rPr>
          <w:rFonts w:hint="eastAsia" w:ascii="宋体" w:hAnsi="宋体" w:eastAsia="宋体" w:cs="宋体"/>
          <w:color w:val="auto"/>
          <w:sz w:val="21"/>
          <w:szCs w:val="21"/>
          <w:highlight w:val="none"/>
          <w:lang w:eastAsia="zh-CN"/>
        </w:rPr>
        <w:t>先生</w:t>
      </w:r>
      <w:r>
        <w:rPr>
          <w:rFonts w:hint="eastAsia" w:ascii="宋体" w:hAnsi="宋体" w:eastAsia="宋体" w:cs="宋体"/>
          <w:color w:val="auto"/>
          <w:sz w:val="21"/>
          <w:szCs w:val="21"/>
          <w:highlight w:val="none"/>
        </w:rPr>
        <w:t xml:space="preserve">     </w:t>
      </w:r>
    </w:p>
    <w:p w14:paraId="3CB387CF">
      <w:pPr>
        <w:keepNext w:val="0"/>
        <w:keepLines w:val="0"/>
        <w:pageBreakBefore w:val="0"/>
        <w:widowControl w:val="0"/>
        <w:kinsoku/>
        <w:wordWrap/>
        <w:overflowPunct/>
        <w:topLinePunct w:val="0"/>
        <w:autoSpaceDE/>
        <w:autoSpaceDN/>
        <w:bidi w:val="0"/>
        <w:adjustRightInd w:val="0"/>
        <w:snapToGrid/>
        <w:spacing w:line="360" w:lineRule="auto"/>
        <w:ind w:left="0" w:leftChars="0" w:firstLine="424"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0796-8845888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3755475556</w:t>
      </w:r>
    </w:p>
    <w:p w14:paraId="3F037AE7">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E-mail：</w:t>
      </w:r>
      <w:r>
        <w:rPr>
          <w:rFonts w:hint="eastAsia" w:ascii="宋体" w:hAnsi="宋体" w:cs="宋体"/>
          <w:color w:val="auto"/>
          <w:sz w:val="21"/>
          <w:szCs w:val="21"/>
          <w:highlight w:val="none"/>
          <w:lang w:eastAsia="zh-CN"/>
        </w:rPr>
        <w:t>jaabx@abxzb.cn</w:t>
      </w:r>
    </w:p>
    <w:p w14:paraId="4510F6FC">
      <w:pPr>
        <w:rPr>
          <w:color w:val="auto"/>
          <w:highlight w:val="none"/>
        </w:rPr>
      </w:pPr>
      <w:r>
        <w:rPr>
          <w:rFonts w:hint="eastAsia"/>
          <w:color w:val="auto"/>
          <w:highlight w:val="none"/>
        </w:rPr>
        <w:br w:type="page"/>
      </w:r>
    </w:p>
    <w:p w14:paraId="441804AE">
      <w:pPr>
        <w:pStyle w:val="2"/>
        <w:numPr>
          <w:ilvl w:val="0"/>
          <w:numId w:val="2"/>
        </w:numPr>
        <w:rPr>
          <w:color w:val="auto"/>
          <w:highlight w:val="none"/>
        </w:rPr>
      </w:pPr>
      <w:bookmarkStart w:id="17" w:name="_Toc14422"/>
      <w:r>
        <w:rPr>
          <w:rFonts w:hint="eastAsia"/>
          <w:color w:val="auto"/>
          <w:highlight w:val="none"/>
        </w:rPr>
        <w:t>招标文件前附表</w:t>
      </w:r>
      <w:bookmarkEnd w:id="17"/>
    </w:p>
    <w:p w14:paraId="36279B4C">
      <w:pPr>
        <w:pStyle w:val="10"/>
        <w:ind w:left="0"/>
        <w:jc w:val="both"/>
        <w:rPr>
          <w:b/>
          <w:bCs/>
          <w:color w:val="auto"/>
          <w:sz w:val="21"/>
          <w:szCs w:val="21"/>
          <w:highlight w:val="none"/>
        </w:rPr>
      </w:pPr>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76"/>
        <w:gridCol w:w="6598"/>
      </w:tblGrid>
      <w:tr w14:paraId="13C6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F018BE3">
            <w:pPr>
              <w:keepNext w:val="0"/>
              <w:keepLines w:val="0"/>
              <w:pageBreakBefore w:val="0"/>
              <w:tabs>
                <w:tab w:val="left" w:pos="7665"/>
              </w:tabs>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776" w:type="dxa"/>
            <w:tcBorders>
              <w:tl2br w:val="nil"/>
              <w:tr2bl w:val="nil"/>
            </w:tcBorders>
            <w:noWrap/>
            <w:vAlign w:val="center"/>
          </w:tcPr>
          <w:p w14:paraId="3124F563">
            <w:pPr>
              <w:keepNext w:val="0"/>
              <w:keepLines w:val="0"/>
              <w:pageBreakBefore w:val="0"/>
              <w:tabs>
                <w:tab w:val="left" w:pos="7665"/>
              </w:tabs>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条款名称</w:t>
            </w:r>
          </w:p>
        </w:tc>
        <w:tc>
          <w:tcPr>
            <w:tcW w:w="6598" w:type="dxa"/>
            <w:tcBorders>
              <w:tl2br w:val="nil"/>
              <w:tr2bl w:val="nil"/>
            </w:tcBorders>
            <w:noWrap/>
            <w:vAlign w:val="center"/>
          </w:tcPr>
          <w:p w14:paraId="67A87323">
            <w:pPr>
              <w:keepNext w:val="0"/>
              <w:keepLines w:val="0"/>
              <w:pageBreakBefore w:val="0"/>
              <w:tabs>
                <w:tab w:val="left" w:pos="7665"/>
              </w:tabs>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编列内容</w:t>
            </w:r>
          </w:p>
        </w:tc>
      </w:tr>
      <w:tr w14:paraId="6392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2B47A3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776" w:type="dxa"/>
            <w:tcBorders>
              <w:tl2br w:val="nil"/>
              <w:tr2bl w:val="nil"/>
            </w:tcBorders>
            <w:noWrap/>
            <w:vAlign w:val="center"/>
          </w:tcPr>
          <w:p w14:paraId="50B6875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采购人</w:t>
            </w:r>
          </w:p>
        </w:tc>
        <w:tc>
          <w:tcPr>
            <w:tcW w:w="6598" w:type="dxa"/>
            <w:tcBorders>
              <w:tl2br w:val="nil"/>
              <w:tr2bl w:val="nil"/>
            </w:tcBorders>
            <w:noWrap/>
            <w:vAlign w:val="center"/>
          </w:tcPr>
          <w:p w14:paraId="207EE9D4">
            <w:pPr>
              <w:keepNext w:val="0"/>
              <w:keepLines w:val="0"/>
              <w:pageBreakBefore w:val="0"/>
              <w:tabs>
                <w:tab w:val="left" w:pos="7665"/>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吉水园区资产运营管理有限责任公司</w:t>
            </w:r>
          </w:p>
        </w:tc>
      </w:tr>
      <w:tr w14:paraId="5E2D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594C77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776" w:type="dxa"/>
            <w:tcBorders>
              <w:tl2br w:val="nil"/>
              <w:tr2bl w:val="nil"/>
            </w:tcBorders>
            <w:noWrap/>
            <w:vAlign w:val="center"/>
          </w:tcPr>
          <w:p w14:paraId="487C255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采购代理机构</w:t>
            </w:r>
          </w:p>
        </w:tc>
        <w:tc>
          <w:tcPr>
            <w:tcW w:w="6598" w:type="dxa"/>
            <w:tcBorders>
              <w:tl2br w:val="nil"/>
              <w:tr2bl w:val="nil"/>
            </w:tcBorders>
            <w:noWrap/>
            <w:vAlign w:val="center"/>
          </w:tcPr>
          <w:p w14:paraId="66FBBF1D">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江西安必信招标咨询有限公司</w:t>
            </w:r>
          </w:p>
        </w:tc>
      </w:tr>
      <w:tr w14:paraId="3251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2A35C8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776" w:type="dxa"/>
            <w:tcBorders>
              <w:tl2br w:val="nil"/>
              <w:tr2bl w:val="nil"/>
            </w:tcBorders>
            <w:noWrap/>
            <w:vAlign w:val="center"/>
          </w:tcPr>
          <w:p w14:paraId="72659D8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598" w:type="dxa"/>
            <w:tcBorders>
              <w:tl2br w:val="nil"/>
              <w:tr2bl w:val="nil"/>
            </w:tcBorders>
            <w:noWrap/>
            <w:vAlign w:val="center"/>
          </w:tcPr>
          <w:p w14:paraId="0728476C">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吉水县工业园区CXGYY0602地块土方平整采购项目</w:t>
            </w:r>
          </w:p>
        </w:tc>
      </w:tr>
      <w:tr w14:paraId="2835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0CA07FE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76" w:type="dxa"/>
            <w:tcBorders>
              <w:tl2br w:val="nil"/>
              <w:tr2bl w:val="nil"/>
            </w:tcBorders>
            <w:noWrap/>
            <w:vAlign w:val="center"/>
          </w:tcPr>
          <w:p w14:paraId="14A6636A">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598" w:type="dxa"/>
            <w:tcBorders>
              <w:tl2br w:val="nil"/>
              <w:tr2bl w:val="nil"/>
            </w:tcBorders>
            <w:noWrap/>
            <w:vAlign w:val="center"/>
          </w:tcPr>
          <w:p w14:paraId="50C1442A">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bookmarkStart w:id="18" w:name="cr__506404001_"/>
            <w:r>
              <w:rPr>
                <w:rFonts w:hint="eastAsia" w:ascii="宋体" w:hAnsi="宋体" w:eastAsia="宋体" w:cs="宋体"/>
                <w:color w:val="auto"/>
                <w:sz w:val="21"/>
                <w:szCs w:val="21"/>
                <w:highlight w:val="none"/>
              </w:rPr>
              <w:t>☑ 不接受</w:t>
            </w:r>
          </w:p>
          <w:p w14:paraId="0C71E9CB">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接受</w:t>
            </w:r>
            <w:bookmarkEnd w:id="18"/>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但联合单位不得超过两家</w:t>
            </w:r>
            <w:r>
              <w:rPr>
                <w:rFonts w:hint="eastAsia" w:ascii="宋体" w:hAnsi="宋体" w:eastAsia="宋体" w:cs="宋体"/>
                <w:color w:val="auto"/>
                <w:sz w:val="21"/>
                <w:szCs w:val="21"/>
                <w:highlight w:val="none"/>
                <w:lang w:eastAsia="zh-CN"/>
              </w:rPr>
              <w:t>。</w:t>
            </w:r>
          </w:p>
        </w:tc>
      </w:tr>
      <w:tr w14:paraId="23CA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68C16BB3">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76" w:type="dxa"/>
            <w:tcBorders>
              <w:tl2br w:val="nil"/>
              <w:tr2bl w:val="nil"/>
            </w:tcBorders>
            <w:noWrap/>
            <w:vAlign w:val="center"/>
          </w:tcPr>
          <w:p w14:paraId="51BF821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投标有效期</w:t>
            </w:r>
          </w:p>
        </w:tc>
        <w:tc>
          <w:tcPr>
            <w:tcW w:w="6598" w:type="dxa"/>
            <w:tcBorders>
              <w:tl2br w:val="nil"/>
              <w:tr2bl w:val="nil"/>
            </w:tcBorders>
            <w:noWrap/>
            <w:vAlign w:val="center"/>
          </w:tcPr>
          <w:p w14:paraId="43498B0E">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自投标截止之日起</w:t>
            </w:r>
            <w:bookmarkStart w:id="19" w:name="v__TBYXQ_"/>
            <w:r>
              <w:rPr>
                <w:rFonts w:hint="eastAsia" w:ascii="宋体" w:hAnsi="宋体" w:eastAsia="宋体" w:cs="宋体"/>
                <w:color w:val="auto"/>
                <w:sz w:val="21"/>
                <w:szCs w:val="21"/>
                <w:highlight w:val="none"/>
                <w:u w:val="single"/>
              </w:rPr>
              <w:t>90</w:t>
            </w:r>
            <w:bookmarkEnd w:id="19"/>
            <w:r>
              <w:rPr>
                <w:rFonts w:hint="eastAsia" w:ascii="宋体" w:hAnsi="宋体" w:eastAsia="宋体" w:cs="宋体"/>
                <w:color w:val="auto"/>
                <w:sz w:val="21"/>
                <w:szCs w:val="21"/>
                <w:highlight w:val="none"/>
              </w:rPr>
              <w:t>个日历天。</w:t>
            </w:r>
          </w:p>
        </w:tc>
      </w:tr>
      <w:tr w14:paraId="2C4D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2B16A40">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76" w:type="dxa"/>
            <w:tcBorders>
              <w:tl2br w:val="nil"/>
              <w:tr2bl w:val="nil"/>
            </w:tcBorders>
            <w:noWrap/>
            <w:vAlign w:val="center"/>
          </w:tcPr>
          <w:p w14:paraId="480D94D4">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踏勘现场</w:t>
            </w:r>
          </w:p>
        </w:tc>
        <w:tc>
          <w:tcPr>
            <w:tcW w:w="6598" w:type="dxa"/>
            <w:tcBorders>
              <w:tl2br w:val="nil"/>
              <w:tr2bl w:val="nil"/>
            </w:tcBorders>
            <w:noWrap/>
            <w:vAlign w:val="center"/>
          </w:tcPr>
          <w:p w14:paraId="5E151493">
            <w:pPr>
              <w:keepNext w:val="0"/>
              <w:keepLines w:val="0"/>
              <w:pageBreakBefore w:val="0"/>
              <w:kinsoku/>
              <w:wordWrap/>
              <w:overflowPunct/>
              <w:topLinePunct w:val="0"/>
              <w:autoSpaceDE/>
              <w:autoSpaceDN/>
              <w:bidi w:val="0"/>
              <w:adjustRightInd w:val="0"/>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不组织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潜在的投标人可自行前往现场进行踏勘，踏勘现场的费用自理，在现场考察过程中，投标人如果发生人身伤亡、财务或其它损失，不论何种原因造成，均由投标人自负。</w:t>
            </w:r>
          </w:p>
          <w:p w14:paraId="66081EF9">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组织，</w:t>
            </w:r>
            <w:r>
              <w:rPr>
                <w:rFonts w:hint="eastAsia" w:ascii="宋体" w:hAnsi="宋体" w:eastAsia="宋体" w:cs="宋体"/>
                <w:color w:val="auto"/>
                <w:sz w:val="21"/>
                <w:szCs w:val="21"/>
                <w:highlight w:val="none"/>
                <w:lang w:val="zh-CN"/>
              </w:rPr>
              <w:t>踏勘现场安排</w:t>
            </w:r>
            <w:r>
              <w:rPr>
                <w:rFonts w:hint="eastAsia" w:ascii="宋体" w:hAnsi="宋体" w:eastAsia="宋体" w:cs="宋体"/>
                <w:color w:val="auto"/>
                <w:sz w:val="21"/>
                <w:szCs w:val="21"/>
                <w:highlight w:val="none"/>
              </w:rPr>
              <w:t>：</w:t>
            </w:r>
          </w:p>
        </w:tc>
      </w:tr>
      <w:tr w14:paraId="3EA1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67B528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76" w:type="dxa"/>
            <w:tcBorders>
              <w:tl2br w:val="nil"/>
              <w:tr2bl w:val="nil"/>
            </w:tcBorders>
            <w:noWrap/>
            <w:vAlign w:val="center"/>
          </w:tcPr>
          <w:p w14:paraId="711AA4A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履约保证金</w:t>
            </w:r>
          </w:p>
        </w:tc>
        <w:tc>
          <w:tcPr>
            <w:tcW w:w="6598" w:type="dxa"/>
            <w:tcBorders>
              <w:tl2br w:val="nil"/>
              <w:tr2bl w:val="nil"/>
            </w:tcBorders>
            <w:noWrap/>
            <w:vAlign w:val="center"/>
          </w:tcPr>
          <w:p w14:paraId="64144852">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不需要</w:t>
            </w:r>
          </w:p>
          <w:p w14:paraId="426233D1">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 需要，履约保证金的金额</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u w:val="single"/>
                <w:lang w:val="en-US" w:eastAsia="zh-CN"/>
              </w:rPr>
              <w:t>合同金额的10%</w:t>
            </w:r>
          </w:p>
          <w:p w14:paraId="7C4A63C3">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递交方式：银行转账方式（请各</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以转账方式从企业开户银行的基本账户【个人的从注册的同名账户】转入）。</w:t>
            </w:r>
          </w:p>
          <w:p w14:paraId="01CAE4EF">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履约</w:t>
            </w:r>
            <w:r>
              <w:rPr>
                <w:rFonts w:hint="eastAsia" w:ascii="宋体" w:hAnsi="宋体" w:eastAsia="宋体" w:cs="宋体"/>
                <w:color w:val="auto"/>
                <w:sz w:val="21"/>
                <w:szCs w:val="21"/>
                <w:highlight w:val="none"/>
                <w:lang w:eastAsia="zh-CN"/>
              </w:rPr>
              <w:t>保证金</w:t>
            </w:r>
            <w:r>
              <w:rPr>
                <w:rFonts w:hint="eastAsia" w:ascii="宋体" w:hAnsi="宋体" w:eastAsia="宋体" w:cs="宋体"/>
                <w:color w:val="auto"/>
                <w:sz w:val="21"/>
                <w:szCs w:val="21"/>
                <w:highlight w:val="none"/>
              </w:rPr>
              <w:t>汇款账号：</w:t>
            </w:r>
          </w:p>
          <w:p w14:paraId="1BF587D9">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户　　名：</w:t>
            </w:r>
            <w:r>
              <w:rPr>
                <w:rFonts w:hint="eastAsia" w:ascii="宋体" w:hAnsi="宋体" w:eastAsia="宋体" w:cs="宋体"/>
                <w:b/>
                <w:color w:val="auto"/>
                <w:sz w:val="21"/>
                <w:szCs w:val="21"/>
                <w:highlight w:val="none"/>
                <w:u w:val="single"/>
                <w:lang w:eastAsia="zh-CN"/>
              </w:rPr>
              <w:t>吉水园区资产运营管理有限责任公司</w:t>
            </w:r>
          </w:p>
          <w:p w14:paraId="11239A34">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开户银行：</w:t>
            </w:r>
            <w:r>
              <w:rPr>
                <w:rFonts w:hint="eastAsia" w:ascii="宋体" w:hAnsi="宋体" w:eastAsia="宋体" w:cs="宋体"/>
                <w:b/>
                <w:color w:val="auto"/>
                <w:sz w:val="21"/>
                <w:szCs w:val="21"/>
                <w:highlight w:val="none"/>
                <w:u w:val="single"/>
                <w:lang w:eastAsia="zh-CN"/>
              </w:rPr>
              <w:t>九江银行吉安分行吉水支行</w:t>
            </w:r>
          </w:p>
          <w:p w14:paraId="2FB7A987">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账　　号：</w:t>
            </w:r>
            <w:r>
              <w:rPr>
                <w:rFonts w:hint="eastAsia" w:ascii="宋体" w:hAnsi="宋体" w:eastAsia="宋体" w:cs="宋体"/>
                <w:b/>
                <w:color w:val="auto"/>
                <w:sz w:val="21"/>
                <w:szCs w:val="21"/>
                <w:highlight w:val="none"/>
                <w:u w:val="single"/>
                <w:lang w:eastAsia="zh-CN"/>
              </w:rPr>
              <w:t>757050100100052206</w:t>
            </w:r>
          </w:p>
          <w:p w14:paraId="1B6FB4B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注：</w:t>
            </w:r>
            <w:r>
              <w:rPr>
                <w:rFonts w:hint="eastAsia" w:ascii="宋体" w:hAnsi="宋体" w:eastAsia="宋体" w:cs="宋体"/>
                <w:b/>
                <w:color w:val="auto"/>
                <w:sz w:val="21"/>
                <w:szCs w:val="21"/>
                <w:highlight w:val="none"/>
              </w:rPr>
              <w:t>银行转账时“备注栏”须注明项目编号及资金用途、公司名称，例：“</w:t>
            </w:r>
            <w:r>
              <w:rPr>
                <w:rFonts w:hint="eastAsia" w:ascii="宋体" w:hAnsi="宋体" w:cs="宋体"/>
                <w:b/>
                <w:color w:val="auto"/>
                <w:sz w:val="21"/>
                <w:szCs w:val="21"/>
                <w:highlight w:val="none"/>
                <w:lang w:eastAsia="zh-CN"/>
              </w:rPr>
              <w:t>【ABXZBNB202601016】</w:t>
            </w:r>
            <w:r>
              <w:rPr>
                <w:rFonts w:hint="eastAsia" w:ascii="宋体" w:hAnsi="宋体" w:cs="宋体"/>
                <w:b/>
                <w:color w:val="auto"/>
                <w:sz w:val="21"/>
                <w:szCs w:val="21"/>
                <w:highlight w:val="none"/>
                <w:lang w:val="en-US" w:eastAsia="zh-CN"/>
              </w:rPr>
              <w:t>履约保证金</w:t>
            </w:r>
            <w:r>
              <w:rPr>
                <w:rFonts w:hint="eastAsia" w:ascii="宋体" w:hAnsi="宋体" w:eastAsia="宋体" w:cs="宋体"/>
                <w:b/>
                <w:color w:val="auto"/>
                <w:sz w:val="21"/>
                <w:szCs w:val="21"/>
                <w:highlight w:val="none"/>
              </w:rPr>
              <w:t>”</w:t>
            </w:r>
          </w:p>
        </w:tc>
      </w:tr>
      <w:tr w14:paraId="0F1E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C41EBE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76" w:type="dxa"/>
            <w:tcBorders>
              <w:tl2br w:val="nil"/>
              <w:tr2bl w:val="nil"/>
            </w:tcBorders>
            <w:noWrap/>
            <w:vAlign w:val="center"/>
          </w:tcPr>
          <w:p w14:paraId="77A57C61">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投标保证金</w:t>
            </w:r>
          </w:p>
        </w:tc>
        <w:tc>
          <w:tcPr>
            <w:tcW w:w="6598" w:type="dxa"/>
            <w:tcBorders>
              <w:tl2br w:val="nil"/>
              <w:tr2bl w:val="nil"/>
            </w:tcBorders>
            <w:noWrap/>
            <w:vAlign w:val="center"/>
          </w:tcPr>
          <w:p w14:paraId="524CDFC3">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☑要求提供；数额为（人民币）：</w:t>
            </w:r>
            <w:r>
              <w:rPr>
                <w:rFonts w:hint="eastAsia" w:ascii="宋体" w:hAnsi="宋体" w:cs="宋体"/>
                <w:b/>
                <w:bCs/>
                <w:color w:val="auto"/>
                <w:sz w:val="21"/>
                <w:szCs w:val="21"/>
                <w:highlight w:val="none"/>
                <w:lang w:val="en-US" w:eastAsia="zh-CN"/>
              </w:rPr>
              <w:t>壹万伍仟</w:t>
            </w:r>
            <w:r>
              <w:rPr>
                <w:rFonts w:hint="eastAsia" w:ascii="宋体" w:hAnsi="宋体" w:eastAsia="宋体" w:cs="宋体"/>
                <w:b/>
                <w:bCs/>
                <w:color w:val="auto"/>
                <w:sz w:val="21"/>
                <w:szCs w:val="21"/>
                <w:highlight w:val="none"/>
              </w:rPr>
              <w:t>元整（￥：</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000</w:t>
            </w:r>
            <w:r>
              <w:rPr>
                <w:rFonts w:hint="eastAsia" w:ascii="宋体" w:hAnsi="宋体" w:eastAsia="宋体" w:cs="宋体"/>
                <w:b/>
                <w:bCs/>
                <w:color w:val="auto"/>
                <w:sz w:val="21"/>
                <w:szCs w:val="21"/>
                <w:highlight w:val="none"/>
              </w:rPr>
              <w:t>.00）</w:t>
            </w:r>
            <w:r>
              <w:rPr>
                <w:rFonts w:hint="eastAsia" w:ascii="宋体" w:hAnsi="宋体" w:eastAsia="宋体" w:cs="宋体"/>
                <w:color w:val="auto"/>
                <w:sz w:val="21"/>
                <w:szCs w:val="21"/>
                <w:highlight w:val="none"/>
              </w:rPr>
              <w:t>。</w:t>
            </w:r>
          </w:p>
          <w:p w14:paraId="236355C6">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保证金递交截止时间：开标截止时间前一个工作日17:00前。</w:t>
            </w:r>
          </w:p>
          <w:p w14:paraId="1ADF76A6">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递交方式：银行转账方式（请各供应商以转账方式从企业开户银行的基本账户【个人的从注册的同名账户】转入）。</w:t>
            </w:r>
          </w:p>
          <w:p w14:paraId="22235572">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保证金</w:t>
            </w:r>
            <w:r>
              <w:rPr>
                <w:rFonts w:hint="eastAsia" w:ascii="宋体" w:hAnsi="宋体" w:eastAsia="宋体" w:cs="宋体"/>
                <w:color w:val="auto"/>
                <w:sz w:val="21"/>
                <w:szCs w:val="21"/>
                <w:highlight w:val="none"/>
              </w:rPr>
              <w:t>汇款账号：</w:t>
            </w:r>
          </w:p>
          <w:p w14:paraId="4D59F84B">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户　　名：</w:t>
            </w:r>
            <w:r>
              <w:rPr>
                <w:rFonts w:hint="eastAsia" w:ascii="宋体" w:hAnsi="宋体" w:eastAsia="宋体" w:cs="宋体"/>
                <w:b/>
                <w:color w:val="auto"/>
                <w:sz w:val="21"/>
                <w:szCs w:val="21"/>
                <w:highlight w:val="none"/>
                <w:u w:val="single"/>
                <w:lang w:eastAsia="zh-CN"/>
              </w:rPr>
              <w:t>吉水园区资产运营管理有限责任公司</w:t>
            </w:r>
          </w:p>
          <w:p w14:paraId="7407132E">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开户银行：</w:t>
            </w:r>
            <w:r>
              <w:rPr>
                <w:rFonts w:hint="eastAsia" w:ascii="宋体" w:hAnsi="宋体" w:eastAsia="宋体" w:cs="宋体"/>
                <w:b/>
                <w:color w:val="auto"/>
                <w:sz w:val="21"/>
                <w:szCs w:val="21"/>
                <w:highlight w:val="none"/>
                <w:u w:val="single"/>
                <w:lang w:eastAsia="zh-CN"/>
              </w:rPr>
              <w:t>九江银行吉安分行吉水支行</w:t>
            </w:r>
          </w:p>
          <w:p w14:paraId="1E0DCB51">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u w:val="single"/>
              </w:rPr>
              <w:t>账　　号：</w:t>
            </w:r>
            <w:r>
              <w:rPr>
                <w:rFonts w:hint="eastAsia" w:ascii="宋体" w:hAnsi="宋体" w:eastAsia="宋体" w:cs="宋体"/>
                <w:b/>
                <w:color w:val="auto"/>
                <w:sz w:val="21"/>
                <w:szCs w:val="21"/>
                <w:highlight w:val="none"/>
                <w:u w:val="single"/>
                <w:lang w:eastAsia="zh-CN"/>
              </w:rPr>
              <w:t>757050100100052206</w:t>
            </w:r>
          </w:p>
          <w:p w14:paraId="12891CE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color w:val="auto"/>
                <w:sz w:val="21"/>
                <w:szCs w:val="21"/>
                <w:highlight w:val="none"/>
              </w:rPr>
              <w:t>银行转账时“备注栏”须注明项目编号及资金用途、公司名称，例：“</w:t>
            </w:r>
            <w:r>
              <w:rPr>
                <w:rFonts w:hint="eastAsia" w:ascii="宋体" w:hAnsi="宋体" w:cs="宋体"/>
                <w:b/>
                <w:color w:val="auto"/>
                <w:sz w:val="21"/>
                <w:szCs w:val="21"/>
                <w:highlight w:val="none"/>
                <w:lang w:eastAsia="zh-CN"/>
              </w:rPr>
              <w:t>【ABXZBNB202601016】</w:t>
            </w:r>
            <w:r>
              <w:rPr>
                <w:rFonts w:hint="eastAsia" w:ascii="宋体" w:hAnsi="宋体" w:eastAsia="宋体" w:cs="宋体"/>
                <w:b/>
                <w:color w:val="auto"/>
                <w:sz w:val="21"/>
                <w:szCs w:val="21"/>
                <w:highlight w:val="none"/>
                <w:lang w:val="en-US" w:eastAsia="zh-CN"/>
              </w:rPr>
              <w:t>投标保证金</w:t>
            </w:r>
            <w:r>
              <w:rPr>
                <w:rFonts w:hint="eastAsia" w:ascii="宋体" w:hAnsi="宋体" w:eastAsia="宋体" w:cs="宋体"/>
                <w:b/>
                <w:color w:val="auto"/>
                <w:sz w:val="21"/>
                <w:szCs w:val="21"/>
                <w:highlight w:val="none"/>
              </w:rPr>
              <w:t>”</w:t>
            </w:r>
          </w:p>
          <w:p w14:paraId="143E24C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投标保证金</w:t>
            </w:r>
            <w:r>
              <w:rPr>
                <w:rFonts w:hint="eastAsia" w:ascii="宋体" w:hAnsi="宋体" w:cs="宋体"/>
                <w:color w:val="auto"/>
                <w:sz w:val="21"/>
                <w:szCs w:val="21"/>
                <w:highlight w:val="none"/>
                <w:lang w:val="en-US" w:eastAsia="zh-CN"/>
              </w:rPr>
              <w:t>转为履约保证金</w:t>
            </w:r>
            <w:r>
              <w:rPr>
                <w:rFonts w:hint="eastAsia" w:ascii="宋体" w:hAnsi="宋体" w:eastAsia="宋体" w:cs="宋体"/>
                <w:color w:val="auto"/>
                <w:sz w:val="21"/>
                <w:szCs w:val="21"/>
                <w:highlight w:val="none"/>
              </w:rPr>
              <w:t>。</w:t>
            </w:r>
          </w:p>
        </w:tc>
      </w:tr>
      <w:tr w14:paraId="4CC4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76EEB0B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76" w:type="dxa"/>
            <w:tcBorders>
              <w:tl2br w:val="nil"/>
              <w:tr2bl w:val="nil"/>
            </w:tcBorders>
            <w:noWrap/>
            <w:vAlign w:val="center"/>
          </w:tcPr>
          <w:p w14:paraId="4D84C2F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招标文件获取方式</w:t>
            </w:r>
          </w:p>
        </w:tc>
        <w:tc>
          <w:tcPr>
            <w:tcW w:w="6598" w:type="dxa"/>
            <w:tcBorders>
              <w:tl2br w:val="nil"/>
              <w:tr2bl w:val="nil"/>
            </w:tcBorders>
            <w:noWrap/>
            <w:vAlign w:val="center"/>
          </w:tcPr>
          <w:p w14:paraId="0431C4DA">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详见“第一章　招标公告”。</w:t>
            </w:r>
          </w:p>
        </w:tc>
      </w:tr>
      <w:tr w14:paraId="5497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4E5584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0</w:t>
            </w:r>
          </w:p>
        </w:tc>
        <w:tc>
          <w:tcPr>
            <w:tcW w:w="1776" w:type="dxa"/>
            <w:tcBorders>
              <w:tl2br w:val="nil"/>
              <w:tr2bl w:val="nil"/>
            </w:tcBorders>
            <w:noWrap/>
            <w:vAlign w:val="center"/>
          </w:tcPr>
          <w:p w14:paraId="113E738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招标文件的澄清和修改</w:t>
            </w:r>
          </w:p>
        </w:tc>
        <w:tc>
          <w:tcPr>
            <w:tcW w:w="6598" w:type="dxa"/>
            <w:tcBorders>
              <w:tl2br w:val="nil"/>
              <w:tr2bl w:val="nil"/>
            </w:tcBorders>
            <w:noWrap/>
            <w:vAlign w:val="center"/>
          </w:tcPr>
          <w:p w14:paraId="3A248504">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开标前</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或代理机构都有权对招标文件进行必要的澄清和修改</w:t>
            </w:r>
          </w:p>
        </w:tc>
      </w:tr>
      <w:tr w14:paraId="3853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6D2A7A5">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76" w:type="dxa"/>
            <w:tcBorders>
              <w:tl2br w:val="nil"/>
              <w:tr2bl w:val="nil"/>
            </w:tcBorders>
            <w:noWrap/>
            <w:vAlign w:val="center"/>
          </w:tcPr>
          <w:p w14:paraId="68BA63D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598" w:type="dxa"/>
            <w:tcBorders>
              <w:tl2br w:val="nil"/>
              <w:tr2bl w:val="nil"/>
            </w:tcBorders>
            <w:noWrap/>
            <w:vAlign w:val="center"/>
          </w:tcPr>
          <w:p w14:paraId="2F0849C4">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投标人开标现场需递交纸质投标文件</w:t>
            </w:r>
            <w:r>
              <w:rPr>
                <w:rFonts w:hint="eastAsia" w:ascii="宋体" w:hAnsi="宋体" w:eastAsia="宋体" w:cs="宋体"/>
                <w:color w:val="auto"/>
                <w:sz w:val="21"/>
                <w:szCs w:val="21"/>
                <w:highlight w:val="none"/>
                <w:lang w:eastAsia="zh-CN"/>
              </w:rPr>
              <w:t>正本壹份、副本贰份</w:t>
            </w:r>
            <w:r>
              <w:rPr>
                <w:rFonts w:hint="eastAsia" w:ascii="宋体" w:hAnsi="宋体" w:eastAsia="宋体" w:cs="宋体"/>
                <w:color w:val="auto"/>
                <w:sz w:val="21"/>
                <w:szCs w:val="21"/>
                <w:highlight w:val="none"/>
              </w:rPr>
              <w:t>。</w:t>
            </w:r>
          </w:p>
        </w:tc>
      </w:tr>
      <w:tr w14:paraId="0C41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7EB0DAF8">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2</w:t>
            </w:r>
          </w:p>
        </w:tc>
        <w:tc>
          <w:tcPr>
            <w:tcW w:w="1776" w:type="dxa"/>
            <w:tcBorders>
              <w:tl2br w:val="nil"/>
              <w:tr2bl w:val="nil"/>
            </w:tcBorders>
            <w:noWrap/>
            <w:vAlign w:val="center"/>
          </w:tcPr>
          <w:p w14:paraId="0C72E2B9">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投标截止时间</w:t>
            </w:r>
          </w:p>
        </w:tc>
        <w:tc>
          <w:tcPr>
            <w:tcW w:w="6598" w:type="dxa"/>
            <w:tcBorders>
              <w:tl2br w:val="nil"/>
              <w:tr2bl w:val="nil"/>
            </w:tcBorders>
            <w:noWrap/>
            <w:vAlign w:val="center"/>
          </w:tcPr>
          <w:p w14:paraId="25A8F0C3">
            <w:pPr>
              <w:keepNext w:val="0"/>
              <w:keepLines w:val="0"/>
              <w:pageBreakBefore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详见招标公告</w:t>
            </w:r>
          </w:p>
        </w:tc>
      </w:tr>
      <w:tr w14:paraId="4B8E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34E7DD1D">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rPr>
              <w:t>3</w:t>
            </w:r>
          </w:p>
        </w:tc>
        <w:tc>
          <w:tcPr>
            <w:tcW w:w="1776" w:type="dxa"/>
            <w:tcBorders>
              <w:tl2br w:val="nil"/>
              <w:tr2bl w:val="nil"/>
            </w:tcBorders>
            <w:noWrap/>
            <w:vAlign w:val="center"/>
          </w:tcPr>
          <w:p w14:paraId="684FC69A">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招标文件的质疑</w:t>
            </w:r>
          </w:p>
        </w:tc>
        <w:tc>
          <w:tcPr>
            <w:tcW w:w="6598" w:type="dxa"/>
            <w:tcBorders>
              <w:tl2br w:val="nil"/>
              <w:tr2bl w:val="nil"/>
            </w:tcBorders>
            <w:noWrap/>
            <w:vAlign w:val="center"/>
          </w:tcPr>
          <w:p w14:paraId="0C60440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投标人报名并获取招标文件之日起7个工作日内提出。</w:t>
            </w:r>
          </w:p>
        </w:tc>
      </w:tr>
      <w:tr w14:paraId="5659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26D8F2D2">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76" w:type="dxa"/>
            <w:tcBorders>
              <w:tl2br w:val="nil"/>
              <w:tr2bl w:val="nil"/>
            </w:tcBorders>
            <w:noWrap/>
            <w:vAlign w:val="center"/>
          </w:tcPr>
          <w:p w14:paraId="1DA609C6">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投标文件编制</w:t>
            </w:r>
          </w:p>
        </w:tc>
        <w:tc>
          <w:tcPr>
            <w:tcW w:w="6598" w:type="dxa"/>
            <w:tcBorders>
              <w:tl2br w:val="nil"/>
              <w:tr2bl w:val="nil"/>
            </w:tcBorders>
            <w:noWrap/>
            <w:vAlign w:val="center"/>
          </w:tcPr>
          <w:p w14:paraId="721924F1">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投标人招标文件要求制作投标文件。</w:t>
            </w:r>
          </w:p>
        </w:tc>
      </w:tr>
      <w:tr w14:paraId="2589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15B6F40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76" w:type="dxa"/>
            <w:tcBorders>
              <w:tl2br w:val="nil"/>
              <w:tr2bl w:val="nil"/>
            </w:tcBorders>
            <w:noWrap/>
            <w:vAlign w:val="center"/>
          </w:tcPr>
          <w:p w14:paraId="667B701B">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开标时间及开标地点</w:t>
            </w:r>
          </w:p>
        </w:tc>
        <w:tc>
          <w:tcPr>
            <w:tcW w:w="6598" w:type="dxa"/>
            <w:tcBorders>
              <w:tl2br w:val="nil"/>
              <w:tr2bl w:val="nil"/>
            </w:tcBorders>
            <w:noWrap/>
            <w:vAlign w:val="center"/>
          </w:tcPr>
          <w:p w14:paraId="4F6DF1DC">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详见招标公告</w:t>
            </w:r>
          </w:p>
        </w:tc>
      </w:tr>
      <w:tr w14:paraId="6F02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58A51194">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w:t>
            </w:r>
          </w:p>
        </w:tc>
        <w:tc>
          <w:tcPr>
            <w:tcW w:w="1776" w:type="dxa"/>
            <w:tcBorders>
              <w:tl2br w:val="nil"/>
              <w:tr2bl w:val="nil"/>
            </w:tcBorders>
            <w:noWrap/>
            <w:vAlign w:val="center"/>
          </w:tcPr>
          <w:p w14:paraId="0DC5D987">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评标方法</w:t>
            </w:r>
          </w:p>
        </w:tc>
        <w:tc>
          <w:tcPr>
            <w:tcW w:w="6598" w:type="dxa"/>
            <w:tcBorders>
              <w:tl2br w:val="nil"/>
              <w:tr2bl w:val="nil"/>
            </w:tcBorders>
            <w:noWrap/>
            <w:vAlign w:val="center"/>
          </w:tcPr>
          <w:p w14:paraId="662E74EE">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58119C5B">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最低评标价法</w:t>
            </w:r>
          </w:p>
        </w:tc>
      </w:tr>
      <w:tr w14:paraId="6CD1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6CD6087F">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w:t>
            </w:r>
          </w:p>
        </w:tc>
        <w:tc>
          <w:tcPr>
            <w:tcW w:w="1776" w:type="dxa"/>
            <w:tcBorders>
              <w:tl2br w:val="nil"/>
              <w:tr2bl w:val="nil"/>
            </w:tcBorders>
            <w:noWrap/>
            <w:vAlign w:val="center"/>
          </w:tcPr>
          <w:p w14:paraId="2E327204">
            <w:pPr>
              <w:spacing w:line="38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报价方式</w:t>
            </w:r>
          </w:p>
        </w:tc>
        <w:tc>
          <w:tcPr>
            <w:tcW w:w="6598" w:type="dxa"/>
            <w:tcBorders>
              <w:tl2br w:val="nil"/>
              <w:tr2bl w:val="nil"/>
            </w:tcBorders>
            <w:noWrap/>
            <w:vAlign w:val="center"/>
          </w:tcPr>
          <w:p w14:paraId="134153FE">
            <w:pPr>
              <w:spacing w:line="380" w:lineRule="exact"/>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rPr>
              <w:t>☑一次报价    □二次报价</w:t>
            </w:r>
          </w:p>
        </w:tc>
      </w:tr>
      <w:tr w14:paraId="4023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l2br w:val="nil"/>
              <w:tr2bl w:val="nil"/>
            </w:tcBorders>
            <w:noWrap/>
            <w:vAlign w:val="center"/>
          </w:tcPr>
          <w:p w14:paraId="7A313EBA">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w:t>
            </w:r>
          </w:p>
        </w:tc>
        <w:tc>
          <w:tcPr>
            <w:tcW w:w="1776" w:type="dxa"/>
            <w:tcBorders>
              <w:tl2br w:val="nil"/>
              <w:tr2bl w:val="nil"/>
            </w:tcBorders>
            <w:noWrap/>
            <w:vAlign w:val="center"/>
          </w:tcPr>
          <w:p w14:paraId="5D38FB1E">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代理服务费</w:t>
            </w:r>
          </w:p>
        </w:tc>
        <w:tc>
          <w:tcPr>
            <w:tcW w:w="6598" w:type="dxa"/>
            <w:tcBorders>
              <w:tl2br w:val="nil"/>
              <w:tr2bl w:val="nil"/>
            </w:tcBorders>
            <w:noWrap/>
            <w:vAlign w:val="center"/>
          </w:tcPr>
          <w:p w14:paraId="66153C26">
            <w:pPr>
              <w:keepNext w:val="0"/>
              <w:keepLines w:val="0"/>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kern w:val="2"/>
                <w:sz w:val="21"/>
                <w:szCs w:val="21"/>
                <w:highlight w:val="none"/>
                <w:u w:val="single"/>
                <w:lang w:val="zh-CN" w:eastAsia="zh-CN" w:bidi="ar-SA"/>
              </w:rPr>
            </w:pPr>
            <w:r>
              <w:rPr>
                <w:rFonts w:hint="eastAsia" w:ascii="宋体" w:hAnsi="宋体" w:eastAsia="宋体" w:cs="宋体"/>
                <w:color w:val="auto"/>
                <w:kern w:val="2"/>
                <w:sz w:val="21"/>
                <w:szCs w:val="21"/>
                <w:highlight w:val="none"/>
                <w:u w:val="none"/>
                <w:lang w:val="zh-CN" w:eastAsia="zh-CN" w:bidi="ar-SA"/>
              </w:rPr>
              <w:t>中标人向采购代理机构支付代理服务费，代理服务费按照赣招协字[2021]07号文件规定的收费标准</w:t>
            </w:r>
            <w:r>
              <w:rPr>
                <w:rFonts w:hint="eastAsia" w:ascii="宋体" w:hAnsi="宋体" w:cs="宋体"/>
                <w:color w:val="auto"/>
                <w:kern w:val="2"/>
                <w:sz w:val="21"/>
                <w:szCs w:val="21"/>
                <w:highlight w:val="none"/>
                <w:u w:val="none"/>
                <w:lang w:val="en-US" w:eastAsia="zh-CN" w:bidi="ar-SA"/>
              </w:rPr>
              <w:t>70%</w:t>
            </w:r>
            <w:r>
              <w:rPr>
                <w:rFonts w:hint="eastAsia" w:ascii="宋体" w:hAnsi="宋体" w:eastAsia="宋体" w:cs="宋体"/>
                <w:color w:val="auto"/>
                <w:kern w:val="2"/>
                <w:sz w:val="21"/>
                <w:szCs w:val="21"/>
                <w:highlight w:val="none"/>
                <w:u w:val="none"/>
                <w:lang w:val="zh-CN" w:eastAsia="zh-CN" w:bidi="ar-SA"/>
              </w:rPr>
              <w:t>计</w:t>
            </w:r>
            <w:r>
              <w:rPr>
                <w:rFonts w:hint="eastAsia" w:ascii="宋体" w:hAnsi="宋体" w:cs="宋体"/>
                <w:color w:val="auto"/>
                <w:kern w:val="2"/>
                <w:sz w:val="21"/>
                <w:szCs w:val="21"/>
                <w:highlight w:val="none"/>
                <w:u w:val="none"/>
                <w:lang w:val="en-US" w:eastAsia="zh-CN" w:bidi="ar-SA"/>
              </w:rPr>
              <w:t>取</w:t>
            </w:r>
            <w:r>
              <w:rPr>
                <w:rFonts w:hint="eastAsia" w:ascii="宋体" w:hAnsi="宋体" w:eastAsia="宋体" w:cs="宋体"/>
                <w:color w:val="auto"/>
                <w:kern w:val="2"/>
                <w:sz w:val="21"/>
                <w:szCs w:val="21"/>
                <w:highlight w:val="none"/>
                <w:u w:val="none"/>
                <w:lang w:val="zh-CN" w:eastAsia="zh-CN" w:bidi="ar-SA"/>
              </w:rPr>
              <w:t>，以上费用不含税。请各投标人在报价时充分考虑这一因素，中标人在领取《中标通知书》时支付。</w:t>
            </w:r>
          </w:p>
        </w:tc>
      </w:tr>
    </w:tbl>
    <w:p w14:paraId="510BC17C">
      <w:pPr>
        <w:rPr>
          <w:b/>
          <w:bCs/>
          <w:color w:val="auto"/>
          <w:sz w:val="30"/>
          <w:szCs w:val="30"/>
          <w:highlight w:val="none"/>
        </w:rPr>
      </w:pPr>
      <w:r>
        <w:rPr>
          <w:rFonts w:hint="eastAsia"/>
          <w:b/>
          <w:bCs/>
          <w:color w:val="auto"/>
          <w:sz w:val="30"/>
          <w:szCs w:val="30"/>
          <w:highlight w:val="none"/>
        </w:rPr>
        <w:br w:type="page"/>
      </w:r>
    </w:p>
    <w:p w14:paraId="41A87BA9">
      <w:pPr>
        <w:pStyle w:val="2"/>
        <w:numPr>
          <w:ilvl w:val="0"/>
          <w:numId w:val="2"/>
        </w:numPr>
        <w:rPr>
          <w:color w:val="auto"/>
          <w:highlight w:val="none"/>
        </w:rPr>
      </w:pPr>
      <w:bookmarkStart w:id="20" w:name="_Toc18457"/>
      <w:r>
        <w:rPr>
          <w:rFonts w:hint="eastAsia"/>
          <w:color w:val="auto"/>
          <w:highlight w:val="none"/>
        </w:rPr>
        <w:t>投标人须知</w:t>
      </w:r>
      <w:bookmarkEnd w:id="20"/>
    </w:p>
    <w:p w14:paraId="2A46C00D">
      <w:pPr>
        <w:adjustRightInd w:val="0"/>
        <w:snapToGrid w:val="0"/>
        <w:spacing w:line="360" w:lineRule="auto"/>
        <w:jc w:val="center"/>
        <w:rPr>
          <w:rFonts w:ascii="宋体" w:hAnsi="宋体" w:cs="宋体"/>
          <w:b/>
          <w:color w:val="auto"/>
          <w:sz w:val="24"/>
          <w:highlight w:val="none"/>
        </w:rPr>
      </w:pPr>
    </w:p>
    <w:p w14:paraId="7693AA84">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一、说明</w:t>
      </w:r>
    </w:p>
    <w:p w14:paraId="0B5FEDC1">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5B636FF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1.1本招标文件仅适用于第二章“招标文件前附表” (以下简称</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)中所叙述的</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项目。</w:t>
      </w:r>
    </w:p>
    <w:p w14:paraId="02DB2706">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2.定义</w:t>
      </w:r>
    </w:p>
    <w:p w14:paraId="4DB89CEE">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”系指</w:t>
      </w:r>
      <w:r>
        <w:rPr>
          <w:rFonts w:hint="eastAsia" w:ascii="宋体" w:hAnsi="宋体" w:cs="宋体"/>
          <w:b/>
          <w:bCs/>
          <w:color w:val="auto"/>
          <w:szCs w:val="21"/>
          <w:highlight w:val="none"/>
          <w:lang w:eastAsia="zh-CN"/>
        </w:rPr>
        <w:t>吉水园区资产运营管理有限责任公司</w:t>
      </w:r>
      <w:r>
        <w:rPr>
          <w:rFonts w:hint="eastAsia" w:ascii="宋体" w:hAnsi="宋体" w:cs="宋体"/>
          <w:color w:val="auto"/>
          <w:szCs w:val="21"/>
          <w:highlight w:val="none"/>
        </w:rPr>
        <w:t>。</w:t>
      </w:r>
    </w:p>
    <w:p w14:paraId="4F1A60E1">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2.2 “</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”系指江西安必须招标咨询有限公司。</w:t>
      </w:r>
    </w:p>
    <w:p w14:paraId="682D3898">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 “投标人”系指响应招标、参加投标竞争的法人、其他组织或自然人。</w:t>
      </w:r>
    </w:p>
    <w:p w14:paraId="5F913054">
      <w:pPr>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“服务”系指招标文件规定投标人须承</w:t>
      </w:r>
      <w:r>
        <w:rPr>
          <w:rFonts w:hint="eastAsia" w:ascii="宋体" w:hAnsi="宋体" w:cs="宋体"/>
          <w:color w:val="auto"/>
          <w:szCs w:val="21"/>
          <w:highlight w:val="none"/>
          <w:lang w:val="en-US" w:eastAsia="zh-CN"/>
        </w:rPr>
        <w:t>接</w:t>
      </w:r>
      <w:r>
        <w:rPr>
          <w:rFonts w:hint="eastAsia" w:ascii="宋体" w:hAnsi="宋体" w:cs="宋体"/>
          <w:color w:val="auto"/>
          <w:sz w:val="21"/>
          <w:szCs w:val="21"/>
          <w:highlight w:val="none"/>
          <w:lang w:eastAsia="zh-CN"/>
        </w:rPr>
        <w:t>吉水县工业园区CXGYY0602地块土方平整采购项目</w:t>
      </w:r>
      <w:r>
        <w:rPr>
          <w:rFonts w:hint="eastAsia" w:ascii="宋体" w:hAnsi="宋体" w:cs="宋体"/>
          <w:color w:val="auto"/>
          <w:sz w:val="21"/>
          <w:szCs w:val="21"/>
          <w:highlight w:val="none"/>
          <w:lang w:val="en-US" w:eastAsia="zh-CN"/>
        </w:rPr>
        <w:t>服务</w:t>
      </w:r>
      <w:r>
        <w:rPr>
          <w:rFonts w:hint="eastAsia" w:ascii="宋体" w:hAnsi="宋体" w:cs="宋体"/>
          <w:color w:val="auto"/>
          <w:szCs w:val="21"/>
          <w:highlight w:val="none"/>
        </w:rPr>
        <w:t>。</w:t>
      </w:r>
    </w:p>
    <w:p w14:paraId="5391DAB6">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3.投标人的资格要求</w:t>
      </w:r>
    </w:p>
    <w:p w14:paraId="43DFA013">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3.1投标人应当符合</w:t>
      </w:r>
      <w:r>
        <w:rPr>
          <w:rFonts w:hint="eastAsia" w:ascii="宋体" w:hAnsi="宋体" w:cs="宋体"/>
          <w:b/>
          <w:color w:val="auto"/>
          <w:szCs w:val="21"/>
          <w:highlight w:val="none"/>
        </w:rPr>
        <w:t>招标公告</w:t>
      </w:r>
      <w:r>
        <w:rPr>
          <w:rFonts w:hint="eastAsia" w:ascii="宋体" w:hAnsi="宋体" w:cs="宋体"/>
          <w:color w:val="auto"/>
          <w:szCs w:val="21"/>
          <w:highlight w:val="none"/>
        </w:rPr>
        <w:t>中规定的下列资格条件要求；</w:t>
      </w:r>
    </w:p>
    <w:p w14:paraId="74FA8E5D">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3.2投标人不得存在下列情形之一：</w:t>
      </w:r>
    </w:p>
    <w:p w14:paraId="181F2614">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（l）与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存在</w:t>
      </w:r>
      <w:r>
        <w:rPr>
          <w:rFonts w:hint="eastAsia" w:ascii="宋体" w:hAnsi="宋体" w:cs="宋体"/>
          <w:bCs/>
          <w:color w:val="auto"/>
          <w:szCs w:val="21"/>
          <w:highlight w:val="none"/>
        </w:rPr>
        <w:t>隶属关系或者其他利害关系</w:t>
      </w:r>
      <w:r>
        <w:rPr>
          <w:rFonts w:hint="eastAsia" w:ascii="宋体" w:hAnsi="宋体" w:cs="宋体"/>
          <w:color w:val="auto"/>
          <w:szCs w:val="21"/>
          <w:highlight w:val="none"/>
        </w:rPr>
        <w:t>。</w:t>
      </w:r>
    </w:p>
    <w:p w14:paraId="56173143">
      <w:pPr>
        <w:widowControl/>
        <w:adjustRightInd w:val="0"/>
        <w:snapToGrid w:val="0"/>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）参加招标活动前三年内在经营活动中存在重大违法记录，重大违法记录是指投标人因违法经营受到刑事处罚或者责令停产停业、吊销许可证或者执照、较大罚款等行政处罚。</w:t>
      </w:r>
    </w:p>
    <w:p w14:paraId="382AD056">
      <w:pPr>
        <w:widowControl/>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3.3法定代表人或者负责人为同一人或者存在控股、管理关系的两个以上投标人，不得参加同一</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项目投标。</w:t>
      </w:r>
    </w:p>
    <w:p w14:paraId="40886AB7">
      <w:pPr>
        <w:adjustRightInd w:val="0"/>
        <w:snapToGrid w:val="0"/>
        <w:spacing w:line="360" w:lineRule="auto"/>
        <w:ind w:left="641" w:hanging="636" w:hangingChars="300"/>
        <w:rPr>
          <w:rFonts w:ascii="宋体" w:hAnsi="宋体" w:cs="宋体"/>
          <w:b/>
          <w:bCs/>
          <w:color w:val="auto"/>
          <w:sz w:val="21"/>
          <w:szCs w:val="21"/>
          <w:highlight w:val="none"/>
        </w:rPr>
      </w:pPr>
      <w:r>
        <w:rPr>
          <w:rFonts w:hint="eastAsia" w:ascii="宋体" w:hAnsi="宋体" w:cs="宋体"/>
          <w:b/>
          <w:bCs/>
          <w:color w:val="auto"/>
          <w:sz w:val="21"/>
          <w:szCs w:val="21"/>
          <w:highlight w:val="none"/>
        </w:rPr>
        <w:t>4.投标费用</w:t>
      </w:r>
    </w:p>
    <w:p w14:paraId="55FF2443">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4.1投标人应自行承担所有参与投标的相关费用，不论投标的结果如何，</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或者</w:t>
      </w:r>
      <w:r>
        <w:rPr>
          <w:rFonts w:hint="eastAsia" w:ascii="宋体" w:hAnsi="宋体" w:cs="宋体"/>
          <w:color w:val="auto"/>
          <w:sz w:val="21"/>
          <w:szCs w:val="21"/>
          <w:highlight w:val="none"/>
          <w:lang w:eastAsia="zh-CN"/>
        </w:rPr>
        <w:t>采购代理机构</w:t>
      </w:r>
      <w:r>
        <w:rPr>
          <w:rFonts w:hint="eastAsia" w:ascii="宋体" w:hAnsi="宋体" w:cs="宋体"/>
          <w:color w:val="auto"/>
          <w:sz w:val="21"/>
          <w:szCs w:val="21"/>
          <w:highlight w:val="none"/>
        </w:rPr>
        <w:t>均无义务和责任承担任何费用。</w:t>
      </w:r>
    </w:p>
    <w:p w14:paraId="5EB1E28A">
      <w:pPr>
        <w:pStyle w:val="12"/>
        <w:adjustRightInd w:val="0"/>
        <w:snapToGrid w:val="0"/>
        <w:spacing w:line="360" w:lineRule="auto"/>
        <w:rPr>
          <w:rFonts w:hAnsi="宋体" w:cs="宋体"/>
          <w:b/>
          <w:bCs/>
          <w:color w:val="auto"/>
          <w:sz w:val="21"/>
          <w:szCs w:val="21"/>
          <w:highlight w:val="none"/>
        </w:rPr>
      </w:pPr>
      <w:r>
        <w:rPr>
          <w:rFonts w:hint="eastAsia" w:hAnsi="宋体" w:cs="宋体"/>
          <w:b/>
          <w:bCs/>
          <w:color w:val="auto"/>
          <w:sz w:val="21"/>
          <w:szCs w:val="21"/>
          <w:highlight w:val="none"/>
        </w:rPr>
        <w:t>5.</w:t>
      </w:r>
      <w:r>
        <w:rPr>
          <w:rFonts w:hint="eastAsia" w:hAnsi="宋体" w:cs="宋体"/>
          <w:b/>
          <w:color w:val="auto"/>
          <w:sz w:val="21"/>
          <w:szCs w:val="21"/>
          <w:highlight w:val="none"/>
        </w:rPr>
        <w:t>授权委托</w:t>
      </w:r>
    </w:p>
    <w:p w14:paraId="6CB39945">
      <w:pPr>
        <w:pStyle w:val="12"/>
        <w:adjustRightInd w:val="0"/>
        <w:snapToGrid w:val="0"/>
        <w:spacing w:line="360" w:lineRule="auto"/>
        <w:ind w:firstLine="424" w:firstLineChars="200"/>
        <w:rPr>
          <w:rFonts w:hAnsi="宋体" w:cs="宋体"/>
          <w:color w:val="auto"/>
          <w:kern w:val="2"/>
          <w:sz w:val="21"/>
          <w:szCs w:val="21"/>
          <w:highlight w:val="none"/>
        </w:rPr>
      </w:pPr>
      <w:r>
        <w:rPr>
          <w:rFonts w:hint="eastAsia" w:hAnsi="宋体" w:cs="宋体"/>
          <w:color w:val="auto"/>
          <w:kern w:val="2"/>
          <w:sz w:val="21"/>
          <w:szCs w:val="21"/>
          <w:highlight w:val="none"/>
        </w:rPr>
        <w:t>5.1 投标人代表不是投标人的法定代表人，应持有授权委托书和身份证。</w:t>
      </w:r>
    </w:p>
    <w:p w14:paraId="45B8B53E">
      <w:pPr>
        <w:pStyle w:val="12"/>
        <w:adjustRightInd w:val="0"/>
        <w:snapToGrid w:val="0"/>
        <w:spacing w:line="360" w:lineRule="auto"/>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6．联合体投标</w:t>
      </w:r>
    </w:p>
    <w:p w14:paraId="1E2C5C8D">
      <w:pPr>
        <w:adjustRightInd w:val="0"/>
        <w:snapToGrid w:val="0"/>
        <w:spacing w:line="360" w:lineRule="auto"/>
        <w:ind w:firstLine="424" w:firstLineChars="200"/>
        <w:jc w:val="left"/>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w:t>
      </w:r>
      <w:r>
        <w:rPr>
          <w:rFonts w:hint="eastAsia" w:hAnsi="宋体" w:cs="宋体"/>
          <w:color w:val="auto"/>
          <w:sz w:val="21"/>
          <w:szCs w:val="21"/>
          <w:highlight w:val="none"/>
        </w:rPr>
        <w:t>本项目</w:t>
      </w:r>
      <w:r>
        <w:rPr>
          <w:rFonts w:hint="eastAsia" w:hAnsi="宋体" w:cs="宋体"/>
          <w:color w:val="auto"/>
          <w:sz w:val="21"/>
          <w:szCs w:val="21"/>
          <w:highlight w:val="none"/>
          <w:lang w:val="en-US" w:eastAsia="zh-CN"/>
        </w:rPr>
        <w:t>不</w:t>
      </w:r>
      <w:r>
        <w:rPr>
          <w:rFonts w:hint="eastAsia" w:hAnsi="宋体" w:cs="宋体"/>
          <w:color w:val="auto"/>
          <w:sz w:val="21"/>
          <w:szCs w:val="21"/>
          <w:highlight w:val="none"/>
        </w:rPr>
        <w:t>接受联合体投标</w:t>
      </w:r>
      <w:r>
        <w:rPr>
          <w:rFonts w:hint="eastAsia" w:hAnsi="宋体" w:cs="宋体"/>
          <w:color w:val="auto"/>
          <w:sz w:val="21"/>
          <w:szCs w:val="21"/>
          <w:highlight w:val="none"/>
          <w:lang w:eastAsia="zh-CN"/>
        </w:rPr>
        <w:t>，</w:t>
      </w:r>
    </w:p>
    <w:p w14:paraId="6B088C3B">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6.2本章第6.1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规定投标人以联合体形式投标，除应符合本章第3.2</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、第3.3</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规定外，还应遵守以下规定：</w:t>
      </w:r>
    </w:p>
    <w:p w14:paraId="170A8586">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（l）联合体各方应签订联合体协议书，明确联合体牵头人和各方的权利义务、合同工作量比例；</w:t>
      </w:r>
    </w:p>
    <w:p w14:paraId="71A32AF5">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（2）联合体各方均应当符合本章第3.1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规定的投标人基本资格条件；</w:t>
      </w:r>
    </w:p>
    <w:p w14:paraId="380EFFF4">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（3）联合体各方中至少应当有一方符合本章第3.1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规定的投标人特定条件；</w:t>
      </w:r>
    </w:p>
    <w:p w14:paraId="289CAF33">
      <w:pPr>
        <w:adjustRightInd w:val="0"/>
        <w:snapToGrid w:val="0"/>
        <w:spacing w:line="360" w:lineRule="auto"/>
        <w:ind w:firstLine="424" w:firstLineChars="200"/>
        <w:jc w:val="left"/>
        <w:rPr>
          <w:rFonts w:hint="eastAsia" w:ascii="宋体" w:hAnsi="宋体" w:cs="宋体"/>
          <w:color w:val="auto"/>
          <w:kern w:val="0"/>
          <w:sz w:val="21"/>
          <w:szCs w:val="21"/>
          <w:highlight w:val="none"/>
          <w:lang w:val="zh-CN"/>
        </w:rPr>
      </w:pPr>
      <w:r>
        <w:rPr>
          <w:rFonts w:hint="eastAsia" w:ascii="宋体" w:hAnsi="宋体" w:cs="宋体"/>
          <w:color w:val="auto"/>
          <w:sz w:val="21"/>
          <w:szCs w:val="21"/>
          <w:highlight w:val="none"/>
        </w:rPr>
        <w:t>（4）联合体各方签订联合体协议书后，</w:t>
      </w:r>
      <w:r>
        <w:rPr>
          <w:rFonts w:hint="eastAsia" w:ascii="宋体" w:hAnsi="宋体" w:cs="宋体"/>
          <w:color w:val="auto"/>
          <w:kern w:val="0"/>
          <w:sz w:val="21"/>
          <w:szCs w:val="21"/>
          <w:highlight w:val="none"/>
          <w:lang w:val="zh-CN"/>
        </w:rPr>
        <w:t>不得再单独参加或者与其他投标人组成新的联合体参加同一项目。</w:t>
      </w:r>
    </w:p>
    <w:p w14:paraId="26DF0612">
      <w:pPr>
        <w:adjustRightInd w:val="0"/>
        <w:snapToGrid w:val="0"/>
        <w:spacing w:line="360" w:lineRule="auto"/>
        <w:ind w:firstLine="424"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（5）联合体</w:t>
      </w:r>
      <w:r>
        <w:rPr>
          <w:rFonts w:hint="eastAsia" w:ascii="宋体" w:hAnsi="宋体" w:cs="宋体"/>
          <w:color w:val="auto"/>
          <w:kern w:val="0"/>
          <w:sz w:val="21"/>
          <w:szCs w:val="21"/>
          <w:highlight w:val="none"/>
        </w:rPr>
        <w:t>牵头方</w:t>
      </w:r>
      <w:r>
        <w:rPr>
          <w:rFonts w:hint="eastAsia" w:ascii="宋体" w:hAnsi="宋体" w:cs="宋体"/>
          <w:color w:val="auto"/>
          <w:sz w:val="21"/>
          <w:szCs w:val="21"/>
          <w:highlight w:val="none"/>
        </w:rPr>
        <w:t>应当符合本章第3.1</w:t>
      </w:r>
      <w:r>
        <w:rPr>
          <w:rFonts w:hint="eastAsia" w:ascii="宋体" w:hAnsi="宋体" w:cs="宋体"/>
          <w:color w:val="auto"/>
          <w:kern w:val="0"/>
          <w:sz w:val="21"/>
          <w:szCs w:val="21"/>
          <w:highlight w:val="none"/>
          <w:lang w:val="zh-CN"/>
        </w:rPr>
        <w:t>款</w:t>
      </w:r>
      <w:r>
        <w:rPr>
          <w:rFonts w:hint="eastAsia" w:ascii="宋体" w:hAnsi="宋体" w:cs="宋体"/>
          <w:color w:val="auto"/>
          <w:sz w:val="21"/>
          <w:szCs w:val="21"/>
          <w:highlight w:val="none"/>
        </w:rPr>
        <w:t>规定的投标人资格条件。</w:t>
      </w:r>
    </w:p>
    <w:p w14:paraId="30B2A32E">
      <w:pPr>
        <w:adjustRightInd w:val="0"/>
        <w:snapToGrid w:val="0"/>
        <w:spacing w:line="360" w:lineRule="auto"/>
        <w:jc w:val="left"/>
        <w:rPr>
          <w:color w:val="auto"/>
          <w:highlight w:val="none"/>
        </w:rPr>
      </w:pPr>
      <w:r>
        <w:rPr>
          <w:rFonts w:hint="eastAsia" w:ascii="宋体" w:hAnsi="宋体" w:cs="宋体"/>
          <w:b/>
          <w:color w:val="auto"/>
          <w:szCs w:val="21"/>
          <w:highlight w:val="none"/>
        </w:rPr>
        <w:t>7.进口产品（不适用）</w:t>
      </w:r>
    </w:p>
    <w:p w14:paraId="54C5AE85">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二、招标文件</w:t>
      </w:r>
    </w:p>
    <w:p w14:paraId="2A2515C4">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8.招标文件的构成</w:t>
      </w:r>
    </w:p>
    <w:p w14:paraId="118D90E8">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8.1 招标文件的内容如下：</w:t>
      </w:r>
    </w:p>
    <w:p w14:paraId="73FCAE1E">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第一章 投标公告</w:t>
      </w:r>
    </w:p>
    <w:p w14:paraId="6392ADFE">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第二章 招标文件前附表</w:t>
      </w:r>
    </w:p>
    <w:p w14:paraId="247135E3">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第三章 投标须知</w:t>
      </w:r>
    </w:p>
    <w:p w14:paraId="55F928EC">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第四章 评标方法及标准</w:t>
      </w:r>
    </w:p>
    <w:p w14:paraId="15876570">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6115FA7E">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第六章 投标文件的组成</w:t>
      </w:r>
    </w:p>
    <w:p w14:paraId="331CC9B0">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 xml:space="preserve">第七章 </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需求</w:t>
      </w:r>
    </w:p>
    <w:p w14:paraId="52378ED5">
      <w:pPr>
        <w:adjustRightInd w:val="0"/>
        <w:snapToGrid w:val="0"/>
        <w:spacing w:line="360" w:lineRule="auto"/>
        <w:ind w:firstLine="424" w:firstLineChars="200"/>
        <w:rPr>
          <w:rFonts w:ascii="宋体" w:hAnsi="宋体" w:cs="宋体"/>
          <w:b/>
          <w:color w:val="auto"/>
          <w:szCs w:val="21"/>
          <w:highlight w:val="none"/>
        </w:rPr>
      </w:pPr>
      <w:r>
        <w:rPr>
          <w:rFonts w:hint="eastAsia" w:ascii="宋体" w:hAnsi="宋体" w:cs="宋体"/>
          <w:color w:val="auto"/>
          <w:szCs w:val="21"/>
          <w:highlight w:val="none"/>
        </w:rPr>
        <w:t>8.2本章第11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对招标文件所作的澄清、修改，构成招标文件的组成部分。</w:t>
      </w:r>
    </w:p>
    <w:p w14:paraId="61067780">
      <w:pPr>
        <w:adjustRightInd w:val="0"/>
        <w:snapToGrid w:val="0"/>
        <w:spacing w:line="360" w:lineRule="auto"/>
        <w:ind w:firstLine="424" w:firstLineChars="200"/>
        <w:rPr>
          <w:rFonts w:ascii="宋体" w:hAnsi="宋体" w:cs="宋体"/>
          <w:color w:val="auto"/>
          <w:szCs w:val="21"/>
          <w:highlight w:val="none"/>
        </w:rPr>
      </w:pPr>
      <w:r>
        <w:rPr>
          <w:rFonts w:hint="eastAsia" w:ascii="宋体" w:hAnsi="宋体" w:cs="宋体"/>
          <w:color w:val="auto"/>
          <w:szCs w:val="21"/>
          <w:highlight w:val="none"/>
        </w:rPr>
        <w:t>8.3投标人应仔细阅读招标文件的全部内容，按照招标文件要求编制投标文件。任何对招标文件的忽略或误解不能作为投标文件存在缺陷或瑕疵的理由，其风险由投标人承担。</w:t>
      </w:r>
    </w:p>
    <w:p w14:paraId="20C5C2E3">
      <w:pPr>
        <w:pStyle w:val="12"/>
        <w:adjustRightInd w:val="0"/>
        <w:snapToGrid w:val="0"/>
        <w:spacing w:line="360" w:lineRule="auto"/>
        <w:rPr>
          <w:rFonts w:hint="default" w:hAnsi="宋体" w:cs="宋体"/>
          <w:b/>
          <w:color w:val="auto"/>
          <w:kern w:val="2"/>
          <w:sz w:val="21"/>
          <w:highlight w:val="none"/>
          <w:lang w:val="en-US"/>
        </w:rPr>
      </w:pPr>
      <w:r>
        <w:rPr>
          <w:rFonts w:hint="eastAsia" w:hAnsi="宋体" w:cs="宋体"/>
          <w:b/>
          <w:color w:val="auto"/>
          <w:kern w:val="2"/>
          <w:sz w:val="21"/>
          <w:highlight w:val="none"/>
        </w:rPr>
        <w:t>9.招标文件</w:t>
      </w:r>
      <w:r>
        <w:rPr>
          <w:rFonts w:hint="eastAsia" w:hAnsi="宋体" w:cs="宋体"/>
          <w:b/>
          <w:color w:val="auto"/>
          <w:kern w:val="2"/>
          <w:sz w:val="21"/>
          <w:highlight w:val="none"/>
          <w:lang w:val="en-US" w:eastAsia="zh-CN"/>
        </w:rPr>
        <w:t>获取地点方式</w:t>
      </w:r>
    </w:p>
    <w:p w14:paraId="30B21239">
      <w:pPr>
        <w:pStyle w:val="12"/>
        <w:adjustRightInd w:val="0"/>
        <w:snapToGrid w:val="0"/>
        <w:spacing w:line="360" w:lineRule="auto"/>
        <w:ind w:firstLine="424" w:firstLineChars="200"/>
        <w:rPr>
          <w:rFonts w:hAnsi="宋体" w:cs="宋体"/>
          <w:color w:val="auto"/>
          <w:kern w:val="2"/>
          <w:sz w:val="21"/>
          <w:highlight w:val="none"/>
        </w:rPr>
      </w:pPr>
      <w:r>
        <w:rPr>
          <w:rFonts w:hint="eastAsia" w:ascii="宋体" w:hAnsi="宋体" w:eastAsia="宋体" w:cs="宋体"/>
          <w:color w:val="auto"/>
          <w:kern w:val="2"/>
          <w:sz w:val="21"/>
          <w:szCs w:val="21"/>
          <w:highlight w:val="none"/>
          <w:lang w:val="en-US" w:eastAsia="zh-CN" w:bidi="ar-SA"/>
        </w:rPr>
        <w:t>9.1</w:t>
      </w:r>
      <w:r>
        <w:rPr>
          <w:rFonts w:hint="eastAsia" w:ascii="宋体" w:hAnsi="宋体" w:eastAsia="宋体" w:cs="宋体"/>
          <w:b w:val="0"/>
          <w:bCs w:val="0"/>
          <w:color w:val="auto"/>
          <w:sz w:val="21"/>
          <w:szCs w:val="21"/>
          <w:highlight w:val="none"/>
          <w:lang w:eastAsia="zh-CN"/>
        </w:rPr>
        <w:t>凡参加本</w:t>
      </w:r>
      <w:r>
        <w:rPr>
          <w:rFonts w:hint="eastAsia" w:ascii="宋体" w:hAnsi="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eastAsia="zh-CN"/>
        </w:rPr>
        <w:t>的</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eastAsia="zh-CN"/>
        </w:rPr>
        <w:t>，均通过</w:t>
      </w:r>
      <w:r>
        <w:rPr>
          <w:rFonts w:hint="eastAsia" w:ascii="宋体" w:hAnsi="宋体" w:eastAsia="宋体" w:cs="宋体"/>
          <w:b w:val="0"/>
          <w:bCs w:val="0"/>
          <w:color w:val="auto"/>
          <w:sz w:val="21"/>
          <w:szCs w:val="21"/>
          <w:highlight w:val="none"/>
          <w:lang w:val="en-US" w:eastAsia="zh-CN"/>
        </w:rPr>
        <w:t>江西省招标投标网、江西吉湖发展集团有限公司官网</w:t>
      </w:r>
      <w:r>
        <w:rPr>
          <w:rFonts w:hint="eastAsia" w:ascii="宋体" w:hAnsi="宋体" w:eastAsia="宋体" w:cs="宋体"/>
          <w:b w:val="0"/>
          <w:bCs w:val="0"/>
          <w:color w:val="auto"/>
          <w:sz w:val="21"/>
          <w:szCs w:val="21"/>
          <w:highlight w:val="none"/>
          <w:lang w:eastAsia="zh-CN"/>
        </w:rPr>
        <w:t>免费自行获取</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文件并按</w:t>
      </w:r>
      <w:r>
        <w:rPr>
          <w:rFonts w:hint="eastAsia" w:ascii="宋体" w:hAnsi="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文件要求编制</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文件在规定的时间准时参加。</w:t>
      </w:r>
    </w:p>
    <w:p w14:paraId="3C085FA5">
      <w:pPr>
        <w:pStyle w:val="12"/>
        <w:tabs>
          <w:tab w:val="center" w:pos="4422"/>
        </w:tabs>
        <w:adjustRightInd w:val="0"/>
        <w:snapToGrid w:val="0"/>
        <w:spacing w:line="360" w:lineRule="auto"/>
        <w:rPr>
          <w:rFonts w:hAnsi="宋体" w:cs="宋体"/>
          <w:b/>
          <w:color w:val="auto"/>
          <w:highlight w:val="none"/>
        </w:rPr>
      </w:pPr>
      <w:r>
        <w:rPr>
          <w:rFonts w:hint="eastAsia" w:hAnsi="宋体" w:cs="宋体"/>
          <w:b/>
          <w:color w:val="auto"/>
          <w:kern w:val="2"/>
          <w:sz w:val="21"/>
          <w:highlight w:val="none"/>
        </w:rPr>
        <w:t>10．偏离</w:t>
      </w:r>
      <w:r>
        <w:rPr>
          <w:rFonts w:hint="eastAsia" w:hAnsi="宋体" w:cs="宋体"/>
          <w:b/>
          <w:color w:val="auto"/>
          <w:highlight w:val="none"/>
        </w:rPr>
        <w:tab/>
      </w:r>
    </w:p>
    <w:p w14:paraId="1A808610">
      <w:pPr>
        <w:tabs>
          <w:tab w:val="left" w:pos="0"/>
        </w:tabs>
        <w:adjustRightInd w:val="0"/>
        <w:snapToGrid w:val="0"/>
        <w:spacing w:line="360" w:lineRule="auto"/>
        <w:ind w:firstLine="424"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10.1本条所称</w:t>
      </w:r>
      <w:r>
        <w:rPr>
          <w:rFonts w:hint="eastAsia" w:ascii="宋体" w:hAnsi="宋体" w:eastAsia="宋体" w:cs="宋体"/>
          <w:color w:val="auto"/>
          <w:sz w:val="21"/>
          <w:szCs w:val="21"/>
          <w:highlight w:val="none"/>
        </w:rPr>
        <w:t>偏离为</w:t>
      </w:r>
      <w:r>
        <w:rPr>
          <w:rFonts w:hint="eastAsia" w:ascii="宋体" w:hAnsi="宋体" w:eastAsia="宋体" w:cs="宋体"/>
          <w:bCs/>
          <w:color w:val="auto"/>
          <w:sz w:val="21"/>
          <w:szCs w:val="21"/>
          <w:highlight w:val="none"/>
        </w:rPr>
        <w:t>投标文件</w:t>
      </w:r>
      <w:r>
        <w:rPr>
          <w:rFonts w:hint="eastAsia" w:ascii="宋体" w:hAnsi="宋体" w:eastAsia="宋体" w:cs="宋体"/>
          <w:color w:val="auto"/>
          <w:sz w:val="21"/>
          <w:szCs w:val="21"/>
          <w:highlight w:val="none"/>
        </w:rPr>
        <w:t>对招标文件的偏离，即不满足、或不响应招标文件的要求。</w:t>
      </w:r>
    </w:p>
    <w:p w14:paraId="54CDAE38">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11.招标文件的澄清与修改</w:t>
      </w:r>
    </w:p>
    <w:p w14:paraId="6EBC4F9F">
      <w:pPr>
        <w:pStyle w:val="40"/>
        <w:adjustRightInd w:val="0"/>
        <w:snapToGrid w:val="0"/>
        <w:spacing w:line="360" w:lineRule="auto"/>
        <w:ind w:firstLine="424" w:firstLineChars="200"/>
        <w:rPr>
          <w:rFonts w:hint="eastAsia" w:ascii="宋体" w:hAnsi="宋体" w:eastAsia="宋体" w:cs="宋体"/>
          <w:color w:val="auto"/>
          <w:highlight w:val="none"/>
        </w:rPr>
      </w:pPr>
      <w:r>
        <w:rPr>
          <w:rFonts w:hint="eastAsia" w:ascii="宋体" w:hAnsi="宋体" w:eastAsia="宋体" w:cs="宋体"/>
          <w:color w:val="auto"/>
          <w:highlight w:val="none"/>
        </w:rPr>
        <w:t>11.1本次投标截止时间见</w:t>
      </w:r>
      <w:r>
        <w:rPr>
          <w:rFonts w:hint="eastAsia" w:ascii="宋体" w:hAnsi="宋体" w:eastAsia="宋体" w:cs="宋体"/>
          <w:b/>
          <w:color w:val="auto"/>
          <w:highlight w:val="none"/>
        </w:rPr>
        <w:t>招标文件前附表。</w:t>
      </w:r>
    </w:p>
    <w:p w14:paraId="5E08A95C">
      <w:pPr>
        <w:pStyle w:val="40"/>
        <w:adjustRightInd w:val="0"/>
        <w:snapToGrid w:val="0"/>
        <w:spacing w:line="360" w:lineRule="auto"/>
        <w:ind w:firstLine="424" w:firstLineChars="200"/>
        <w:rPr>
          <w:rFonts w:ascii="宋体" w:hAnsi="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eastAsia="zh-CN"/>
        </w:rPr>
        <w:t>采购</w:t>
      </w:r>
      <w:r>
        <w:rPr>
          <w:rFonts w:hint="eastAsia" w:ascii="宋体" w:hAnsi="宋体" w:cs="宋体"/>
          <w:color w:val="auto"/>
          <w:highlight w:val="none"/>
          <w:lang w:eastAsia="zh-CN"/>
        </w:rPr>
        <w:t>代理机构</w:t>
      </w:r>
      <w:r>
        <w:rPr>
          <w:rFonts w:hint="eastAsia" w:ascii="宋体" w:hAnsi="宋体" w:cs="宋体"/>
          <w:color w:val="auto"/>
          <w:highlight w:val="none"/>
        </w:rPr>
        <w:t>对已发出的招标文件进行必要澄清或者修改的，澄清或者修改的内容可能影响投标文件编制的，应当在</w:t>
      </w:r>
      <w:r>
        <w:rPr>
          <w:rFonts w:hint="eastAsia" w:ascii="宋体" w:hAnsi="宋体" w:cs="宋体"/>
          <w:b/>
          <w:color w:val="auto"/>
          <w:highlight w:val="none"/>
        </w:rPr>
        <w:t>招标文件前附表</w:t>
      </w:r>
      <w:r>
        <w:rPr>
          <w:rFonts w:hint="eastAsia" w:ascii="宋体" w:hAnsi="宋体" w:cs="宋体"/>
          <w:color w:val="auto"/>
          <w:highlight w:val="none"/>
        </w:rPr>
        <w:t>规定的提交投标文件截止时间十五日前，</w:t>
      </w:r>
      <w:r>
        <w:rPr>
          <w:rFonts w:hint="eastAsia" w:ascii="宋体" w:hAnsi="宋体" w:cs="宋体"/>
          <w:color w:val="auto"/>
          <w:highlight w:val="none"/>
          <w:lang w:val="en-US" w:eastAsia="zh-CN"/>
        </w:rPr>
        <w:t>发布变更或澄清公告</w:t>
      </w:r>
      <w:r>
        <w:rPr>
          <w:rFonts w:hint="eastAsia" w:ascii="宋体" w:hAnsi="宋体" w:cs="宋体"/>
          <w:color w:val="auto"/>
          <w:highlight w:val="none"/>
        </w:rPr>
        <w:t>。</w:t>
      </w:r>
    </w:p>
    <w:p w14:paraId="73F7C88E">
      <w:pPr>
        <w:autoSpaceDE w:val="0"/>
        <w:autoSpaceDN w:val="0"/>
        <w:adjustRightInd w:val="0"/>
        <w:snapToGrid w:val="0"/>
        <w:spacing w:line="360" w:lineRule="auto"/>
        <w:ind w:firstLine="424"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11.3 如果</w:t>
      </w:r>
      <w:r>
        <w:rPr>
          <w:rFonts w:hint="eastAsia" w:ascii="宋体" w:hAnsi="宋体" w:cs="宋体"/>
          <w:color w:val="auto"/>
          <w:highlight w:val="none"/>
        </w:rPr>
        <w:t>澄清或者修改的内容可能影响投标文件编制的，</w:t>
      </w:r>
      <w:r>
        <w:rPr>
          <w:rFonts w:hint="eastAsia" w:ascii="宋体" w:hAnsi="宋体" w:cs="宋体"/>
          <w:color w:val="auto"/>
          <w:kern w:val="0"/>
          <w:szCs w:val="21"/>
          <w:highlight w:val="none"/>
        </w:rPr>
        <w:t>时间距</w:t>
      </w:r>
      <w:r>
        <w:rPr>
          <w:rFonts w:hint="eastAsia" w:ascii="宋体" w:hAnsi="宋体" w:cs="宋体"/>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规定的投标截止时间不足十五日，将相应顺延投标截止时间。</w:t>
      </w:r>
    </w:p>
    <w:p w14:paraId="66D82741">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12.</w:t>
      </w:r>
      <w:r>
        <w:rPr>
          <w:rFonts w:hint="eastAsia" w:ascii="宋体" w:hAnsi="宋体" w:cs="宋体"/>
          <w:b/>
          <w:color w:val="auto"/>
          <w:szCs w:val="21"/>
          <w:highlight w:val="none"/>
        </w:rPr>
        <w:t>延长投标截止时间和开标时间</w:t>
      </w:r>
    </w:p>
    <w:p w14:paraId="00AF3DE2">
      <w:pPr>
        <w:autoSpaceDE w:val="0"/>
        <w:autoSpaceDN w:val="0"/>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12.1 </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可以视</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具体情况，延长投标截止时间和开标时间，并通知各投标人。</w:t>
      </w:r>
    </w:p>
    <w:p w14:paraId="49CE212F">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三、投标文件</w:t>
      </w:r>
    </w:p>
    <w:p w14:paraId="3A7CE3BF">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13.投标语言</w:t>
      </w:r>
    </w:p>
    <w:p w14:paraId="17C10987">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13.1投标人提交的投标文件及投标人与</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就有关投标的所有来往函电均使用中文。投标人可以提交其它语言的资料，但应附有中文注释，有差异时以中文为准。</w:t>
      </w:r>
    </w:p>
    <w:p w14:paraId="1A962DB6">
      <w:pPr>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14.计量单位</w:t>
      </w:r>
    </w:p>
    <w:p w14:paraId="12C7B70C">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14.1所有计量均采用中华人民共和国法定计量单位。</w:t>
      </w:r>
    </w:p>
    <w:p w14:paraId="3F5AA114">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15.投标文件的组成</w:t>
      </w:r>
    </w:p>
    <w:p w14:paraId="0145142B">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15.1 投标文件的内容如下：</w:t>
      </w:r>
    </w:p>
    <w:p w14:paraId="16E8B546">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（1）投标书</w:t>
      </w:r>
    </w:p>
    <w:p w14:paraId="3A28B364">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（2）开标一览表</w:t>
      </w:r>
    </w:p>
    <w:p w14:paraId="7E56EB51">
      <w:pPr>
        <w:adjustRightInd w:val="0"/>
        <w:snapToGrid w:val="0"/>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）技术规格 (工程需求) 响应/偏离表</w:t>
      </w:r>
    </w:p>
    <w:p w14:paraId="77B970B0">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）商务条款响应/偏离表</w:t>
      </w:r>
    </w:p>
    <w:p w14:paraId="2E1DE61E">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）法人代表授权书</w:t>
      </w:r>
    </w:p>
    <w:p w14:paraId="393E680D">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投标人的资格声明</w:t>
      </w:r>
    </w:p>
    <w:p w14:paraId="62F267C0">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）资格证明文件</w:t>
      </w:r>
    </w:p>
    <w:p w14:paraId="13A8C822">
      <w:pPr>
        <w:adjustRightInd w:val="0"/>
        <w:snapToGrid w:val="0"/>
        <w:spacing w:line="360" w:lineRule="auto"/>
        <w:ind w:firstLine="424"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olor w:val="auto"/>
          <w:szCs w:val="21"/>
          <w:highlight w:val="none"/>
          <w:lang w:eastAsia="zh-CN"/>
        </w:rPr>
        <w:t>投标货物技术文件</w:t>
      </w:r>
    </w:p>
    <w:p w14:paraId="641DA975">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15.2 投标文件内容及题目的编排顺序和编号参照本章第15.1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要求的结构。</w:t>
      </w:r>
    </w:p>
    <w:p w14:paraId="670CEADE">
      <w:pPr>
        <w:adjustRightInd w:val="0"/>
        <w:snapToGrid w:val="0"/>
        <w:spacing w:line="360" w:lineRule="auto"/>
        <w:ind w:firstLine="424" w:firstLineChars="200"/>
        <w:jc w:val="left"/>
        <w:rPr>
          <w:rFonts w:ascii="宋体" w:hAnsi="宋体" w:cs="宋体"/>
          <w:color w:val="auto"/>
          <w:szCs w:val="21"/>
          <w:highlight w:val="none"/>
        </w:rPr>
      </w:pPr>
      <w:r>
        <w:rPr>
          <w:rFonts w:hint="eastAsia" w:ascii="宋体" w:hAnsi="宋体" w:cs="宋体"/>
          <w:color w:val="auto"/>
          <w:szCs w:val="21"/>
          <w:highlight w:val="none"/>
        </w:rPr>
        <w:t>15.3 根据规定，投标人无论中标与否，其投标文件不予退还。</w:t>
      </w:r>
    </w:p>
    <w:p w14:paraId="4ECFCA7A">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16.投标报价</w:t>
      </w:r>
    </w:p>
    <w:p w14:paraId="7E0062D9">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.1 投标人应按招标文件规定</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服务要求、责任范围和合同条件，以</w:t>
      </w:r>
      <w:r>
        <w:rPr>
          <w:rFonts w:hint="eastAsia" w:ascii="宋体" w:hAnsi="宋体" w:cs="宋体"/>
          <w:color w:val="auto"/>
          <w:szCs w:val="21"/>
          <w:highlight w:val="none"/>
          <w:lang w:val="en-US" w:eastAsia="zh-CN"/>
        </w:rPr>
        <w:t>人民币</w:t>
      </w:r>
      <w:r>
        <w:rPr>
          <w:rFonts w:hint="eastAsia" w:ascii="宋体" w:hAnsi="宋体" w:eastAsia="宋体" w:cs="宋体"/>
          <w:color w:val="auto"/>
          <w:szCs w:val="21"/>
          <w:highlight w:val="none"/>
        </w:rPr>
        <w:t>进行报价。</w:t>
      </w:r>
    </w:p>
    <w:p w14:paraId="69400A8D">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.2 投标人应按开标一览表格式要求填写总价。投标总价中不得缺漏招标文件所要求的内容，否则，在评标时将其视为无效投标。</w:t>
      </w:r>
    </w:p>
    <w:p w14:paraId="005C1EE3">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.3投标人的投标报价不得</w:t>
      </w:r>
      <w:r>
        <w:rPr>
          <w:rFonts w:hint="eastAsia" w:ascii="宋体" w:hAnsi="宋体" w:cs="宋体"/>
          <w:color w:val="auto"/>
          <w:szCs w:val="21"/>
          <w:highlight w:val="none"/>
          <w:lang w:val="en-US" w:eastAsia="zh-CN"/>
        </w:rPr>
        <w:t>高于</w:t>
      </w:r>
      <w:r>
        <w:rPr>
          <w:rFonts w:hint="eastAsia" w:ascii="宋体" w:hAnsi="宋体" w:eastAsia="宋体" w:cs="宋体"/>
          <w:color w:val="auto"/>
          <w:szCs w:val="21"/>
          <w:highlight w:val="none"/>
        </w:rPr>
        <w:t>项目</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w:t>
      </w:r>
    </w:p>
    <w:p w14:paraId="341672B1">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.4 投标文件中标明的价格在合同执行过程中是固定不变的，不得以任何理由予以变更。任何包含价格调整要求和条件的投标，在评标时将其视为无效投标。</w:t>
      </w:r>
    </w:p>
    <w:p w14:paraId="6C0BCF1A">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.5投标人的价格折扣（价格变更声明）应当直接在开标一览表的投标报价中给出。</w:t>
      </w:r>
    </w:p>
    <w:p w14:paraId="72390134">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.6投标文件报价出现前后不一致的，按照下列规定修正：</w:t>
      </w:r>
    </w:p>
    <w:p w14:paraId="2AF115B6">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（1）大写和小写不一致的，以大写为准；</w:t>
      </w:r>
    </w:p>
    <w:p w14:paraId="689FBED0">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）单价小数点或者百分比有明显错位的，以开标一览表的总价为准，并修改单价；</w:t>
      </w:r>
    </w:p>
    <w:p w14:paraId="746785E7">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）总价与按单价汇总金额不一致的，以单价计算结果为准。</w:t>
      </w:r>
    </w:p>
    <w:p w14:paraId="1AA37F52">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同时出现两种以上不一致的，按照前款规定的顺序修正。修正后的报价经投标人确认后产生约束力，投标人不确认的，其投标无效。</w:t>
      </w:r>
    </w:p>
    <w:p w14:paraId="7950EE6D">
      <w:pPr>
        <w:adjustRightInd w:val="0"/>
        <w:snapToGrid w:val="0"/>
        <w:spacing w:line="360" w:lineRule="auto"/>
        <w:ind w:firstLine="424"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.7投标人的报价明显低于其他通过符合性审查投标人的报价，有可能影响</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质量或者不能诚信履约的，应当在评标现场合理的时间内提供书面说明，必要时提交相关证明材料，投标人不能证明其报价合理性的，作为无效投标处理。</w:t>
      </w:r>
    </w:p>
    <w:p w14:paraId="29FCD6F3">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备注：1、本项目地块约49.3亩，土方平整约17.3万立方米，回填土方约2000立方米。</w:t>
      </w:r>
      <w:r>
        <w:rPr>
          <w:rFonts w:hint="eastAsia" w:ascii="宋体" w:hAnsi="宋体" w:cs="宋体"/>
          <w:b/>
          <w:color w:val="auto"/>
          <w:szCs w:val="21"/>
          <w:highlight w:val="none"/>
          <w:lang w:val="en-US" w:eastAsia="zh-CN"/>
        </w:rPr>
        <w:t>中标人</w:t>
      </w:r>
      <w:r>
        <w:rPr>
          <w:rFonts w:hint="eastAsia" w:ascii="宋体" w:hAnsi="宋体" w:cs="宋体"/>
          <w:b/>
          <w:color w:val="auto"/>
          <w:szCs w:val="21"/>
          <w:highlight w:val="none"/>
        </w:rPr>
        <w:t>应严格依据设计图标高按施工规范施工，且应按</w:t>
      </w:r>
      <w:r>
        <w:rPr>
          <w:rFonts w:hint="eastAsia" w:ascii="宋体" w:hAnsi="宋体" w:cs="宋体"/>
          <w:b/>
          <w:color w:val="auto"/>
          <w:szCs w:val="21"/>
          <w:highlight w:val="none"/>
          <w:lang w:eastAsia="zh-CN"/>
        </w:rPr>
        <w:t>采购人</w:t>
      </w:r>
      <w:r>
        <w:rPr>
          <w:rFonts w:hint="eastAsia" w:ascii="宋体" w:hAnsi="宋体" w:cs="宋体"/>
          <w:b/>
          <w:bCs w:val="0"/>
          <w:color w:val="auto"/>
          <w:szCs w:val="21"/>
          <w:highlight w:val="none"/>
        </w:rPr>
        <w:t>的要求有序施工</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填方、场地平整费用包含在报价中</w:t>
      </w:r>
      <w:r>
        <w:rPr>
          <w:rFonts w:hint="eastAsia" w:ascii="宋体" w:hAnsi="宋体" w:cs="宋体"/>
          <w:b/>
          <w:bCs w:val="0"/>
          <w:color w:val="auto"/>
          <w:sz w:val="21"/>
          <w:szCs w:val="21"/>
          <w:highlight w:val="none"/>
          <w:lang w:val="en-US" w:eastAsia="zh-CN"/>
        </w:rPr>
        <w:t>，</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eastAsia="宋体" w:cs="宋体"/>
          <w:b/>
          <w:bCs/>
          <w:color w:val="auto"/>
          <w:sz w:val="21"/>
          <w:szCs w:val="21"/>
          <w:highlight w:val="none"/>
          <w:lang w:val="en-US" w:eastAsia="zh-CN"/>
        </w:rPr>
        <w:t>。</w:t>
      </w:r>
      <w:r>
        <w:rPr>
          <w:rFonts w:hint="eastAsia" w:ascii="宋体" w:hAnsi="宋体" w:cs="宋体"/>
          <w:b/>
          <w:color w:val="auto"/>
          <w:szCs w:val="21"/>
          <w:highlight w:val="none"/>
        </w:rPr>
        <w:t>在土方</w:t>
      </w:r>
      <w:r>
        <w:rPr>
          <w:rFonts w:hint="eastAsia" w:ascii="宋体" w:hAnsi="宋体" w:cs="宋体"/>
          <w:b/>
          <w:color w:val="auto"/>
          <w:szCs w:val="21"/>
          <w:highlight w:val="none"/>
          <w:lang w:val="en-US" w:eastAsia="zh-CN"/>
        </w:rPr>
        <w:t>平整</w:t>
      </w:r>
      <w:r>
        <w:rPr>
          <w:rFonts w:hint="eastAsia" w:ascii="宋体" w:hAnsi="宋体" w:cs="宋体"/>
          <w:b/>
          <w:color w:val="auto"/>
          <w:szCs w:val="21"/>
          <w:highlight w:val="none"/>
        </w:rPr>
        <w:t>过程中如有遇到复杂土质，</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不另外增加费用,由</w:t>
      </w:r>
      <w:r>
        <w:rPr>
          <w:rFonts w:hint="eastAsia" w:ascii="宋体" w:hAnsi="宋体" w:cs="宋体"/>
          <w:b/>
          <w:color w:val="auto"/>
          <w:szCs w:val="21"/>
          <w:highlight w:val="none"/>
          <w:lang w:val="en-US" w:eastAsia="zh-CN"/>
        </w:rPr>
        <w:t>中标人</w:t>
      </w:r>
      <w:r>
        <w:rPr>
          <w:rFonts w:hint="eastAsia" w:ascii="宋体" w:hAnsi="宋体" w:cs="宋体"/>
          <w:b/>
          <w:color w:val="auto"/>
          <w:szCs w:val="21"/>
          <w:highlight w:val="none"/>
        </w:rPr>
        <w:t>自行承担所有费用</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因</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rPr>
        <w:t>在计算投标报价过程中报价不合理或费用计算错误，</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一律不予调整，由此产生的损失及后果自负。</w:t>
      </w:r>
      <w:r>
        <w:rPr>
          <w:rFonts w:hint="eastAsia" w:ascii="宋体" w:hAnsi="宋体" w:cs="宋体"/>
          <w:b/>
          <w:color w:val="auto"/>
          <w:szCs w:val="21"/>
          <w:highlight w:val="none"/>
          <w:lang w:val="en-US" w:eastAsia="zh-CN"/>
        </w:rPr>
        <w:t>中标人</w:t>
      </w:r>
      <w:r>
        <w:rPr>
          <w:rFonts w:hint="eastAsia" w:ascii="宋体" w:hAnsi="宋体" w:cs="宋体"/>
          <w:b/>
          <w:color w:val="auto"/>
          <w:szCs w:val="21"/>
          <w:highlight w:val="none"/>
        </w:rPr>
        <w:t>必须满足业主要求完成土方运输及平整工作，如</w:t>
      </w:r>
      <w:r>
        <w:rPr>
          <w:rFonts w:hint="eastAsia" w:ascii="宋体" w:hAnsi="宋体" w:cs="宋体"/>
          <w:b/>
          <w:bCs/>
          <w:color w:val="auto"/>
          <w:sz w:val="21"/>
          <w:szCs w:val="21"/>
          <w:highlight w:val="none"/>
          <w:lang w:val="en-US" w:eastAsia="zh-CN"/>
        </w:rPr>
        <w:t>中标人未按要求进行平整或未达到验收要求，采购人有权取消合同、没收履约保证金并</w:t>
      </w:r>
      <w:r>
        <w:rPr>
          <w:rFonts w:hint="eastAsia" w:ascii="宋体" w:hAnsi="宋体" w:cs="宋体"/>
          <w:b/>
          <w:color w:val="auto"/>
          <w:szCs w:val="21"/>
          <w:highlight w:val="none"/>
          <w:lang w:val="en-US" w:eastAsia="zh-CN"/>
        </w:rPr>
        <w:t>追究法律责任。</w:t>
      </w:r>
    </w:p>
    <w:p w14:paraId="450333E4">
      <w:pPr>
        <w:adjustRightInd w:val="0"/>
        <w:snapToGrid w:val="0"/>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2、《开标一览表》中投标报价必须为机器打印且不可更改，否则视为无效投标。</w:t>
      </w:r>
    </w:p>
    <w:p w14:paraId="6C5F3061">
      <w:pPr>
        <w:adjustRightInd w:val="0"/>
        <w:snapToGrid w:val="0"/>
        <w:spacing w:line="360" w:lineRule="auto"/>
        <w:rPr>
          <w:rFonts w:hint="default" w:ascii="宋体" w:hAnsi="宋体" w:eastAsia="宋体" w:cs="宋体"/>
          <w:b/>
          <w:bCs w:val="0"/>
          <w:color w:val="auto"/>
          <w:szCs w:val="21"/>
          <w:highlight w:val="none"/>
          <w:lang w:val="en-US" w:eastAsia="zh-CN"/>
        </w:rPr>
      </w:pPr>
      <w:r>
        <w:rPr>
          <w:rFonts w:hint="eastAsia" w:ascii="宋体" w:hAnsi="宋体" w:cs="宋体"/>
          <w:b/>
          <w:bCs/>
          <w:color w:val="auto"/>
          <w:szCs w:val="21"/>
          <w:highlight w:val="none"/>
          <w:lang w:val="en-US" w:eastAsia="zh-CN"/>
        </w:rPr>
        <w:t>3、投标人应自行安排时间进行实地勘察,并了解该地块实际情况，投标人根据自行勘察的结果进行成本核算作为投标报价依据，一旦中标，不得以不了解现场情况、工程量等理由提出额外费用和其他要求，招标人将不予考虑。（踏勘现场的费用自理，在现场考察过程中，投标人如果发生人身伤亡、财务或其它损失，不论何种原因造成，均由投标人自负）。具体工程量以投标人自行实地勘察为准，并自行承担风险。</w:t>
      </w:r>
    </w:p>
    <w:p w14:paraId="067ADED0">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17.投标人的资格证明文件</w:t>
      </w:r>
    </w:p>
    <w:p w14:paraId="38F80D3A">
      <w:pPr>
        <w:keepNext w:val="0"/>
        <w:keepLines w:val="0"/>
        <w:pageBreakBefore w:val="0"/>
        <w:tabs>
          <w:tab w:val="left" w:pos="7560"/>
          <w:tab w:val="left" w:pos="7740"/>
          <w:tab w:val="left" w:pos="792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17.1投标人应提交满足本章第3.1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规定的资格条件要求的证明文件,该证明文件作为投标文件的一部分。</w:t>
      </w:r>
    </w:p>
    <w:p w14:paraId="45F79BF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18.投标货物符合招标文件规定的证明文件</w:t>
      </w:r>
    </w:p>
    <w:p w14:paraId="6002DB9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18.1 投标人应当提交其拟投的货物及其服务符合招标文件规定的证明文件,该证明文件作为投标文件的一部分。</w:t>
      </w:r>
    </w:p>
    <w:p w14:paraId="164B1D6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投标保证金</w:t>
      </w:r>
    </w:p>
    <w:p w14:paraId="2D37C720">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按照“</w:t>
      </w:r>
      <w:r>
        <w:rPr>
          <w:rFonts w:hint="eastAsia" w:ascii="宋体" w:hAnsi="宋体" w:cs="宋体"/>
          <w:b/>
          <w:color w:val="auto"/>
          <w:szCs w:val="21"/>
          <w:highlight w:val="none"/>
        </w:rPr>
        <w:t>招标文件前附表</w:t>
      </w:r>
      <w:r>
        <w:rPr>
          <w:rFonts w:hint="eastAsia" w:ascii="宋体" w:hAnsi="宋体" w:cs="宋体"/>
          <w:color w:val="auto"/>
          <w:szCs w:val="21"/>
          <w:highlight w:val="none"/>
          <w:lang w:val="en-US" w:eastAsia="zh-CN"/>
        </w:rPr>
        <w:t>”进行缴纳</w:t>
      </w:r>
      <w:r>
        <w:rPr>
          <w:rFonts w:hint="eastAsia" w:ascii="宋体" w:hAnsi="宋体" w:cs="宋体"/>
          <w:color w:val="auto"/>
          <w:szCs w:val="21"/>
          <w:highlight w:val="none"/>
        </w:rPr>
        <w:t>。</w:t>
      </w:r>
    </w:p>
    <w:p w14:paraId="62516F29">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未中标的投标人的投标保证金，将在中标通知书发出后五个工作日内退还。</w:t>
      </w:r>
    </w:p>
    <w:p w14:paraId="6713F1C7">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有以下情形的，投标保证金将不予退还：</w:t>
      </w:r>
    </w:p>
    <w:p w14:paraId="2002831D">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（1)投标人在投标有效期内撤销其投标；</w:t>
      </w:r>
    </w:p>
    <w:p w14:paraId="1F87EC65">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（2)中标人未按招标文件所述规定签订合同；</w:t>
      </w:r>
    </w:p>
    <w:p w14:paraId="17C7156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（3)中标人未按招标文件规定支付采购代理服务费；</w:t>
      </w:r>
    </w:p>
    <w:p w14:paraId="028FA03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（4)中标人未按招标文件规定提交履约保证金；（如要求提供履约保证金）</w:t>
      </w:r>
    </w:p>
    <w:p w14:paraId="3CB09D73">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（5)投标人提供虚假材料谋取中标。</w:t>
      </w:r>
    </w:p>
    <w:p w14:paraId="30691099">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（6)法律、行政法规规定的投标保证金不予退还的情形。</w:t>
      </w:r>
    </w:p>
    <w:p w14:paraId="3C1B9AA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20.投标有效期</w:t>
      </w:r>
    </w:p>
    <w:p w14:paraId="2C8E8A5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20.1投标有效期见</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，在此期间投标文件对投标人具有法律约束力，以保证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有足够的时间完成评标、定标以及签订合同。投标有效期从本章第11.1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规定的投标截止之日起计算。投标有效期不足的，在评标时将其视为无效投标。</w:t>
      </w:r>
    </w:p>
    <w:p w14:paraId="76AA4FB9">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21.投标文件的签署</w:t>
      </w:r>
    </w:p>
    <w:p w14:paraId="154F92C1">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21.1投标文件纸质</w:t>
      </w:r>
      <w:r>
        <w:rPr>
          <w:rFonts w:hint="eastAsia" w:ascii="宋体" w:hAnsi="宋体" w:cs="宋体"/>
          <w:color w:val="auto"/>
          <w:szCs w:val="21"/>
          <w:highlight w:val="none"/>
          <w:lang w:eastAsia="zh-CN"/>
        </w:rPr>
        <w:t>正本壹份、副本贰份</w:t>
      </w:r>
      <w:r>
        <w:rPr>
          <w:rFonts w:hint="eastAsia" w:ascii="宋体" w:hAnsi="宋体" w:cs="宋体"/>
          <w:color w:val="auto"/>
          <w:szCs w:val="21"/>
          <w:highlight w:val="none"/>
        </w:rPr>
        <w:t>，当正本和副本投标文件不一致时，以正本为准。</w:t>
      </w:r>
    </w:p>
    <w:p w14:paraId="3F6D590F">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投标人开标现场需递交投标文件纸质</w:t>
      </w:r>
      <w:r>
        <w:rPr>
          <w:rFonts w:hint="eastAsia" w:ascii="宋体" w:hAnsi="宋体" w:cs="宋体"/>
          <w:color w:val="auto"/>
          <w:szCs w:val="21"/>
          <w:highlight w:val="none"/>
          <w:lang w:eastAsia="zh-CN"/>
        </w:rPr>
        <w:t>正本壹份、副本贰份</w:t>
      </w:r>
      <w:r>
        <w:rPr>
          <w:rFonts w:hint="eastAsia" w:ascii="宋体" w:hAnsi="宋体" w:cs="宋体"/>
          <w:color w:val="auto"/>
          <w:szCs w:val="21"/>
          <w:highlight w:val="none"/>
        </w:rPr>
        <w:t>。</w:t>
      </w:r>
    </w:p>
    <w:p w14:paraId="0D0AB189">
      <w:pPr>
        <w:keepNext w:val="0"/>
        <w:keepLines w:val="0"/>
        <w:pageBreakBefore w:val="0"/>
        <w:tabs>
          <w:tab w:val="left" w:pos="570"/>
          <w:tab w:val="left" w:pos="828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投标文件应用不褪色的材料打印或书写，并在</w:t>
      </w:r>
      <w:r>
        <w:rPr>
          <w:rFonts w:hint="eastAsia" w:ascii="宋体" w:hAnsi="宋体" w:cs="宋体"/>
          <w:bCs/>
          <w:color w:val="auto"/>
          <w:szCs w:val="21"/>
          <w:highlight w:val="none"/>
        </w:rPr>
        <w:t>招标</w:t>
      </w:r>
      <w:r>
        <w:rPr>
          <w:rFonts w:hint="eastAsia" w:ascii="宋体" w:hAnsi="宋体" w:cs="宋体"/>
          <w:color w:val="auto"/>
          <w:szCs w:val="21"/>
          <w:highlight w:val="none"/>
        </w:rPr>
        <w:t>文件要求签字、盖章处盖单位章和由法定代表人或其委托代理人签字。投标文件中的任何行间插字、涂改和增删，改动之处应加盖单位章或由投标人的法定代表人或其授权的代理人签字确认。不按上述要求盖章和签字的，在评标时将其视为无效投标。</w:t>
      </w:r>
    </w:p>
    <w:p w14:paraId="5886292D">
      <w:pPr>
        <w:adjustRightInd w:val="0"/>
        <w:snapToGrid w:val="0"/>
        <w:spacing w:line="360" w:lineRule="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备注：《开标一览表》中投标报价必须为机器打印且不可更改，否则视为无效投标</w:t>
      </w:r>
      <w:r>
        <w:rPr>
          <w:rFonts w:hint="eastAsia" w:ascii="宋体" w:hAnsi="宋体" w:eastAsia="宋体" w:cs="宋体"/>
          <w:b/>
          <w:bCs/>
          <w:color w:val="auto"/>
          <w:highlight w:val="none"/>
          <w:lang w:val="en-US" w:eastAsia="zh-CN"/>
        </w:rPr>
        <w:t>。</w:t>
      </w:r>
    </w:p>
    <w:p w14:paraId="5E485DB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p>
    <w:p w14:paraId="287BCDB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四、投标文件的递交</w:t>
      </w:r>
    </w:p>
    <w:p w14:paraId="24B8A52F">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22.投标文件的密封和标记</w:t>
      </w:r>
    </w:p>
    <w:p w14:paraId="1CEA0679">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22.1纸质版投标文件正本、副本须密封包装，注明“正本”“副本”，加贴封条，并在封套的封口处加盖投标人单位章或由法定代表人或其授权的代理人签字。</w:t>
      </w:r>
    </w:p>
    <w:p w14:paraId="1F53192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22.2投标文件封套或外包装上应载明的内容包括项目名称、项目编号、投标人名称等</w:t>
      </w:r>
      <w:r>
        <w:rPr>
          <w:rFonts w:hint="eastAsia" w:ascii="宋体" w:hAnsi="宋体" w:cs="宋体"/>
          <w:b/>
          <w:color w:val="auto"/>
          <w:szCs w:val="21"/>
          <w:highlight w:val="none"/>
        </w:rPr>
        <w:t>。</w:t>
      </w:r>
    </w:p>
    <w:p w14:paraId="3C8E778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22.3投标文件如果未按上述规定密封和标记，</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应当拒绝接收。</w:t>
      </w:r>
    </w:p>
    <w:p w14:paraId="53A62CC5">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23.投标文件的递交</w:t>
      </w:r>
    </w:p>
    <w:p w14:paraId="6D60FD24">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23.1 投标文件应在本章第11.1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规定的投标截止时间之前送到</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指定的地点。</w:t>
      </w:r>
    </w:p>
    <w:p w14:paraId="2FF7FDF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23.2 逾期送达或未送达指定地点的投标文件，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应当拒绝接收。</w:t>
      </w:r>
    </w:p>
    <w:p w14:paraId="4549DDAC">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24.投标文件的修改和撤回</w:t>
      </w:r>
    </w:p>
    <w:p w14:paraId="2C943A0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24.1在本章第11.1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规定的投标截止时间前，投标人可以书面形式修改、补充或撤回己递交的投标文件，但应以书面形式通知</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w:t>
      </w:r>
    </w:p>
    <w:p w14:paraId="493557C8">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24.2修改、补充的内容为投标文件的组成部分。修改、补充的投标文件应按本章第</w:t>
      </w:r>
      <w:r>
        <w:rPr>
          <w:rFonts w:hint="eastAsia" w:ascii="宋体" w:hAnsi="宋体" w:cs="宋体"/>
          <w:bCs/>
          <w:color w:val="auto"/>
          <w:szCs w:val="21"/>
          <w:highlight w:val="none"/>
        </w:rPr>
        <w:t>21、22、23项</w:t>
      </w:r>
      <w:r>
        <w:rPr>
          <w:rFonts w:hint="eastAsia" w:ascii="宋体" w:hAnsi="宋体" w:cs="宋体"/>
          <w:color w:val="auto"/>
          <w:szCs w:val="21"/>
          <w:highlight w:val="none"/>
        </w:rPr>
        <w:t>规定编制、</w:t>
      </w:r>
      <w:r>
        <w:rPr>
          <w:rFonts w:hint="eastAsia" w:ascii="宋体" w:hAnsi="宋体" w:cs="宋体"/>
          <w:bCs/>
          <w:color w:val="auto"/>
          <w:szCs w:val="21"/>
          <w:highlight w:val="none"/>
        </w:rPr>
        <w:t>签署、</w:t>
      </w:r>
      <w:r>
        <w:rPr>
          <w:rFonts w:hint="eastAsia" w:ascii="宋体" w:hAnsi="宋体" w:cs="宋体"/>
          <w:color w:val="auto"/>
          <w:szCs w:val="21"/>
          <w:highlight w:val="none"/>
        </w:rPr>
        <w:t>密封、标记和递交，并标明“修改、补充”字样。</w:t>
      </w:r>
    </w:p>
    <w:p w14:paraId="5CF7544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24.3投标人撤回投标文件的，</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自收到投标人书面撤回通知之日起五日内退还已收取的投标保证金。</w:t>
      </w:r>
    </w:p>
    <w:p w14:paraId="37059A46">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
          <w:color w:val="auto"/>
          <w:sz w:val="21"/>
          <w:szCs w:val="21"/>
          <w:highlight w:val="none"/>
        </w:rPr>
      </w:pPr>
      <w:r>
        <w:rPr>
          <w:rStyle w:val="24"/>
          <w:rFonts w:hint="eastAsia" w:cs="宋体"/>
          <w:color w:val="auto"/>
          <w:sz w:val="21"/>
          <w:szCs w:val="21"/>
          <w:highlight w:val="none"/>
        </w:rPr>
        <w:t>25.</w:t>
      </w:r>
      <w:r>
        <w:rPr>
          <w:rFonts w:hint="eastAsia"/>
          <w:b/>
          <w:color w:val="auto"/>
          <w:sz w:val="21"/>
          <w:szCs w:val="21"/>
          <w:highlight w:val="none"/>
        </w:rPr>
        <w:t>串通投标行为</w:t>
      </w:r>
    </w:p>
    <w:p w14:paraId="5AEF246B">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00" w:firstLineChars="200"/>
        <w:textAlignment w:val="auto"/>
        <w:rPr>
          <w:color w:val="auto"/>
          <w:sz w:val="21"/>
          <w:szCs w:val="21"/>
          <w:highlight w:val="none"/>
        </w:rPr>
      </w:pPr>
      <w:r>
        <w:rPr>
          <w:rFonts w:hint="eastAsia"/>
          <w:color w:val="auto"/>
          <w:spacing w:val="-6"/>
          <w:sz w:val="21"/>
          <w:szCs w:val="21"/>
          <w:highlight w:val="none"/>
        </w:rPr>
        <w:t>25.1</w:t>
      </w:r>
      <w:r>
        <w:rPr>
          <w:rFonts w:hint="eastAsia"/>
          <w:color w:val="auto"/>
          <w:sz w:val="21"/>
          <w:szCs w:val="21"/>
          <w:highlight w:val="none"/>
        </w:rPr>
        <w:t>投标人有以下情形之一的，可认定其有串通投标行为，中标无效：</w:t>
      </w:r>
    </w:p>
    <w:p w14:paraId="07A7D49C">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0"/>
        <w:textAlignment w:val="auto"/>
        <w:rPr>
          <w:bCs/>
          <w:color w:val="auto"/>
          <w:sz w:val="21"/>
          <w:szCs w:val="21"/>
          <w:highlight w:val="none"/>
        </w:rPr>
      </w:pPr>
      <w:r>
        <w:rPr>
          <w:rFonts w:hint="eastAsia"/>
          <w:bCs/>
          <w:color w:val="auto"/>
          <w:sz w:val="21"/>
          <w:szCs w:val="21"/>
          <w:highlight w:val="none"/>
        </w:rPr>
        <w:t>（1）不同投标人的投标文件由同一单位或者个人编制；</w:t>
      </w:r>
    </w:p>
    <w:p w14:paraId="2BF36FD7">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（2）不同投标人委托同一单位或者个人办理投标事宜；</w:t>
      </w:r>
    </w:p>
    <w:p w14:paraId="266EABF6">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（3）不同投标人的投标文件载明的项目管理成员或者联系人员为同一人；</w:t>
      </w:r>
    </w:p>
    <w:p w14:paraId="08B1181B">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（4）不同投标人的投标文件异常一致或者投标报价呈规律性差异；</w:t>
      </w:r>
    </w:p>
    <w:p w14:paraId="3BD58602">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textAlignment w:val="auto"/>
        <w:rPr>
          <w:bCs/>
          <w:color w:val="auto"/>
          <w:sz w:val="21"/>
          <w:szCs w:val="21"/>
          <w:highlight w:val="none"/>
        </w:rPr>
      </w:pPr>
      <w:r>
        <w:rPr>
          <w:rFonts w:hint="eastAsia"/>
          <w:bCs/>
          <w:color w:val="auto"/>
          <w:sz w:val="21"/>
          <w:szCs w:val="21"/>
          <w:highlight w:val="none"/>
        </w:rPr>
        <w:t>　　（5）不同投标人的投标文件相互混装；</w:t>
      </w:r>
    </w:p>
    <w:p w14:paraId="4E206820">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1"/>
        <w:textAlignment w:val="auto"/>
        <w:rPr>
          <w:bCs/>
          <w:color w:val="auto"/>
          <w:sz w:val="21"/>
          <w:szCs w:val="21"/>
          <w:highlight w:val="none"/>
        </w:rPr>
      </w:pPr>
      <w:r>
        <w:rPr>
          <w:rFonts w:hint="eastAsia"/>
          <w:bCs/>
          <w:color w:val="auto"/>
          <w:sz w:val="21"/>
          <w:szCs w:val="21"/>
          <w:highlight w:val="none"/>
        </w:rPr>
        <w:t>（6）不同投标人的投标保证金从同一单位或者个人的账户转出。</w:t>
      </w:r>
    </w:p>
    <w:p w14:paraId="28349A0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p>
    <w:p w14:paraId="2090438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五、开标和评标</w:t>
      </w:r>
    </w:p>
    <w:p w14:paraId="24600F3B">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26.开标</w:t>
      </w:r>
    </w:p>
    <w:p w14:paraId="453471A5">
      <w:pPr>
        <w:keepNext w:val="0"/>
        <w:keepLines w:val="0"/>
        <w:pageBreakBefore w:val="0"/>
        <w:tabs>
          <w:tab w:val="left" w:pos="570"/>
          <w:tab w:val="left" w:pos="7560"/>
          <w:tab w:val="left" w:pos="7740"/>
          <w:tab w:val="left" w:pos="828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26.1</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在本章第11.1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规定的投标截止时间(开标时间)和本章第23.1项规定的地点组织开标，并邀请所有投标人法定代表人或其授权的代理人参加。参加开标的投标人代表应签名以证明其出席。</w:t>
      </w:r>
    </w:p>
    <w:p w14:paraId="6550EDA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26.2 开标时，公布在投标截止时间前递交投标文件的投标人名称；由投标人或其推选的代表检查投标文件的密封情况，经确认无误后，由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当众拆封投标文件，宣读投标人名称、投标价格、投标文件的其他主要内容。</w:t>
      </w:r>
    </w:p>
    <w:p w14:paraId="5760701B">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26.3 开标时，如唱标人宣读的内容与投标文件不一致时，投标人代表应当当场提出。</w:t>
      </w:r>
    </w:p>
    <w:p w14:paraId="5301E1F3">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26.4投标人代表、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代表、</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代表、监督人（如果在现场）、记录人等有关人员在开标记录上签字确认</w:t>
      </w:r>
      <w:r>
        <w:rPr>
          <w:rFonts w:hint="eastAsia" w:ascii="宋体" w:hAnsi="宋体" w:cs="宋体"/>
          <w:bCs/>
          <w:color w:val="auto"/>
          <w:szCs w:val="21"/>
          <w:highlight w:val="none"/>
        </w:rPr>
        <w:t>。</w:t>
      </w:r>
    </w:p>
    <w:p w14:paraId="777768B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27.评标委员会</w:t>
      </w:r>
    </w:p>
    <w:p w14:paraId="3930438A">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27.1评标由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的代表和技术、经济等方面的专家组成。</w:t>
      </w:r>
    </w:p>
    <w:p w14:paraId="489C91F0">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27.2评标委员会成员与投标人存在利害关系的，应当回避。</w:t>
      </w:r>
    </w:p>
    <w:p w14:paraId="32A01304">
      <w:pPr>
        <w:pStyle w:val="12"/>
        <w:keepNext w:val="0"/>
        <w:keepLines w:val="0"/>
        <w:pageBreakBefore w:val="0"/>
        <w:kinsoku/>
        <w:wordWrap/>
        <w:overflowPunct/>
        <w:topLinePunct w:val="0"/>
        <w:autoSpaceDE/>
        <w:autoSpaceDN/>
        <w:bidi w:val="0"/>
        <w:adjustRightInd w:val="0"/>
        <w:snapToGrid w:val="0"/>
        <w:spacing w:line="360" w:lineRule="auto"/>
        <w:jc w:val="left"/>
        <w:textAlignment w:val="auto"/>
        <w:rPr>
          <w:rFonts w:hAnsi="宋体" w:cs="宋体"/>
          <w:b/>
          <w:bCs/>
          <w:color w:val="auto"/>
          <w:highlight w:val="none"/>
        </w:rPr>
      </w:pPr>
      <w:r>
        <w:rPr>
          <w:rFonts w:hint="eastAsia" w:hAnsi="宋体" w:cs="宋体"/>
          <w:b/>
          <w:bCs/>
          <w:color w:val="auto"/>
          <w:highlight w:val="none"/>
        </w:rPr>
        <w:t>28.评标</w:t>
      </w:r>
    </w:p>
    <w:p w14:paraId="0711649C">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28.1 评标委员会按照第四章“评标方法及标准”规定的评标方法、评审因素、标准和程序以及有关法律、法规及规章对投标文件进行评审。</w:t>
      </w:r>
    </w:p>
    <w:p w14:paraId="448DD55E">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color w:val="auto"/>
          <w:szCs w:val="21"/>
          <w:highlight w:val="none"/>
        </w:rPr>
      </w:pPr>
    </w:p>
    <w:p w14:paraId="0B2F2F6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六、中标信息公布与投标人质疑</w:t>
      </w:r>
    </w:p>
    <w:p w14:paraId="3F1D2AB1">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29.中标信息公布</w:t>
      </w:r>
    </w:p>
    <w:p w14:paraId="193C209D">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29.1根据优化营商环境要求，采购人应当自收到评标报告之日起2个工作日内，在评标报告确定的中标候选人名单中按顺序确定中标人。</w:t>
      </w:r>
    </w:p>
    <w:p w14:paraId="50233E02">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30.</w:t>
      </w:r>
      <w:r>
        <w:rPr>
          <w:rFonts w:hint="eastAsia" w:ascii="宋体" w:hAnsi="宋体" w:cs="宋体"/>
          <w:b/>
          <w:color w:val="auto"/>
          <w:szCs w:val="21"/>
          <w:highlight w:val="none"/>
        </w:rPr>
        <w:t>投标人</w:t>
      </w:r>
      <w:r>
        <w:rPr>
          <w:rFonts w:hint="eastAsia" w:ascii="宋体" w:hAnsi="宋体" w:cs="宋体"/>
          <w:b/>
          <w:bCs/>
          <w:color w:val="auto"/>
          <w:szCs w:val="21"/>
          <w:highlight w:val="none"/>
        </w:rPr>
        <w:t>质疑</w:t>
      </w:r>
    </w:p>
    <w:p w14:paraId="2C2EA3C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30.1投标人对</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活动事项有疑问的，可以向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提出询问。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将在三个工作日内作出答复。</w:t>
      </w:r>
    </w:p>
    <w:p w14:paraId="3D52E7D4">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30.2投标人若认为招标文件、</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过程和中标结果使自己的权益受到损害，应当在下列时间内以书面形式向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w:t>
      </w:r>
    </w:p>
    <w:p w14:paraId="47BB7DFF">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（1）关于招标文件的质疑</w:t>
      </w:r>
      <w:r>
        <w:rPr>
          <w:rFonts w:hint="eastAsia" w:ascii="宋体" w:hAnsi="宋体" w:cs="宋体"/>
          <w:color w:val="auto"/>
          <w:sz w:val="24"/>
          <w:highlight w:val="none"/>
        </w:rPr>
        <w:t>，</w:t>
      </w:r>
      <w:r>
        <w:rPr>
          <w:rFonts w:hint="eastAsia" w:ascii="宋体" w:hAnsi="宋体" w:cs="宋体"/>
          <w:color w:val="auto"/>
          <w:szCs w:val="21"/>
          <w:highlight w:val="none"/>
        </w:rPr>
        <w:t>应当在报名及获取文件之日</w:t>
      </w:r>
      <w:r>
        <w:rPr>
          <w:rFonts w:hint="eastAsia" w:ascii="宋体" w:hAnsi="宋体" w:cs="宋体"/>
          <w:color w:val="auto"/>
          <w:kern w:val="1"/>
          <w:szCs w:val="21"/>
          <w:highlight w:val="none"/>
        </w:rPr>
        <w:t>起</w:t>
      </w:r>
      <w:r>
        <w:rPr>
          <w:rFonts w:hint="eastAsia" w:ascii="宋体" w:hAnsi="宋体" w:cs="宋体"/>
          <w:color w:val="auto"/>
          <w:szCs w:val="21"/>
          <w:highlight w:val="none"/>
        </w:rPr>
        <w:t>七个工作日内提出。</w:t>
      </w:r>
    </w:p>
    <w:p w14:paraId="6B27B49C">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（2）关于</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过程的质疑，应在</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程序环节结束之日起七个工作日内提出。</w:t>
      </w:r>
    </w:p>
    <w:p w14:paraId="5E1570E5">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（3）关于中标结果的质疑，应在中标结果信息发布后七个工作日内提出。</w:t>
      </w:r>
    </w:p>
    <w:p w14:paraId="7884C6F0">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30.3 投标人提出质疑的，应提供质疑书原件。</w:t>
      </w:r>
      <w:r>
        <w:rPr>
          <w:rFonts w:hint="eastAsia" w:hAnsi="宋体" w:cs="宋体"/>
          <w:color w:val="auto"/>
          <w:kern w:val="2"/>
          <w:sz w:val="21"/>
          <w:highlight w:val="none"/>
          <w:lang w:eastAsia="zh-CN"/>
        </w:rPr>
        <w:t>采购人</w:t>
      </w:r>
      <w:r>
        <w:rPr>
          <w:rFonts w:hint="eastAsia" w:hAnsi="宋体" w:cs="宋体"/>
          <w:color w:val="auto"/>
          <w:kern w:val="2"/>
          <w:sz w:val="21"/>
          <w:highlight w:val="none"/>
        </w:rPr>
        <w:t>或</w:t>
      </w:r>
      <w:r>
        <w:rPr>
          <w:rFonts w:hint="eastAsia" w:hAnsi="宋体" w:cs="宋体"/>
          <w:color w:val="auto"/>
          <w:kern w:val="2"/>
          <w:sz w:val="21"/>
          <w:highlight w:val="none"/>
          <w:lang w:eastAsia="zh-CN"/>
        </w:rPr>
        <w:t>采购代理机构</w:t>
      </w:r>
      <w:r>
        <w:rPr>
          <w:rFonts w:hint="eastAsia" w:hAnsi="宋体" w:cs="宋体"/>
          <w:color w:val="auto"/>
          <w:kern w:val="2"/>
          <w:sz w:val="21"/>
          <w:highlight w:val="none"/>
        </w:rPr>
        <w:t>应当向质疑投标人签收回执。</w:t>
      </w:r>
    </w:p>
    <w:p w14:paraId="2C26EAEB">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30.4 质疑书应当包括下列内容：</w:t>
      </w:r>
    </w:p>
    <w:p w14:paraId="17FA5563">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（1）质疑投标人的名称、地址及有效联系方式；</w:t>
      </w:r>
    </w:p>
    <w:p w14:paraId="14E0AAC7">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（2）质疑事项；</w:t>
      </w:r>
    </w:p>
    <w:p w14:paraId="4DDC281B">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（3）事实依据及相关证明材料；</w:t>
      </w:r>
    </w:p>
    <w:p w14:paraId="20B2CB3E">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（4）相关请求及主张。</w:t>
      </w:r>
    </w:p>
    <w:p w14:paraId="13D561F6">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30.5 质疑书应当由投标人法定代表人或其授权的代理人签字并加盖投标人单位章，质疑书由授权的代理人签字的应附投标人法定代表人委托授权书、身份证复印件、营业执照及报名回执单。</w:t>
      </w:r>
    </w:p>
    <w:p w14:paraId="7D8085CA">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30.6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将在签收回执之日起七个工作日内作出书面答复，并以书面形式通知质疑的投标人和其他有关的投标人。</w:t>
      </w:r>
    </w:p>
    <w:p w14:paraId="0B2F255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30.7 投标人对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的答复不满意，或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未在规定的期限作出答复的，可在答复期满后十五个工作日内，按</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相关法律法规规章的规定及程序，向项目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主管部门提出投诉。</w:t>
      </w:r>
    </w:p>
    <w:p w14:paraId="6E2971F6">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color w:val="auto"/>
          <w:szCs w:val="21"/>
          <w:highlight w:val="none"/>
        </w:rPr>
      </w:pPr>
    </w:p>
    <w:p w14:paraId="2A48EF8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七、合同签订</w:t>
      </w:r>
    </w:p>
    <w:p w14:paraId="21C81653">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31.中标结果通知</w:t>
      </w:r>
    </w:p>
    <w:p w14:paraId="5B1295BC">
      <w:pPr>
        <w:keepNext w:val="0"/>
        <w:keepLines w:val="0"/>
        <w:pageBreakBefore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31.1 中标结果通知的同时，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将以书面形式向中标人发出《中标通知书》。中标通知书对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和中标人具有同等法律效力。</w:t>
      </w:r>
    </w:p>
    <w:p w14:paraId="0E98BCAE">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32.履约担保</w:t>
      </w:r>
    </w:p>
    <w:p w14:paraId="73E00AC7">
      <w:pPr>
        <w:keepNext w:val="0"/>
        <w:keepLines w:val="0"/>
        <w:pageBreakBefore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kern w:val="0"/>
          <w:szCs w:val="21"/>
          <w:highlight w:val="none"/>
        </w:rPr>
        <w:t>32.1</w:t>
      </w:r>
      <w:r>
        <w:rPr>
          <w:rFonts w:hint="eastAsia" w:ascii="宋体" w:hAnsi="宋体" w:cs="宋体"/>
          <w:color w:val="auto"/>
          <w:szCs w:val="21"/>
          <w:highlight w:val="none"/>
          <w:lang w:val="en-US" w:eastAsia="zh-CN"/>
        </w:rPr>
        <w:t>按照“</w:t>
      </w:r>
      <w:r>
        <w:rPr>
          <w:rFonts w:hint="eastAsia" w:ascii="宋体" w:hAnsi="宋体" w:cs="宋体"/>
          <w:b/>
          <w:color w:val="auto"/>
          <w:szCs w:val="21"/>
          <w:highlight w:val="none"/>
        </w:rPr>
        <w:t>招标文件前附表</w:t>
      </w:r>
      <w:r>
        <w:rPr>
          <w:rFonts w:hint="eastAsia" w:ascii="宋体" w:hAnsi="宋体" w:cs="宋体"/>
          <w:color w:val="auto"/>
          <w:szCs w:val="21"/>
          <w:highlight w:val="none"/>
          <w:lang w:val="en-US" w:eastAsia="zh-CN"/>
        </w:rPr>
        <w:t>”进行缴纳</w:t>
      </w:r>
      <w:r>
        <w:rPr>
          <w:rFonts w:hint="eastAsia" w:ascii="宋体" w:hAnsi="宋体" w:cs="宋体"/>
          <w:color w:val="auto"/>
          <w:spacing w:val="2"/>
          <w:szCs w:val="21"/>
          <w:highlight w:val="none"/>
        </w:rPr>
        <w:t>。</w:t>
      </w:r>
    </w:p>
    <w:p w14:paraId="1681D5A4">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33.签订合同</w:t>
      </w:r>
    </w:p>
    <w:p w14:paraId="08D457D6">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应自中标通知书发出之日起三十日内，按中标通知书指定的时间、地点与中标人签订</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否则按</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有效期内撤回其响应处理。</w:t>
      </w:r>
    </w:p>
    <w:p w14:paraId="2424CC18">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招标文件、中标人的投标文件均为签订合同的依据。</w:t>
      </w:r>
    </w:p>
    <w:p w14:paraId="7E2A34DF">
      <w:pPr>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33.3 中标人</w:t>
      </w:r>
      <w:r>
        <w:rPr>
          <w:rFonts w:hint="eastAsia" w:ascii="宋体" w:hAnsi="宋体" w:cs="宋体"/>
          <w:bCs/>
          <w:color w:val="auto"/>
          <w:szCs w:val="21"/>
          <w:highlight w:val="none"/>
        </w:rPr>
        <w:t>应当按照合同约定履行义务。</w:t>
      </w:r>
      <w:r>
        <w:rPr>
          <w:rFonts w:hint="eastAsia" w:ascii="宋体" w:hAnsi="宋体" w:cs="宋体"/>
          <w:color w:val="auto"/>
          <w:szCs w:val="21"/>
          <w:highlight w:val="none"/>
        </w:rPr>
        <w:t>中标人</w:t>
      </w:r>
      <w:r>
        <w:rPr>
          <w:rFonts w:hint="eastAsia" w:ascii="宋体" w:hAnsi="宋体" w:cs="宋体"/>
          <w:bCs/>
          <w:color w:val="auto"/>
          <w:szCs w:val="21"/>
          <w:highlight w:val="none"/>
        </w:rPr>
        <w:t>不得向他人分包中标项目</w:t>
      </w:r>
    </w:p>
    <w:p w14:paraId="19B51436">
      <w:pPr>
        <w:keepNext w:val="0"/>
        <w:keepLines w:val="0"/>
        <w:pageBreakBefore w:val="0"/>
        <w:kinsoku/>
        <w:wordWrap/>
        <w:overflowPunct/>
        <w:topLinePunct w:val="0"/>
        <w:autoSpaceDE/>
        <w:autoSpaceDN/>
        <w:bidi w:val="0"/>
        <w:adjustRightInd w:val="0"/>
        <w:snapToGrid w:val="0"/>
        <w:spacing w:line="360" w:lineRule="auto"/>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34.</w:t>
      </w:r>
      <w:r>
        <w:rPr>
          <w:rFonts w:hint="eastAsia" w:ascii="宋体" w:hAnsi="宋体" w:cs="宋体"/>
          <w:b/>
          <w:color w:val="auto"/>
          <w:szCs w:val="21"/>
          <w:highlight w:val="none"/>
          <w:lang w:eastAsia="zh-CN"/>
        </w:rPr>
        <w:t>招标</w:t>
      </w:r>
      <w:r>
        <w:rPr>
          <w:rFonts w:hint="eastAsia" w:ascii="宋体" w:hAnsi="宋体" w:cs="宋体"/>
          <w:b/>
          <w:color w:val="auto"/>
          <w:szCs w:val="21"/>
          <w:highlight w:val="none"/>
        </w:rPr>
        <w:t>合同履行中</w:t>
      </w:r>
      <w:r>
        <w:rPr>
          <w:rFonts w:hint="eastAsia" w:ascii="宋体" w:hAnsi="宋体" w:cs="宋体"/>
          <w:b/>
          <w:bCs/>
          <w:color w:val="auto"/>
          <w:szCs w:val="21"/>
          <w:highlight w:val="none"/>
        </w:rPr>
        <w:t>数量的变更</w:t>
      </w:r>
    </w:p>
    <w:p w14:paraId="6DA8FF7D">
      <w:pPr>
        <w:pStyle w:val="12"/>
        <w:keepNext w:val="0"/>
        <w:keepLines w:val="0"/>
        <w:pageBreakBefore w:val="0"/>
        <w:kinsoku/>
        <w:wordWrap/>
        <w:overflowPunct/>
        <w:topLinePunct w:val="0"/>
        <w:autoSpaceDE/>
        <w:autoSpaceDN/>
        <w:bidi w:val="0"/>
        <w:adjustRightInd w:val="0"/>
        <w:snapToGrid w:val="0"/>
        <w:spacing w:line="360" w:lineRule="auto"/>
        <w:ind w:firstLine="424" w:firstLineChars="200"/>
        <w:jc w:val="left"/>
        <w:textAlignment w:val="auto"/>
        <w:rPr>
          <w:rFonts w:hAnsi="宋体" w:cs="宋体"/>
          <w:color w:val="auto"/>
          <w:kern w:val="2"/>
          <w:sz w:val="21"/>
          <w:highlight w:val="none"/>
        </w:rPr>
      </w:pPr>
      <w:r>
        <w:rPr>
          <w:rFonts w:hint="eastAsia" w:hAnsi="宋体" w:cs="宋体"/>
          <w:color w:val="auto"/>
          <w:kern w:val="2"/>
          <w:sz w:val="21"/>
          <w:highlight w:val="none"/>
        </w:rPr>
        <w:t>34.1</w:t>
      </w:r>
      <w:r>
        <w:rPr>
          <w:rFonts w:hint="eastAsia" w:hAnsi="宋体" w:cs="宋体"/>
          <w:color w:val="auto"/>
          <w:kern w:val="2"/>
          <w:sz w:val="21"/>
          <w:highlight w:val="none"/>
          <w:lang w:eastAsia="zh-CN"/>
        </w:rPr>
        <w:t>招标</w:t>
      </w:r>
      <w:r>
        <w:rPr>
          <w:rFonts w:hint="eastAsia" w:hAnsi="宋体" w:cs="宋体"/>
          <w:color w:val="auto"/>
          <w:kern w:val="2"/>
          <w:sz w:val="21"/>
          <w:highlight w:val="none"/>
        </w:rPr>
        <w:t>合同履行中，</w:t>
      </w:r>
      <w:r>
        <w:rPr>
          <w:rFonts w:hint="eastAsia" w:hAnsi="宋体" w:cs="宋体"/>
          <w:color w:val="auto"/>
          <w:kern w:val="2"/>
          <w:sz w:val="21"/>
          <w:highlight w:val="none"/>
          <w:lang w:eastAsia="zh-CN"/>
        </w:rPr>
        <w:t>采购人</w:t>
      </w:r>
      <w:r>
        <w:rPr>
          <w:rFonts w:hint="eastAsia" w:hAnsi="宋体" w:cs="宋体"/>
          <w:color w:val="auto"/>
          <w:kern w:val="2"/>
          <w:sz w:val="21"/>
          <w:highlight w:val="none"/>
        </w:rPr>
        <w:t>需追加与合同标的相同的货物服务的，在不改变合同其他条款的前提下，可以与中标人协商签订补充合同，但所有补充合同的</w:t>
      </w:r>
      <w:r>
        <w:rPr>
          <w:rFonts w:hint="eastAsia" w:hAnsi="宋体" w:cs="宋体"/>
          <w:color w:val="auto"/>
          <w:kern w:val="2"/>
          <w:sz w:val="21"/>
          <w:highlight w:val="none"/>
          <w:lang w:eastAsia="zh-CN"/>
        </w:rPr>
        <w:t>招标</w:t>
      </w:r>
      <w:r>
        <w:rPr>
          <w:rFonts w:hint="eastAsia" w:hAnsi="宋体" w:cs="宋体"/>
          <w:color w:val="auto"/>
          <w:kern w:val="2"/>
          <w:sz w:val="21"/>
          <w:highlight w:val="none"/>
        </w:rPr>
        <w:t>金额不得超过原合同</w:t>
      </w:r>
      <w:r>
        <w:rPr>
          <w:rFonts w:hint="eastAsia" w:hAnsi="宋体" w:cs="宋体"/>
          <w:color w:val="auto"/>
          <w:kern w:val="2"/>
          <w:sz w:val="21"/>
          <w:highlight w:val="none"/>
          <w:lang w:eastAsia="zh-CN"/>
        </w:rPr>
        <w:t>招标</w:t>
      </w:r>
      <w:r>
        <w:rPr>
          <w:rFonts w:hint="eastAsia" w:hAnsi="宋体" w:cs="宋体"/>
          <w:color w:val="auto"/>
          <w:kern w:val="2"/>
          <w:sz w:val="21"/>
          <w:highlight w:val="none"/>
        </w:rPr>
        <w:t>金额的百分之十。</w:t>
      </w:r>
    </w:p>
    <w:p w14:paraId="6AC4B27F">
      <w:pPr>
        <w:keepNext w:val="0"/>
        <w:keepLines w:val="0"/>
        <w:pageBreakBefore w:val="0"/>
        <w:widowControl/>
        <w:tabs>
          <w:tab w:val="left" w:pos="690"/>
          <w:tab w:val="left" w:pos="7560"/>
          <w:tab w:val="left" w:pos="7740"/>
          <w:tab w:val="left" w:pos="7920"/>
        </w:tabs>
        <w:kinsoku/>
        <w:wordWrap/>
        <w:overflowPunct/>
        <w:topLinePunct w:val="0"/>
        <w:autoSpaceDE/>
        <w:autoSpaceDN/>
        <w:bidi w:val="0"/>
        <w:adjustRightInd w:val="0"/>
        <w:snapToGrid w:val="0"/>
        <w:spacing w:line="360" w:lineRule="auto"/>
        <w:jc w:val="left"/>
        <w:textAlignment w:val="auto"/>
        <w:rPr>
          <w:rFonts w:ascii="宋体" w:hAnsi="宋体" w:cs="宋体"/>
          <w:b/>
          <w:color w:val="auto"/>
          <w:highlight w:val="none"/>
        </w:rPr>
      </w:pPr>
      <w:r>
        <w:rPr>
          <w:rFonts w:hint="eastAsia" w:ascii="宋体" w:hAnsi="宋体" w:cs="宋体"/>
          <w:b/>
          <w:color w:val="auto"/>
          <w:highlight w:val="none"/>
        </w:rPr>
        <w:t>35.</w:t>
      </w:r>
      <w:r>
        <w:rPr>
          <w:rFonts w:hint="eastAsia" w:ascii="宋体" w:hAnsi="宋体" w:cs="宋体"/>
          <w:b/>
          <w:color w:val="auto"/>
          <w:highlight w:val="none"/>
          <w:lang w:eastAsia="zh-CN"/>
        </w:rPr>
        <w:t>采购代理机构</w:t>
      </w:r>
      <w:r>
        <w:rPr>
          <w:rFonts w:hint="eastAsia" w:ascii="宋体" w:hAnsi="宋体" w:cs="宋体"/>
          <w:b/>
          <w:color w:val="auto"/>
          <w:highlight w:val="none"/>
        </w:rPr>
        <w:t>服务费</w:t>
      </w:r>
    </w:p>
    <w:p w14:paraId="2E31F338">
      <w:pPr>
        <w:keepNext w:val="0"/>
        <w:keepLines w:val="0"/>
        <w:pageBreakBefore w:val="0"/>
        <w:widowControl/>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jc w:val="left"/>
        <w:textAlignment w:val="auto"/>
        <w:rPr>
          <w:rFonts w:ascii="宋体" w:hAnsi="宋体" w:cs="宋体"/>
          <w:color w:val="auto"/>
          <w:highlight w:val="none"/>
        </w:rPr>
      </w:pPr>
      <w:r>
        <w:rPr>
          <w:rFonts w:hint="eastAsia" w:ascii="宋体" w:hAnsi="宋体" w:cs="宋体"/>
          <w:color w:val="auto"/>
          <w:highlight w:val="none"/>
        </w:rPr>
        <w:t>35.1中标人应按</w:t>
      </w:r>
      <w:r>
        <w:rPr>
          <w:rFonts w:hint="eastAsia" w:ascii="宋体" w:hAnsi="宋体" w:cs="宋体"/>
          <w:b/>
          <w:color w:val="auto"/>
          <w:highlight w:val="none"/>
        </w:rPr>
        <w:t>招标文件前附表</w:t>
      </w:r>
      <w:r>
        <w:rPr>
          <w:rFonts w:hint="eastAsia" w:ascii="宋体" w:hAnsi="宋体" w:cs="宋体"/>
          <w:color w:val="auto"/>
          <w:highlight w:val="none"/>
        </w:rPr>
        <w:t>规定交纳</w:t>
      </w:r>
      <w:r>
        <w:rPr>
          <w:rFonts w:hint="eastAsia" w:ascii="宋体" w:hAnsi="宋体" w:cs="宋体"/>
          <w:color w:val="auto"/>
          <w:highlight w:val="none"/>
          <w:lang w:eastAsia="zh-CN"/>
        </w:rPr>
        <w:t>采购代理机构</w:t>
      </w:r>
      <w:r>
        <w:rPr>
          <w:rFonts w:hint="eastAsia" w:ascii="宋体" w:hAnsi="宋体" w:cs="宋体"/>
          <w:color w:val="auto"/>
          <w:highlight w:val="none"/>
        </w:rPr>
        <w:t>服务费。</w:t>
      </w:r>
    </w:p>
    <w:p w14:paraId="097EB8CA">
      <w:pPr>
        <w:keepNext w:val="0"/>
        <w:keepLines w:val="0"/>
        <w:pageBreakBefore w:val="0"/>
        <w:kinsoku/>
        <w:wordWrap w:val="0"/>
        <w:overflowPunct/>
        <w:topLinePunct w:val="0"/>
        <w:autoSpaceDE/>
        <w:autoSpaceDN/>
        <w:bidi w:val="0"/>
        <w:adjustRightInd w:val="0"/>
        <w:snapToGrid w:val="0"/>
        <w:spacing w:line="360" w:lineRule="auto"/>
        <w:textAlignment w:val="auto"/>
        <w:outlineLvl w:val="9"/>
        <w:rPr>
          <w:rFonts w:ascii="宋体" w:hAnsi="宋体" w:cs="宋体"/>
          <w:b/>
          <w:color w:val="auto"/>
          <w:szCs w:val="21"/>
          <w:highlight w:val="none"/>
        </w:rPr>
      </w:pPr>
      <w:r>
        <w:rPr>
          <w:rFonts w:hint="eastAsia" w:ascii="宋体" w:hAnsi="宋体" w:cs="宋体"/>
          <w:b/>
          <w:color w:val="auto"/>
          <w:highlight w:val="none"/>
        </w:rPr>
        <w:t>36.</w:t>
      </w:r>
      <w:r>
        <w:rPr>
          <w:rFonts w:hint="eastAsia" w:ascii="宋体" w:hAnsi="宋体" w:cs="宋体"/>
          <w:b/>
          <w:color w:val="auto"/>
          <w:szCs w:val="21"/>
          <w:highlight w:val="none"/>
        </w:rPr>
        <w:t>解释权</w:t>
      </w:r>
    </w:p>
    <w:p w14:paraId="0C623913">
      <w:pPr>
        <w:keepNext w:val="0"/>
        <w:keepLines w:val="0"/>
        <w:pageBreakBefore w:val="0"/>
        <w:widowControl/>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4" w:firstLineChars="200"/>
        <w:jc w:val="left"/>
        <w:textAlignment w:val="auto"/>
        <w:rPr>
          <w:rFonts w:ascii="宋体" w:hAnsi="宋体" w:cs="宋体"/>
          <w:b/>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是根据国家有关法律、法规以及有关规定编制，解释权属</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4DEB9250">
      <w:pPr>
        <w:pStyle w:val="12"/>
        <w:adjustRightInd w:val="0"/>
        <w:snapToGrid w:val="0"/>
        <w:spacing w:line="400" w:lineRule="exact"/>
        <w:ind w:firstLine="424" w:firstLineChars="200"/>
        <w:jc w:val="left"/>
        <w:rPr>
          <w:rFonts w:hAnsi="宋体" w:cs="宋体"/>
          <w:color w:val="auto"/>
          <w:kern w:val="2"/>
          <w:sz w:val="21"/>
          <w:highlight w:val="none"/>
        </w:rPr>
        <w:sectPr>
          <w:footerReference r:id="rId12" w:type="first"/>
          <w:footerReference r:id="rId11"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28EAECB7">
      <w:pPr>
        <w:pStyle w:val="2"/>
        <w:numPr>
          <w:ilvl w:val="0"/>
          <w:numId w:val="2"/>
        </w:numPr>
        <w:rPr>
          <w:color w:val="auto"/>
          <w:highlight w:val="none"/>
        </w:rPr>
      </w:pPr>
      <w:bookmarkStart w:id="21" w:name="_Toc17925"/>
      <w:bookmarkStart w:id="22" w:name="_Toc2519"/>
      <w:r>
        <w:rPr>
          <w:rFonts w:hint="eastAsia"/>
          <w:color w:val="auto"/>
          <w:highlight w:val="none"/>
        </w:rPr>
        <w:t>评标方法及标准</w:t>
      </w:r>
      <w:bookmarkEnd w:id="21"/>
      <w:bookmarkEnd w:id="22"/>
    </w:p>
    <w:p w14:paraId="4DAA31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bCs/>
          <w:color w:val="auto"/>
          <w:szCs w:val="21"/>
          <w:highlight w:val="none"/>
        </w:rPr>
        <w:t xml:space="preserve">一、 </w:t>
      </w:r>
      <w:r>
        <w:rPr>
          <w:rFonts w:hint="eastAsia" w:ascii="宋体" w:hAnsi="宋体" w:cs="宋体"/>
          <w:b/>
          <w:color w:val="auto"/>
          <w:szCs w:val="21"/>
          <w:highlight w:val="none"/>
        </w:rPr>
        <w:t>总则</w:t>
      </w:r>
    </w:p>
    <w:p w14:paraId="0B413B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1.评标委员会</w:t>
      </w:r>
    </w:p>
    <w:p w14:paraId="2A1BC0A9">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1.1 评标由依法组成的评标委员会负责。</w:t>
      </w:r>
    </w:p>
    <w:p w14:paraId="63F32C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b/>
          <w:color w:val="auto"/>
          <w:szCs w:val="21"/>
          <w:highlight w:val="none"/>
        </w:rPr>
        <w:t>评标方法</w:t>
      </w:r>
    </w:p>
    <w:p w14:paraId="6049A7D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2.1评标方法：最低评标价法，即投标文件满足招标文件全部实质性要求且经评审投标报价最低的投标人为中标候选人的评标方法。投标报价相同的，由评标委员会随机抽取。</w:t>
      </w:r>
    </w:p>
    <w:p w14:paraId="5627E7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二、评标程序</w:t>
      </w:r>
    </w:p>
    <w:p w14:paraId="58CFF8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3.投标文件的初步</w:t>
      </w:r>
      <w:r>
        <w:rPr>
          <w:rFonts w:hint="eastAsia" w:ascii="宋体" w:hAnsi="宋体" w:cs="宋体"/>
          <w:b/>
          <w:color w:val="auto"/>
          <w:szCs w:val="21"/>
          <w:highlight w:val="none"/>
        </w:rPr>
        <w:t>评审</w:t>
      </w:r>
    </w:p>
    <w:p w14:paraId="2236E97D">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bCs/>
          <w:color w:val="auto"/>
          <w:szCs w:val="21"/>
          <w:highlight w:val="none"/>
        </w:rPr>
        <w:t>3.1初步</w:t>
      </w:r>
      <w:r>
        <w:rPr>
          <w:rFonts w:hint="eastAsia" w:ascii="宋体" w:hAnsi="宋体" w:cs="宋体"/>
          <w:color w:val="auto"/>
          <w:szCs w:val="21"/>
          <w:highlight w:val="none"/>
        </w:rPr>
        <w:t>评审分为资格性检查和符合性检查。</w:t>
      </w:r>
    </w:p>
    <w:p w14:paraId="736ADC66">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 资格性检查。根据法律法规和招标文件的规定，对投标文件中的资格证明、投标保证金等进行审查，以确定投标人是否具备投标资格。</w:t>
      </w:r>
    </w:p>
    <w:p w14:paraId="798822FD">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 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0E960CE8">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 投标人不得通过修正或撤销不合要求的偏离从而使其投标成为实质上响应的投标。</w:t>
      </w:r>
    </w:p>
    <w:p w14:paraId="7A7A2B9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3.2 投标文件属下列情况之一的，应在资格性、符合性检查时按照无效投标处理，无效投标的情况同时在</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集中列示：</w:t>
      </w:r>
    </w:p>
    <w:p w14:paraId="2C60C03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（1）应交未交投标保证金或金额不足、投标保证金形式不符合招标文件要求的；</w:t>
      </w:r>
    </w:p>
    <w:p w14:paraId="310ED118">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（2）未按照招标文件规定要求签署、盖章的；</w:t>
      </w:r>
    </w:p>
    <w:p w14:paraId="0D4BB509">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（3）联合体没有提交联合体协议书</w:t>
      </w:r>
      <w:r>
        <w:rPr>
          <w:rFonts w:hint="eastAsia" w:ascii="宋体" w:hAnsi="宋体" w:cs="宋体"/>
          <w:bCs/>
          <w:color w:val="auto"/>
          <w:szCs w:val="21"/>
          <w:highlight w:val="none"/>
        </w:rPr>
        <w:t>，</w:t>
      </w:r>
      <w:r>
        <w:rPr>
          <w:rFonts w:hint="eastAsia" w:ascii="宋体" w:hAnsi="宋体" w:cs="宋体"/>
          <w:color w:val="auto"/>
          <w:szCs w:val="21"/>
          <w:highlight w:val="none"/>
        </w:rPr>
        <w:t>或未提交联合体各方资格证明文件</w:t>
      </w:r>
      <w:r>
        <w:rPr>
          <w:rFonts w:hint="eastAsia" w:ascii="宋体" w:hAnsi="宋体" w:cs="宋体"/>
          <w:bCs/>
          <w:color w:val="auto"/>
          <w:szCs w:val="21"/>
          <w:highlight w:val="none"/>
        </w:rPr>
        <w:t>，</w:t>
      </w:r>
      <w:r>
        <w:rPr>
          <w:rFonts w:hint="eastAsia" w:ascii="宋体" w:hAnsi="宋体" w:cs="宋体"/>
          <w:color w:val="auto"/>
          <w:szCs w:val="21"/>
          <w:highlight w:val="none"/>
        </w:rPr>
        <w:t>或联合体</w:t>
      </w:r>
      <w:r>
        <w:rPr>
          <w:rFonts w:hint="eastAsia" w:ascii="宋体" w:hAnsi="宋体" w:cs="宋体"/>
          <w:color w:val="auto"/>
          <w:kern w:val="0"/>
          <w:szCs w:val="21"/>
          <w:highlight w:val="none"/>
        </w:rPr>
        <w:t>牵头方</w:t>
      </w:r>
      <w:r>
        <w:rPr>
          <w:rFonts w:hint="eastAsia" w:ascii="宋体" w:hAnsi="宋体" w:cs="宋体"/>
          <w:color w:val="auto"/>
          <w:szCs w:val="21"/>
          <w:highlight w:val="none"/>
        </w:rPr>
        <w:t>不符合第三章“投标须知”第3.1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规定的投标人资格条件</w:t>
      </w:r>
      <w:r>
        <w:rPr>
          <w:rFonts w:hint="eastAsia" w:ascii="宋体" w:hAnsi="宋体" w:cs="宋体"/>
          <w:bCs/>
          <w:color w:val="auto"/>
          <w:szCs w:val="21"/>
          <w:highlight w:val="none"/>
        </w:rPr>
        <w:t>的；</w:t>
      </w:r>
    </w:p>
    <w:p w14:paraId="213A0705">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（4）参加活动前三年内，在经营活动中有重大违法记录的； </w:t>
      </w:r>
    </w:p>
    <w:p w14:paraId="56AF9920">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（5）不具备第三章“投标须知”第3.1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规定资格要求的；</w:t>
      </w:r>
    </w:p>
    <w:p w14:paraId="5FC23C64">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（6）不满足第三章“投标须知”第10.1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、第10.2</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szCs w:val="21"/>
          <w:highlight w:val="none"/>
        </w:rPr>
        <w:t>实质性要求的；</w:t>
      </w:r>
    </w:p>
    <w:p w14:paraId="6B3934A1">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（7）投标报价超过项目预算的；</w:t>
      </w:r>
    </w:p>
    <w:p w14:paraId="76FF4767">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（8）同一投标人提交两个以上不同的投标文件或者投标报价的；</w:t>
      </w:r>
    </w:p>
    <w:p w14:paraId="66343044">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kern w:val="0"/>
          <w:szCs w:val="21"/>
          <w:highlight w:val="none"/>
        </w:rPr>
        <w:t>投标文件载明的投标范围小于招标文件规定的招标范围的(</w:t>
      </w:r>
      <w:r>
        <w:rPr>
          <w:rFonts w:hint="eastAsia" w:ascii="宋体" w:hAnsi="宋体" w:cs="宋体"/>
          <w:color w:val="auto"/>
          <w:szCs w:val="21"/>
          <w:highlight w:val="none"/>
        </w:rPr>
        <w:t>缺漏招标文件所要求的内容)</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14:paraId="03B21A12">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（10）投标有效期不足的；</w:t>
      </w:r>
    </w:p>
    <w:p w14:paraId="5ED48E5D">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（11）不符合法律、法规和招标文件规定的。</w:t>
      </w:r>
    </w:p>
    <w:p w14:paraId="792EFC0A">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3.3 有下列情形之一时，评标委员会应予废标，并将理由通知所有投标人。废标的情形同时在</w:t>
      </w:r>
      <w:r>
        <w:rPr>
          <w:rFonts w:hint="eastAsia" w:ascii="宋体" w:hAnsi="宋体" w:cs="宋体"/>
          <w:b/>
          <w:color w:val="auto"/>
          <w:szCs w:val="21"/>
          <w:highlight w:val="none"/>
        </w:rPr>
        <w:t>招标文件前附表</w:t>
      </w:r>
      <w:r>
        <w:rPr>
          <w:rFonts w:hint="eastAsia" w:ascii="宋体" w:hAnsi="宋体" w:cs="宋体"/>
          <w:color w:val="auto"/>
          <w:szCs w:val="21"/>
          <w:highlight w:val="none"/>
        </w:rPr>
        <w:t>集中列示：</w:t>
      </w:r>
    </w:p>
    <w:p w14:paraId="29B206E3">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（1）符合专业条件的投标人或者对招标文件作实质性响应的投标人不足三家的；</w:t>
      </w:r>
    </w:p>
    <w:p w14:paraId="0B1E13D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（2）出现影响公正的违法、违规行为的；</w:t>
      </w:r>
    </w:p>
    <w:p w14:paraId="2550C0BC">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（3）投标人的报价均超过了预算的；</w:t>
      </w:r>
    </w:p>
    <w:p w14:paraId="569024F1">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（4）因重大变故，任务取消的。</w:t>
      </w:r>
    </w:p>
    <w:p w14:paraId="0D2638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4. 澄清有关问题</w:t>
      </w:r>
    </w:p>
    <w:p w14:paraId="1D39D17B">
      <w:pPr>
        <w:keepNext w:val="0"/>
        <w:keepLines w:val="0"/>
        <w:pageBreakBefore w:val="0"/>
        <w:widowControl w:val="0"/>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3C7D9844">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color w:val="auto"/>
          <w:szCs w:val="21"/>
          <w:highlight w:val="none"/>
        </w:rPr>
        <w:t>4.2投标人不得对下列内容</w:t>
      </w:r>
      <w:r>
        <w:rPr>
          <w:rFonts w:hint="eastAsia" w:ascii="宋体" w:hAnsi="宋体" w:cs="宋体"/>
          <w:bCs/>
          <w:color w:val="auto"/>
          <w:szCs w:val="21"/>
          <w:highlight w:val="none"/>
        </w:rPr>
        <w:t>其进行澄清或补充：</w:t>
      </w:r>
    </w:p>
    <w:p w14:paraId="0304C9A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（1）开标时，</w:t>
      </w:r>
      <w:r>
        <w:rPr>
          <w:rFonts w:hint="eastAsia" w:ascii="宋体" w:hAnsi="宋体" w:cs="宋体"/>
          <w:bCs/>
          <w:color w:val="auto"/>
          <w:szCs w:val="21"/>
          <w:highlight w:val="none"/>
        </w:rPr>
        <w:t>未宣读的投标价格、价格折扣。</w:t>
      </w:r>
    </w:p>
    <w:p w14:paraId="034A4EB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color w:val="auto"/>
          <w:szCs w:val="21"/>
          <w:highlight w:val="none"/>
        </w:rPr>
        <w:t>（2）不满足第三章“投标须知”第10.1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szCs w:val="21"/>
          <w:highlight w:val="none"/>
        </w:rPr>
        <w:t>实质性要求的</w:t>
      </w:r>
      <w:r>
        <w:rPr>
          <w:rFonts w:hint="eastAsia" w:ascii="宋体" w:hAnsi="宋体" w:cs="宋体"/>
          <w:bCs/>
          <w:color w:val="auto"/>
          <w:szCs w:val="21"/>
          <w:highlight w:val="none"/>
        </w:rPr>
        <w:t>投标文件内容</w:t>
      </w:r>
      <w:r>
        <w:rPr>
          <w:rFonts w:hint="eastAsia" w:ascii="宋体" w:hAnsi="宋体" w:cs="宋体"/>
          <w:color w:val="auto"/>
          <w:szCs w:val="21"/>
          <w:highlight w:val="none"/>
        </w:rPr>
        <w:t>。</w:t>
      </w:r>
    </w:p>
    <w:p w14:paraId="31C4D21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14:paraId="6D1EDC5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4.4 投标人的澄清、说明或者补正应该采用书面形式，由法定代表人或其授权的代理人签字，并按评标委员会的通知要求递交。</w:t>
      </w:r>
    </w:p>
    <w:p w14:paraId="1B1E61E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4.5 有效的书面澄清材料，是投标文件的补充材料，成为投标文件的组成部分。</w:t>
      </w:r>
    </w:p>
    <w:p w14:paraId="627E9A61">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40DC8E5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5.1评标委员会应按照招标文件中规定的评标方法</w:t>
      </w:r>
      <w:r>
        <w:rPr>
          <w:rFonts w:hint="eastAsia" w:ascii="宋体" w:hAnsi="宋体" w:cs="宋体"/>
          <w:color w:val="auto"/>
          <w:szCs w:val="21"/>
          <w:highlight w:val="none"/>
        </w:rPr>
        <w:t>，</w:t>
      </w:r>
      <w:r>
        <w:rPr>
          <w:rFonts w:hint="eastAsia" w:ascii="宋体" w:hAnsi="宋体" w:cs="宋体"/>
          <w:bCs/>
          <w:color w:val="auto"/>
          <w:szCs w:val="21"/>
          <w:highlight w:val="none"/>
        </w:rPr>
        <w:t>对</w:t>
      </w:r>
      <w:r>
        <w:rPr>
          <w:rFonts w:hint="eastAsia" w:ascii="宋体" w:hAnsi="宋体" w:cs="宋体"/>
          <w:color w:val="auto"/>
          <w:szCs w:val="21"/>
          <w:highlight w:val="none"/>
        </w:rPr>
        <w:t>资格性检查和符合性检查</w:t>
      </w:r>
      <w:r>
        <w:rPr>
          <w:rFonts w:hint="eastAsia" w:ascii="宋体" w:hAnsi="宋体" w:cs="宋体"/>
          <w:bCs/>
          <w:color w:val="auto"/>
          <w:szCs w:val="21"/>
          <w:highlight w:val="none"/>
        </w:rPr>
        <w:t>合格的投标文件进行综合比较与评价。投标文件满足招标文件全部实质性要求且投标报价最低的投标人为排名第一的中标候选人。投标报价相同的，由评标委员会随机抽取。</w:t>
      </w:r>
    </w:p>
    <w:p w14:paraId="6009A4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6.推荐中标候选人名单</w:t>
      </w:r>
    </w:p>
    <w:p w14:paraId="010794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ascii="宋体" w:hAnsi="宋体" w:cs="宋体"/>
          <w:color w:val="auto"/>
          <w:szCs w:val="21"/>
          <w:highlight w:val="none"/>
        </w:rPr>
      </w:pPr>
      <w:r>
        <w:rPr>
          <w:rFonts w:hint="eastAsia" w:ascii="宋体" w:hAnsi="宋体" w:cs="宋体"/>
          <w:color w:val="auto"/>
          <w:szCs w:val="21"/>
          <w:highlight w:val="none"/>
        </w:rPr>
        <w:t>6.1评标委员会按经评审投标报价由低到高顺序推荐中标候选人。</w:t>
      </w:r>
      <w:r>
        <w:rPr>
          <w:rFonts w:hint="eastAsia" w:ascii="宋体" w:hAnsi="宋体" w:cs="宋体"/>
          <w:bCs/>
          <w:color w:val="auto"/>
          <w:szCs w:val="21"/>
          <w:highlight w:val="none"/>
        </w:rPr>
        <w:t>投标报价相同的，由评标委员会随机抽取。</w:t>
      </w:r>
    </w:p>
    <w:p w14:paraId="10294C5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rPr>
        <w:t>6.2</w:t>
      </w:r>
      <w:r>
        <w:rPr>
          <w:rFonts w:hint="eastAsia" w:ascii="宋体" w:hAnsi="宋体" w:cs="宋体"/>
          <w:color w:val="auto"/>
          <w:szCs w:val="21"/>
          <w:highlight w:val="none"/>
        </w:rPr>
        <w:t>评标委员会认为，排在前面的中标候选人的投标报价或者某些分项报价明显不合理，有可能影响商品质量和不能诚信履约的，应当要求其在规定的期限内提供书面文件予以解释说明，并提交相关证明材料</w:t>
      </w:r>
      <w:r>
        <w:rPr>
          <w:rFonts w:hint="eastAsia" w:ascii="宋体" w:hAnsi="宋体" w:eastAsia="宋体" w:cs="宋体"/>
          <w:color w:val="auto"/>
          <w:szCs w:val="21"/>
          <w:highlight w:val="none"/>
        </w:rPr>
        <w:t>；否则，评标委员会可以取消该投标人的中标候选人资格，按顺序由排在后面的中标候选人递补，以此类推。</w:t>
      </w:r>
    </w:p>
    <w:p w14:paraId="0763322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4"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6.3中标候选人数量为1名。</w:t>
      </w:r>
    </w:p>
    <w:p w14:paraId="6F49066D">
      <w:pPr>
        <w:rPr>
          <w:b/>
          <w:bCs/>
          <w:color w:val="auto"/>
          <w:sz w:val="30"/>
          <w:szCs w:val="30"/>
          <w:highlight w:val="none"/>
        </w:rPr>
      </w:pPr>
      <w:r>
        <w:rPr>
          <w:rFonts w:hint="eastAsia"/>
          <w:b/>
          <w:bCs/>
          <w:color w:val="auto"/>
          <w:sz w:val="30"/>
          <w:szCs w:val="30"/>
          <w:highlight w:val="none"/>
        </w:rPr>
        <w:br w:type="page"/>
      </w:r>
    </w:p>
    <w:p w14:paraId="4E3EC566">
      <w:pPr>
        <w:pStyle w:val="2"/>
        <w:numPr>
          <w:ilvl w:val="0"/>
          <w:numId w:val="2"/>
        </w:numPr>
        <w:rPr>
          <w:color w:val="auto"/>
          <w:highlight w:val="none"/>
        </w:rPr>
      </w:pPr>
      <w:bookmarkStart w:id="23" w:name="_Toc20616"/>
      <w:r>
        <w:rPr>
          <w:rFonts w:hint="eastAsia"/>
          <w:color w:val="auto"/>
          <w:highlight w:val="none"/>
        </w:rPr>
        <w:t>合同条款及格式（仅供参考）</w:t>
      </w:r>
      <w:bookmarkEnd w:id="23"/>
    </w:p>
    <w:p w14:paraId="1393B281">
      <w:pPr>
        <w:keepNext w:val="0"/>
        <w:keepLines w:val="0"/>
        <w:pageBreakBefore w:val="0"/>
        <w:widowControl w:val="0"/>
        <w:kinsoku/>
        <w:wordWrap/>
        <w:overflowPunct/>
        <w:topLinePunct w:val="0"/>
        <w:autoSpaceDE/>
        <w:autoSpaceDN/>
        <w:bidi w:val="0"/>
        <w:spacing w:line="240" w:lineRule="atLeast"/>
        <w:ind w:firstLine="424" w:firstLineChars="200"/>
        <w:textAlignment w:val="auto"/>
        <w:rPr>
          <w:rFonts w:hint="eastAsia" w:ascii="宋体" w:hAnsi="宋体" w:cs="宋体"/>
          <w:b/>
          <w:bCs/>
          <w:color w:val="auto"/>
          <w:szCs w:val="21"/>
          <w:highlight w:val="none"/>
        </w:rPr>
      </w:pPr>
    </w:p>
    <w:p w14:paraId="3E501D4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甲方：   </w:t>
      </w:r>
    </w:p>
    <w:p w14:paraId="31D4B1A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乙方：                                          </w:t>
      </w:r>
    </w:p>
    <w:p w14:paraId="6DACE27E">
      <w:pPr>
        <w:pStyle w:val="8"/>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根据江西安必信招标咨询有限公司</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号招标项目的评标结果，</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单位为本项目</w:t>
      </w:r>
      <w:r>
        <w:rPr>
          <w:rFonts w:hint="eastAsia" w:ascii="宋体" w:hAnsi="宋体" w:eastAsia="宋体" w:cs="宋体"/>
          <w:color w:val="auto"/>
          <w:sz w:val="21"/>
          <w:szCs w:val="21"/>
          <w:highlight w:val="none"/>
        </w:rPr>
        <w:t>成交服务商</w:t>
      </w:r>
      <w:r>
        <w:rPr>
          <w:rFonts w:hint="eastAsia" w:ascii="宋体" w:hAnsi="宋体" w:eastAsia="宋体" w:cs="宋体"/>
          <w:color w:val="auto"/>
          <w:kern w:val="2"/>
          <w:sz w:val="21"/>
          <w:szCs w:val="21"/>
          <w:highlight w:val="none"/>
          <w:lang w:val="en-US" w:eastAsia="zh-CN" w:bidi="ar-SA"/>
        </w:rPr>
        <w:t>。按照《中华人民共和国民法典》</w:t>
      </w:r>
      <w:r>
        <w:rPr>
          <w:rFonts w:hint="eastAsia" w:ascii="宋体" w:hAnsi="宋体" w:eastAsia="宋体" w:cs="宋体"/>
          <w:color w:val="auto"/>
          <w:sz w:val="21"/>
          <w:szCs w:val="21"/>
          <w:highlight w:val="none"/>
        </w:rPr>
        <w:t>及参照《中华人民共和国政府采购法》，</w:t>
      </w:r>
      <w:r>
        <w:rPr>
          <w:rFonts w:hint="eastAsia" w:ascii="宋体" w:hAnsi="宋体" w:eastAsia="宋体" w:cs="宋体"/>
          <w:color w:val="auto"/>
          <w:kern w:val="2"/>
          <w:sz w:val="21"/>
          <w:szCs w:val="21"/>
          <w:highlight w:val="none"/>
          <w:lang w:val="en-US" w:eastAsia="zh-CN" w:bidi="ar-SA"/>
        </w:rPr>
        <w:t>，经</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（以下简称甲方）和</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（以下简称乙方）协商，达成以下合同条款：</w:t>
      </w:r>
      <w:r>
        <w:rPr>
          <w:rFonts w:hint="eastAsia" w:ascii="宋体" w:hAnsi="宋体" w:eastAsia="宋体" w:cs="宋体"/>
          <w:b/>
          <w:color w:val="auto"/>
          <w:sz w:val="21"/>
          <w:szCs w:val="21"/>
          <w:highlight w:val="none"/>
        </w:rPr>
        <w:t xml:space="preserve">                         </w:t>
      </w:r>
    </w:p>
    <w:p w14:paraId="6CF4C36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一、服务内容</w:t>
      </w:r>
    </w:p>
    <w:p w14:paraId="48463C03">
      <w:pPr>
        <w:pStyle w:val="3"/>
        <w:keepNext w:val="0"/>
        <w:keepLines w:val="0"/>
        <w:pageBreakBefore w:val="0"/>
        <w:widowControl w:val="0"/>
        <w:kinsoku/>
        <w:wordWrap/>
        <w:overflowPunct/>
        <w:topLinePunct w:val="0"/>
        <w:autoSpaceDE/>
        <w:autoSpaceDN/>
        <w:bidi w:val="0"/>
        <w:adjustRightInd/>
        <w:snapToGrid/>
        <w:spacing w:before="0" w:after="0" w:line="360" w:lineRule="auto"/>
        <w:ind w:left="424" w:leftChars="20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rPr>
        <w:t>乙方同意向甲方提供本项目要求的特定服务。</w:t>
      </w:r>
      <w:r>
        <w:rPr>
          <w:rFonts w:hint="eastAsia" w:ascii="宋体" w:hAnsi="宋体" w:eastAsia="宋体" w:cs="宋体"/>
          <w:b w:val="0"/>
          <w:bCs w:val="0"/>
          <w:color w:val="auto"/>
          <w:sz w:val="21"/>
          <w:szCs w:val="21"/>
          <w:highlight w:val="none"/>
          <w:lang w:val="en-US" w:eastAsia="zh-CN"/>
        </w:rPr>
        <w:t>包括</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2、如果乙方在工作中因自身过错而发生任何错误或遗漏，乙方应无条件更正，而不另外收费，并对因此而对甲方造成的损失承担赔偿责任，赔偿以载明的该项服务内容对应之服务费为限。若因甲方原因造成工作的延误，将由甲方承担相应的损失。</w:t>
      </w:r>
    </w:p>
    <w:p w14:paraId="2EE8934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3、乙方的服务承诺：</w:t>
      </w:r>
    </w:p>
    <w:p w14:paraId="215A6B2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乙方接到甲方通过电话、信函传真、电子邮件、网上提交等方式提出所列服务的请求后，在两个有效工作日内给予响应并提供服务。</w:t>
      </w:r>
    </w:p>
    <w:p w14:paraId="03439AD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2）乙方提供给甲方的服务，必须按照合同规定的标准进行。</w:t>
      </w:r>
    </w:p>
    <w:p w14:paraId="7004712F">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二、服务费的支付</w:t>
      </w:r>
    </w:p>
    <w:p w14:paraId="04599F59">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9D5F3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2、本费用结构仅限合同列明的工作。如果甲方要求扩大项目范围，或因甲方改变已经议定的项目内容导致乙方需重复进行项目步骤，乙方将需要重新评估上述费用结构。</w:t>
      </w:r>
    </w:p>
    <w:p w14:paraId="3E8C6F3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r>
        <w:rPr>
          <w:rFonts w:hint="eastAsia" w:ascii="宋体" w:hAnsi="宋体" w:cs="宋体"/>
          <w:color w:val="auto"/>
          <w:sz w:val="21"/>
          <w:szCs w:val="21"/>
          <w:highlight w:val="none"/>
          <w:lang w:eastAsia="zh-CN"/>
        </w:rPr>
        <w:t>工程验收合格后支付已完成工程量的80%，结算审计完成后一次性付清。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应提供符合税务部门规定的税务发票结算）。</w:t>
      </w:r>
    </w:p>
    <w:p w14:paraId="7C8A10D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4、乙方将自行承担项目实施范围内合理的差旅费用。</w:t>
      </w:r>
    </w:p>
    <w:p w14:paraId="61BE4D6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5、乙方同意免除项目杂费。</w:t>
      </w:r>
    </w:p>
    <w:p w14:paraId="042E187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三、服务的变更</w:t>
      </w:r>
    </w:p>
    <w:p w14:paraId="65AA104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甲方可以提前3个工作日以书面形式要求变更或增加所提供的服务。该等变更最终应由双方互相商定认可，其中包括与该等变更有关的任何费用调整。</w:t>
      </w:r>
    </w:p>
    <w:p w14:paraId="27A3821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工作要求</w:t>
      </w:r>
    </w:p>
    <w:p w14:paraId="3215F7F1">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施工要求</w:t>
      </w:r>
    </w:p>
    <w:p w14:paraId="3C2D8E3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（1）针对本项目要求制定施工进度计划及保证措施交由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审核同意签字后方可实行。</w:t>
      </w:r>
    </w:p>
    <w:p w14:paraId="1ACCF9D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（2）施工前邀请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进行书面安全技术交底，双方签字后实行。</w:t>
      </w:r>
    </w:p>
    <w:p w14:paraId="78BA138F">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（3）在施工区域四周设置安全围护，夜间设置红色照明警示灯。</w:t>
      </w:r>
    </w:p>
    <w:p w14:paraId="5046467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（4）施工时需配备专人指挥，实行定机、定人、定岗管理职责。</w:t>
      </w:r>
    </w:p>
    <w:p w14:paraId="5CF0FEFE">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（5）保证施工过程中的安全，任何人员事故由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自行负责并承担费用；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定期对其员工进行安全、文明教育并留有记录备查。</w:t>
      </w:r>
    </w:p>
    <w:p w14:paraId="20ADF43D">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2、运输要求</w:t>
      </w:r>
    </w:p>
    <w:p w14:paraId="6D56DFB1">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土石方外运至甲方指定</w:t>
      </w:r>
      <w:r>
        <w:rPr>
          <w:rFonts w:hint="eastAsia" w:ascii="宋体" w:hAnsi="宋体" w:eastAsia="宋体" w:cs="宋体"/>
          <w:color w:val="auto"/>
          <w:sz w:val="21"/>
          <w:szCs w:val="21"/>
          <w:highlight w:val="none"/>
          <w:lang w:val="en-US" w:eastAsia="zh-CN"/>
        </w:rPr>
        <w:t>弃土场（</w:t>
      </w:r>
      <w:r>
        <w:rPr>
          <w:rFonts w:hint="eastAsia" w:ascii="宋体" w:hAnsi="宋体" w:eastAsia="宋体" w:cs="宋体"/>
          <w:color w:val="auto"/>
          <w:sz w:val="21"/>
          <w:szCs w:val="21"/>
          <w:highlight w:val="none"/>
          <w:lang w:eastAsia="zh-CN"/>
        </w:rPr>
        <w:t>土方清运地点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进行填方，并做好弃土场土方平整，运距约为</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公里。</w:t>
      </w:r>
      <w:r>
        <w:rPr>
          <w:rFonts w:hint="eastAsia" w:ascii="宋体" w:hAnsi="宋体" w:eastAsia="宋体" w:cs="宋体"/>
          <w:color w:val="auto"/>
          <w:sz w:val="21"/>
          <w:szCs w:val="21"/>
          <w:highlight w:val="none"/>
          <w:lang w:val="en-US" w:eastAsia="zh-CN"/>
        </w:rPr>
        <w:t>除经甲方同意外，严禁随意弃土（或弃土至指定区域以外）发现一起罚款2000元，从履约保证金中扣除</w:t>
      </w:r>
      <w:r>
        <w:rPr>
          <w:rFonts w:hint="eastAsia" w:ascii="宋体" w:hAnsi="宋体" w:eastAsia="宋体" w:cs="宋体"/>
          <w:color w:val="auto"/>
          <w:sz w:val="21"/>
          <w:szCs w:val="21"/>
          <w:highlight w:val="none"/>
          <w:lang w:eastAsia="zh-CN"/>
        </w:rPr>
        <w:t>。</w:t>
      </w:r>
    </w:p>
    <w:p w14:paraId="67B3FE3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需针对本项目要求制定土方运输路线规划。</w:t>
      </w:r>
    </w:p>
    <w:p w14:paraId="53EBC913">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按标准设置车辆冲洗平台、出入口硬化等工作。</w:t>
      </w:r>
    </w:p>
    <w:p w14:paraId="35622553">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所投入本项目的所有运输车辆、驾驶人证照必须齐全，并购买保险（保险单第三责任险不少于100万元），不合格（包括无证和证件过期）的，不能承担运输任务。</w:t>
      </w:r>
    </w:p>
    <w:p w14:paraId="14F9B364">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）运输土方的车辆驶离挖方地块时，必须冲洗车体，保持车辆干净整洁；运输路线上做到随时清扫散落的土方及泥浆。</w:t>
      </w:r>
      <w:r>
        <w:rPr>
          <w:rFonts w:hint="eastAsia" w:ascii="宋体" w:hAnsi="宋体" w:eastAsia="宋体" w:cs="宋体"/>
          <w:color w:val="auto"/>
          <w:sz w:val="21"/>
          <w:szCs w:val="21"/>
          <w:highlight w:val="none"/>
          <w:lang w:val="en-US" w:eastAsia="zh-CN"/>
        </w:rPr>
        <w:t>运输车辆污染路面应及时冲洗，发现不及时冲洗情况，罚款2000元，从履约保证金中扣除</w:t>
      </w:r>
      <w:r>
        <w:rPr>
          <w:rFonts w:hint="eastAsia" w:ascii="宋体" w:hAnsi="宋体" w:eastAsia="宋体" w:cs="宋体"/>
          <w:color w:val="auto"/>
          <w:sz w:val="21"/>
          <w:szCs w:val="21"/>
          <w:highlight w:val="none"/>
          <w:lang w:eastAsia="zh-CN"/>
        </w:rPr>
        <w:t>。</w:t>
      </w:r>
    </w:p>
    <w:p w14:paraId="7D9C630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）运输土方的车辆必须按指定的运输路线行驶。运输过程中，应限量装载，车厢上部必须覆盖蓬布或采取其他有效措施，防止渣上沿途泄漏、飞扬。</w:t>
      </w:r>
    </w:p>
    <w:p w14:paraId="166B1244">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必须按照公安、路政、公路、城管等有关管理部门的要求合法合规运输，如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违反规定运输，所有责任由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p>
    <w:p w14:paraId="22EEF0D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）运输土方应实行定人、定车、定岗管理职责。</w:t>
      </w:r>
    </w:p>
    <w:p w14:paraId="38048A5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保证运输车辆在运输过程中的安全，任何车辆、人员事故有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自行负责并承担费用；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定期对其员工进行安全、文明教育并留有记录备查。</w:t>
      </w:r>
    </w:p>
    <w:p w14:paraId="1DFC311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对本项目的施工</w:t>
      </w:r>
      <w:r>
        <w:rPr>
          <w:rFonts w:hint="eastAsia" w:ascii="宋体" w:hAnsi="宋体" w:eastAsia="宋体" w:cs="宋体"/>
          <w:color w:val="auto"/>
          <w:sz w:val="21"/>
          <w:szCs w:val="21"/>
          <w:highlight w:val="none"/>
        </w:rPr>
        <w:t>须符合吉水县相关政策要求，如造成的相关法律责任及民事纠纷均由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4C275FCB">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3、其他要求</w:t>
      </w:r>
    </w:p>
    <w:p w14:paraId="68CCE674">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（1）本项目为交钥匙工程，所投报价为包干价，投标报价包含土石方填方平整费、人工费、运输费、机械费、文明施工费、税费及完成本项目所需的一切费用。</w:t>
      </w:r>
    </w:p>
    <w:p w14:paraId="5137C8EF">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）乙方须加强施工现场的组织管理，所有派驻的施工人员必须严格遵守安全文明施工的有关规章制度和采购人规定的相关制度。</w:t>
      </w:r>
    </w:p>
    <w:p w14:paraId="6A0AC390">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lang w:eastAsia="zh-CN"/>
        </w:rPr>
        <w:t>应严格依据设计图标高按施工规范施工，且应按</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的要求有序施工，如没有达到验收要求，</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将协同有关部门对乙方进行经济、行政处罚（列入黑名单）。</w:t>
      </w:r>
    </w:p>
    <w:p w14:paraId="77A2F58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为保证本项目的顺利实施，根据建设部、市住建局关于项目负责人和主要施工管理人员到位到岗的相关规定，本工程采购人要求拟派建造师和施工员、质量员、安全生产考核合格人员证书）不得有在建工程，不得出现一人多岗现象，以上人员若出现上述现象，按照“赣建字【2016】6号《关于我省房屋建筑和市政基础设施工程招标投标活动中有关问题处理意见的通知》”的规定执行。</w:t>
      </w:r>
    </w:p>
    <w:p w14:paraId="14906FC9">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商务要求</w:t>
      </w:r>
    </w:p>
    <w:p w14:paraId="7516B2DD">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1、服务地点：</w:t>
      </w:r>
      <w:r>
        <w:rPr>
          <w:rFonts w:hint="eastAsia" w:ascii="宋体" w:hAnsi="宋体" w:cs="宋体"/>
          <w:color w:val="auto"/>
          <w:sz w:val="21"/>
          <w:szCs w:val="21"/>
          <w:highlight w:val="none"/>
          <w:lang w:eastAsia="zh-CN"/>
        </w:rPr>
        <w:t>吉水城西工业园区</w:t>
      </w:r>
      <w:r>
        <w:rPr>
          <w:rFonts w:hint="eastAsia" w:ascii="宋体" w:hAnsi="宋体" w:eastAsia="宋体" w:cs="宋体"/>
          <w:color w:val="auto"/>
          <w:sz w:val="21"/>
          <w:szCs w:val="21"/>
          <w:highlight w:val="none"/>
        </w:rPr>
        <w:t>。</w:t>
      </w:r>
    </w:p>
    <w:p w14:paraId="2408544F">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2、服务期限：</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之前完工。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收到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进场通知后3天内进场施工，工期每延迟一天罚1万元。</w:t>
      </w:r>
    </w:p>
    <w:p w14:paraId="000FA45F">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合同签订后，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应依法履行合同，并按施工图完成相关任务，项目</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lang w:eastAsia="zh-CN"/>
        </w:rPr>
        <w:t>价不得高于中标价（合同价），超过部分由中标单位自行承担。施工单位材料和设备进场前需征求</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同意。</w:t>
      </w:r>
    </w:p>
    <w:p w14:paraId="33234E70">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服务过程中符合国家现行技术标准和规范的要求。</w:t>
      </w:r>
    </w:p>
    <w:p w14:paraId="189FB56C">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、争议处理</w:t>
      </w:r>
    </w:p>
    <w:p w14:paraId="0322500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甲乙双方如对协议条款规定的理解有异议，或者对与协议有关的事项发生争议，双方应本着友好合作的精神进行协商。协商不能解决的，</w:t>
      </w:r>
      <w:r>
        <w:rPr>
          <w:rFonts w:hint="eastAsia" w:ascii="宋体" w:hAnsi="宋体" w:eastAsia="宋体" w:cs="宋体"/>
          <w:color w:val="FF0000"/>
          <w:sz w:val="21"/>
          <w:szCs w:val="21"/>
          <w:highlight w:val="none"/>
        </w:rPr>
        <w:t>任何一方可向</w:t>
      </w:r>
      <w:r>
        <w:rPr>
          <w:rFonts w:hint="eastAsia" w:ascii="宋体" w:hAnsi="宋体" w:cs="宋体"/>
          <w:color w:val="FF0000"/>
          <w:sz w:val="21"/>
          <w:szCs w:val="21"/>
          <w:highlight w:val="none"/>
          <w:lang w:val="en-US" w:eastAsia="zh-CN"/>
        </w:rPr>
        <w:t>项目</w:t>
      </w:r>
      <w:r>
        <w:rPr>
          <w:rFonts w:hint="eastAsia" w:ascii="宋体" w:hAnsi="宋体" w:cs="宋体"/>
          <w:color w:val="FF0000"/>
          <w:sz w:val="21"/>
          <w:szCs w:val="21"/>
          <w:highlight w:val="none"/>
          <w:lang w:eastAsia="zh-CN"/>
        </w:rPr>
        <w:t>所在地</w:t>
      </w:r>
      <w:r>
        <w:rPr>
          <w:rFonts w:hint="eastAsia" w:ascii="宋体" w:hAnsi="宋体" w:cs="宋体"/>
          <w:color w:val="FF0000"/>
          <w:sz w:val="21"/>
          <w:szCs w:val="21"/>
          <w:highlight w:val="none"/>
          <w:lang w:val="en-US" w:eastAsia="zh-CN"/>
        </w:rPr>
        <w:t>人民法院提起诉讼</w:t>
      </w:r>
      <w:r>
        <w:rPr>
          <w:rFonts w:hint="eastAsia" w:ascii="宋体" w:hAnsi="宋体" w:cs="宋体"/>
          <w:color w:val="auto"/>
          <w:sz w:val="21"/>
          <w:szCs w:val="21"/>
          <w:highlight w:val="none"/>
          <w:lang w:val="en-US" w:eastAsia="zh-CN"/>
        </w:rPr>
        <w:t>。</w:t>
      </w:r>
    </w:p>
    <w:p w14:paraId="14E0E1E6">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w:t>
      </w:r>
    </w:p>
    <w:p w14:paraId="33CB77D2">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1、本合同中所用的标题仅为方便而设，而不影响对本合同的解释。</w:t>
      </w:r>
    </w:p>
    <w:p w14:paraId="41D499A8">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2、本合同未尽事宜，由甲乙双方协商后产生书面文件，作为本合同的补充条款，具备与本合同同等法律效力。</w:t>
      </w:r>
    </w:p>
    <w:p w14:paraId="300EFE32">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3、对本合同内容的任何修改和变更需要用书面形式，并经双方确认后生效。</w:t>
      </w:r>
    </w:p>
    <w:p w14:paraId="44D77876">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、下列文件均为本合同的组成部分：</w:t>
      </w:r>
    </w:p>
    <w:p w14:paraId="3D447F4D">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号招标文件、答疑及补充通知；</w:t>
      </w:r>
    </w:p>
    <w:p w14:paraId="0ED9AD9D">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（2）乙方的投标文件；</w:t>
      </w:r>
    </w:p>
    <w:p w14:paraId="0D08EB0E">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（3）本合同执行中甲乙双方共同签署的补充与修正文件。</w:t>
      </w:r>
    </w:p>
    <w:p w14:paraId="5DAA1EC5">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lang w:val="en-US" w:eastAsia="zh-CN"/>
        </w:rPr>
        <w:t>四</w:t>
      </w:r>
      <w:r>
        <w:rPr>
          <w:rFonts w:hint="eastAsia" w:ascii="宋体" w:hAnsi="宋体" w:eastAsia="宋体" w:cs="宋体"/>
          <w:color w:val="auto"/>
          <w:sz w:val="21"/>
          <w:szCs w:val="21"/>
          <w:highlight w:val="none"/>
        </w:rPr>
        <w:t>份，甲、乙方双方各执</w:t>
      </w:r>
      <w:r>
        <w:rPr>
          <w:rFonts w:hint="eastAsia" w:ascii="宋体" w:hAnsi="宋体" w:eastAsia="宋体" w:cs="宋体"/>
          <w:color w:val="auto"/>
          <w:sz w:val="21"/>
          <w:szCs w:val="21"/>
          <w:highlight w:val="none"/>
          <w:u w:val="single"/>
          <w:lang w:val="en-US" w:eastAsia="zh-CN"/>
        </w:rPr>
        <w:t>二</w:t>
      </w:r>
      <w:r>
        <w:rPr>
          <w:rFonts w:hint="eastAsia" w:ascii="宋体" w:hAnsi="宋体" w:eastAsia="宋体" w:cs="宋体"/>
          <w:color w:val="auto"/>
          <w:sz w:val="21"/>
          <w:szCs w:val="21"/>
          <w:highlight w:val="none"/>
        </w:rPr>
        <w:t>份，具有同等法律效力。本合同自双方法定代表人（或授权代表）签字并盖章之日起生效。</w:t>
      </w:r>
    </w:p>
    <w:p w14:paraId="3187A824">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p>
    <w:p w14:paraId="5D9F62F0">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p>
    <w:p w14:paraId="3C5B0CD5">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   （盖章）       乙方（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    （盖章）</w:t>
      </w:r>
    </w:p>
    <w:p w14:paraId="325112A1">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法定代表人： </w:t>
      </w:r>
    </w:p>
    <w:p w14:paraId="340B9442">
      <w:pPr>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                     委托代理人：</w:t>
      </w:r>
    </w:p>
    <w:p w14:paraId="7DF1248A">
      <w:pPr>
        <w:keepNext w:val="0"/>
        <w:keepLines w:val="0"/>
        <w:pageBreakBefore w:val="0"/>
        <w:widowControl w:val="0"/>
        <w:kinsoku/>
        <w:wordWrap/>
        <w:overflowPunct/>
        <w:topLinePunct w:val="0"/>
        <w:autoSpaceDE/>
        <w:autoSpaceDN/>
        <w:bidi w:val="0"/>
        <w:adjustRightInd/>
        <w:snapToGrid/>
        <w:spacing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日期：   年     月    日</w:t>
      </w:r>
    </w:p>
    <w:p w14:paraId="21E9ED26">
      <w:pPr>
        <w:pageBreakBefore w:val="0"/>
        <w:kinsoku/>
        <w:overflowPunct/>
        <w:topLinePunct w:val="0"/>
        <w:bidi w:val="0"/>
        <w:adjustRightInd w:val="0"/>
        <w:snapToGrid/>
        <w:ind w:firstLine="564" w:firstLineChars="200"/>
        <w:textAlignment w:val="auto"/>
        <w:rPr>
          <w:rFonts w:hint="eastAsia" w:ascii="宋体" w:hAnsi="宋体" w:eastAsia="宋体" w:cs="宋体"/>
          <w:b/>
          <w:bCs/>
          <w:color w:val="auto"/>
          <w:kern w:val="0"/>
          <w:sz w:val="28"/>
          <w:szCs w:val="28"/>
          <w:highlight w:val="none"/>
          <w:lang w:val="zh-TW" w:eastAsia="zh-TW"/>
        </w:rPr>
      </w:pPr>
      <w:r>
        <w:rPr>
          <w:rFonts w:hint="eastAsia" w:ascii="宋体" w:hAnsi="宋体" w:eastAsia="宋体" w:cs="宋体"/>
          <w:b/>
          <w:bCs/>
          <w:color w:val="auto"/>
          <w:kern w:val="0"/>
          <w:sz w:val="28"/>
          <w:szCs w:val="28"/>
          <w:highlight w:val="none"/>
          <w:lang w:val="zh-TW" w:eastAsia="zh-TW"/>
        </w:rPr>
        <w:br w:type="page"/>
      </w:r>
    </w:p>
    <w:p w14:paraId="5FFA9C9E">
      <w:pPr>
        <w:pStyle w:val="2"/>
        <w:numPr>
          <w:ilvl w:val="0"/>
          <w:numId w:val="2"/>
        </w:numPr>
        <w:rPr>
          <w:color w:val="auto"/>
          <w:highlight w:val="none"/>
        </w:rPr>
      </w:pPr>
      <w:bookmarkStart w:id="24" w:name="_Toc11559"/>
      <w:bookmarkStart w:id="25" w:name="_Toc8891"/>
      <w:bookmarkStart w:id="26" w:name="_Toc19000881"/>
      <w:r>
        <w:rPr>
          <w:rFonts w:hint="eastAsia"/>
          <w:color w:val="auto"/>
          <w:highlight w:val="none"/>
        </w:rPr>
        <w:t>投标文件的组成</w:t>
      </w:r>
      <w:bookmarkEnd w:id="24"/>
      <w:bookmarkEnd w:id="25"/>
    </w:p>
    <w:p w14:paraId="2A7DF76B">
      <w:pPr>
        <w:adjustRightInd w:val="0"/>
        <w:snapToGrid w:val="0"/>
        <w:spacing w:line="400" w:lineRule="atLeast"/>
        <w:ind w:left="-89" w:leftChars="-42"/>
        <w:jc w:val="center"/>
        <w:rPr>
          <w:b/>
          <w:bCs/>
          <w:color w:val="auto"/>
          <w:sz w:val="32"/>
          <w:highlight w:val="none"/>
        </w:rPr>
      </w:pPr>
    </w:p>
    <w:p w14:paraId="41324BF7">
      <w:pPr>
        <w:adjustRightInd w:val="0"/>
        <w:snapToGrid w:val="0"/>
        <w:ind w:left="-89" w:leftChars="-42"/>
        <w:outlineLvl w:val="0"/>
        <w:rPr>
          <w:rFonts w:ascii="宋体"/>
          <w:color w:val="auto"/>
          <w:highlight w:val="none"/>
        </w:rPr>
      </w:pPr>
    </w:p>
    <w:p w14:paraId="17A23C23">
      <w:pPr>
        <w:adjustRightInd w:val="0"/>
        <w:snapToGrid w:val="0"/>
        <w:spacing w:beforeLines="50" w:line="360" w:lineRule="auto"/>
        <w:ind w:firstLine="424" w:firstLineChars="200"/>
        <w:outlineLvl w:val="9"/>
        <w:rPr>
          <w:rFonts w:ascii="宋体"/>
          <w:color w:val="auto"/>
          <w:szCs w:val="21"/>
          <w:highlight w:val="none"/>
        </w:rPr>
      </w:pPr>
      <w:bookmarkStart w:id="27" w:name="_Toc23973"/>
      <w:bookmarkStart w:id="28" w:name="_Toc19476"/>
      <w:bookmarkStart w:id="29" w:name="_Toc21553"/>
      <w:bookmarkStart w:id="30" w:name="_Toc25551"/>
      <w:r>
        <w:rPr>
          <w:rFonts w:hint="eastAsia" w:ascii="宋体" w:hAnsi="宋体"/>
          <w:color w:val="auto"/>
          <w:szCs w:val="21"/>
          <w:highlight w:val="none"/>
        </w:rPr>
        <w:t>一、投标</w:t>
      </w:r>
      <w:bookmarkEnd w:id="27"/>
      <w:bookmarkEnd w:id="28"/>
      <w:r>
        <w:rPr>
          <w:rFonts w:hint="eastAsia" w:ascii="宋体" w:hAnsi="宋体"/>
          <w:color w:val="auto"/>
          <w:szCs w:val="21"/>
          <w:highlight w:val="none"/>
        </w:rPr>
        <w:t>书</w:t>
      </w:r>
      <w:bookmarkEnd w:id="29"/>
      <w:bookmarkEnd w:id="30"/>
    </w:p>
    <w:p w14:paraId="1930D325">
      <w:pPr>
        <w:adjustRightInd w:val="0"/>
        <w:snapToGrid w:val="0"/>
        <w:spacing w:beforeLines="50" w:line="360" w:lineRule="auto"/>
        <w:ind w:firstLine="424" w:firstLineChars="200"/>
        <w:outlineLvl w:val="9"/>
        <w:rPr>
          <w:rFonts w:ascii="宋体"/>
          <w:color w:val="auto"/>
          <w:szCs w:val="21"/>
          <w:highlight w:val="none"/>
        </w:rPr>
      </w:pPr>
      <w:bookmarkStart w:id="31" w:name="_Toc6468"/>
      <w:bookmarkStart w:id="32" w:name="_Toc22311"/>
      <w:bookmarkStart w:id="33" w:name="_Toc20898"/>
      <w:bookmarkStart w:id="34" w:name="_Toc28399"/>
      <w:r>
        <w:rPr>
          <w:rFonts w:hint="eastAsia" w:ascii="宋体" w:hAnsi="宋体"/>
          <w:color w:val="auto"/>
          <w:szCs w:val="21"/>
          <w:highlight w:val="none"/>
        </w:rPr>
        <w:t>二、</w:t>
      </w:r>
      <w:bookmarkEnd w:id="31"/>
      <w:bookmarkEnd w:id="32"/>
      <w:bookmarkEnd w:id="33"/>
      <w:bookmarkEnd w:id="34"/>
      <w:r>
        <w:rPr>
          <w:rFonts w:hint="eastAsia" w:ascii="宋体" w:hAnsi="宋体"/>
          <w:color w:val="auto"/>
          <w:szCs w:val="21"/>
          <w:highlight w:val="none"/>
        </w:rPr>
        <w:t>开标一览表</w:t>
      </w:r>
    </w:p>
    <w:p w14:paraId="51C7C793">
      <w:pPr>
        <w:adjustRightInd w:val="0"/>
        <w:snapToGrid w:val="0"/>
        <w:spacing w:beforeLines="50" w:line="360" w:lineRule="auto"/>
        <w:ind w:firstLine="424" w:firstLineChars="200"/>
        <w:outlineLvl w:val="9"/>
        <w:rPr>
          <w:rFonts w:hint="eastAsia" w:ascii="宋体" w:hAnsi="宋体" w:eastAsia="宋体"/>
          <w:color w:val="auto"/>
          <w:szCs w:val="21"/>
          <w:highlight w:val="none"/>
          <w:lang w:eastAsia="zh-CN"/>
        </w:rPr>
      </w:pPr>
      <w:bookmarkStart w:id="35" w:name="_Toc21943"/>
      <w:bookmarkStart w:id="36" w:name="_Toc5589"/>
      <w:bookmarkStart w:id="37" w:name="_Toc13803"/>
      <w:bookmarkStart w:id="38" w:name="_Toc4123"/>
      <w:r>
        <w:rPr>
          <w:rFonts w:hint="eastAsia" w:ascii="宋体" w:hAnsi="宋体"/>
          <w:color w:val="auto"/>
          <w:szCs w:val="21"/>
          <w:highlight w:val="none"/>
        </w:rPr>
        <w:t>三、</w:t>
      </w:r>
      <w:bookmarkEnd w:id="35"/>
      <w:bookmarkEnd w:id="36"/>
      <w:bookmarkEnd w:id="37"/>
      <w:bookmarkEnd w:id="38"/>
      <w:r>
        <w:rPr>
          <w:rFonts w:hint="eastAsia" w:ascii="宋体" w:hAnsi="宋体"/>
          <w:color w:val="auto"/>
          <w:szCs w:val="21"/>
          <w:highlight w:val="none"/>
          <w:lang w:eastAsia="zh-CN"/>
        </w:rPr>
        <w:t>技术规格 (工程需求) 响应/偏离表</w:t>
      </w:r>
    </w:p>
    <w:p w14:paraId="58A2C807">
      <w:pPr>
        <w:adjustRightInd w:val="0"/>
        <w:snapToGrid w:val="0"/>
        <w:spacing w:beforeLines="50" w:line="360" w:lineRule="auto"/>
        <w:ind w:firstLine="424" w:firstLineChars="200"/>
        <w:outlineLvl w:val="9"/>
        <w:rPr>
          <w:rFonts w:ascii="黑体" w:hAnsi="华文中宋" w:eastAsia="黑体"/>
          <w:color w:val="auto"/>
          <w:sz w:val="28"/>
          <w:szCs w:val="28"/>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、商务条款响应</w:t>
      </w:r>
      <w:r>
        <w:rPr>
          <w:rFonts w:ascii="宋体" w:hAnsi="宋体"/>
          <w:color w:val="auto"/>
          <w:szCs w:val="21"/>
          <w:highlight w:val="none"/>
        </w:rPr>
        <w:t>/</w:t>
      </w:r>
      <w:r>
        <w:rPr>
          <w:rFonts w:hint="eastAsia" w:ascii="宋体" w:hAnsi="宋体"/>
          <w:color w:val="auto"/>
          <w:szCs w:val="21"/>
          <w:highlight w:val="none"/>
        </w:rPr>
        <w:t>偏离表</w:t>
      </w:r>
    </w:p>
    <w:p w14:paraId="346F3254">
      <w:pPr>
        <w:adjustRightInd w:val="0"/>
        <w:snapToGrid w:val="0"/>
        <w:spacing w:beforeLines="50" w:line="360" w:lineRule="auto"/>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、法人代表授权书</w:t>
      </w:r>
    </w:p>
    <w:p w14:paraId="794CF030">
      <w:pPr>
        <w:adjustRightInd w:val="0"/>
        <w:snapToGrid w:val="0"/>
        <w:spacing w:beforeLines="50" w:line="360" w:lineRule="auto"/>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w:t>
      </w:r>
      <w:r>
        <w:rPr>
          <w:rFonts w:hint="eastAsia" w:ascii="宋体" w:hAnsi="宋体"/>
          <w:color w:val="auto"/>
          <w:szCs w:val="21"/>
          <w:highlight w:val="none"/>
          <w:lang w:eastAsia="zh-CN"/>
        </w:rPr>
        <w:t>投标人的资格声明</w:t>
      </w:r>
    </w:p>
    <w:p w14:paraId="209D8623">
      <w:pPr>
        <w:adjustRightInd w:val="0"/>
        <w:snapToGrid w:val="0"/>
        <w:spacing w:beforeLines="50" w:line="360" w:lineRule="auto"/>
        <w:ind w:firstLine="424" w:firstLineChars="200"/>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七</w:t>
      </w:r>
      <w:r>
        <w:rPr>
          <w:rFonts w:hint="eastAsia" w:ascii="宋体" w:hAnsi="宋体"/>
          <w:color w:val="auto"/>
          <w:szCs w:val="21"/>
          <w:highlight w:val="none"/>
        </w:rPr>
        <w:t>、资格证明文件</w:t>
      </w:r>
    </w:p>
    <w:p w14:paraId="398E8B86">
      <w:pPr>
        <w:adjustRightInd w:val="0"/>
        <w:snapToGrid w:val="0"/>
        <w:spacing w:beforeLines="50" w:line="360" w:lineRule="auto"/>
        <w:ind w:firstLine="424" w:firstLineChars="200"/>
        <w:outlineLvl w:val="9"/>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、投标货物技术文件</w:t>
      </w:r>
    </w:p>
    <w:p w14:paraId="2EEF8C2F">
      <w:pPr>
        <w:adjustRightInd w:val="0"/>
        <w:snapToGrid w:val="0"/>
        <w:spacing w:beforeLines="50" w:line="360" w:lineRule="auto"/>
        <w:ind w:firstLine="424" w:firstLineChars="200"/>
        <w:outlineLvl w:val="9"/>
        <w:rPr>
          <w:rFonts w:ascii="宋体" w:hAnsi="宋体"/>
          <w:color w:val="auto"/>
          <w:szCs w:val="21"/>
          <w:highlight w:val="none"/>
        </w:rPr>
      </w:pPr>
    </w:p>
    <w:p w14:paraId="18ACB6E2">
      <w:pPr>
        <w:adjustRightInd w:val="0"/>
        <w:snapToGrid w:val="0"/>
        <w:spacing w:beforeLines="50" w:line="360" w:lineRule="auto"/>
        <w:outlineLvl w:val="9"/>
        <w:rPr>
          <w:rFonts w:ascii="宋体"/>
          <w:color w:val="auto"/>
          <w:szCs w:val="21"/>
          <w:highlight w:val="none"/>
        </w:rPr>
      </w:pPr>
    </w:p>
    <w:p w14:paraId="1054D228">
      <w:pPr>
        <w:adjustRightInd w:val="0"/>
        <w:snapToGrid w:val="0"/>
        <w:spacing w:line="360" w:lineRule="auto"/>
        <w:outlineLvl w:val="9"/>
        <w:rPr>
          <w:rFonts w:ascii="??_GB2312" w:hAnsi="宋体" w:eastAsia="Times New Roman"/>
          <w:color w:val="auto"/>
          <w:sz w:val="28"/>
          <w:szCs w:val="28"/>
          <w:highlight w:val="none"/>
        </w:rPr>
      </w:pPr>
    </w:p>
    <w:p w14:paraId="17A4B235">
      <w:pPr>
        <w:adjustRightInd w:val="0"/>
        <w:snapToGrid w:val="0"/>
        <w:spacing w:beforeLines="50" w:line="360" w:lineRule="auto"/>
        <w:outlineLvl w:val="9"/>
        <w:rPr>
          <w:rFonts w:ascii="??_GB2312" w:hAnsi="宋体" w:eastAsia="Times New Roman"/>
          <w:color w:val="auto"/>
          <w:szCs w:val="21"/>
          <w:highlight w:val="none"/>
        </w:rPr>
        <w:sectPr>
          <w:headerReference r:id="rId13" w:type="default"/>
          <w:footerReference r:id="rId14"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6B621E55">
      <w:pPr>
        <w:jc w:val="center"/>
        <w:outlineLvl w:val="9"/>
        <w:rPr>
          <w:rFonts w:ascii="黑体" w:eastAsia="黑体"/>
          <w:color w:val="auto"/>
          <w:sz w:val="32"/>
          <w:szCs w:val="32"/>
          <w:highlight w:val="none"/>
        </w:rPr>
      </w:pPr>
    </w:p>
    <w:p w14:paraId="38CE310F">
      <w:pPr>
        <w:jc w:val="center"/>
        <w:outlineLvl w:val="9"/>
        <w:rPr>
          <w:rFonts w:ascii="黑体" w:eastAsia="黑体"/>
          <w:color w:val="auto"/>
          <w:sz w:val="32"/>
          <w:szCs w:val="32"/>
          <w:highlight w:val="none"/>
        </w:rPr>
      </w:pPr>
    </w:p>
    <w:p w14:paraId="0A995D3D">
      <w:pPr>
        <w:jc w:val="center"/>
        <w:outlineLvl w:val="9"/>
        <w:rPr>
          <w:rFonts w:ascii="黑体" w:eastAsia="黑体"/>
          <w:color w:val="auto"/>
          <w:sz w:val="32"/>
          <w:szCs w:val="32"/>
          <w:highlight w:val="none"/>
        </w:rPr>
      </w:pPr>
    </w:p>
    <w:p w14:paraId="68306EE2">
      <w:pPr>
        <w:pStyle w:val="12"/>
        <w:adjustRightInd w:val="0"/>
        <w:snapToGrid w:val="0"/>
        <w:spacing w:line="400" w:lineRule="atLeast"/>
        <w:jc w:val="center"/>
        <w:outlineLvl w:val="9"/>
        <w:rPr>
          <w:rFonts w:ascii="华文中宋" w:hAnsi="华文中宋" w:eastAsia="华文中宋"/>
          <w:b/>
          <w:color w:val="auto"/>
          <w:sz w:val="84"/>
          <w:szCs w:val="84"/>
          <w:highlight w:val="none"/>
        </w:rPr>
      </w:pPr>
    </w:p>
    <w:p w14:paraId="2E14121F">
      <w:pPr>
        <w:adjustRightInd w:val="0"/>
        <w:snapToGrid w:val="0"/>
        <w:spacing w:line="400" w:lineRule="atLeast"/>
        <w:jc w:val="center"/>
        <w:outlineLvl w:val="9"/>
        <w:rPr>
          <w:rFonts w:ascii="华文中宋" w:hAnsi="华文中宋" w:eastAsia="华文中宋"/>
          <w:b/>
          <w:color w:val="auto"/>
          <w:sz w:val="84"/>
          <w:szCs w:val="84"/>
          <w:highlight w:val="none"/>
        </w:rPr>
      </w:pPr>
      <w:r>
        <w:rPr>
          <w:rFonts w:hint="eastAsia" w:ascii="华文中宋" w:hAnsi="华文中宋" w:eastAsia="华文中宋"/>
          <w:b/>
          <w:color w:val="auto"/>
          <w:sz w:val="84"/>
          <w:szCs w:val="84"/>
          <w:highlight w:val="none"/>
        </w:rPr>
        <w:t>投标文件</w:t>
      </w:r>
    </w:p>
    <w:p w14:paraId="3094F2C7">
      <w:pPr>
        <w:outlineLvl w:val="9"/>
        <w:rPr>
          <w:rFonts w:ascii="宋体"/>
          <w:color w:val="auto"/>
          <w:sz w:val="28"/>
          <w:szCs w:val="28"/>
          <w:highlight w:val="none"/>
        </w:rPr>
      </w:pPr>
    </w:p>
    <w:p w14:paraId="038CC6A7">
      <w:pPr>
        <w:outlineLvl w:val="9"/>
        <w:rPr>
          <w:rFonts w:ascii="黑体" w:hAnsi="宋体" w:eastAsia="黑体"/>
          <w:color w:val="auto"/>
          <w:sz w:val="32"/>
          <w:szCs w:val="32"/>
          <w:highlight w:val="none"/>
        </w:rPr>
      </w:pPr>
    </w:p>
    <w:p w14:paraId="604E4440">
      <w:pPr>
        <w:outlineLvl w:val="9"/>
        <w:rPr>
          <w:rFonts w:ascii="黑体" w:hAnsi="宋体" w:eastAsia="黑体"/>
          <w:color w:val="auto"/>
          <w:sz w:val="30"/>
          <w:szCs w:val="30"/>
          <w:highlight w:val="none"/>
        </w:rPr>
      </w:pPr>
    </w:p>
    <w:p w14:paraId="53764A99">
      <w:pPr>
        <w:spacing w:beforeLines="100" w:line="480" w:lineRule="auto"/>
        <w:outlineLvl w:val="9"/>
        <w:rPr>
          <w:rFonts w:ascii="宋体"/>
          <w:b/>
          <w:color w:val="auto"/>
          <w:sz w:val="32"/>
          <w:szCs w:val="32"/>
          <w:highlight w:val="none"/>
        </w:rPr>
      </w:pPr>
      <w:r>
        <w:rPr>
          <w:rFonts w:hint="eastAsia" w:ascii="宋体" w:hAnsi="宋体"/>
          <w:b/>
          <w:color w:val="auto"/>
          <w:sz w:val="32"/>
          <w:szCs w:val="32"/>
          <w:highlight w:val="none"/>
        </w:rPr>
        <w:t xml:space="preserve">          项 目 名 称：</w:t>
      </w:r>
      <w:r>
        <w:rPr>
          <w:rFonts w:ascii="宋体" w:hAnsi="宋体"/>
          <w:b/>
          <w:color w:val="auto"/>
          <w:sz w:val="32"/>
          <w:szCs w:val="32"/>
          <w:highlight w:val="none"/>
        </w:rPr>
        <w:t>___________________</w:t>
      </w:r>
    </w:p>
    <w:p w14:paraId="7F6E1C41">
      <w:pPr>
        <w:pStyle w:val="12"/>
        <w:spacing w:beforeLines="100" w:line="480" w:lineRule="auto"/>
        <w:ind w:firstLine="1610" w:firstLineChars="500"/>
        <w:outlineLvl w:val="9"/>
        <w:rPr>
          <w:rFonts w:hAnsi="宋体"/>
          <w:b/>
          <w:color w:val="auto"/>
          <w:sz w:val="32"/>
          <w:szCs w:val="32"/>
          <w:highlight w:val="none"/>
        </w:rPr>
      </w:pPr>
      <w:r>
        <w:rPr>
          <w:rFonts w:hint="eastAsia" w:hAnsi="宋体"/>
          <w:b/>
          <w:color w:val="auto"/>
          <w:sz w:val="32"/>
          <w:szCs w:val="32"/>
          <w:highlight w:val="none"/>
        </w:rPr>
        <w:t>招标 编 号：</w:t>
      </w:r>
      <w:r>
        <w:rPr>
          <w:rFonts w:hAnsi="宋体"/>
          <w:b/>
          <w:color w:val="auto"/>
          <w:sz w:val="32"/>
          <w:szCs w:val="32"/>
          <w:highlight w:val="none"/>
        </w:rPr>
        <w:t>___________________</w:t>
      </w:r>
    </w:p>
    <w:p w14:paraId="296A11F9">
      <w:pPr>
        <w:spacing w:beforeLines="100" w:line="480" w:lineRule="auto"/>
        <w:outlineLvl w:val="9"/>
        <w:rPr>
          <w:rFonts w:asci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lang w:eastAsia="zh-CN"/>
        </w:rPr>
        <w:t>采购人</w:t>
      </w:r>
      <w:r>
        <w:rPr>
          <w:rFonts w:hint="eastAsia" w:ascii="宋体" w:hAnsi="宋体"/>
          <w:b/>
          <w:color w:val="auto"/>
          <w:sz w:val="32"/>
          <w:szCs w:val="32"/>
          <w:highlight w:val="none"/>
        </w:rPr>
        <w:t>名称：</w:t>
      </w:r>
      <w:r>
        <w:rPr>
          <w:rFonts w:ascii="宋体" w:hAnsi="宋体"/>
          <w:b/>
          <w:color w:val="auto"/>
          <w:sz w:val="32"/>
          <w:szCs w:val="32"/>
          <w:highlight w:val="none"/>
        </w:rPr>
        <w:t>___________________</w:t>
      </w:r>
    </w:p>
    <w:p w14:paraId="2131800D">
      <w:pPr>
        <w:adjustRightInd w:val="0"/>
        <w:snapToGrid w:val="0"/>
        <w:jc w:val="center"/>
        <w:outlineLvl w:val="9"/>
        <w:rPr>
          <w:rFonts w:ascii="宋体"/>
          <w:b/>
          <w:color w:val="auto"/>
          <w:sz w:val="32"/>
          <w:szCs w:val="32"/>
          <w:highlight w:val="none"/>
        </w:rPr>
      </w:pPr>
    </w:p>
    <w:p w14:paraId="1FC23DA1">
      <w:pPr>
        <w:adjustRightInd w:val="0"/>
        <w:snapToGrid w:val="0"/>
        <w:ind w:firstLine="1610" w:firstLineChars="500"/>
        <w:outlineLvl w:val="9"/>
        <w:rPr>
          <w:rFonts w:ascii="黑体" w:hAnsi="宋体" w:eastAsia="黑体"/>
          <w:color w:val="auto"/>
          <w:sz w:val="30"/>
          <w:szCs w:val="30"/>
          <w:highlight w:val="none"/>
        </w:rPr>
      </w:pPr>
      <w:bookmarkStart w:id="39" w:name="_Toc21143"/>
      <w:bookmarkStart w:id="40" w:name="_Toc28690"/>
      <w:bookmarkStart w:id="41" w:name="_Toc19273"/>
      <w:bookmarkStart w:id="42" w:name="_Toc16328"/>
      <w:bookmarkStart w:id="43" w:name="_Toc27071"/>
      <w:r>
        <w:rPr>
          <w:rFonts w:hint="eastAsia" w:ascii="宋体" w:hAnsi="宋体"/>
          <w:b/>
          <w:color w:val="auto"/>
          <w:sz w:val="32"/>
          <w:szCs w:val="32"/>
          <w:highlight w:val="none"/>
          <w:lang w:eastAsia="zh-CN"/>
        </w:rPr>
        <w:t>采购代理机构</w:t>
      </w:r>
      <w:r>
        <w:rPr>
          <w:rFonts w:hint="eastAsia" w:ascii="宋体" w:hAnsi="宋体"/>
          <w:b/>
          <w:color w:val="auto"/>
          <w:sz w:val="32"/>
          <w:szCs w:val="32"/>
          <w:highlight w:val="none"/>
        </w:rPr>
        <w:t>名称：</w:t>
      </w:r>
      <w:r>
        <w:rPr>
          <w:rFonts w:ascii="宋体" w:hAnsi="宋体"/>
          <w:b/>
          <w:color w:val="auto"/>
          <w:sz w:val="32"/>
          <w:szCs w:val="32"/>
          <w:highlight w:val="none"/>
        </w:rPr>
        <w:t>___________________</w:t>
      </w:r>
      <w:bookmarkEnd w:id="39"/>
      <w:bookmarkEnd w:id="40"/>
      <w:bookmarkEnd w:id="41"/>
      <w:bookmarkEnd w:id="42"/>
      <w:bookmarkEnd w:id="43"/>
    </w:p>
    <w:p w14:paraId="5A25E583">
      <w:pPr>
        <w:adjustRightInd w:val="0"/>
        <w:snapToGrid w:val="0"/>
        <w:ind w:firstLine="1510" w:firstLineChars="500"/>
        <w:jc w:val="center"/>
        <w:outlineLvl w:val="9"/>
        <w:rPr>
          <w:rFonts w:ascii="黑体" w:hAnsi="宋体" w:eastAsia="黑体"/>
          <w:color w:val="auto"/>
          <w:sz w:val="30"/>
          <w:szCs w:val="30"/>
          <w:highlight w:val="none"/>
        </w:rPr>
      </w:pPr>
    </w:p>
    <w:p w14:paraId="02A65331">
      <w:pPr>
        <w:adjustRightInd w:val="0"/>
        <w:snapToGrid w:val="0"/>
        <w:ind w:firstLine="1510" w:firstLineChars="500"/>
        <w:outlineLvl w:val="9"/>
        <w:rPr>
          <w:rFonts w:ascii="黑体" w:hAnsi="宋体" w:eastAsia="黑体"/>
          <w:color w:val="auto"/>
          <w:sz w:val="30"/>
          <w:szCs w:val="30"/>
          <w:highlight w:val="none"/>
        </w:rPr>
      </w:pPr>
    </w:p>
    <w:p w14:paraId="73E59BCC">
      <w:pPr>
        <w:adjustRightInd w:val="0"/>
        <w:snapToGrid w:val="0"/>
        <w:outlineLvl w:val="9"/>
        <w:rPr>
          <w:rFonts w:ascii="黑体" w:hAnsi="宋体" w:eastAsia="黑体"/>
          <w:color w:val="auto"/>
          <w:sz w:val="30"/>
          <w:szCs w:val="30"/>
          <w:highlight w:val="none"/>
        </w:rPr>
      </w:pPr>
    </w:p>
    <w:p w14:paraId="75780E17">
      <w:pPr>
        <w:adjustRightInd w:val="0"/>
        <w:snapToGrid w:val="0"/>
        <w:ind w:firstLine="1127" w:firstLineChars="350"/>
        <w:outlineLvl w:val="9"/>
        <w:rPr>
          <w:rFonts w:ascii="黑体" w:hAnsi="宋体" w:eastAsia="黑体"/>
          <w:color w:val="auto"/>
          <w:sz w:val="32"/>
          <w:szCs w:val="32"/>
          <w:highlight w:val="none"/>
        </w:rPr>
      </w:pPr>
    </w:p>
    <w:p w14:paraId="76DD756B">
      <w:pPr>
        <w:adjustRightInd w:val="0"/>
        <w:snapToGrid w:val="0"/>
        <w:ind w:firstLine="1771" w:firstLineChars="550"/>
        <w:outlineLvl w:val="9"/>
        <w:rPr>
          <w:rFonts w:ascii="黑体" w:hAnsi="宋体" w:eastAsia="黑体"/>
          <w:color w:val="auto"/>
          <w:sz w:val="32"/>
          <w:szCs w:val="32"/>
          <w:highlight w:val="none"/>
          <w:u w:val="single"/>
        </w:rPr>
      </w:pPr>
      <w:bookmarkStart w:id="44" w:name="_Toc9692"/>
      <w:bookmarkStart w:id="45" w:name="_Toc14608"/>
      <w:bookmarkStart w:id="46" w:name="_Toc21858"/>
      <w:bookmarkStart w:id="47" w:name="_Toc14755"/>
      <w:bookmarkStart w:id="48" w:name="_Toc21990"/>
      <w:r>
        <w:rPr>
          <w:rFonts w:hint="eastAsia" w:ascii="黑体" w:hAnsi="宋体" w:eastAsia="黑体"/>
          <w:color w:val="auto"/>
          <w:sz w:val="32"/>
          <w:szCs w:val="32"/>
          <w:highlight w:val="none"/>
        </w:rPr>
        <w:t>投标人：</w:t>
      </w:r>
      <w:bookmarkEnd w:id="44"/>
      <w:bookmarkEnd w:id="45"/>
      <w:bookmarkEnd w:id="46"/>
      <w:bookmarkEnd w:id="47"/>
      <w:bookmarkEnd w:id="48"/>
    </w:p>
    <w:p w14:paraId="013F8746">
      <w:pPr>
        <w:adjustRightInd w:val="0"/>
        <w:snapToGrid w:val="0"/>
        <w:ind w:firstLine="4830" w:firstLineChars="1500"/>
        <w:outlineLvl w:val="9"/>
        <w:rPr>
          <w:rFonts w:ascii="黑体" w:hAnsi="宋体" w:eastAsia="黑体"/>
          <w:color w:val="auto"/>
          <w:sz w:val="32"/>
          <w:szCs w:val="32"/>
          <w:highlight w:val="none"/>
        </w:rPr>
      </w:pPr>
    </w:p>
    <w:p w14:paraId="23C02983">
      <w:pPr>
        <w:adjustRightInd w:val="0"/>
        <w:snapToGrid w:val="0"/>
        <w:ind w:firstLine="4830" w:firstLineChars="1500"/>
        <w:outlineLvl w:val="9"/>
        <w:rPr>
          <w:rFonts w:ascii="黑体" w:hAnsi="宋体" w:eastAsia="黑体"/>
          <w:color w:val="auto"/>
          <w:sz w:val="32"/>
          <w:szCs w:val="32"/>
          <w:highlight w:val="none"/>
        </w:rPr>
      </w:pPr>
    </w:p>
    <w:p w14:paraId="14AE823A">
      <w:pPr>
        <w:adjustRightInd w:val="0"/>
        <w:snapToGrid w:val="0"/>
        <w:ind w:firstLine="4830" w:firstLineChars="1500"/>
        <w:outlineLvl w:val="9"/>
        <w:rPr>
          <w:rFonts w:ascii="黑体" w:hAnsi="宋体" w:eastAsia="黑体"/>
          <w:color w:val="auto"/>
          <w:sz w:val="32"/>
          <w:szCs w:val="32"/>
          <w:highlight w:val="none"/>
        </w:rPr>
      </w:pPr>
      <w:bookmarkStart w:id="49" w:name="_Toc17432"/>
      <w:bookmarkStart w:id="50" w:name="_Toc19520"/>
      <w:bookmarkStart w:id="51" w:name="_Toc18899"/>
      <w:bookmarkStart w:id="52" w:name="_Toc124"/>
      <w:bookmarkStart w:id="53" w:name="_Toc27501"/>
      <w:r>
        <w:rPr>
          <w:rFonts w:hint="eastAsia" w:ascii="黑体" w:hAnsi="宋体" w:eastAsia="黑体"/>
          <w:color w:val="auto"/>
          <w:sz w:val="32"/>
          <w:szCs w:val="32"/>
          <w:highlight w:val="none"/>
        </w:rPr>
        <w:t>年 月 日</w:t>
      </w:r>
      <w:bookmarkEnd w:id="49"/>
      <w:bookmarkEnd w:id="50"/>
      <w:bookmarkEnd w:id="51"/>
      <w:bookmarkEnd w:id="52"/>
      <w:bookmarkEnd w:id="53"/>
    </w:p>
    <w:p w14:paraId="7F96E870">
      <w:pPr>
        <w:adjustRightInd w:val="0"/>
        <w:snapToGrid w:val="0"/>
        <w:ind w:firstLine="1610" w:firstLineChars="500"/>
        <w:outlineLvl w:val="9"/>
        <w:rPr>
          <w:rFonts w:ascii="黑体" w:hAnsi="宋体" w:eastAsia="黑体"/>
          <w:color w:val="auto"/>
          <w:sz w:val="32"/>
          <w:szCs w:val="32"/>
          <w:highlight w:val="none"/>
        </w:rPr>
      </w:pPr>
    </w:p>
    <w:p w14:paraId="6D2D02EC">
      <w:pPr>
        <w:adjustRightInd w:val="0"/>
        <w:snapToGrid w:val="0"/>
        <w:spacing w:line="360" w:lineRule="auto"/>
        <w:jc w:val="center"/>
        <w:outlineLvl w:val="9"/>
        <w:rPr>
          <w:rFonts w:ascii="黑体" w:hAnsi="宋体" w:eastAsia="黑体"/>
          <w:b/>
          <w:color w:val="auto"/>
          <w:sz w:val="28"/>
          <w:szCs w:val="28"/>
          <w:highlight w:val="none"/>
        </w:rPr>
      </w:pPr>
      <w:bookmarkStart w:id="54" w:name="_Toc11640"/>
      <w:bookmarkStart w:id="55" w:name="_Toc2230"/>
      <w:bookmarkStart w:id="56" w:name="_Toc8986"/>
      <w:bookmarkStart w:id="57" w:name="_Toc26617"/>
      <w:bookmarkStart w:id="58" w:name="_Toc17929"/>
      <w:r>
        <w:rPr>
          <w:rFonts w:hint="eastAsia" w:ascii="黑体" w:hAnsi="宋体" w:eastAsia="黑体"/>
          <w:b/>
          <w:color w:val="auto"/>
          <w:sz w:val="28"/>
          <w:szCs w:val="28"/>
          <w:highlight w:val="none"/>
        </w:rPr>
        <w:t>一、投标</w:t>
      </w:r>
      <w:bookmarkEnd w:id="54"/>
      <w:bookmarkEnd w:id="55"/>
      <w:bookmarkEnd w:id="56"/>
      <w:r>
        <w:rPr>
          <w:rFonts w:hint="eastAsia" w:ascii="黑体" w:hAnsi="宋体" w:eastAsia="黑体"/>
          <w:b/>
          <w:color w:val="auto"/>
          <w:sz w:val="28"/>
          <w:szCs w:val="28"/>
          <w:highlight w:val="none"/>
        </w:rPr>
        <w:t>书</w:t>
      </w:r>
      <w:bookmarkEnd w:id="57"/>
      <w:bookmarkEnd w:id="58"/>
    </w:p>
    <w:p w14:paraId="3DD5F131">
      <w:pPr>
        <w:tabs>
          <w:tab w:val="left" w:pos="1440"/>
        </w:tabs>
        <w:adjustRightInd w:val="0"/>
        <w:snapToGrid w:val="0"/>
        <w:spacing w:line="360" w:lineRule="auto"/>
        <w:outlineLvl w:val="9"/>
        <w:rPr>
          <w:rFonts w:ascii="黑体" w:hAnsi="宋体" w:eastAsia="黑体"/>
          <w:b/>
          <w:color w:val="auto"/>
          <w:szCs w:val="21"/>
          <w:highlight w:val="none"/>
        </w:rPr>
      </w:pPr>
      <w:r>
        <w:rPr>
          <w:rFonts w:ascii="黑体" w:hAnsi="宋体" w:eastAsia="黑体"/>
          <w:b/>
          <w:color w:val="auto"/>
          <w:sz w:val="32"/>
          <w:szCs w:val="32"/>
          <w:highlight w:val="none"/>
        </w:rPr>
        <w:tab/>
      </w:r>
    </w:p>
    <w:p w14:paraId="52096D97">
      <w:pPr>
        <w:adjustRightInd w:val="0"/>
        <w:snapToGrid w:val="0"/>
        <w:spacing w:line="360" w:lineRule="auto"/>
        <w:ind w:firstLine="424" w:firstLineChars="200"/>
        <w:outlineLvl w:val="9"/>
        <w:rPr>
          <w:rFonts w:ascii="宋体"/>
          <w:color w:val="auto"/>
          <w:szCs w:val="21"/>
          <w:highlight w:val="none"/>
        </w:rPr>
      </w:pPr>
      <w:r>
        <w:rPr>
          <w:rFonts w:hint="eastAsia" w:ascii="宋体" w:hAnsi="宋体"/>
          <w:color w:val="auto"/>
          <w:szCs w:val="21"/>
          <w:highlight w:val="none"/>
        </w:rPr>
        <w:t>致：江西安必信招标咨询有限公司</w:t>
      </w:r>
    </w:p>
    <w:p w14:paraId="168ACB11">
      <w:pPr>
        <w:spacing w:line="360" w:lineRule="auto"/>
        <w:ind w:firstLine="424" w:firstLineChars="200"/>
        <w:outlineLvl w:val="9"/>
        <w:rPr>
          <w:color w:val="auto"/>
          <w:szCs w:val="21"/>
          <w:highlight w:val="none"/>
        </w:rPr>
      </w:pPr>
      <w:r>
        <w:rPr>
          <w:rFonts w:hint="eastAsia"/>
          <w:color w:val="auto"/>
          <w:szCs w:val="21"/>
          <w:highlight w:val="none"/>
        </w:rPr>
        <w:t>1、根据已收到贵方的项目编号为</w:t>
      </w:r>
      <w:r>
        <w:rPr>
          <w:rFonts w:hint="eastAsia"/>
          <w:color w:val="auto"/>
          <w:szCs w:val="21"/>
          <w:highlight w:val="none"/>
          <w:u w:val="single"/>
          <w:lang w:val="en-US" w:eastAsia="zh-CN"/>
        </w:rPr>
        <w:t xml:space="preserve">       </w:t>
      </w:r>
      <w:r>
        <w:rPr>
          <w:rFonts w:hint="eastAsia"/>
          <w:color w:val="auto"/>
          <w:szCs w:val="21"/>
          <w:highlight w:val="none"/>
        </w:rPr>
        <w:t>的</w:t>
      </w:r>
      <w:r>
        <w:rPr>
          <w:rFonts w:hint="eastAsia"/>
          <w:color w:val="auto"/>
          <w:szCs w:val="21"/>
          <w:highlight w:val="none"/>
          <w:u w:val="single"/>
          <w:lang w:val="en-US" w:eastAsia="zh-CN"/>
        </w:rPr>
        <w:t xml:space="preserve">             </w:t>
      </w:r>
      <w:r>
        <w:rPr>
          <w:rFonts w:hint="eastAsia"/>
          <w:color w:val="auto"/>
          <w:szCs w:val="21"/>
          <w:highlight w:val="none"/>
        </w:rPr>
        <w:t>项目的招标文件，我单位经研究招标文件的各项要求后，我方愿以投标书中《开标一览表》中填写的投标报价并按招标文件要求承接上述项目。</w:t>
      </w:r>
    </w:p>
    <w:p w14:paraId="4DC77C44">
      <w:pPr>
        <w:spacing w:line="360" w:lineRule="auto"/>
        <w:ind w:firstLine="424" w:firstLineChars="200"/>
        <w:outlineLvl w:val="9"/>
        <w:rPr>
          <w:color w:val="auto"/>
          <w:szCs w:val="21"/>
          <w:highlight w:val="none"/>
        </w:rPr>
      </w:pPr>
      <w:r>
        <w:rPr>
          <w:color w:val="auto"/>
          <w:szCs w:val="21"/>
          <w:highlight w:val="none"/>
        </w:rPr>
        <w:t>2</w:t>
      </w:r>
      <w:r>
        <w:rPr>
          <w:rFonts w:hint="eastAsia"/>
          <w:color w:val="auto"/>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相关部门作出的行政处罚。</w:t>
      </w:r>
    </w:p>
    <w:p w14:paraId="4826A0E8">
      <w:pPr>
        <w:spacing w:line="360" w:lineRule="auto"/>
        <w:ind w:firstLine="424" w:firstLineChars="200"/>
        <w:outlineLvl w:val="9"/>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我方同意所递交的投标文件在投标有效期内有效，在此期间内我方将受此约束。</w:t>
      </w:r>
    </w:p>
    <w:p w14:paraId="0632F67B">
      <w:pPr>
        <w:spacing w:line="360" w:lineRule="auto"/>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、除非另外达成协议并生效，贵方的招标文件、中标通知书和投标文件将构成约束我们双方的合同。</w:t>
      </w:r>
    </w:p>
    <w:p w14:paraId="77108E4D">
      <w:pPr>
        <w:spacing w:line="360" w:lineRule="auto"/>
        <w:ind w:firstLine="424" w:firstLineChars="200"/>
        <w:outlineLvl w:val="9"/>
        <w:rPr>
          <w:rFonts w:ascii="宋体" w:hAnsi="宋体"/>
          <w:color w:val="auto"/>
          <w:szCs w:val="21"/>
          <w:highlight w:val="none"/>
        </w:rPr>
      </w:pPr>
    </w:p>
    <w:p w14:paraId="1253562F">
      <w:pPr>
        <w:adjustRightInd w:val="0"/>
        <w:snapToGrid w:val="0"/>
        <w:spacing w:line="360" w:lineRule="auto"/>
        <w:ind w:firstLine="424" w:firstLineChars="200"/>
        <w:outlineLvl w:val="9"/>
        <w:rPr>
          <w:rFonts w:ascii="宋体" w:hAnsi="宋体"/>
          <w:color w:val="auto"/>
          <w:szCs w:val="21"/>
          <w:highlight w:val="none"/>
        </w:rPr>
      </w:pPr>
    </w:p>
    <w:p w14:paraId="4F995C53">
      <w:pPr>
        <w:adjustRightInd w:val="0"/>
        <w:snapToGrid w:val="0"/>
        <w:spacing w:line="360" w:lineRule="auto"/>
        <w:ind w:firstLine="424" w:firstLineChars="200"/>
        <w:outlineLvl w:val="9"/>
        <w:rPr>
          <w:rFonts w:ascii="宋体" w:hAnsi="宋体"/>
          <w:color w:val="auto"/>
          <w:szCs w:val="21"/>
          <w:highlight w:val="none"/>
        </w:rPr>
      </w:pPr>
    </w:p>
    <w:p w14:paraId="17D94833">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地址：邮编：</w:t>
      </w:r>
    </w:p>
    <w:p w14:paraId="4CD0DF39">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电话：传真：</w:t>
      </w:r>
    </w:p>
    <w:p w14:paraId="464619C7">
      <w:pPr>
        <w:pStyle w:val="12"/>
        <w:adjustRightInd w:val="0"/>
        <w:snapToGrid w:val="0"/>
        <w:spacing w:line="360" w:lineRule="auto"/>
        <w:outlineLvl w:val="9"/>
        <w:rPr>
          <w:rFonts w:hAnsi="宋体"/>
          <w:color w:val="auto"/>
          <w:highlight w:val="none"/>
        </w:rPr>
      </w:pPr>
      <w:r>
        <w:rPr>
          <w:rFonts w:hint="eastAsia" w:hAnsi="宋体"/>
          <w:color w:val="auto"/>
          <w:highlight w:val="none"/>
        </w:rPr>
        <w:t>投标人名称</w:t>
      </w:r>
      <w:r>
        <w:rPr>
          <w:rFonts w:hAnsi="宋体"/>
          <w:color w:val="auto"/>
          <w:highlight w:val="none"/>
        </w:rPr>
        <w:t>(</w:t>
      </w:r>
      <w:r>
        <w:rPr>
          <w:rFonts w:hint="eastAsia" w:hAnsi="宋体"/>
          <w:color w:val="auto"/>
          <w:highlight w:val="none"/>
        </w:rPr>
        <w:t>盖章</w:t>
      </w:r>
      <w:r>
        <w:rPr>
          <w:rFonts w:hAnsi="宋体"/>
          <w:color w:val="auto"/>
          <w:highlight w:val="none"/>
        </w:rPr>
        <w:t>)</w:t>
      </w:r>
      <w:r>
        <w:rPr>
          <w:rFonts w:hint="eastAsia" w:hAnsi="宋体"/>
          <w:color w:val="auto"/>
          <w:highlight w:val="none"/>
        </w:rPr>
        <w:t>：</w:t>
      </w:r>
    </w:p>
    <w:p w14:paraId="4CCB52CA">
      <w:pPr>
        <w:pStyle w:val="12"/>
        <w:adjustRightInd w:val="0"/>
        <w:snapToGrid w:val="0"/>
        <w:spacing w:line="360" w:lineRule="auto"/>
        <w:outlineLvl w:val="9"/>
        <w:rPr>
          <w:rFonts w:hAnsi="宋体"/>
          <w:color w:val="auto"/>
          <w:highlight w:val="none"/>
        </w:rPr>
      </w:pPr>
      <w:r>
        <w:rPr>
          <w:rFonts w:hint="eastAsia" w:hAnsi="宋体"/>
          <w:color w:val="auto"/>
          <w:highlight w:val="none"/>
        </w:rPr>
        <w:t>公司地址：</w:t>
      </w:r>
    </w:p>
    <w:p w14:paraId="516B8A1B">
      <w:pPr>
        <w:adjustRightInd w:val="0"/>
        <w:snapToGrid w:val="0"/>
        <w:spacing w:line="360" w:lineRule="auto"/>
        <w:outlineLvl w:val="9"/>
        <w:rPr>
          <w:rFonts w:ascii="宋体"/>
          <w:color w:val="auto"/>
          <w:szCs w:val="21"/>
          <w:highlight w:val="none"/>
          <w:u w:val="singl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30364286">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日期：  年  月  日</w:t>
      </w:r>
    </w:p>
    <w:p w14:paraId="0DA5B1B2">
      <w:pPr>
        <w:adjustRightInd w:val="0"/>
        <w:snapToGrid w:val="0"/>
        <w:spacing w:line="360" w:lineRule="auto"/>
        <w:outlineLvl w:val="9"/>
        <w:rPr>
          <w:rFonts w:ascii="黑体" w:hAnsi="宋体" w:eastAsia="黑体"/>
          <w:color w:val="auto"/>
          <w:sz w:val="28"/>
          <w:szCs w:val="28"/>
          <w:highlight w:val="none"/>
        </w:rPr>
      </w:pPr>
    </w:p>
    <w:p w14:paraId="2B4B7405">
      <w:pPr>
        <w:adjustRightInd w:val="0"/>
        <w:snapToGrid w:val="0"/>
        <w:spacing w:line="360" w:lineRule="auto"/>
        <w:outlineLvl w:val="9"/>
        <w:rPr>
          <w:rFonts w:ascii="黑体" w:hAnsi="宋体" w:eastAsia="黑体"/>
          <w:color w:val="auto"/>
          <w:sz w:val="28"/>
          <w:szCs w:val="28"/>
          <w:highlight w:val="none"/>
        </w:rPr>
      </w:pPr>
    </w:p>
    <w:p w14:paraId="2B1E5323">
      <w:pPr>
        <w:outlineLvl w:val="9"/>
        <w:rPr>
          <w:rFonts w:ascii="黑体" w:hAnsi="宋体" w:eastAsia="黑体"/>
          <w:color w:val="auto"/>
          <w:sz w:val="28"/>
          <w:szCs w:val="28"/>
          <w:highlight w:val="none"/>
        </w:rPr>
      </w:pPr>
      <w:r>
        <w:rPr>
          <w:rFonts w:hint="eastAsia" w:ascii="黑体" w:hAnsi="宋体" w:eastAsia="黑体"/>
          <w:color w:val="auto"/>
          <w:sz w:val="28"/>
          <w:szCs w:val="28"/>
          <w:highlight w:val="none"/>
        </w:rPr>
        <w:br w:type="page"/>
      </w:r>
    </w:p>
    <w:p w14:paraId="56980FB4">
      <w:pPr>
        <w:adjustRightInd w:val="0"/>
        <w:snapToGrid w:val="0"/>
        <w:spacing w:line="360" w:lineRule="auto"/>
        <w:jc w:val="center"/>
        <w:outlineLvl w:val="9"/>
        <w:rPr>
          <w:rFonts w:ascii="黑体" w:hAnsi="宋体" w:eastAsia="黑体"/>
          <w:color w:val="auto"/>
          <w:sz w:val="28"/>
          <w:szCs w:val="28"/>
          <w:highlight w:val="none"/>
        </w:rPr>
      </w:pPr>
      <w:r>
        <w:rPr>
          <w:rFonts w:hint="eastAsia" w:ascii="黑体" w:hAnsi="宋体" w:eastAsia="黑体"/>
          <w:color w:val="auto"/>
          <w:sz w:val="28"/>
          <w:szCs w:val="28"/>
          <w:highlight w:val="none"/>
        </w:rPr>
        <w:t>二、开标一览表</w:t>
      </w:r>
    </w:p>
    <w:p w14:paraId="2BF8D7D5">
      <w:pPr>
        <w:adjustRightInd w:val="0"/>
        <w:snapToGrid w:val="0"/>
        <w:ind w:left="-89" w:leftChars="-42"/>
        <w:jc w:val="center"/>
        <w:outlineLvl w:val="9"/>
        <w:rPr>
          <w:rFonts w:ascii="??_GB2312" w:hAnsi="宋体" w:eastAsia="Times New Roman"/>
          <w:color w:val="auto"/>
          <w:sz w:val="24"/>
          <w:highlight w:val="none"/>
        </w:rPr>
      </w:pPr>
    </w:p>
    <w:p w14:paraId="030E9993">
      <w:pPr>
        <w:adjustRightInd w:val="0"/>
        <w:snapToGrid w:val="0"/>
        <w:spacing w:line="480" w:lineRule="auto"/>
        <w:ind w:left="-89" w:leftChars="-42"/>
        <w:jc w:val="left"/>
        <w:outlineLvl w:val="9"/>
        <w:rPr>
          <w:rFonts w:ascii="宋体" w:hAnsi="宋体"/>
          <w:color w:val="auto"/>
          <w:szCs w:val="21"/>
          <w:highlight w:val="none"/>
        </w:rPr>
      </w:pPr>
      <w:r>
        <w:rPr>
          <w:rFonts w:hint="eastAsia" w:ascii="宋体" w:hAnsi="宋体"/>
          <w:color w:val="auto"/>
          <w:szCs w:val="21"/>
          <w:highlight w:val="none"/>
        </w:rPr>
        <w:t>项目编号：</w:t>
      </w:r>
    </w:p>
    <w:p w14:paraId="4BA082DB">
      <w:pPr>
        <w:adjustRightInd w:val="0"/>
        <w:snapToGrid w:val="0"/>
        <w:spacing w:line="480" w:lineRule="auto"/>
        <w:ind w:left="-89" w:leftChars="-42"/>
        <w:jc w:val="left"/>
        <w:outlineLvl w:val="9"/>
        <w:rPr>
          <w:rFonts w:ascii="宋体" w:hAnsi="宋体"/>
          <w:color w:val="auto"/>
          <w:szCs w:val="21"/>
          <w:highlight w:val="none"/>
        </w:rPr>
      </w:pPr>
      <w:r>
        <w:rPr>
          <w:rFonts w:hint="eastAsia" w:ascii="宋体" w:hAnsi="宋体"/>
          <w:color w:val="auto"/>
          <w:szCs w:val="21"/>
          <w:highlight w:val="none"/>
        </w:rPr>
        <w:t>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5361"/>
      </w:tblGrid>
      <w:tr w14:paraId="0023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14:paraId="594A4D2B">
            <w:pPr>
              <w:adjustRightInd w:val="0"/>
              <w:snapToGrid w:val="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    题</w:t>
            </w:r>
          </w:p>
        </w:tc>
        <w:tc>
          <w:tcPr>
            <w:tcW w:w="5361" w:type="dxa"/>
            <w:vAlign w:val="center"/>
          </w:tcPr>
          <w:p w14:paraId="5368F93C">
            <w:pPr>
              <w:adjustRightInd w:val="0"/>
              <w:snapToGrid w:val="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r>
      <w:tr w14:paraId="2E72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14:paraId="5C9A3B1B">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投标报价（小写）</w:t>
            </w:r>
          </w:p>
        </w:tc>
        <w:tc>
          <w:tcPr>
            <w:tcW w:w="5361" w:type="dxa"/>
            <w:vAlign w:val="center"/>
          </w:tcPr>
          <w:p w14:paraId="0C271726">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元</w:t>
            </w:r>
          </w:p>
        </w:tc>
      </w:tr>
      <w:tr w14:paraId="12F0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319" w:type="dxa"/>
            <w:vAlign w:val="center"/>
          </w:tcPr>
          <w:p w14:paraId="1DD4B784">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投标报价（大写）</w:t>
            </w:r>
          </w:p>
        </w:tc>
        <w:tc>
          <w:tcPr>
            <w:tcW w:w="5361" w:type="dxa"/>
            <w:vAlign w:val="center"/>
          </w:tcPr>
          <w:p w14:paraId="2F3116C0">
            <w:pPr>
              <w:adjustRightInd w:val="0"/>
              <w:snapToGrid w:val="0"/>
              <w:jc w:val="center"/>
              <w:outlineLvl w:val="9"/>
              <w:rPr>
                <w:rFonts w:hint="eastAsia" w:ascii="宋体" w:hAnsi="宋体" w:eastAsia="宋体" w:cs="宋体"/>
                <w:color w:val="auto"/>
                <w:szCs w:val="21"/>
                <w:highlight w:val="none"/>
              </w:rPr>
            </w:pPr>
          </w:p>
        </w:tc>
      </w:tr>
      <w:tr w14:paraId="1599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19" w:type="dxa"/>
            <w:vAlign w:val="center"/>
          </w:tcPr>
          <w:p w14:paraId="4D336162">
            <w:pPr>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c>
          <w:tcPr>
            <w:tcW w:w="5361" w:type="dxa"/>
            <w:vAlign w:val="center"/>
          </w:tcPr>
          <w:p w14:paraId="3F203B13">
            <w:pPr>
              <w:adjustRightInd w:val="0"/>
              <w:snapToGrid w:val="0"/>
              <w:jc w:val="center"/>
              <w:outlineLvl w:val="9"/>
              <w:rPr>
                <w:rFonts w:hint="eastAsia" w:ascii="宋体" w:hAnsi="宋体" w:eastAsia="宋体" w:cs="宋体"/>
                <w:color w:val="auto"/>
                <w:szCs w:val="21"/>
                <w:highlight w:val="none"/>
              </w:rPr>
            </w:pPr>
          </w:p>
        </w:tc>
      </w:tr>
    </w:tbl>
    <w:p w14:paraId="037671A5">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备注：1、本项目工程量：地块约49.3亩，土方平整约17.3万立方米，回填土方约2000立方米。</w:t>
      </w:r>
    </w:p>
    <w:p w14:paraId="6A662EA1">
      <w:pPr>
        <w:pStyle w:val="3"/>
        <w:keepNext w:val="0"/>
        <w:keepLines w:val="0"/>
        <w:pageBreakBefore w:val="0"/>
        <w:widowControl w:val="0"/>
        <w:kinsoku/>
        <w:wordWrap/>
        <w:overflowPunct/>
        <w:topLinePunct w:val="0"/>
        <w:autoSpaceDE/>
        <w:autoSpaceDN/>
        <w:bidi w:val="0"/>
        <w:adjustRightInd w:val="0"/>
        <w:snapToGrid/>
        <w:spacing w:before="0" w:after="0" w:line="360" w:lineRule="auto"/>
        <w:ind w:left="0" w:leftChars="0"/>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2、本项目为交钥匙工程，所投报价为包干价，投标报价包含土方填方平整费、人工费、运输费、机械费、安文明施工费、技术措施费、税费及完成本项目所需的一切费用。</w:t>
      </w:r>
    </w:p>
    <w:p w14:paraId="74936BAF">
      <w:pPr>
        <w:adjustRightInd w:val="0"/>
        <w:snapToGrid w:val="0"/>
        <w:spacing w:line="360" w:lineRule="auto"/>
        <w:rPr>
          <w:rFonts w:hint="eastAsia" w:ascii="宋体" w:hAnsi="宋体" w:eastAsia="宋体" w:cs="宋体"/>
          <w:b/>
          <w:bCs/>
          <w:color w:val="auto"/>
          <w:highlight w:val="none"/>
          <w:lang w:val="en-US" w:eastAsia="zh-CN"/>
        </w:rPr>
      </w:pPr>
      <w:r>
        <w:rPr>
          <w:rFonts w:hint="eastAsia" w:ascii="宋体" w:hAnsi="宋体" w:cs="宋体"/>
          <w:b/>
          <w:bCs w:val="0"/>
          <w:color w:val="auto"/>
          <w:szCs w:val="21"/>
          <w:highlight w:val="none"/>
          <w:lang w:val="en-US" w:eastAsia="zh-CN"/>
        </w:rPr>
        <w:t>3、《开标一览表》中投标报价必须为机器打印且不可更改，否则视为无效投标</w:t>
      </w:r>
      <w:r>
        <w:rPr>
          <w:rFonts w:hint="eastAsia" w:ascii="宋体" w:hAnsi="宋体" w:eastAsia="宋体" w:cs="宋体"/>
          <w:b/>
          <w:bCs/>
          <w:color w:val="auto"/>
          <w:highlight w:val="none"/>
          <w:lang w:val="en-US" w:eastAsia="zh-CN"/>
        </w:rPr>
        <w:t>。</w:t>
      </w:r>
    </w:p>
    <w:p w14:paraId="77D2C860">
      <w:pPr>
        <w:adjustRightInd w:val="0"/>
        <w:snapToGrid w:val="0"/>
        <w:spacing w:line="360" w:lineRule="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4、</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cs="宋体"/>
          <w:b/>
          <w:bCs/>
          <w:color w:val="auto"/>
          <w:sz w:val="21"/>
          <w:szCs w:val="21"/>
          <w:highlight w:val="none"/>
          <w:lang w:val="en-US" w:eastAsia="zh-CN"/>
        </w:rPr>
        <w:t>投标人需自行组织现场踏勘，全面考察并掌握项目现场的地质条件、环境状况及潜在风险。在项目实施过程中，如遇地质条件变化，包括但不限于风化岩、软土地基、杂填土等复杂情况，采购人将不承担由此产生的任何额外费用，所有相关风险及费用均由投标人自行承担</w:t>
      </w:r>
      <w:r>
        <w:rPr>
          <w:rFonts w:hint="eastAsia" w:ascii="宋体" w:hAnsi="宋体" w:cs="宋体"/>
          <w:b/>
          <w:bCs/>
          <w:color w:val="auto"/>
          <w:sz w:val="21"/>
          <w:szCs w:val="21"/>
          <w:highlight w:val="none"/>
          <w:lang w:eastAsia="zh-CN"/>
        </w:rPr>
        <w:t>）。</w:t>
      </w:r>
    </w:p>
    <w:p w14:paraId="287451A1">
      <w:pPr>
        <w:adjustRightInd w:val="0"/>
        <w:snapToGrid w:val="0"/>
        <w:spacing w:line="360" w:lineRule="auto"/>
        <w:outlineLvl w:val="9"/>
        <w:rPr>
          <w:rFonts w:hint="eastAsia" w:ascii="宋体" w:hAnsi="宋体"/>
          <w:color w:val="auto"/>
          <w:szCs w:val="21"/>
          <w:highlight w:val="none"/>
        </w:rPr>
      </w:pPr>
    </w:p>
    <w:p w14:paraId="5349F8A3">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0E5CBACF">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415E484D">
      <w:pPr>
        <w:adjustRightInd w:val="0"/>
        <w:snapToGrid w:val="0"/>
        <w:spacing w:line="360" w:lineRule="auto"/>
        <w:outlineLvl w:val="9"/>
        <w:rPr>
          <w:rFonts w:ascii="宋体"/>
          <w:b/>
          <w:color w:val="auto"/>
          <w:szCs w:val="21"/>
          <w:highlight w:val="none"/>
        </w:rPr>
      </w:pPr>
      <w:r>
        <w:rPr>
          <w:rFonts w:hint="eastAsia" w:ascii="宋体" w:hAnsi="宋体"/>
          <w:color w:val="auto"/>
          <w:szCs w:val="21"/>
          <w:highlight w:val="none"/>
        </w:rPr>
        <w:t>日期：  年  月  日</w:t>
      </w:r>
    </w:p>
    <w:p w14:paraId="29FA094B">
      <w:pPr>
        <w:widowControl/>
        <w:ind w:left="-89" w:leftChars="-42"/>
        <w:jc w:val="left"/>
        <w:outlineLvl w:val="9"/>
        <w:rPr>
          <w:rFonts w:ascii="宋体"/>
          <w:b/>
          <w:color w:val="auto"/>
          <w:highlight w:val="none"/>
        </w:rPr>
        <w:sectPr>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p>
    <w:p w14:paraId="4F507737">
      <w:pPr>
        <w:adjustRightInd w:val="0"/>
        <w:snapToGrid w:val="0"/>
        <w:spacing w:line="360" w:lineRule="auto"/>
        <w:jc w:val="center"/>
        <w:outlineLvl w:val="9"/>
        <w:rPr>
          <w:rFonts w:hint="eastAsia" w:ascii="黑体" w:hAnsi="宋体" w:eastAsia="黑体"/>
          <w:color w:val="auto"/>
          <w:sz w:val="28"/>
          <w:szCs w:val="28"/>
          <w:highlight w:val="none"/>
          <w:lang w:eastAsia="zh-CN"/>
        </w:rPr>
      </w:pPr>
      <w:bookmarkStart w:id="59" w:name="_Toc2173"/>
      <w:bookmarkStart w:id="60" w:name="_Toc13951"/>
      <w:bookmarkStart w:id="61" w:name="_Toc21717"/>
      <w:bookmarkStart w:id="62" w:name="_Toc27959"/>
      <w:bookmarkStart w:id="63" w:name="_Toc30096"/>
      <w:bookmarkStart w:id="64" w:name="_Toc2876"/>
      <w:bookmarkStart w:id="65" w:name="_Toc24156"/>
      <w:bookmarkStart w:id="66" w:name="_Toc20286"/>
      <w:r>
        <w:rPr>
          <w:rFonts w:hint="eastAsia" w:ascii="黑体" w:hAnsi="宋体" w:eastAsia="黑体"/>
          <w:color w:val="auto"/>
          <w:sz w:val="28"/>
          <w:szCs w:val="28"/>
          <w:highlight w:val="none"/>
        </w:rPr>
        <w:t>三、</w:t>
      </w:r>
      <w:bookmarkEnd w:id="59"/>
      <w:bookmarkEnd w:id="60"/>
      <w:bookmarkEnd w:id="61"/>
      <w:bookmarkEnd w:id="62"/>
      <w:bookmarkEnd w:id="63"/>
      <w:r>
        <w:rPr>
          <w:rFonts w:hint="eastAsia" w:ascii="黑体" w:hAnsi="宋体" w:eastAsia="黑体"/>
          <w:color w:val="auto"/>
          <w:sz w:val="28"/>
          <w:szCs w:val="28"/>
          <w:highlight w:val="none"/>
          <w:lang w:eastAsia="zh-CN"/>
        </w:rPr>
        <w:t>技术规格 (工程需求) 响应/偏离表</w:t>
      </w:r>
    </w:p>
    <w:p w14:paraId="4451E604">
      <w:pPr>
        <w:adjustRightInd w:val="0"/>
        <w:snapToGrid w:val="0"/>
        <w:ind w:left="-89" w:leftChars="-42" w:firstLine="268" w:firstLineChars="100"/>
        <w:outlineLvl w:val="9"/>
        <w:rPr>
          <w:rFonts w:ascii="宋体"/>
          <w:color w:val="auto"/>
          <w:spacing w:val="28"/>
          <w:szCs w:val="21"/>
          <w:highlight w:val="none"/>
        </w:rPr>
      </w:pPr>
    </w:p>
    <w:p w14:paraId="19AFDFB8">
      <w:pPr>
        <w:adjustRightInd w:val="0"/>
        <w:snapToGrid w:val="0"/>
        <w:ind w:left="-89" w:leftChars="-42" w:firstLine="212" w:firstLineChars="100"/>
        <w:outlineLvl w:val="9"/>
        <w:rPr>
          <w:rFonts w:ascii="宋体"/>
          <w:color w:val="auto"/>
          <w:szCs w:val="21"/>
          <w:highlight w:val="none"/>
          <w:u w:val="single"/>
        </w:rPr>
      </w:pPr>
      <w:r>
        <w:rPr>
          <w:rFonts w:hint="eastAsia" w:ascii="宋体" w:hAnsi="宋体"/>
          <w:color w:val="auto"/>
          <w:szCs w:val="21"/>
          <w:highlight w:val="none"/>
        </w:rPr>
        <w:t>项目编号</w:t>
      </w:r>
      <w:r>
        <w:rPr>
          <w:rFonts w:ascii="宋体" w:hAnsi="宋体"/>
          <w:color w:val="auto"/>
          <w:szCs w:val="21"/>
          <w:highlight w:val="none"/>
        </w:rPr>
        <w:t xml:space="preserve">: </w:t>
      </w:r>
    </w:p>
    <w:tbl>
      <w:tblPr>
        <w:tblStyle w:val="21"/>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36"/>
        <w:gridCol w:w="2861"/>
        <w:gridCol w:w="2606"/>
        <w:gridCol w:w="1472"/>
        <w:gridCol w:w="1296"/>
      </w:tblGrid>
      <w:tr w14:paraId="650F9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2E90946A">
            <w:pPr>
              <w:adjustRightInd w:val="0"/>
              <w:snapToGrid w:val="0"/>
              <w:ind w:left="-89" w:leftChars="-42"/>
              <w:jc w:val="center"/>
              <w:outlineLvl w:val="9"/>
              <w:rPr>
                <w:rFonts w:ascii="宋体"/>
                <w:color w:val="auto"/>
                <w:szCs w:val="21"/>
                <w:highlight w:val="none"/>
              </w:rPr>
            </w:pPr>
            <w:r>
              <w:rPr>
                <w:rFonts w:hint="eastAsia" w:ascii="宋体"/>
                <w:color w:val="auto"/>
                <w:szCs w:val="21"/>
                <w:highlight w:val="none"/>
              </w:rPr>
              <w:t>序号</w:t>
            </w:r>
          </w:p>
        </w:tc>
        <w:tc>
          <w:tcPr>
            <w:tcW w:w="2861" w:type="dxa"/>
            <w:noWrap/>
            <w:vAlign w:val="center"/>
          </w:tcPr>
          <w:p w14:paraId="74C33434">
            <w:pPr>
              <w:adjustRightInd w:val="0"/>
              <w:snapToGrid w:val="0"/>
              <w:ind w:left="-89" w:leftChars="-42"/>
              <w:jc w:val="center"/>
              <w:outlineLvl w:val="9"/>
              <w:rPr>
                <w:rFonts w:hint="eastAsia" w:ascii="宋体" w:eastAsia="宋体"/>
                <w:color w:val="auto"/>
                <w:szCs w:val="21"/>
                <w:highlight w:val="none"/>
                <w:lang w:eastAsia="zh-CN"/>
              </w:rPr>
            </w:pPr>
            <w:r>
              <w:rPr>
                <w:rFonts w:hint="eastAsia" w:ascii="宋体" w:hAnsi="宋体"/>
                <w:color w:val="auto"/>
                <w:szCs w:val="21"/>
                <w:highlight w:val="none"/>
              </w:rPr>
              <w:t>招标</w:t>
            </w:r>
            <w:r>
              <w:rPr>
                <w:rFonts w:hint="eastAsia" w:ascii="宋体" w:hAnsi="宋体"/>
                <w:color w:val="auto"/>
                <w:szCs w:val="21"/>
                <w:highlight w:val="none"/>
                <w:lang w:eastAsia="zh-CN"/>
              </w:rPr>
              <w:t>文件</w:t>
            </w:r>
            <w:r>
              <w:rPr>
                <w:rFonts w:hint="eastAsia" w:ascii="宋体" w:hAnsi="宋体"/>
                <w:color w:val="auto"/>
                <w:szCs w:val="21"/>
                <w:highlight w:val="none"/>
                <w:lang w:val="en-US" w:eastAsia="zh-CN"/>
              </w:rPr>
              <w:t>要求</w:t>
            </w:r>
          </w:p>
        </w:tc>
        <w:tc>
          <w:tcPr>
            <w:tcW w:w="2606" w:type="dxa"/>
            <w:noWrap/>
            <w:vAlign w:val="center"/>
          </w:tcPr>
          <w:p w14:paraId="3AC1E114">
            <w:pPr>
              <w:adjustRightInd w:val="0"/>
              <w:snapToGrid w:val="0"/>
              <w:ind w:left="-89" w:leftChars="-42"/>
              <w:jc w:val="center"/>
              <w:outlineLvl w:val="9"/>
              <w:rPr>
                <w:rFonts w:hint="default" w:ascii="宋体" w:eastAsia="宋体"/>
                <w:color w:val="auto"/>
                <w:szCs w:val="21"/>
                <w:highlight w:val="none"/>
                <w:lang w:val="en-US" w:eastAsia="zh-CN"/>
              </w:rPr>
            </w:pPr>
            <w:r>
              <w:rPr>
                <w:rFonts w:hint="eastAsia" w:ascii="宋体" w:hAnsi="宋体"/>
                <w:color w:val="auto"/>
                <w:szCs w:val="21"/>
                <w:highlight w:val="none"/>
              </w:rPr>
              <w:t>投标</w:t>
            </w:r>
            <w:r>
              <w:rPr>
                <w:rFonts w:hint="eastAsia" w:ascii="宋体" w:hAnsi="宋体"/>
                <w:color w:val="auto"/>
                <w:szCs w:val="21"/>
                <w:highlight w:val="none"/>
                <w:lang w:eastAsia="zh-CN"/>
              </w:rPr>
              <w:t>文件</w:t>
            </w:r>
            <w:r>
              <w:rPr>
                <w:rFonts w:hint="eastAsia" w:ascii="宋体" w:hAnsi="宋体"/>
                <w:color w:val="auto"/>
                <w:szCs w:val="21"/>
                <w:highlight w:val="none"/>
                <w:lang w:val="en-US" w:eastAsia="zh-CN"/>
              </w:rPr>
              <w:t>响应要求</w:t>
            </w:r>
          </w:p>
        </w:tc>
        <w:tc>
          <w:tcPr>
            <w:tcW w:w="1472" w:type="dxa"/>
            <w:noWrap/>
            <w:vAlign w:val="center"/>
          </w:tcPr>
          <w:p w14:paraId="61803946">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w:t>
            </w:r>
            <w:r>
              <w:rPr>
                <w:rFonts w:hint="eastAsia" w:ascii="宋体" w:hAnsi="宋体"/>
                <w:color w:val="auto"/>
                <w:szCs w:val="21"/>
                <w:highlight w:val="none"/>
              </w:rPr>
              <w:t>偏离</w:t>
            </w:r>
          </w:p>
        </w:tc>
        <w:tc>
          <w:tcPr>
            <w:tcW w:w="1296" w:type="dxa"/>
            <w:noWrap/>
            <w:vAlign w:val="center"/>
          </w:tcPr>
          <w:p w14:paraId="058F90C1">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说明</w:t>
            </w:r>
          </w:p>
        </w:tc>
      </w:tr>
      <w:tr w14:paraId="4A526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62EFB157">
            <w:pPr>
              <w:adjustRightInd w:val="0"/>
              <w:snapToGrid w:val="0"/>
              <w:ind w:left="-89" w:leftChars="-42"/>
              <w:jc w:val="center"/>
              <w:outlineLvl w:val="9"/>
              <w:rPr>
                <w:rFonts w:ascii="宋体"/>
                <w:color w:val="auto"/>
                <w:szCs w:val="21"/>
                <w:highlight w:val="none"/>
              </w:rPr>
            </w:pPr>
          </w:p>
        </w:tc>
        <w:tc>
          <w:tcPr>
            <w:tcW w:w="2861" w:type="dxa"/>
            <w:noWrap/>
            <w:vAlign w:val="center"/>
          </w:tcPr>
          <w:p w14:paraId="3CA83DB0">
            <w:pPr>
              <w:adjustRightInd w:val="0"/>
              <w:snapToGrid w:val="0"/>
              <w:ind w:left="-89" w:leftChars="-42"/>
              <w:jc w:val="center"/>
              <w:outlineLvl w:val="9"/>
              <w:rPr>
                <w:rFonts w:ascii="宋体"/>
                <w:color w:val="auto"/>
                <w:szCs w:val="21"/>
                <w:highlight w:val="none"/>
              </w:rPr>
            </w:pPr>
          </w:p>
        </w:tc>
        <w:tc>
          <w:tcPr>
            <w:tcW w:w="2606" w:type="dxa"/>
            <w:noWrap/>
            <w:vAlign w:val="center"/>
          </w:tcPr>
          <w:p w14:paraId="53653FFD">
            <w:pPr>
              <w:adjustRightInd w:val="0"/>
              <w:snapToGrid w:val="0"/>
              <w:ind w:left="-89" w:leftChars="-42"/>
              <w:jc w:val="center"/>
              <w:outlineLvl w:val="9"/>
              <w:rPr>
                <w:rFonts w:ascii="宋体"/>
                <w:color w:val="auto"/>
                <w:szCs w:val="21"/>
                <w:highlight w:val="none"/>
              </w:rPr>
            </w:pPr>
          </w:p>
        </w:tc>
        <w:tc>
          <w:tcPr>
            <w:tcW w:w="1472" w:type="dxa"/>
            <w:noWrap/>
            <w:vAlign w:val="center"/>
          </w:tcPr>
          <w:p w14:paraId="35DB528E">
            <w:pPr>
              <w:adjustRightInd w:val="0"/>
              <w:snapToGrid w:val="0"/>
              <w:ind w:left="-89" w:leftChars="-42"/>
              <w:jc w:val="center"/>
              <w:outlineLvl w:val="9"/>
              <w:rPr>
                <w:rFonts w:ascii="宋体"/>
                <w:color w:val="auto"/>
                <w:szCs w:val="21"/>
                <w:highlight w:val="none"/>
              </w:rPr>
            </w:pPr>
          </w:p>
        </w:tc>
        <w:tc>
          <w:tcPr>
            <w:tcW w:w="1296" w:type="dxa"/>
            <w:noWrap/>
            <w:vAlign w:val="center"/>
          </w:tcPr>
          <w:p w14:paraId="6D1D57D1">
            <w:pPr>
              <w:adjustRightInd w:val="0"/>
              <w:snapToGrid w:val="0"/>
              <w:ind w:left="-89" w:leftChars="-42"/>
              <w:jc w:val="center"/>
              <w:outlineLvl w:val="9"/>
              <w:rPr>
                <w:rFonts w:ascii="宋体"/>
                <w:color w:val="auto"/>
                <w:szCs w:val="21"/>
                <w:highlight w:val="none"/>
              </w:rPr>
            </w:pPr>
          </w:p>
        </w:tc>
      </w:tr>
      <w:tr w14:paraId="580CD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1F679CE4">
            <w:pPr>
              <w:adjustRightInd w:val="0"/>
              <w:snapToGrid w:val="0"/>
              <w:ind w:left="-89" w:leftChars="-42"/>
              <w:jc w:val="center"/>
              <w:outlineLvl w:val="9"/>
              <w:rPr>
                <w:rFonts w:ascii="宋体"/>
                <w:color w:val="auto"/>
                <w:szCs w:val="21"/>
                <w:highlight w:val="none"/>
              </w:rPr>
            </w:pPr>
          </w:p>
        </w:tc>
        <w:tc>
          <w:tcPr>
            <w:tcW w:w="2861" w:type="dxa"/>
            <w:noWrap/>
            <w:vAlign w:val="center"/>
          </w:tcPr>
          <w:p w14:paraId="224D3042">
            <w:pPr>
              <w:adjustRightInd w:val="0"/>
              <w:snapToGrid w:val="0"/>
              <w:ind w:left="-89" w:leftChars="-42"/>
              <w:jc w:val="center"/>
              <w:outlineLvl w:val="9"/>
              <w:rPr>
                <w:rFonts w:ascii="宋体"/>
                <w:color w:val="auto"/>
                <w:szCs w:val="21"/>
                <w:highlight w:val="none"/>
              </w:rPr>
            </w:pPr>
          </w:p>
        </w:tc>
        <w:tc>
          <w:tcPr>
            <w:tcW w:w="2606" w:type="dxa"/>
            <w:noWrap/>
            <w:vAlign w:val="center"/>
          </w:tcPr>
          <w:p w14:paraId="5D8F981C">
            <w:pPr>
              <w:adjustRightInd w:val="0"/>
              <w:snapToGrid w:val="0"/>
              <w:ind w:left="-89" w:leftChars="-42"/>
              <w:jc w:val="center"/>
              <w:outlineLvl w:val="9"/>
              <w:rPr>
                <w:rFonts w:ascii="宋体"/>
                <w:color w:val="auto"/>
                <w:szCs w:val="21"/>
                <w:highlight w:val="none"/>
              </w:rPr>
            </w:pPr>
          </w:p>
        </w:tc>
        <w:tc>
          <w:tcPr>
            <w:tcW w:w="1472" w:type="dxa"/>
            <w:noWrap/>
            <w:vAlign w:val="center"/>
          </w:tcPr>
          <w:p w14:paraId="25E6A79E">
            <w:pPr>
              <w:adjustRightInd w:val="0"/>
              <w:snapToGrid w:val="0"/>
              <w:ind w:left="-89" w:leftChars="-42"/>
              <w:jc w:val="center"/>
              <w:outlineLvl w:val="9"/>
              <w:rPr>
                <w:rFonts w:ascii="宋体"/>
                <w:color w:val="auto"/>
                <w:szCs w:val="21"/>
                <w:highlight w:val="none"/>
              </w:rPr>
            </w:pPr>
          </w:p>
        </w:tc>
        <w:tc>
          <w:tcPr>
            <w:tcW w:w="1296" w:type="dxa"/>
            <w:noWrap/>
            <w:vAlign w:val="center"/>
          </w:tcPr>
          <w:p w14:paraId="612822DA">
            <w:pPr>
              <w:adjustRightInd w:val="0"/>
              <w:snapToGrid w:val="0"/>
              <w:ind w:left="-89" w:leftChars="-42"/>
              <w:jc w:val="center"/>
              <w:outlineLvl w:val="9"/>
              <w:rPr>
                <w:rFonts w:ascii="宋体"/>
                <w:color w:val="auto"/>
                <w:szCs w:val="21"/>
                <w:highlight w:val="none"/>
              </w:rPr>
            </w:pPr>
          </w:p>
        </w:tc>
      </w:tr>
      <w:tr w14:paraId="5BE3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35F1CBD5">
            <w:pPr>
              <w:adjustRightInd w:val="0"/>
              <w:snapToGrid w:val="0"/>
              <w:ind w:left="-89" w:leftChars="-42"/>
              <w:jc w:val="center"/>
              <w:outlineLvl w:val="9"/>
              <w:rPr>
                <w:rFonts w:ascii="宋体"/>
                <w:color w:val="auto"/>
                <w:szCs w:val="21"/>
                <w:highlight w:val="none"/>
              </w:rPr>
            </w:pPr>
          </w:p>
        </w:tc>
        <w:tc>
          <w:tcPr>
            <w:tcW w:w="2861" w:type="dxa"/>
            <w:noWrap/>
            <w:vAlign w:val="center"/>
          </w:tcPr>
          <w:p w14:paraId="350906DB">
            <w:pPr>
              <w:adjustRightInd w:val="0"/>
              <w:snapToGrid w:val="0"/>
              <w:ind w:left="-89" w:leftChars="-42"/>
              <w:jc w:val="center"/>
              <w:outlineLvl w:val="9"/>
              <w:rPr>
                <w:rFonts w:ascii="宋体"/>
                <w:color w:val="auto"/>
                <w:szCs w:val="21"/>
                <w:highlight w:val="none"/>
              </w:rPr>
            </w:pPr>
          </w:p>
        </w:tc>
        <w:tc>
          <w:tcPr>
            <w:tcW w:w="2606" w:type="dxa"/>
            <w:noWrap/>
            <w:vAlign w:val="center"/>
          </w:tcPr>
          <w:p w14:paraId="75D77765">
            <w:pPr>
              <w:adjustRightInd w:val="0"/>
              <w:snapToGrid w:val="0"/>
              <w:ind w:left="-89" w:leftChars="-42"/>
              <w:jc w:val="center"/>
              <w:outlineLvl w:val="9"/>
              <w:rPr>
                <w:rFonts w:ascii="宋体"/>
                <w:color w:val="auto"/>
                <w:szCs w:val="21"/>
                <w:highlight w:val="none"/>
              </w:rPr>
            </w:pPr>
          </w:p>
        </w:tc>
        <w:tc>
          <w:tcPr>
            <w:tcW w:w="1472" w:type="dxa"/>
            <w:noWrap/>
            <w:vAlign w:val="center"/>
          </w:tcPr>
          <w:p w14:paraId="5E533AE7">
            <w:pPr>
              <w:adjustRightInd w:val="0"/>
              <w:snapToGrid w:val="0"/>
              <w:ind w:left="-89" w:leftChars="-42"/>
              <w:jc w:val="center"/>
              <w:outlineLvl w:val="9"/>
              <w:rPr>
                <w:rFonts w:ascii="宋体"/>
                <w:color w:val="auto"/>
                <w:szCs w:val="21"/>
                <w:highlight w:val="none"/>
              </w:rPr>
            </w:pPr>
          </w:p>
        </w:tc>
        <w:tc>
          <w:tcPr>
            <w:tcW w:w="1296" w:type="dxa"/>
            <w:noWrap/>
            <w:vAlign w:val="center"/>
          </w:tcPr>
          <w:p w14:paraId="481050E0">
            <w:pPr>
              <w:adjustRightInd w:val="0"/>
              <w:snapToGrid w:val="0"/>
              <w:ind w:left="-89" w:leftChars="-42"/>
              <w:jc w:val="center"/>
              <w:outlineLvl w:val="9"/>
              <w:rPr>
                <w:rFonts w:ascii="宋体"/>
                <w:color w:val="auto"/>
                <w:szCs w:val="21"/>
                <w:highlight w:val="none"/>
              </w:rPr>
            </w:pPr>
          </w:p>
        </w:tc>
      </w:tr>
      <w:tr w14:paraId="431F6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36" w:type="dxa"/>
            <w:noWrap/>
            <w:vAlign w:val="center"/>
          </w:tcPr>
          <w:p w14:paraId="19A95F15">
            <w:pPr>
              <w:adjustRightInd w:val="0"/>
              <w:snapToGrid w:val="0"/>
              <w:ind w:left="-89" w:leftChars="-42"/>
              <w:jc w:val="center"/>
              <w:outlineLvl w:val="9"/>
              <w:rPr>
                <w:rFonts w:ascii="宋体"/>
                <w:color w:val="auto"/>
                <w:szCs w:val="21"/>
                <w:highlight w:val="none"/>
              </w:rPr>
            </w:pPr>
          </w:p>
        </w:tc>
        <w:tc>
          <w:tcPr>
            <w:tcW w:w="2861" w:type="dxa"/>
            <w:noWrap/>
            <w:vAlign w:val="center"/>
          </w:tcPr>
          <w:p w14:paraId="772AAE99">
            <w:pPr>
              <w:adjustRightInd w:val="0"/>
              <w:snapToGrid w:val="0"/>
              <w:ind w:left="-89" w:leftChars="-42"/>
              <w:jc w:val="center"/>
              <w:outlineLvl w:val="9"/>
              <w:rPr>
                <w:rFonts w:ascii="宋体"/>
                <w:color w:val="auto"/>
                <w:szCs w:val="21"/>
                <w:highlight w:val="none"/>
              </w:rPr>
            </w:pPr>
          </w:p>
        </w:tc>
        <w:tc>
          <w:tcPr>
            <w:tcW w:w="2606" w:type="dxa"/>
            <w:noWrap/>
            <w:vAlign w:val="center"/>
          </w:tcPr>
          <w:p w14:paraId="10CDAE77">
            <w:pPr>
              <w:adjustRightInd w:val="0"/>
              <w:snapToGrid w:val="0"/>
              <w:ind w:left="-89" w:leftChars="-42"/>
              <w:jc w:val="center"/>
              <w:outlineLvl w:val="9"/>
              <w:rPr>
                <w:rFonts w:ascii="宋体"/>
                <w:color w:val="auto"/>
                <w:szCs w:val="21"/>
                <w:highlight w:val="none"/>
              </w:rPr>
            </w:pPr>
          </w:p>
        </w:tc>
        <w:tc>
          <w:tcPr>
            <w:tcW w:w="1472" w:type="dxa"/>
            <w:noWrap/>
            <w:vAlign w:val="center"/>
          </w:tcPr>
          <w:p w14:paraId="2F5CACEC">
            <w:pPr>
              <w:adjustRightInd w:val="0"/>
              <w:snapToGrid w:val="0"/>
              <w:ind w:left="-89" w:leftChars="-42"/>
              <w:jc w:val="center"/>
              <w:outlineLvl w:val="9"/>
              <w:rPr>
                <w:rFonts w:ascii="宋体"/>
                <w:color w:val="auto"/>
                <w:szCs w:val="21"/>
                <w:highlight w:val="none"/>
              </w:rPr>
            </w:pPr>
          </w:p>
        </w:tc>
        <w:tc>
          <w:tcPr>
            <w:tcW w:w="1296" w:type="dxa"/>
            <w:noWrap/>
            <w:vAlign w:val="center"/>
          </w:tcPr>
          <w:p w14:paraId="1EB79042">
            <w:pPr>
              <w:adjustRightInd w:val="0"/>
              <w:snapToGrid w:val="0"/>
              <w:ind w:left="-89" w:leftChars="-42"/>
              <w:jc w:val="center"/>
              <w:outlineLvl w:val="9"/>
              <w:rPr>
                <w:rFonts w:ascii="宋体"/>
                <w:color w:val="auto"/>
                <w:szCs w:val="21"/>
                <w:highlight w:val="none"/>
              </w:rPr>
            </w:pPr>
          </w:p>
        </w:tc>
      </w:tr>
    </w:tbl>
    <w:p w14:paraId="6AA641DD">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“响应/偏离”的填写，优于或超过要求规格要求的填写“正偏离”，符合要求规格要求的填写“无偏离”，达不到或者不符合要求规格要求的填写“负偏离”；</w:t>
      </w:r>
    </w:p>
    <w:p w14:paraId="2E2C3DA1">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2、全部符合要求规格要求的填写“全部无偏离”。</w:t>
      </w:r>
    </w:p>
    <w:p w14:paraId="1019EB0C">
      <w:pPr>
        <w:adjustRightInd w:val="0"/>
        <w:snapToGrid w:val="0"/>
        <w:spacing w:before="50" w:line="360" w:lineRule="auto"/>
        <w:outlineLvl w:val="9"/>
        <w:rPr>
          <w:rFonts w:hint="eastAsia" w:ascii="宋体" w:hAnsi="宋体"/>
          <w:color w:val="auto"/>
          <w:szCs w:val="21"/>
          <w:highlight w:val="none"/>
          <w:lang w:eastAsia="zh-CN"/>
        </w:rPr>
      </w:pPr>
    </w:p>
    <w:p w14:paraId="43533469">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10A3CA5A">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1DAE1AE2">
      <w:pPr>
        <w:adjustRightInd w:val="0"/>
        <w:snapToGrid w:val="0"/>
        <w:spacing w:before="50" w:line="360" w:lineRule="auto"/>
        <w:outlineLvl w:val="9"/>
        <w:rPr>
          <w:rFonts w:ascii="宋体" w:hAnsi="宋体"/>
          <w:color w:val="auto"/>
          <w:szCs w:val="21"/>
          <w:highlight w:val="none"/>
        </w:rPr>
      </w:pPr>
      <w:r>
        <w:rPr>
          <w:rFonts w:hint="eastAsia" w:ascii="宋体" w:hAnsi="宋体"/>
          <w:color w:val="auto"/>
          <w:szCs w:val="21"/>
          <w:highlight w:val="none"/>
        </w:rPr>
        <w:t>日期：  年  月  日</w:t>
      </w:r>
    </w:p>
    <w:p w14:paraId="49B80B9A">
      <w:pPr>
        <w:rPr>
          <w:rFonts w:hint="eastAsia" w:ascii="黑体" w:hAnsi="宋体" w:eastAsia="黑体"/>
          <w:color w:val="auto"/>
          <w:sz w:val="28"/>
          <w:szCs w:val="28"/>
          <w:highlight w:val="none"/>
          <w:lang w:eastAsia="zh-CN"/>
        </w:rPr>
      </w:pPr>
      <w:bookmarkStart w:id="67" w:name="_Toc32218"/>
      <w:bookmarkStart w:id="68" w:name="_Toc16949"/>
    </w:p>
    <w:p w14:paraId="69CB8883">
      <w:pP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br w:type="page"/>
      </w:r>
    </w:p>
    <w:p w14:paraId="662EE3D9">
      <w:pPr>
        <w:adjustRightInd w:val="0"/>
        <w:snapToGrid w:val="0"/>
        <w:spacing w:line="360" w:lineRule="auto"/>
        <w:jc w:val="center"/>
        <w:outlineLvl w:val="9"/>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四</w:t>
      </w:r>
      <w:r>
        <w:rPr>
          <w:rFonts w:hint="eastAsia" w:ascii="黑体" w:hAnsi="宋体" w:eastAsia="黑体"/>
          <w:color w:val="auto"/>
          <w:sz w:val="28"/>
          <w:szCs w:val="28"/>
          <w:highlight w:val="none"/>
        </w:rPr>
        <w:t>、商务条款响应</w:t>
      </w:r>
      <w:r>
        <w:rPr>
          <w:rFonts w:ascii="黑体" w:hAnsi="宋体" w:eastAsia="黑体"/>
          <w:color w:val="auto"/>
          <w:sz w:val="28"/>
          <w:szCs w:val="28"/>
          <w:highlight w:val="none"/>
        </w:rPr>
        <w:t>/</w:t>
      </w:r>
      <w:r>
        <w:rPr>
          <w:rFonts w:hint="eastAsia" w:ascii="黑体" w:hAnsi="宋体" w:eastAsia="黑体"/>
          <w:color w:val="auto"/>
          <w:sz w:val="28"/>
          <w:szCs w:val="28"/>
          <w:highlight w:val="none"/>
        </w:rPr>
        <w:t>偏离表</w:t>
      </w:r>
      <w:bookmarkEnd w:id="64"/>
      <w:bookmarkEnd w:id="65"/>
      <w:bookmarkEnd w:id="66"/>
      <w:bookmarkEnd w:id="67"/>
      <w:bookmarkEnd w:id="68"/>
    </w:p>
    <w:p w14:paraId="744D2E85">
      <w:pPr>
        <w:adjustRightInd w:val="0"/>
        <w:snapToGrid w:val="0"/>
        <w:ind w:left="-89" w:leftChars="-42"/>
        <w:jc w:val="left"/>
        <w:outlineLvl w:val="9"/>
        <w:rPr>
          <w:rFonts w:ascii="宋体"/>
          <w:b/>
          <w:color w:val="auto"/>
          <w:szCs w:val="21"/>
          <w:highlight w:val="none"/>
        </w:rPr>
      </w:pPr>
    </w:p>
    <w:p w14:paraId="3C6CCCC4">
      <w:pPr>
        <w:adjustRightInd w:val="0"/>
        <w:snapToGrid w:val="0"/>
        <w:ind w:left="-89" w:leftChars="-42" w:firstLine="268" w:firstLineChars="100"/>
        <w:outlineLvl w:val="9"/>
        <w:rPr>
          <w:rFonts w:ascii="宋体"/>
          <w:color w:val="auto"/>
          <w:szCs w:val="21"/>
          <w:highlight w:val="none"/>
          <w:u w:val="single"/>
        </w:rPr>
      </w:pPr>
      <w:r>
        <w:rPr>
          <w:rFonts w:hint="eastAsia" w:ascii="宋体" w:hAnsi="宋体"/>
          <w:color w:val="auto"/>
          <w:spacing w:val="28"/>
          <w:szCs w:val="21"/>
          <w:highlight w:val="none"/>
        </w:rPr>
        <w:t>项目编号</w:t>
      </w:r>
      <w:r>
        <w:rPr>
          <w:rFonts w:ascii="宋体" w:hAnsi="宋体"/>
          <w:color w:val="auto"/>
          <w:szCs w:val="21"/>
          <w:highlight w:val="none"/>
        </w:rPr>
        <w:t xml:space="preserve">: </w:t>
      </w:r>
    </w:p>
    <w:tbl>
      <w:tblPr>
        <w:tblStyle w:val="21"/>
        <w:tblW w:w="90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5"/>
        <w:gridCol w:w="2842"/>
        <w:gridCol w:w="2682"/>
        <w:gridCol w:w="1374"/>
        <w:gridCol w:w="1304"/>
      </w:tblGrid>
      <w:tr w14:paraId="4F159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797940DA">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序号</w:t>
            </w:r>
          </w:p>
        </w:tc>
        <w:tc>
          <w:tcPr>
            <w:tcW w:w="2842" w:type="dxa"/>
            <w:noWrap/>
            <w:vAlign w:val="center"/>
          </w:tcPr>
          <w:p w14:paraId="3CD52BF1">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招标</w:t>
            </w:r>
            <w:r>
              <w:rPr>
                <w:rFonts w:hint="eastAsia" w:ascii="宋体" w:hAnsi="宋体"/>
                <w:color w:val="auto"/>
                <w:szCs w:val="21"/>
                <w:highlight w:val="none"/>
                <w:lang w:eastAsia="zh-CN"/>
              </w:rPr>
              <w:t>文件</w:t>
            </w:r>
            <w:r>
              <w:rPr>
                <w:rFonts w:hint="eastAsia" w:ascii="宋体" w:hAnsi="宋体"/>
                <w:color w:val="auto"/>
                <w:szCs w:val="21"/>
                <w:highlight w:val="none"/>
              </w:rPr>
              <w:t>商务要求</w:t>
            </w:r>
          </w:p>
        </w:tc>
        <w:tc>
          <w:tcPr>
            <w:tcW w:w="2682" w:type="dxa"/>
            <w:noWrap/>
            <w:vAlign w:val="center"/>
          </w:tcPr>
          <w:p w14:paraId="1BFDCFD3">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投标</w:t>
            </w:r>
            <w:r>
              <w:rPr>
                <w:rFonts w:hint="eastAsia" w:ascii="宋体" w:hAnsi="宋体"/>
                <w:color w:val="auto"/>
                <w:szCs w:val="21"/>
                <w:highlight w:val="none"/>
                <w:lang w:eastAsia="zh-CN"/>
              </w:rPr>
              <w:t>文件</w:t>
            </w:r>
            <w:r>
              <w:rPr>
                <w:rFonts w:hint="eastAsia" w:ascii="宋体" w:hAnsi="宋体"/>
                <w:color w:val="auto"/>
                <w:szCs w:val="21"/>
                <w:highlight w:val="none"/>
              </w:rPr>
              <w:t>商务要求</w:t>
            </w:r>
          </w:p>
        </w:tc>
        <w:tc>
          <w:tcPr>
            <w:tcW w:w="1374" w:type="dxa"/>
            <w:noWrap/>
            <w:vAlign w:val="center"/>
          </w:tcPr>
          <w:p w14:paraId="233644ED">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响应</w:t>
            </w:r>
            <w:r>
              <w:rPr>
                <w:rFonts w:ascii="宋体" w:hAnsi="宋体"/>
                <w:color w:val="auto"/>
                <w:szCs w:val="21"/>
                <w:highlight w:val="none"/>
              </w:rPr>
              <w:t>/</w:t>
            </w:r>
            <w:r>
              <w:rPr>
                <w:rFonts w:hint="eastAsia" w:ascii="宋体" w:hAnsi="宋体"/>
                <w:color w:val="auto"/>
                <w:szCs w:val="21"/>
                <w:highlight w:val="none"/>
              </w:rPr>
              <w:t>偏离</w:t>
            </w:r>
          </w:p>
        </w:tc>
        <w:tc>
          <w:tcPr>
            <w:tcW w:w="1304" w:type="dxa"/>
            <w:noWrap/>
            <w:vAlign w:val="center"/>
          </w:tcPr>
          <w:p w14:paraId="50196823">
            <w:pPr>
              <w:adjustRightInd w:val="0"/>
              <w:snapToGrid w:val="0"/>
              <w:ind w:left="-89" w:leftChars="-42"/>
              <w:jc w:val="center"/>
              <w:outlineLvl w:val="9"/>
              <w:rPr>
                <w:rFonts w:ascii="宋体"/>
                <w:color w:val="auto"/>
                <w:szCs w:val="21"/>
                <w:highlight w:val="none"/>
              </w:rPr>
            </w:pPr>
            <w:r>
              <w:rPr>
                <w:rFonts w:hint="eastAsia" w:ascii="宋体" w:hAnsi="宋体"/>
                <w:color w:val="auto"/>
                <w:szCs w:val="21"/>
                <w:highlight w:val="none"/>
              </w:rPr>
              <w:t>说明</w:t>
            </w:r>
          </w:p>
        </w:tc>
      </w:tr>
      <w:tr w14:paraId="1808E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1E8DB075">
            <w:pPr>
              <w:adjustRightInd w:val="0"/>
              <w:snapToGrid w:val="0"/>
              <w:ind w:left="-89" w:leftChars="-42"/>
              <w:jc w:val="center"/>
              <w:outlineLvl w:val="9"/>
              <w:rPr>
                <w:rFonts w:ascii="宋体"/>
                <w:color w:val="auto"/>
                <w:szCs w:val="21"/>
                <w:highlight w:val="none"/>
              </w:rPr>
            </w:pPr>
          </w:p>
        </w:tc>
        <w:tc>
          <w:tcPr>
            <w:tcW w:w="2842" w:type="dxa"/>
            <w:noWrap/>
            <w:vAlign w:val="center"/>
          </w:tcPr>
          <w:p w14:paraId="2CB7D221">
            <w:pPr>
              <w:adjustRightInd w:val="0"/>
              <w:snapToGrid w:val="0"/>
              <w:ind w:left="-89" w:leftChars="-42"/>
              <w:jc w:val="center"/>
              <w:outlineLvl w:val="9"/>
              <w:rPr>
                <w:rFonts w:ascii="宋体"/>
                <w:color w:val="auto"/>
                <w:szCs w:val="21"/>
                <w:highlight w:val="none"/>
              </w:rPr>
            </w:pPr>
          </w:p>
        </w:tc>
        <w:tc>
          <w:tcPr>
            <w:tcW w:w="2682" w:type="dxa"/>
            <w:noWrap/>
            <w:vAlign w:val="center"/>
          </w:tcPr>
          <w:p w14:paraId="01E76336">
            <w:pPr>
              <w:adjustRightInd w:val="0"/>
              <w:snapToGrid w:val="0"/>
              <w:ind w:left="-89" w:leftChars="-42"/>
              <w:jc w:val="center"/>
              <w:outlineLvl w:val="9"/>
              <w:rPr>
                <w:rFonts w:ascii="宋体"/>
                <w:color w:val="auto"/>
                <w:szCs w:val="21"/>
                <w:highlight w:val="none"/>
              </w:rPr>
            </w:pPr>
          </w:p>
        </w:tc>
        <w:tc>
          <w:tcPr>
            <w:tcW w:w="1374" w:type="dxa"/>
            <w:noWrap/>
            <w:vAlign w:val="center"/>
          </w:tcPr>
          <w:p w14:paraId="26167AD7">
            <w:pPr>
              <w:adjustRightInd w:val="0"/>
              <w:snapToGrid w:val="0"/>
              <w:ind w:left="-89" w:leftChars="-42"/>
              <w:jc w:val="center"/>
              <w:outlineLvl w:val="9"/>
              <w:rPr>
                <w:rFonts w:ascii="宋体"/>
                <w:color w:val="auto"/>
                <w:szCs w:val="21"/>
                <w:highlight w:val="none"/>
              </w:rPr>
            </w:pPr>
          </w:p>
        </w:tc>
        <w:tc>
          <w:tcPr>
            <w:tcW w:w="1304" w:type="dxa"/>
            <w:noWrap/>
            <w:vAlign w:val="center"/>
          </w:tcPr>
          <w:p w14:paraId="3B729113">
            <w:pPr>
              <w:adjustRightInd w:val="0"/>
              <w:snapToGrid w:val="0"/>
              <w:ind w:left="-89" w:leftChars="-42"/>
              <w:jc w:val="center"/>
              <w:outlineLvl w:val="9"/>
              <w:rPr>
                <w:rFonts w:ascii="宋体"/>
                <w:color w:val="auto"/>
                <w:szCs w:val="21"/>
                <w:highlight w:val="none"/>
              </w:rPr>
            </w:pPr>
          </w:p>
        </w:tc>
      </w:tr>
      <w:tr w14:paraId="6BEAD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5B44E61A">
            <w:pPr>
              <w:adjustRightInd w:val="0"/>
              <w:snapToGrid w:val="0"/>
              <w:ind w:left="-89" w:leftChars="-42"/>
              <w:jc w:val="center"/>
              <w:outlineLvl w:val="9"/>
              <w:rPr>
                <w:rFonts w:ascii="宋体"/>
                <w:color w:val="auto"/>
                <w:szCs w:val="21"/>
                <w:highlight w:val="none"/>
              </w:rPr>
            </w:pPr>
          </w:p>
        </w:tc>
        <w:tc>
          <w:tcPr>
            <w:tcW w:w="2842" w:type="dxa"/>
            <w:noWrap/>
            <w:vAlign w:val="center"/>
          </w:tcPr>
          <w:p w14:paraId="240E6747">
            <w:pPr>
              <w:adjustRightInd w:val="0"/>
              <w:snapToGrid w:val="0"/>
              <w:ind w:left="-89" w:leftChars="-42"/>
              <w:jc w:val="center"/>
              <w:outlineLvl w:val="9"/>
              <w:rPr>
                <w:rFonts w:ascii="宋体"/>
                <w:color w:val="auto"/>
                <w:szCs w:val="21"/>
                <w:highlight w:val="none"/>
              </w:rPr>
            </w:pPr>
          </w:p>
        </w:tc>
        <w:tc>
          <w:tcPr>
            <w:tcW w:w="2682" w:type="dxa"/>
            <w:noWrap/>
            <w:vAlign w:val="center"/>
          </w:tcPr>
          <w:p w14:paraId="4805A0FB">
            <w:pPr>
              <w:adjustRightInd w:val="0"/>
              <w:snapToGrid w:val="0"/>
              <w:ind w:left="-89" w:leftChars="-42"/>
              <w:jc w:val="center"/>
              <w:outlineLvl w:val="9"/>
              <w:rPr>
                <w:rFonts w:ascii="宋体"/>
                <w:color w:val="auto"/>
                <w:szCs w:val="21"/>
                <w:highlight w:val="none"/>
              </w:rPr>
            </w:pPr>
          </w:p>
        </w:tc>
        <w:tc>
          <w:tcPr>
            <w:tcW w:w="1374" w:type="dxa"/>
            <w:noWrap/>
            <w:vAlign w:val="center"/>
          </w:tcPr>
          <w:p w14:paraId="66A48DB7">
            <w:pPr>
              <w:adjustRightInd w:val="0"/>
              <w:snapToGrid w:val="0"/>
              <w:ind w:left="-89" w:leftChars="-42"/>
              <w:jc w:val="center"/>
              <w:outlineLvl w:val="9"/>
              <w:rPr>
                <w:rFonts w:ascii="宋体"/>
                <w:color w:val="auto"/>
                <w:szCs w:val="21"/>
                <w:highlight w:val="none"/>
              </w:rPr>
            </w:pPr>
          </w:p>
        </w:tc>
        <w:tc>
          <w:tcPr>
            <w:tcW w:w="1304" w:type="dxa"/>
            <w:noWrap/>
            <w:vAlign w:val="center"/>
          </w:tcPr>
          <w:p w14:paraId="37C73604">
            <w:pPr>
              <w:adjustRightInd w:val="0"/>
              <w:snapToGrid w:val="0"/>
              <w:ind w:left="-89" w:leftChars="-42"/>
              <w:jc w:val="center"/>
              <w:outlineLvl w:val="9"/>
              <w:rPr>
                <w:rFonts w:ascii="宋体"/>
                <w:color w:val="auto"/>
                <w:szCs w:val="21"/>
                <w:highlight w:val="none"/>
              </w:rPr>
            </w:pPr>
          </w:p>
        </w:tc>
      </w:tr>
      <w:tr w14:paraId="4C8E3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2066C416">
            <w:pPr>
              <w:adjustRightInd w:val="0"/>
              <w:snapToGrid w:val="0"/>
              <w:ind w:left="-89" w:leftChars="-42"/>
              <w:jc w:val="center"/>
              <w:outlineLvl w:val="9"/>
              <w:rPr>
                <w:rFonts w:ascii="宋体"/>
                <w:color w:val="auto"/>
                <w:szCs w:val="21"/>
                <w:highlight w:val="none"/>
              </w:rPr>
            </w:pPr>
          </w:p>
        </w:tc>
        <w:tc>
          <w:tcPr>
            <w:tcW w:w="2842" w:type="dxa"/>
            <w:noWrap/>
            <w:vAlign w:val="center"/>
          </w:tcPr>
          <w:p w14:paraId="27BEE002">
            <w:pPr>
              <w:adjustRightInd w:val="0"/>
              <w:snapToGrid w:val="0"/>
              <w:ind w:left="-89" w:leftChars="-42"/>
              <w:jc w:val="center"/>
              <w:outlineLvl w:val="9"/>
              <w:rPr>
                <w:rFonts w:ascii="宋体"/>
                <w:color w:val="auto"/>
                <w:szCs w:val="21"/>
                <w:highlight w:val="none"/>
              </w:rPr>
            </w:pPr>
          </w:p>
        </w:tc>
        <w:tc>
          <w:tcPr>
            <w:tcW w:w="2682" w:type="dxa"/>
            <w:noWrap/>
            <w:vAlign w:val="center"/>
          </w:tcPr>
          <w:p w14:paraId="19117037">
            <w:pPr>
              <w:adjustRightInd w:val="0"/>
              <w:snapToGrid w:val="0"/>
              <w:ind w:left="-89" w:leftChars="-42"/>
              <w:jc w:val="center"/>
              <w:outlineLvl w:val="9"/>
              <w:rPr>
                <w:rFonts w:ascii="宋体"/>
                <w:color w:val="auto"/>
                <w:szCs w:val="21"/>
                <w:highlight w:val="none"/>
              </w:rPr>
            </w:pPr>
          </w:p>
        </w:tc>
        <w:tc>
          <w:tcPr>
            <w:tcW w:w="1374" w:type="dxa"/>
            <w:noWrap/>
            <w:vAlign w:val="center"/>
          </w:tcPr>
          <w:p w14:paraId="1DD278CA">
            <w:pPr>
              <w:adjustRightInd w:val="0"/>
              <w:snapToGrid w:val="0"/>
              <w:ind w:left="-89" w:leftChars="-42"/>
              <w:jc w:val="center"/>
              <w:outlineLvl w:val="9"/>
              <w:rPr>
                <w:rFonts w:ascii="宋体"/>
                <w:color w:val="auto"/>
                <w:szCs w:val="21"/>
                <w:highlight w:val="none"/>
              </w:rPr>
            </w:pPr>
          </w:p>
        </w:tc>
        <w:tc>
          <w:tcPr>
            <w:tcW w:w="1304" w:type="dxa"/>
            <w:noWrap/>
            <w:vAlign w:val="center"/>
          </w:tcPr>
          <w:p w14:paraId="32800357">
            <w:pPr>
              <w:adjustRightInd w:val="0"/>
              <w:snapToGrid w:val="0"/>
              <w:ind w:left="-89" w:leftChars="-42"/>
              <w:jc w:val="center"/>
              <w:outlineLvl w:val="9"/>
              <w:rPr>
                <w:rFonts w:ascii="宋体"/>
                <w:color w:val="auto"/>
                <w:szCs w:val="21"/>
                <w:highlight w:val="none"/>
              </w:rPr>
            </w:pPr>
          </w:p>
        </w:tc>
      </w:tr>
      <w:tr w14:paraId="37DDE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55" w:type="dxa"/>
            <w:noWrap/>
            <w:vAlign w:val="center"/>
          </w:tcPr>
          <w:p w14:paraId="08BBAD75">
            <w:pPr>
              <w:adjustRightInd w:val="0"/>
              <w:snapToGrid w:val="0"/>
              <w:ind w:left="-89" w:leftChars="-42"/>
              <w:jc w:val="center"/>
              <w:outlineLvl w:val="9"/>
              <w:rPr>
                <w:rFonts w:ascii="宋体"/>
                <w:color w:val="auto"/>
                <w:szCs w:val="21"/>
                <w:highlight w:val="none"/>
              </w:rPr>
            </w:pPr>
          </w:p>
        </w:tc>
        <w:tc>
          <w:tcPr>
            <w:tcW w:w="2842" w:type="dxa"/>
            <w:noWrap/>
            <w:vAlign w:val="center"/>
          </w:tcPr>
          <w:p w14:paraId="247BCF31">
            <w:pPr>
              <w:adjustRightInd w:val="0"/>
              <w:snapToGrid w:val="0"/>
              <w:ind w:left="-89" w:leftChars="-42"/>
              <w:jc w:val="center"/>
              <w:outlineLvl w:val="9"/>
              <w:rPr>
                <w:rFonts w:ascii="宋体"/>
                <w:color w:val="auto"/>
                <w:szCs w:val="21"/>
                <w:highlight w:val="none"/>
              </w:rPr>
            </w:pPr>
          </w:p>
        </w:tc>
        <w:tc>
          <w:tcPr>
            <w:tcW w:w="2682" w:type="dxa"/>
            <w:noWrap/>
            <w:vAlign w:val="center"/>
          </w:tcPr>
          <w:p w14:paraId="7039CDF3">
            <w:pPr>
              <w:adjustRightInd w:val="0"/>
              <w:snapToGrid w:val="0"/>
              <w:ind w:left="-89" w:leftChars="-42"/>
              <w:jc w:val="center"/>
              <w:outlineLvl w:val="9"/>
              <w:rPr>
                <w:rFonts w:ascii="宋体"/>
                <w:color w:val="auto"/>
                <w:szCs w:val="21"/>
                <w:highlight w:val="none"/>
              </w:rPr>
            </w:pPr>
          </w:p>
        </w:tc>
        <w:tc>
          <w:tcPr>
            <w:tcW w:w="1374" w:type="dxa"/>
            <w:noWrap/>
            <w:vAlign w:val="center"/>
          </w:tcPr>
          <w:p w14:paraId="09EBE1DC">
            <w:pPr>
              <w:adjustRightInd w:val="0"/>
              <w:snapToGrid w:val="0"/>
              <w:ind w:left="-89" w:leftChars="-42"/>
              <w:jc w:val="center"/>
              <w:outlineLvl w:val="9"/>
              <w:rPr>
                <w:rFonts w:ascii="宋体"/>
                <w:color w:val="auto"/>
                <w:szCs w:val="21"/>
                <w:highlight w:val="none"/>
              </w:rPr>
            </w:pPr>
          </w:p>
        </w:tc>
        <w:tc>
          <w:tcPr>
            <w:tcW w:w="1304" w:type="dxa"/>
            <w:noWrap/>
            <w:vAlign w:val="center"/>
          </w:tcPr>
          <w:p w14:paraId="1DE628C6">
            <w:pPr>
              <w:adjustRightInd w:val="0"/>
              <w:snapToGrid w:val="0"/>
              <w:ind w:left="-89" w:leftChars="-42"/>
              <w:jc w:val="center"/>
              <w:outlineLvl w:val="9"/>
              <w:rPr>
                <w:rFonts w:ascii="宋体"/>
                <w:color w:val="auto"/>
                <w:szCs w:val="21"/>
                <w:highlight w:val="none"/>
              </w:rPr>
            </w:pPr>
          </w:p>
        </w:tc>
      </w:tr>
    </w:tbl>
    <w:p w14:paraId="10373107">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eastAsia="宋体" w:cs="宋体"/>
          <w:b w:val="0"/>
          <w:bCs/>
          <w:color w:val="auto"/>
          <w:sz w:val="21"/>
          <w:szCs w:val="21"/>
          <w:highlight w:val="none"/>
        </w:rPr>
        <w:t>备注：</w:t>
      </w:r>
      <w:r>
        <w:rPr>
          <w:rFonts w:hint="eastAsia" w:ascii="宋体" w:hAnsi="宋体" w:eastAsia="宋体" w:cs="宋体"/>
          <w:color w:val="auto"/>
          <w:szCs w:val="21"/>
          <w:highlight w:val="none"/>
        </w:rPr>
        <w:t>1、“响应/偏离”的填写，优于或超过要求规格要求的填写“正偏离”，符合要求规格要求的填写“无偏离”，达不到或者不符合要求规格要求的填写“负偏离”；</w:t>
      </w:r>
    </w:p>
    <w:p w14:paraId="43691AFC">
      <w:pPr>
        <w:adjustRightInd w:val="0"/>
        <w:snapToGrid w:val="0"/>
        <w:spacing w:before="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2、全部符合要求规格要求的填写“全部无偏离”。</w:t>
      </w:r>
    </w:p>
    <w:p w14:paraId="667C3219">
      <w:pPr>
        <w:adjustRightInd w:val="0"/>
        <w:snapToGrid w:val="0"/>
        <w:spacing w:before="50" w:line="360" w:lineRule="auto"/>
        <w:outlineLvl w:val="9"/>
        <w:rPr>
          <w:rFonts w:hint="eastAsia" w:ascii="宋体" w:hAnsi="宋体"/>
          <w:color w:val="auto"/>
          <w:szCs w:val="21"/>
          <w:highlight w:val="none"/>
          <w:lang w:eastAsia="zh-CN"/>
        </w:rPr>
      </w:pPr>
    </w:p>
    <w:p w14:paraId="68FB8EC6">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348493A1">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0DF650DF">
      <w:pPr>
        <w:adjustRightInd w:val="0"/>
        <w:snapToGrid w:val="0"/>
        <w:spacing w:before="50" w:line="360" w:lineRule="auto"/>
        <w:outlineLvl w:val="9"/>
        <w:rPr>
          <w:rFonts w:ascii="宋体"/>
          <w:color w:val="auto"/>
          <w:szCs w:val="21"/>
          <w:highlight w:val="none"/>
        </w:rPr>
        <w:sectPr>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r>
        <w:rPr>
          <w:rFonts w:hint="eastAsia" w:ascii="宋体" w:hAnsi="宋体"/>
          <w:color w:val="auto"/>
          <w:szCs w:val="21"/>
          <w:highlight w:val="none"/>
        </w:rPr>
        <w:t>日期：  年  月  日</w:t>
      </w:r>
    </w:p>
    <w:p w14:paraId="372EF261">
      <w:pPr>
        <w:adjustRightInd w:val="0"/>
        <w:snapToGrid w:val="0"/>
        <w:spacing w:line="360" w:lineRule="auto"/>
        <w:jc w:val="center"/>
        <w:outlineLvl w:val="9"/>
        <w:rPr>
          <w:rFonts w:ascii="黑体" w:hAnsi="华文中宋" w:eastAsia="黑体"/>
          <w:color w:val="auto"/>
          <w:sz w:val="28"/>
          <w:szCs w:val="28"/>
          <w:highlight w:val="none"/>
        </w:rPr>
      </w:pPr>
      <w:bookmarkStart w:id="69" w:name="_Toc29946"/>
      <w:bookmarkStart w:id="70" w:name="_Toc20959"/>
      <w:r>
        <w:rPr>
          <w:rFonts w:hint="eastAsia" w:ascii="黑体" w:hAnsi="华文中宋" w:eastAsia="黑体"/>
          <w:color w:val="auto"/>
          <w:sz w:val="28"/>
          <w:szCs w:val="28"/>
          <w:highlight w:val="none"/>
          <w:lang w:val="en-US" w:eastAsia="zh-CN"/>
        </w:rPr>
        <w:t>五</w:t>
      </w:r>
      <w:r>
        <w:rPr>
          <w:rFonts w:hint="eastAsia" w:ascii="黑体" w:hAnsi="华文中宋" w:eastAsia="黑体"/>
          <w:color w:val="auto"/>
          <w:sz w:val="28"/>
          <w:szCs w:val="28"/>
          <w:highlight w:val="none"/>
        </w:rPr>
        <w:t>、法人代表授权书</w:t>
      </w:r>
      <w:bookmarkEnd w:id="69"/>
      <w:bookmarkEnd w:id="70"/>
    </w:p>
    <w:p w14:paraId="771AAC54">
      <w:pPr>
        <w:adjustRightInd w:val="0"/>
        <w:snapToGrid w:val="0"/>
        <w:spacing w:line="360" w:lineRule="auto"/>
        <w:outlineLvl w:val="9"/>
        <w:rPr>
          <w:rFonts w:ascii="宋体"/>
          <w:bCs/>
          <w:color w:val="auto"/>
          <w:szCs w:val="21"/>
          <w:highlight w:val="none"/>
        </w:rPr>
      </w:pPr>
    </w:p>
    <w:p w14:paraId="03E36CBE">
      <w:pPr>
        <w:autoSpaceDE w:val="0"/>
        <w:autoSpaceDN w:val="0"/>
        <w:adjustRightInd w:val="0"/>
        <w:snapToGrid w:val="0"/>
        <w:spacing w:beforeLines="50" w:line="360" w:lineRule="auto"/>
        <w:ind w:firstLine="424" w:firstLineChars="200"/>
        <w:jc w:val="left"/>
        <w:outlineLvl w:val="9"/>
        <w:rPr>
          <w:rFonts w:ascii="宋体" w:cs="宋体"/>
          <w:color w:val="auto"/>
          <w:kern w:val="0"/>
          <w:szCs w:val="21"/>
          <w:highlight w:val="none"/>
        </w:rPr>
      </w:pPr>
      <w:r>
        <w:rPr>
          <w:rFonts w:hint="eastAsia" w:ascii="宋体" w:hAnsi="宋体" w:cs="宋体"/>
          <w:color w:val="auto"/>
          <w:kern w:val="0"/>
          <w:szCs w:val="21"/>
          <w:highlight w:val="none"/>
        </w:rPr>
        <w:t>本人（姓名、职务）系（</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现授权（姓名、职务）为我方代理人。代理人根据授权，以我方名义签署、澄清、说明、补正、递交、撤回、修改（项目名称、项目编号）投标文件、签订合同和处理有关事宜，其法律后果由我方承担。</w:t>
      </w:r>
    </w:p>
    <w:p w14:paraId="4E2AF5CE">
      <w:pPr>
        <w:autoSpaceDE w:val="0"/>
        <w:autoSpaceDN w:val="0"/>
        <w:adjustRightInd w:val="0"/>
        <w:snapToGrid w:val="0"/>
        <w:spacing w:beforeLines="50" w:line="360" w:lineRule="auto"/>
        <w:ind w:firstLine="424" w:firstLineChars="200"/>
        <w:jc w:val="left"/>
        <w:outlineLvl w:val="9"/>
        <w:rPr>
          <w:rFonts w:ascii="宋体" w:cs="宋体"/>
          <w:color w:val="auto"/>
          <w:kern w:val="0"/>
          <w:szCs w:val="21"/>
          <w:highlight w:val="none"/>
        </w:rPr>
      </w:pPr>
      <w:r>
        <w:rPr>
          <w:rFonts w:hint="eastAsia" w:ascii="宋体" w:hAnsi="宋体" w:cs="宋体"/>
          <w:color w:val="auto"/>
          <w:kern w:val="0"/>
          <w:szCs w:val="21"/>
          <w:highlight w:val="none"/>
        </w:rPr>
        <w:t>委托期限：</w:t>
      </w:r>
    </w:p>
    <w:p w14:paraId="79BA2752">
      <w:pPr>
        <w:adjustRightInd w:val="0"/>
        <w:snapToGrid w:val="0"/>
        <w:spacing w:beforeLines="50" w:line="360" w:lineRule="auto"/>
        <w:ind w:firstLine="435"/>
        <w:outlineLvl w:val="9"/>
        <w:rPr>
          <w:rFonts w:ascii="宋体" w:cs="宋体"/>
          <w:color w:val="auto"/>
          <w:kern w:val="0"/>
          <w:szCs w:val="21"/>
          <w:highlight w:val="none"/>
        </w:rPr>
      </w:pPr>
      <w:r>
        <w:rPr>
          <w:rFonts w:hint="eastAsia" w:ascii="宋体" w:hAnsi="宋体" w:cs="宋体"/>
          <w:color w:val="auto"/>
          <w:kern w:val="0"/>
          <w:szCs w:val="21"/>
          <w:highlight w:val="none"/>
        </w:rPr>
        <w:t>代理人无转委托权。</w:t>
      </w:r>
    </w:p>
    <w:p w14:paraId="35C05FC1">
      <w:pPr>
        <w:adjustRightInd w:val="0"/>
        <w:snapToGrid w:val="0"/>
        <w:spacing w:beforeLines="50" w:line="360" w:lineRule="auto"/>
        <w:ind w:firstLine="435"/>
        <w:outlineLvl w:val="9"/>
        <w:rPr>
          <w:rFonts w:ascii="宋体"/>
          <w:color w:val="auto"/>
          <w:szCs w:val="21"/>
          <w:highlight w:val="none"/>
        </w:rPr>
      </w:pPr>
      <w:r>
        <w:rPr>
          <w:rFonts w:hint="eastAsia" w:ascii="宋体" w:hAnsi="宋体"/>
          <w:color w:val="auto"/>
          <w:szCs w:val="21"/>
          <w:highlight w:val="none"/>
        </w:rPr>
        <w:t>本授权书于年月日签字生效，特此声明。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FB2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8528" w:type="dxa"/>
            <w:noWrap/>
            <w:vAlign w:val="center"/>
          </w:tcPr>
          <w:p w14:paraId="5236CC27">
            <w:pPr>
              <w:adjustRightInd w:val="0"/>
              <w:snapToGrid w:val="0"/>
              <w:spacing w:beforeLines="50" w:line="360" w:lineRule="auto"/>
              <w:jc w:val="center"/>
              <w:outlineLvl w:val="9"/>
              <w:rPr>
                <w:rFonts w:ascii="宋体"/>
                <w:color w:val="auto"/>
                <w:szCs w:val="21"/>
                <w:highlight w:val="none"/>
              </w:rPr>
            </w:pPr>
            <w:r>
              <w:rPr>
                <w:rFonts w:hint="eastAsia" w:ascii="宋体" w:hAnsi="宋体"/>
                <w:color w:val="auto"/>
                <w:szCs w:val="21"/>
                <w:highlight w:val="none"/>
              </w:rPr>
              <w:t>法定代表人身份证复印件（正反面）</w:t>
            </w:r>
          </w:p>
        </w:tc>
      </w:tr>
    </w:tbl>
    <w:p w14:paraId="6FE18724">
      <w:pPr>
        <w:adjustRightInd w:val="0"/>
        <w:snapToGrid w:val="0"/>
        <w:spacing w:beforeLines="50" w:line="360" w:lineRule="auto"/>
        <w:ind w:firstLine="424" w:firstLineChars="200"/>
        <w:outlineLvl w:val="9"/>
        <w:rPr>
          <w:rFonts w:ascii="宋体"/>
          <w:color w:val="auto"/>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CF7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8528" w:type="dxa"/>
            <w:noWrap/>
            <w:vAlign w:val="center"/>
          </w:tcPr>
          <w:p w14:paraId="0B8A3C0D">
            <w:pPr>
              <w:adjustRightInd w:val="0"/>
              <w:snapToGrid w:val="0"/>
              <w:spacing w:beforeLines="50" w:line="360" w:lineRule="auto"/>
              <w:jc w:val="center"/>
              <w:outlineLvl w:val="9"/>
              <w:rPr>
                <w:rFonts w:ascii="宋体"/>
                <w:color w:val="auto"/>
                <w:szCs w:val="21"/>
                <w:highlight w:val="none"/>
              </w:rPr>
            </w:pPr>
            <w:r>
              <w:rPr>
                <w:rFonts w:hint="eastAsia" w:ascii="宋体" w:hAnsi="宋体"/>
                <w:color w:val="auto"/>
                <w:szCs w:val="21"/>
                <w:highlight w:val="none"/>
              </w:rPr>
              <w:t>委托代理人身份证复印件（正反面）</w:t>
            </w:r>
          </w:p>
        </w:tc>
      </w:tr>
    </w:tbl>
    <w:p w14:paraId="4AE2A7B7">
      <w:pPr>
        <w:adjustRightInd w:val="0"/>
        <w:snapToGrid w:val="0"/>
        <w:spacing w:beforeLines="50" w:line="360" w:lineRule="auto"/>
        <w:ind w:firstLine="424" w:firstLineChars="200"/>
        <w:outlineLvl w:val="9"/>
        <w:rPr>
          <w:rFonts w:ascii="宋体"/>
          <w:color w:val="auto"/>
          <w:szCs w:val="21"/>
          <w:highlight w:val="none"/>
        </w:rPr>
      </w:pPr>
    </w:p>
    <w:p w14:paraId="0D2A395F">
      <w:pPr>
        <w:adjustRightInd w:val="0"/>
        <w:snapToGrid w:val="0"/>
        <w:spacing w:beforeLines="50" w:line="360" w:lineRule="auto"/>
        <w:ind w:firstLine="424" w:firstLineChars="200"/>
        <w:outlineLvl w:val="9"/>
        <w:rPr>
          <w:rFonts w:ascii="宋体"/>
          <w:color w:val="auto"/>
          <w:szCs w:val="21"/>
          <w:highlight w:val="none"/>
        </w:rPr>
      </w:pPr>
    </w:p>
    <w:p w14:paraId="25F407DA">
      <w:pPr>
        <w:adjustRightInd w:val="0"/>
        <w:snapToGrid w:val="0"/>
        <w:spacing w:beforeLines="50"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68CFAB03">
      <w:pPr>
        <w:adjustRightInd w:val="0"/>
        <w:snapToGrid w:val="0"/>
        <w:spacing w:beforeLines="50" w:line="360" w:lineRule="auto"/>
        <w:ind w:right="420"/>
        <w:outlineLvl w:val="9"/>
        <w:rPr>
          <w:rFonts w:ascii="宋体"/>
          <w:color w:val="auto"/>
          <w:szCs w:val="21"/>
          <w:highlight w:val="none"/>
        </w:rPr>
      </w:pPr>
      <w:r>
        <w:rPr>
          <w:rFonts w:hint="eastAsia" w:ascii="宋体" w:hAnsi="宋体"/>
          <w:color w:val="auto"/>
          <w:szCs w:val="21"/>
          <w:highlight w:val="none"/>
        </w:rPr>
        <w:t>法定代表人（签字）：</w:t>
      </w:r>
    </w:p>
    <w:p w14:paraId="32CCDB85">
      <w:pPr>
        <w:adjustRightInd w:val="0"/>
        <w:snapToGrid w:val="0"/>
        <w:spacing w:beforeLines="50" w:line="360" w:lineRule="auto"/>
        <w:ind w:right="420"/>
        <w:outlineLvl w:val="9"/>
        <w:rPr>
          <w:rFonts w:ascii="宋体"/>
          <w:color w:val="auto"/>
          <w:szCs w:val="21"/>
          <w:highlight w:val="none"/>
        </w:rPr>
      </w:pPr>
      <w:r>
        <w:rPr>
          <w:rFonts w:hint="eastAsia" w:ascii="宋体" w:hAnsi="宋体"/>
          <w:color w:val="auto"/>
          <w:szCs w:val="21"/>
          <w:highlight w:val="none"/>
        </w:rPr>
        <w:t>委托代理人（签字）：</w:t>
      </w:r>
    </w:p>
    <w:p w14:paraId="687B74C2">
      <w:pPr>
        <w:adjustRightInd w:val="0"/>
        <w:snapToGrid w:val="0"/>
        <w:spacing w:beforeLines="50" w:line="360" w:lineRule="auto"/>
        <w:ind w:right="420"/>
        <w:outlineLvl w:val="9"/>
        <w:rPr>
          <w:rFonts w:ascii="宋体"/>
          <w:color w:val="auto"/>
          <w:szCs w:val="21"/>
          <w:highlight w:val="none"/>
        </w:rPr>
      </w:pPr>
      <w:r>
        <w:rPr>
          <w:rFonts w:hint="eastAsia" w:ascii="宋体" w:hAnsi="宋体"/>
          <w:color w:val="auto"/>
          <w:szCs w:val="21"/>
          <w:highlight w:val="none"/>
        </w:rPr>
        <w:t xml:space="preserve">                                                            年  月  日</w:t>
      </w:r>
    </w:p>
    <w:p w14:paraId="2F203584">
      <w:pPr>
        <w:adjustRightInd w:val="0"/>
        <w:snapToGrid w:val="0"/>
        <w:spacing w:line="360" w:lineRule="auto"/>
        <w:outlineLvl w:val="9"/>
        <w:rPr>
          <w:rFonts w:ascii="宋体"/>
          <w:color w:val="auto"/>
          <w:szCs w:val="21"/>
          <w:highlight w:val="none"/>
        </w:rPr>
      </w:pPr>
    </w:p>
    <w:p w14:paraId="785D3C0D">
      <w:pPr>
        <w:adjustRightInd w:val="0"/>
        <w:snapToGrid w:val="0"/>
        <w:outlineLvl w:val="9"/>
        <w:rPr>
          <w:rFonts w:ascii="黑体" w:hAnsi="华文中宋" w:eastAsia="黑体"/>
          <w:color w:val="auto"/>
          <w:szCs w:val="21"/>
          <w:highlight w:val="none"/>
        </w:rPr>
      </w:pPr>
    </w:p>
    <w:p w14:paraId="32E708F5">
      <w:pPr>
        <w:adjustRightInd w:val="0"/>
        <w:snapToGrid w:val="0"/>
        <w:jc w:val="center"/>
        <w:outlineLvl w:val="9"/>
        <w:rPr>
          <w:rFonts w:ascii="黑体" w:hAnsi="华文中宋" w:eastAsia="黑体"/>
          <w:color w:val="auto"/>
          <w:sz w:val="28"/>
          <w:szCs w:val="28"/>
          <w:highlight w:val="none"/>
        </w:rPr>
      </w:pPr>
      <w:r>
        <w:rPr>
          <w:rFonts w:hint="eastAsia" w:ascii="黑体" w:hAnsi="华文中宋" w:eastAsia="黑体"/>
          <w:color w:val="auto"/>
          <w:sz w:val="28"/>
          <w:szCs w:val="28"/>
          <w:highlight w:val="none"/>
          <w:lang w:val="en-US" w:eastAsia="zh-CN"/>
        </w:rPr>
        <w:t>六</w:t>
      </w:r>
      <w:r>
        <w:rPr>
          <w:rFonts w:hint="eastAsia" w:ascii="黑体" w:hAnsi="华文中宋" w:eastAsia="黑体"/>
          <w:color w:val="auto"/>
          <w:sz w:val="28"/>
          <w:szCs w:val="28"/>
          <w:highlight w:val="none"/>
        </w:rPr>
        <w:t>、</w:t>
      </w:r>
      <w:r>
        <w:rPr>
          <w:rFonts w:hint="eastAsia" w:ascii="黑体" w:hAnsi="华文中宋" w:eastAsia="黑体"/>
          <w:color w:val="auto"/>
          <w:sz w:val="28"/>
          <w:szCs w:val="28"/>
          <w:highlight w:val="none"/>
          <w:lang w:eastAsia="zh-CN"/>
        </w:rPr>
        <w:t>投标人的资格声明</w:t>
      </w:r>
    </w:p>
    <w:p w14:paraId="48AA0800">
      <w:pPr>
        <w:spacing w:line="360" w:lineRule="auto"/>
        <w:outlineLvl w:val="9"/>
        <w:rPr>
          <w:rFonts w:ascii="宋体" w:hAnsi="宋体" w:cs="宋体"/>
          <w:bCs/>
          <w:color w:val="auto"/>
          <w:kern w:val="0"/>
          <w:szCs w:val="21"/>
          <w:highlight w:val="none"/>
        </w:rPr>
      </w:pPr>
    </w:p>
    <w:p w14:paraId="40A413C0">
      <w:pPr>
        <w:spacing w:line="480" w:lineRule="exact"/>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江西安必信招标咨询有限公司：</w:t>
      </w:r>
    </w:p>
    <w:p w14:paraId="7D8C2E4C">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rPr>
        <w:t>我方承诺：</w:t>
      </w:r>
    </w:p>
    <w:p w14:paraId="2B8BA0C8">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rPr>
        <w:t>1、我方参与该项目投标，严格遵守</w:t>
      </w:r>
      <w:r>
        <w:rPr>
          <w:rFonts w:hint="eastAsia" w:ascii="宋体" w:hAnsi="宋体"/>
          <w:color w:val="auto"/>
          <w:szCs w:val="21"/>
          <w:highlight w:val="none"/>
          <w:lang w:eastAsia="zh-CN"/>
        </w:rPr>
        <w:t>招标</w:t>
      </w:r>
      <w:r>
        <w:rPr>
          <w:rFonts w:hint="eastAsia" w:ascii="宋体" w:hAnsi="宋体"/>
          <w:color w:val="auto"/>
          <w:szCs w:val="21"/>
          <w:highlight w:val="none"/>
        </w:rPr>
        <w:t>相关法律，投标做到诚实，不造假，不围标、串标、陪标。如违反上述要求，其投标将作无效处理，被列入不良记录名单并在网上曝光，同时将被提请</w:t>
      </w:r>
      <w:r>
        <w:rPr>
          <w:rFonts w:hint="eastAsia" w:ascii="宋体" w:hAnsi="宋体"/>
          <w:color w:val="auto"/>
          <w:szCs w:val="21"/>
          <w:highlight w:val="none"/>
          <w:lang w:eastAsia="zh-CN"/>
        </w:rPr>
        <w:t>招标</w:t>
      </w:r>
      <w:r>
        <w:rPr>
          <w:rFonts w:hint="eastAsia" w:ascii="宋体" w:hAnsi="宋体"/>
          <w:color w:val="auto"/>
          <w:szCs w:val="21"/>
          <w:highlight w:val="none"/>
        </w:rPr>
        <w:t>监督管理部门给予一定年限内禁止参与</w:t>
      </w:r>
      <w:r>
        <w:rPr>
          <w:rFonts w:hint="eastAsia" w:ascii="宋体" w:hAnsi="宋体"/>
          <w:color w:val="auto"/>
          <w:szCs w:val="21"/>
          <w:highlight w:val="none"/>
          <w:lang w:eastAsia="zh-CN"/>
        </w:rPr>
        <w:t>招标</w:t>
      </w:r>
      <w:r>
        <w:rPr>
          <w:rFonts w:hint="eastAsia" w:ascii="宋体" w:hAnsi="宋体"/>
          <w:color w:val="auto"/>
          <w:szCs w:val="21"/>
          <w:highlight w:val="none"/>
        </w:rPr>
        <w:t>活动或其他处罚。</w:t>
      </w:r>
    </w:p>
    <w:p w14:paraId="0F3BF192">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、我方如果中标，做到守信，依照本项目招标文件需求内容、签署的</w:t>
      </w:r>
      <w:r>
        <w:rPr>
          <w:rFonts w:hint="eastAsia" w:ascii="宋体" w:hAnsi="宋体"/>
          <w:color w:val="auto"/>
          <w:szCs w:val="21"/>
          <w:highlight w:val="none"/>
          <w:lang w:eastAsia="zh-CN"/>
        </w:rPr>
        <w:t>招标</w:t>
      </w:r>
      <w:r>
        <w:rPr>
          <w:rFonts w:hint="eastAsia" w:ascii="宋体" w:hAnsi="宋体"/>
          <w:color w:val="auto"/>
          <w:szCs w:val="21"/>
          <w:highlight w:val="none"/>
        </w:rPr>
        <w:t>合同及本公司在投标中所作的一切承诺履约。项目验收达到全部指标合格，力争优良。</w:t>
      </w:r>
    </w:p>
    <w:p w14:paraId="2D9CF389">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、我方承诺本项目的报价不低于我方的成本价，否则，我方清楚将面临投标无效的风险；我方承诺不恶意低价谋取中标；我方对本项目的报价负责，中标后将严格按照本项目招标文件需求、签署的</w:t>
      </w:r>
      <w:r>
        <w:rPr>
          <w:rFonts w:hint="eastAsia" w:ascii="宋体" w:hAnsi="宋体"/>
          <w:color w:val="auto"/>
          <w:szCs w:val="21"/>
          <w:highlight w:val="none"/>
          <w:lang w:eastAsia="zh-CN"/>
        </w:rPr>
        <w:t>招标</w:t>
      </w:r>
      <w:r>
        <w:rPr>
          <w:rFonts w:hint="eastAsia" w:ascii="宋体" w:hAnsi="宋体"/>
          <w:color w:val="auto"/>
          <w:szCs w:val="21"/>
          <w:highlight w:val="none"/>
        </w:rPr>
        <w:t>合同及我方在投标中所作的全部承诺履行。若我方以“报价太低而无法履约”为理由放弃本项目中标资格时，愿意接受主管部门的处理、处罚。若我方的报价以明显低于其他投标人的报价而中标时，本项目将成为重点监管、重点验收项目，我方将按时保质、保量完成，并全力配合有关监管、验收工作；若我方未按上述要求履约，我方愿意接受主管部门的处理、处罚。</w:t>
      </w:r>
    </w:p>
    <w:p w14:paraId="1F7515E4">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、我方承诺不非法转包、分包。</w:t>
      </w:r>
    </w:p>
    <w:p w14:paraId="02C76812">
      <w:pPr>
        <w:spacing w:line="480" w:lineRule="exact"/>
        <w:ind w:firstLine="424" w:firstLineChars="200"/>
        <w:outlineLvl w:val="9"/>
        <w:rPr>
          <w:rFonts w:ascii="宋体" w:hAnsi="宋体"/>
          <w:color w:val="auto"/>
          <w:szCs w:val="21"/>
          <w:highlight w:val="none"/>
        </w:rPr>
      </w:pPr>
      <w:r>
        <w:rPr>
          <w:rFonts w:hint="eastAsia" w:ascii="宋体" w:hAnsi="宋体"/>
          <w:color w:val="auto"/>
          <w:szCs w:val="21"/>
          <w:highlight w:val="none"/>
        </w:rPr>
        <w:t>以上承诺如有违反，愿依照国家相关法律处理，并承担由此给</w:t>
      </w:r>
      <w:r>
        <w:rPr>
          <w:rFonts w:hint="eastAsia" w:ascii="宋体" w:hAnsi="宋体"/>
          <w:color w:val="auto"/>
          <w:szCs w:val="21"/>
          <w:highlight w:val="none"/>
          <w:lang w:eastAsia="zh-CN"/>
        </w:rPr>
        <w:t>采购人</w:t>
      </w:r>
      <w:r>
        <w:rPr>
          <w:rFonts w:hint="eastAsia" w:ascii="宋体" w:hAnsi="宋体"/>
          <w:color w:val="auto"/>
          <w:szCs w:val="21"/>
          <w:highlight w:val="none"/>
        </w:rPr>
        <w:t>带来的损失。</w:t>
      </w:r>
    </w:p>
    <w:p w14:paraId="5A1C58E9">
      <w:pPr>
        <w:adjustRightInd w:val="0"/>
        <w:snapToGrid w:val="0"/>
        <w:spacing w:before="50" w:line="360" w:lineRule="auto"/>
        <w:outlineLvl w:val="9"/>
        <w:rPr>
          <w:rFonts w:ascii="宋体" w:hAnsi="宋体"/>
          <w:color w:val="auto"/>
          <w:szCs w:val="21"/>
          <w:highlight w:val="none"/>
        </w:rPr>
      </w:pPr>
    </w:p>
    <w:p w14:paraId="5512F862">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518ADBDD">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028DADB2">
      <w:pPr>
        <w:adjustRightInd w:val="0"/>
        <w:snapToGrid w:val="0"/>
        <w:spacing w:before="50" w:line="360" w:lineRule="auto"/>
        <w:outlineLvl w:val="9"/>
        <w:rPr>
          <w:rFonts w:ascii="宋体"/>
          <w:color w:val="auto"/>
          <w:szCs w:val="21"/>
          <w:highlight w:val="none"/>
        </w:rPr>
      </w:pPr>
      <w:r>
        <w:rPr>
          <w:rFonts w:hint="eastAsia" w:ascii="宋体" w:hAnsi="宋体"/>
          <w:color w:val="auto"/>
          <w:szCs w:val="21"/>
          <w:highlight w:val="none"/>
        </w:rPr>
        <w:t>日期：  年  月  日</w:t>
      </w:r>
    </w:p>
    <w:p w14:paraId="216D8546">
      <w:pPr>
        <w:adjustRightInd w:val="0"/>
        <w:snapToGrid w:val="0"/>
        <w:spacing w:line="360" w:lineRule="auto"/>
        <w:jc w:val="center"/>
        <w:outlineLvl w:val="9"/>
        <w:rPr>
          <w:rFonts w:ascii="黑体" w:hAnsi="Courier New" w:eastAsia="黑体" w:cs="Courier New"/>
          <w:bCs/>
          <w:color w:val="auto"/>
          <w:sz w:val="28"/>
          <w:szCs w:val="28"/>
          <w:highlight w:val="none"/>
        </w:rPr>
      </w:pPr>
      <w:r>
        <w:rPr>
          <w:rFonts w:hint="eastAsia" w:ascii="黑体" w:hAnsi="Courier New" w:eastAsia="黑体" w:cs="Courier New"/>
          <w:bCs/>
          <w:color w:val="auto"/>
          <w:sz w:val="28"/>
          <w:szCs w:val="28"/>
          <w:highlight w:val="none"/>
        </w:rPr>
        <w:br w:type="page"/>
      </w:r>
      <w:r>
        <w:rPr>
          <w:rFonts w:hint="eastAsia" w:ascii="黑体" w:hAnsi="Courier New" w:eastAsia="黑体" w:cs="Courier New"/>
          <w:bCs/>
          <w:color w:val="auto"/>
          <w:sz w:val="28"/>
          <w:szCs w:val="28"/>
          <w:highlight w:val="none"/>
          <w:lang w:val="en-US" w:eastAsia="zh-CN"/>
        </w:rPr>
        <w:t>七</w:t>
      </w:r>
      <w:r>
        <w:rPr>
          <w:rFonts w:hint="eastAsia" w:ascii="黑体" w:hAnsi="Courier New" w:eastAsia="黑体" w:cs="Courier New"/>
          <w:bCs/>
          <w:color w:val="auto"/>
          <w:sz w:val="28"/>
          <w:szCs w:val="28"/>
          <w:highlight w:val="none"/>
        </w:rPr>
        <w:t>、资格证明文件</w:t>
      </w:r>
      <w:bookmarkStart w:id="71" w:name="_Toc294206743"/>
      <w:bookmarkStart w:id="72" w:name="_Toc294186060"/>
    </w:p>
    <w:bookmarkEnd w:id="71"/>
    <w:bookmarkEnd w:id="72"/>
    <w:p w14:paraId="303444C0">
      <w:pPr>
        <w:adjustRightInd w:val="0"/>
        <w:snapToGrid w:val="0"/>
        <w:spacing w:beforeLines="50" w:line="360" w:lineRule="auto"/>
        <w:ind w:right="420"/>
        <w:jc w:val="center"/>
        <w:outlineLvl w:val="9"/>
        <w:rPr>
          <w:rFonts w:ascii="黑体" w:hAnsi="华文中宋" w:eastAsia="黑体"/>
          <w:b/>
          <w:color w:val="auto"/>
          <w:sz w:val="24"/>
          <w:highlight w:val="none"/>
        </w:rPr>
      </w:pPr>
      <w:bookmarkStart w:id="73" w:name="_Toc294186063"/>
      <w:bookmarkStart w:id="74" w:name="_Toc294206746"/>
      <w:r>
        <w:rPr>
          <w:rFonts w:hint="eastAsia" w:ascii="黑体" w:hAnsi="华文中宋" w:eastAsia="黑体"/>
          <w:color w:val="auto"/>
          <w:sz w:val="24"/>
          <w:highlight w:val="none"/>
        </w:rPr>
        <w:t>（一）投标人基本情况</w:t>
      </w:r>
      <w:bookmarkEnd w:id="73"/>
      <w:bookmarkEnd w:id="74"/>
    </w:p>
    <w:p w14:paraId="5F515572">
      <w:pPr>
        <w:adjustRightInd w:val="0"/>
        <w:snapToGrid w:val="0"/>
        <w:spacing w:line="360" w:lineRule="auto"/>
        <w:outlineLvl w:val="9"/>
        <w:rPr>
          <w:rFonts w:ascii="黑体" w:hAnsi="华文中宋" w:eastAsia="黑体"/>
          <w:color w:val="auto"/>
          <w:szCs w:val="21"/>
          <w:highlight w:val="none"/>
        </w:rPr>
      </w:pPr>
    </w:p>
    <w:p w14:paraId="62CBD18C">
      <w:pPr>
        <w:adjustRightInd w:val="0"/>
        <w:snapToGrid w:val="0"/>
        <w:spacing w:line="360" w:lineRule="auto"/>
        <w:ind w:firstLine="424" w:firstLineChars="200"/>
        <w:outlineLvl w:val="9"/>
        <w:rPr>
          <w:rFonts w:ascii="宋体" w:hAnsi="宋体" w:cs="宋体"/>
          <w:color w:val="auto"/>
          <w:szCs w:val="21"/>
          <w:highlight w:val="none"/>
        </w:rPr>
      </w:pPr>
      <w:bookmarkStart w:id="75" w:name="_Toc294206747"/>
      <w:bookmarkStart w:id="76" w:name="_Toc294186064"/>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名称及概况：</w:t>
      </w:r>
    </w:p>
    <w:p w14:paraId="56FE29DB">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名称：</w:t>
      </w:r>
    </w:p>
    <w:p w14:paraId="621421E0">
      <w:pPr>
        <w:adjustRightInd w:val="0"/>
        <w:snapToGrid w:val="0"/>
        <w:spacing w:line="360" w:lineRule="auto"/>
        <w:ind w:firstLine="424" w:firstLineChars="200"/>
        <w:outlineLvl w:val="9"/>
        <w:rPr>
          <w:rFonts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地址：</w:t>
      </w:r>
    </w:p>
    <w:p w14:paraId="143E6E70">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传真/电话号码：邮政编码：</w:t>
      </w:r>
    </w:p>
    <w:p w14:paraId="51961D90">
      <w:pPr>
        <w:adjustRightInd w:val="0"/>
        <w:snapToGrid w:val="0"/>
        <w:spacing w:line="360" w:lineRule="auto"/>
        <w:ind w:firstLine="424" w:firstLineChars="200"/>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开户行：</w:t>
      </w:r>
    </w:p>
    <w:p w14:paraId="3022A6F8">
      <w:pPr>
        <w:adjustRightInd w:val="0"/>
        <w:snapToGrid w:val="0"/>
        <w:spacing w:line="360" w:lineRule="auto"/>
        <w:ind w:firstLine="424" w:firstLineChars="200"/>
        <w:outlineLvl w:val="9"/>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开户账号：</w:t>
      </w:r>
    </w:p>
    <w:p w14:paraId="37060B05">
      <w:pPr>
        <w:adjustRightInd w:val="0"/>
        <w:snapToGrid w:val="0"/>
        <w:spacing w:line="360" w:lineRule="auto"/>
        <w:ind w:firstLine="424" w:firstLineChars="200"/>
        <w:outlineLvl w:val="9"/>
        <w:rPr>
          <w:rFonts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成立或注册日期：</w:t>
      </w:r>
    </w:p>
    <w:p w14:paraId="531F3CCD">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注册号码：</w:t>
      </w:r>
    </w:p>
    <w:p w14:paraId="3C4C3B8B">
      <w:pPr>
        <w:adjustRightInd w:val="0"/>
        <w:snapToGrid w:val="0"/>
        <w:spacing w:line="360" w:lineRule="auto"/>
        <w:ind w:firstLine="424" w:firstLineChars="200"/>
        <w:outlineLvl w:val="9"/>
        <w:rPr>
          <w:rFonts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法定代表人姓名：</w:t>
      </w:r>
    </w:p>
    <w:p w14:paraId="5D332C5A">
      <w:pPr>
        <w:adjustRightInd w:val="0"/>
        <w:snapToGrid w:val="0"/>
        <w:spacing w:line="360" w:lineRule="auto"/>
        <w:ind w:firstLine="424" w:firstLineChars="200"/>
        <w:outlineLvl w:val="9"/>
        <w:rPr>
          <w:rFonts w:ascii="宋体" w:hAnsi="宋体" w:cs="宋体"/>
          <w:color w:val="auto"/>
          <w:szCs w:val="21"/>
          <w:highlight w:val="none"/>
        </w:rPr>
      </w:pPr>
      <w:r>
        <w:rPr>
          <w:rFonts w:hint="eastAsia" w:ascii="宋体" w:hAnsi="宋体" w:cs="宋体"/>
          <w:color w:val="auto"/>
          <w:szCs w:val="21"/>
          <w:highlight w:val="none"/>
        </w:rPr>
        <w:t>2、 经营范围：</w:t>
      </w:r>
    </w:p>
    <w:p w14:paraId="1CCD3ABC">
      <w:pPr>
        <w:adjustRightInd w:val="0"/>
        <w:snapToGrid w:val="0"/>
        <w:spacing w:line="360" w:lineRule="auto"/>
        <w:ind w:firstLine="424" w:firstLineChars="200"/>
        <w:outlineLvl w:val="9"/>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、近年营业额：</w:t>
      </w:r>
    </w:p>
    <w:tbl>
      <w:tblPr>
        <w:tblStyle w:val="21"/>
        <w:tblW w:w="0" w:type="auto"/>
        <w:tblInd w:w="10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4874"/>
      </w:tblGrid>
      <w:tr w14:paraId="190C5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3449366C">
            <w:pPr>
              <w:adjustRightInd w:val="0"/>
              <w:snapToGrid w:val="0"/>
              <w:spacing w:line="360" w:lineRule="auto"/>
              <w:ind w:firstLine="424" w:firstLineChars="200"/>
              <w:jc w:val="center"/>
              <w:outlineLvl w:val="9"/>
              <w:rPr>
                <w:rFonts w:ascii="宋体"/>
                <w:color w:val="auto"/>
                <w:szCs w:val="21"/>
                <w:highlight w:val="none"/>
              </w:rPr>
            </w:pPr>
            <w:r>
              <w:rPr>
                <w:rFonts w:hint="eastAsia" w:ascii="宋体" w:hAnsi="宋体"/>
                <w:color w:val="auto"/>
                <w:szCs w:val="21"/>
                <w:highlight w:val="none"/>
              </w:rPr>
              <w:t>年度</w:t>
            </w:r>
          </w:p>
        </w:tc>
        <w:tc>
          <w:tcPr>
            <w:tcW w:w="4874" w:type="dxa"/>
            <w:noWrap/>
          </w:tcPr>
          <w:p w14:paraId="50901E23">
            <w:pPr>
              <w:adjustRightInd w:val="0"/>
              <w:snapToGrid w:val="0"/>
              <w:spacing w:line="360" w:lineRule="auto"/>
              <w:ind w:firstLine="424" w:firstLineChars="200"/>
              <w:jc w:val="center"/>
              <w:outlineLvl w:val="9"/>
              <w:rPr>
                <w:rFonts w:ascii="宋体"/>
                <w:color w:val="auto"/>
                <w:szCs w:val="21"/>
                <w:highlight w:val="none"/>
              </w:rPr>
            </w:pPr>
            <w:r>
              <w:rPr>
                <w:rFonts w:hint="eastAsia" w:ascii="宋体" w:hAnsi="宋体"/>
                <w:color w:val="auto"/>
                <w:szCs w:val="21"/>
                <w:highlight w:val="none"/>
              </w:rPr>
              <w:t>总额</w:t>
            </w:r>
          </w:p>
        </w:tc>
      </w:tr>
      <w:tr w14:paraId="24AB2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03625738">
            <w:pPr>
              <w:adjustRightInd w:val="0"/>
              <w:snapToGrid w:val="0"/>
              <w:spacing w:line="360" w:lineRule="auto"/>
              <w:ind w:firstLine="424" w:firstLineChars="200"/>
              <w:outlineLvl w:val="9"/>
              <w:rPr>
                <w:rFonts w:ascii="宋体"/>
                <w:color w:val="auto"/>
                <w:szCs w:val="21"/>
                <w:highlight w:val="none"/>
              </w:rPr>
            </w:pPr>
          </w:p>
        </w:tc>
        <w:tc>
          <w:tcPr>
            <w:tcW w:w="4874" w:type="dxa"/>
            <w:noWrap/>
          </w:tcPr>
          <w:p w14:paraId="367FB365">
            <w:pPr>
              <w:adjustRightInd w:val="0"/>
              <w:snapToGrid w:val="0"/>
              <w:spacing w:line="360" w:lineRule="auto"/>
              <w:ind w:firstLine="424" w:firstLineChars="200"/>
              <w:outlineLvl w:val="9"/>
              <w:rPr>
                <w:rFonts w:ascii="宋体"/>
                <w:color w:val="auto"/>
                <w:szCs w:val="21"/>
                <w:highlight w:val="none"/>
              </w:rPr>
            </w:pPr>
          </w:p>
        </w:tc>
      </w:tr>
      <w:tr w14:paraId="6D5C0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14D7B5D9">
            <w:pPr>
              <w:adjustRightInd w:val="0"/>
              <w:snapToGrid w:val="0"/>
              <w:spacing w:line="360" w:lineRule="auto"/>
              <w:ind w:firstLine="424" w:firstLineChars="200"/>
              <w:outlineLvl w:val="9"/>
              <w:rPr>
                <w:rFonts w:ascii="宋体"/>
                <w:color w:val="auto"/>
                <w:szCs w:val="21"/>
                <w:highlight w:val="none"/>
              </w:rPr>
            </w:pPr>
          </w:p>
        </w:tc>
        <w:tc>
          <w:tcPr>
            <w:tcW w:w="4874" w:type="dxa"/>
            <w:noWrap/>
          </w:tcPr>
          <w:p w14:paraId="5986247C">
            <w:pPr>
              <w:adjustRightInd w:val="0"/>
              <w:snapToGrid w:val="0"/>
              <w:spacing w:line="360" w:lineRule="auto"/>
              <w:ind w:firstLine="424" w:firstLineChars="200"/>
              <w:outlineLvl w:val="9"/>
              <w:rPr>
                <w:rFonts w:ascii="宋体"/>
                <w:color w:val="auto"/>
                <w:szCs w:val="21"/>
                <w:highlight w:val="none"/>
              </w:rPr>
            </w:pPr>
          </w:p>
        </w:tc>
      </w:tr>
      <w:tr w14:paraId="575C6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700" w:type="dxa"/>
            <w:noWrap/>
          </w:tcPr>
          <w:p w14:paraId="750C6E6E">
            <w:pPr>
              <w:adjustRightInd w:val="0"/>
              <w:snapToGrid w:val="0"/>
              <w:spacing w:line="360" w:lineRule="auto"/>
              <w:ind w:firstLine="424" w:firstLineChars="200"/>
              <w:outlineLvl w:val="9"/>
              <w:rPr>
                <w:rFonts w:ascii="宋体"/>
                <w:color w:val="auto"/>
                <w:szCs w:val="21"/>
                <w:highlight w:val="none"/>
              </w:rPr>
            </w:pPr>
          </w:p>
        </w:tc>
        <w:tc>
          <w:tcPr>
            <w:tcW w:w="4874" w:type="dxa"/>
            <w:noWrap/>
          </w:tcPr>
          <w:p w14:paraId="57E7FAD3">
            <w:pPr>
              <w:adjustRightInd w:val="0"/>
              <w:snapToGrid w:val="0"/>
              <w:spacing w:line="360" w:lineRule="auto"/>
              <w:ind w:firstLine="424" w:firstLineChars="200"/>
              <w:outlineLvl w:val="9"/>
              <w:rPr>
                <w:rFonts w:ascii="宋体"/>
                <w:color w:val="auto"/>
                <w:szCs w:val="21"/>
                <w:highlight w:val="none"/>
              </w:rPr>
            </w:pPr>
          </w:p>
        </w:tc>
      </w:tr>
    </w:tbl>
    <w:p w14:paraId="70187C88">
      <w:pPr>
        <w:adjustRightInd w:val="0"/>
        <w:snapToGrid w:val="0"/>
        <w:spacing w:line="360" w:lineRule="auto"/>
        <w:ind w:firstLine="424" w:firstLineChars="200"/>
        <w:outlineLvl w:val="9"/>
        <w:rPr>
          <w:rFonts w:ascii="宋体" w:hAnsi="宋体"/>
          <w:color w:val="auto"/>
          <w:szCs w:val="21"/>
          <w:highlight w:val="none"/>
        </w:rPr>
      </w:pPr>
    </w:p>
    <w:p w14:paraId="06B03A27">
      <w:pPr>
        <w:adjustRightInd w:val="0"/>
        <w:snapToGrid w:val="0"/>
        <w:spacing w:line="360" w:lineRule="auto"/>
        <w:ind w:firstLine="424" w:firstLineChars="200"/>
        <w:outlineLvl w:val="9"/>
        <w:rPr>
          <w:rFonts w:ascii="宋体"/>
          <w:color w:val="auto"/>
          <w:szCs w:val="21"/>
          <w:highlight w:val="none"/>
        </w:rPr>
      </w:pPr>
      <w:r>
        <w:rPr>
          <w:rFonts w:hint="eastAsia" w:ascii="宋体" w:hAnsi="宋体"/>
          <w:color w:val="auto"/>
          <w:szCs w:val="21"/>
          <w:highlight w:val="none"/>
        </w:rPr>
        <w:t>兹声明上述数据和资料是真实、正确的。</w:t>
      </w:r>
    </w:p>
    <w:p w14:paraId="50052514">
      <w:pPr>
        <w:widowControl/>
        <w:adjustRightInd w:val="0"/>
        <w:snapToGrid w:val="0"/>
        <w:spacing w:line="360" w:lineRule="auto"/>
        <w:ind w:firstLine="424" w:firstLineChars="200"/>
        <w:outlineLvl w:val="9"/>
        <w:rPr>
          <w:rFonts w:ascii="??_GB2312" w:hAnsi="??_GB2312" w:eastAsia="Times New Roman"/>
          <w:color w:val="auto"/>
          <w:szCs w:val="21"/>
          <w:highlight w:val="none"/>
        </w:rPr>
      </w:pPr>
    </w:p>
    <w:p w14:paraId="7D3E17B6">
      <w:pPr>
        <w:widowControl/>
        <w:adjustRightInd w:val="0"/>
        <w:snapToGrid w:val="0"/>
        <w:spacing w:line="360" w:lineRule="auto"/>
        <w:ind w:firstLine="424" w:firstLineChars="200"/>
        <w:outlineLvl w:val="9"/>
        <w:rPr>
          <w:rFonts w:ascii="??_GB2312" w:hAnsi="??_GB2312" w:eastAsia="Times New Roman"/>
          <w:color w:val="auto"/>
          <w:szCs w:val="21"/>
          <w:highlight w:val="none"/>
        </w:rPr>
      </w:pPr>
    </w:p>
    <w:p w14:paraId="02C2D249">
      <w:pPr>
        <w:widowControl/>
        <w:adjustRightInd w:val="0"/>
        <w:snapToGrid w:val="0"/>
        <w:spacing w:line="360" w:lineRule="auto"/>
        <w:ind w:firstLine="424" w:firstLineChars="200"/>
        <w:outlineLvl w:val="9"/>
        <w:rPr>
          <w:rFonts w:ascii="??_GB2312" w:hAnsi="??_GB2312" w:eastAsia="Times New Roman"/>
          <w:color w:val="auto"/>
          <w:szCs w:val="21"/>
          <w:highlight w:val="none"/>
        </w:rPr>
      </w:pPr>
    </w:p>
    <w:p w14:paraId="0617DAB7">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投标人名称（单位章）：</w:t>
      </w:r>
    </w:p>
    <w:p w14:paraId="317EA1B2">
      <w:pPr>
        <w:adjustRightInd w:val="0"/>
        <w:snapToGrid w:val="0"/>
        <w:spacing w:line="360" w:lineRule="auto"/>
        <w:outlineLvl w:val="9"/>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0D6D45CD">
      <w:pPr>
        <w:adjustRightInd w:val="0"/>
        <w:snapToGrid w:val="0"/>
        <w:spacing w:line="360" w:lineRule="auto"/>
        <w:outlineLvl w:val="9"/>
        <w:rPr>
          <w:rFonts w:ascii="宋体"/>
          <w:color w:val="auto"/>
          <w:szCs w:val="21"/>
          <w:highlight w:val="none"/>
        </w:rPr>
        <w:sectPr>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pPr>
      <w:r>
        <w:rPr>
          <w:rFonts w:hint="eastAsia" w:ascii="宋体" w:hAnsi="宋体"/>
          <w:color w:val="auto"/>
          <w:szCs w:val="21"/>
          <w:highlight w:val="none"/>
        </w:rPr>
        <w:t>日期：  年  月  日</w:t>
      </w:r>
    </w:p>
    <w:bookmarkEnd w:id="75"/>
    <w:bookmarkEnd w:id="76"/>
    <w:p w14:paraId="35AF5ADA">
      <w:pPr>
        <w:adjustRightInd w:val="0"/>
        <w:snapToGrid w:val="0"/>
        <w:spacing w:before="163" w:beforeLines="50" w:line="360" w:lineRule="auto"/>
        <w:ind w:right="420"/>
        <w:jc w:val="center"/>
        <w:rPr>
          <w:rFonts w:hint="eastAsia" w:ascii="黑体" w:hAnsi="华文中宋" w:eastAsia="黑体" w:cs="Times New Roman"/>
          <w:color w:val="auto"/>
          <w:sz w:val="24"/>
          <w:highlight w:val="none"/>
          <w:lang w:eastAsia="zh-CN"/>
        </w:rPr>
      </w:pPr>
      <w:bookmarkStart w:id="77" w:name="_Toc25309"/>
      <w:bookmarkStart w:id="78" w:name="_Toc25064"/>
      <w:bookmarkStart w:id="79" w:name="_Toc6115"/>
      <w:bookmarkStart w:id="80" w:name="_Toc30274"/>
      <w:bookmarkStart w:id="81" w:name="_Toc21441"/>
      <w:r>
        <w:rPr>
          <w:rFonts w:hint="eastAsia" w:ascii="黑体" w:hAnsi="华文中宋" w:eastAsia="黑体" w:cs="Times New Roman"/>
          <w:color w:val="auto"/>
          <w:sz w:val="24"/>
          <w:highlight w:val="none"/>
          <w:lang w:eastAsia="zh-CN"/>
        </w:rPr>
        <w:t>（</w:t>
      </w:r>
      <w:r>
        <w:rPr>
          <w:rFonts w:hint="eastAsia" w:ascii="黑体" w:hAnsi="华文中宋" w:eastAsia="黑体" w:cs="Times New Roman"/>
          <w:color w:val="auto"/>
          <w:sz w:val="24"/>
          <w:highlight w:val="none"/>
          <w:lang w:val="en-US" w:eastAsia="zh-CN"/>
        </w:rPr>
        <w:t>二</w:t>
      </w:r>
      <w:r>
        <w:rPr>
          <w:rFonts w:hint="eastAsia" w:ascii="黑体" w:hAnsi="华文中宋" w:eastAsia="黑体" w:cs="Times New Roman"/>
          <w:color w:val="auto"/>
          <w:sz w:val="24"/>
          <w:highlight w:val="none"/>
          <w:lang w:eastAsia="zh-CN"/>
        </w:rPr>
        <w:t>）</w:t>
      </w:r>
      <w:r>
        <w:rPr>
          <w:rFonts w:hint="eastAsia" w:ascii="黑体" w:hAnsi="华文中宋" w:eastAsia="黑体" w:cs="Times New Roman"/>
          <w:color w:val="auto"/>
          <w:sz w:val="24"/>
          <w:highlight w:val="none"/>
        </w:rPr>
        <w:t>资格证明文件</w:t>
      </w:r>
    </w:p>
    <w:p w14:paraId="237CE782">
      <w:pPr>
        <w:pStyle w:val="6"/>
        <w:pageBreakBefore w:val="0"/>
        <w:numPr>
          <w:ilvl w:val="4"/>
          <w:numId w:val="0"/>
        </w:numPr>
        <w:tabs>
          <w:tab w:val="left" w:pos="800"/>
          <w:tab w:val="left" w:pos="1115"/>
          <w:tab w:val="clear" w:pos="425"/>
          <w:tab w:val="clear" w:pos="1008"/>
        </w:tabs>
        <w:kinsoku/>
        <w:wordWrap w:val="0"/>
        <w:overflowPunct/>
        <w:topLinePunct w:val="0"/>
        <w:bidi w:val="0"/>
        <w:spacing w:before="0" w:after="0" w:line="360" w:lineRule="auto"/>
        <w:ind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具有独立承担民事责任的能力的资格证明文件；</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根据单位性质提供相应的证明：如营业执照、民办非企业证、统一社会信用代码证书或自然人的身份证等，提供</w:t>
      </w:r>
      <w:r>
        <w:rPr>
          <w:rFonts w:hint="eastAsia" w:ascii="宋体" w:hAnsi="宋体" w:eastAsia="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 xml:space="preserve">加盖公章。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rPr>
        <w:t>2、</w:t>
      </w:r>
      <w:r>
        <w:rPr>
          <w:rFonts w:hint="eastAsia" w:ascii="宋体" w:hAnsi="宋体" w:eastAsia="宋体" w:cs="宋体"/>
          <w:b w:val="0"/>
          <w:bCs w:val="0"/>
          <w:color w:val="auto"/>
          <w:sz w:val="21"/>
          <w:szCs w:val="21"/>
          <w:highlight w:val="none"/>
        </w:rPr>
        <w:t>具有良好的商业信誉和健全的财务会计制度；</w:t>
      </w:r>
      <w:r>
        <w:rPr>
          <w:rFonts w:hint="eastAsia" w:ascii="宋体" w:hAnsi="宋体" w:eastAsia="宋体" w:cs="宋体"/>
          <w:color w:val="auto"/>
          <w:sz w:val="21"/>
          <w:szCs w:val="21"/>
          <w:highlight w:val="none"/>
        </w:rPr>
        <w:t>提供开标前近六个月其中任意一个月的财务报表或近两年内任意一年的财务审计报告或在开标前三个月内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基本账户开户银行出具的资信证明</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加盖公章）</w:t>
      </w:r>
    </w:p>
    <w:p w14:paraId="187FAA55">
      <w:pPr>
        <w:pStyle w:val="10"/>
        <w:pageBreakBefore w:val="0"/>
        <w:kinsoku/>
        <w:wordWrap w:val="0"/>
        <w:overflowPunct/>
        <w:topLinePunct w:val="0"/>
        <w:bidi w:val="0"/>
        <w:spacing w:before="0" w:line="360" w:lineRule="auto"/>
        <w:ind w:left="0" w:leftChars="0" w:firstLine="436"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spacing w:val="3"/>
          <w:sz w:val="21"/>
          <w:szCs w:val="21"/>
          <w:highlight w:val="none"/>
        </w:rPr>
        <w:t>3、</w:t>
      </w:r>
      <w:r>
        <w:rPr>
          <w:rFonts w:hint="eastAsia" w:ascii="宋体" w:hAnsi="宋体" w:eastAsia="宋体" w:cs="宋体"/>
          <w:b/>
          <w:bCs/>
          <w:color w:val="auto"/>
          <w:sz w:val="21"/>
          <w:szCs w:val="21"/>
          <w:highlight w:val="none"/>
        </w:rPr>
        <w:t>有依法缴纳税收和社会保障资金的良好记录；</w:t>
      </w:r>
      <w:r>
        <w:rPr>
          <w:rFonts w:hint="eastAsia" w:ascii="宋体" w:hAnsi="宋体" w:eastAsia="宋体" w:cs="宋体"/>
          <w:color w:val="auto"/>
          <w:sz w:val="21"/>
          <w:szCs w:val="21"/>
          <w:highlight w:val="none"/>
        </w:rPr>
        <w:t>（提供开标前六个月任意一个月的税收和社保缴纳凭证</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加盖公章；依法免税或不需要缴纳社会保障资金的</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color w:val="auto"/>
          <w:sz w:val="21"/>
          <w:szCs w:val="21"/>
          <w:highlight w:val="none"/>
        </w:rPr>
        <w:t>，应当提供依法免税或不需要缴纳社会保障资金相关证明文件</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加盖公章）</w:t>
      </w:r>
    </w:p>
    <w:p w14:paraId="3ACF4933">
      <w:pPr>
        <w:pStyle w:val="10"/>
        <w:pageBreakBefore w:val="0"/>
        <w:kinsoku/>
        <w:wordWrap w:val="0"/>
        <w:overflowPunct/>
        <w:topLinePunct w:val="0"/>
        <w:bidi w:val="0"/>
        <w:spacing w:before="0" w:line="360" w:lineRule="auto"/>
        <w:ind w:left="0" w:leftChars="0" w:firstLine="436"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spacing w:val="3"/>
          <w:sz w:val="21"/>
          <w:szCs w:val="21"/>
          <w:highlight w:val="none"/>
        </w:rPr>
        <w:t>4、</w:t>
      </w:r>
      <w:r>
        <w:rPr>
          <w:rFonts w:hint="eastAsia" w:ascii="宋体" w:hAnsi="宋体" w:eastAsia="宋体" w:cs="宋体"/>
          <w:b/>
          <w:bCs/>
          <w:color w:val="auto"/>
          <w:sz w:val="21"/>
          <w:szCs w:val="21"/>
          <w:highlight w:val="none"/>
        </w:rPr>
        <w:t>具有履行合同所必须的设备和专业技术能力</w:t>
      </w:r>
      <w:r>
        <w:rPr>
          <w:rFonts w:hint="eastAsia"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（承诺函加盖公章）</w:t>
      </w:r>
    </w:p>
    <w:p w14:paraId="3D1B6409">
      <w:pPr>
        <w:pageBreakBefore w:val="0"/>
        <w:widowControl/>
        <w:kinsoku/>
        <w:wordWrap w:val="0"/>
        <w:overflowPunct/>
        <w:topLinePunct w:val="0"/>
        <w:bidi w:val="0"/>
        <w:spacing w:line="360" w:lineRule="auto"/>
        <w:ind w:leftChars="0" w:firstLine="424"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5、参加</w:t>
      </w:r>
      <w:r>
        <w:rPr>
          <w:rFonts w:hint="eastAsia" w:ascii="宋体" w:hAnsi="宋体" w:cs="宋体"/>
          <w:b/>
          <w:bCs/>
          <w:color w:val="auto"/>
          <w:szCs w:val="21"/>
          <w:highlight w:val="none"/>
          <w:lang w:val="en-US" w:eastAsia="zh-CN"/>
        </w:rPr>
        <w:t>项目</w:t>
      </w:r>
      <w:r>
        <w:rPr>
          <w:rFonts w:hint="eastAsia" w:ascii="宋体" w:hAnsi="宋体" w:eastAsia="宋体" w:cs="宋体"/>
          <w:b/>
          <w:bCs/>
          <w:color w:val="auto"/>
          <w:szCs w:val="21"/>
          <w:highlight w:val="none"/>
        </w:rPr>
        <w:t>前三年内，在经营活动中没有重大违法记录；</w:t>
      </w:r>
      <w:r>
        <w:rPr>
          <w:rFonts w:hint="eastAsia" w:ascii="宋体" w:hAnsi="宋体" w:eastAsia="宋体" w:cs="宋体"/>
          <w:color w:val="auto"/>
          <w:szCs w:val="21"/>
          <w:highlight w:val="none"/>
        </w:rPr>
        <w:t>（承诺函加盖公章）</w:t>
      </w:r>
    </w:p>
    <w:p w14:paraId="1AC8FE42">
      <w:pPr>
        <w:pageBreakBefore w:val="0"/>
        <w:kinsoku/>
        <w:wordWrap w:val="0"/>
        <w:overflowPunct/>
        <w:topLinePunct w:val="0"/>
        <w:bidi w:val="0"/>
        <w:adjustRightInd w:val="0"/>
        <w:snapToGrid w:val="0"/>
        <w:spacing w:line="360" w:lineRule="auto"/>
        <w:ind w:leftChars="0" w:firstLine="424"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、法定代表人授权书（见</w:t>
      </w:r>
      <w:r>
        <w:rPr>
          <w:rFonts w:hint="eastAsia" w:ascii="宋体" w:hAnsi="宋体" w:cs="宋体"/>
          <w:color w:val="auto"/>
          <w:kern w:val="0"/>
          <w:szCs w:val="21"/>
          <w:highlight w:val="none"/>
          <w:lang w:val="en-US" w:eastAsia="zh-CN"/>
        </w:rPr>
        <w:t>招标文件</w:t>
      </w:r>
      <w:r>
        <w:rPr>
          <w:rFonts w:hint="eastAsia" w:ascii="宋体" w:hAnsi="宋体" w:eastAsia="宋体" w:cs="宋体"/>
          <w:color w:val="auto"/>
          <w:kern w:val="0"/>
          <w:szCs w:val="21"/>
          <w:highlight w:val="none"/>
        </w:rPr>
        <w:t>格式）</w:t>
      </w:r>
    </w:p>
    <w:p w14:paraId="2BEA95FE">
      <w:pPr>
        <w:pageBreakBefore w:val="0"/>
        <w:kinsoku/>
        <w:wordWrap w:val="0"/>
        <w:overflowPunct/>
        <w:topLinePunct w:val="0"/>
        <w:bidi w:val="0"/>
        <w:adjustRightInd w:val="0"/>
        <w:snapToGrid w:val="0"/>
        <w:spacing w:line="360" w:lineRule="auto"/>
        <w:ind w:leftChars="0" w:firstLine="424" w:firstLineChars="200"/>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招标文件</w:t>
      </w:r>
      <w:r>
        <w:rPr>
          <w:rFonts w:hint="eastAsia" w:ascii="宋体" w:hAnsi="宋体" w:eastAsia="宋体" w:cs="宋体"/>
          <w:color w:val="auto"/>
          <w:kern w:val="0"/>
          <w:szCs w:val="21"/>
          <w:highlight w:val="none"/>
        </w:rPr>
        <w:t>要求的其他资格证明文件；</w:t>
      </w:r>
    </w:p>
    <w:p w14:paraId="20A12B2D">
      <w:pPr>
        <w:adjustRightInd w:val="0"/>
        <w:snapToGrid w:val="0"/>
        <w:spacing w:line="360" w:lineRule="auto"/>
        <w:jc w:val="left"/>
        <w:outlineLvl w:val="9"/>
        <w:rPr>
          <w:rFonts w:hint="eastAsia" w:ascii="黑体" w:hAnsi="宋体" w:eastAsia="黑体"/>
          <w:b/>
          <w:bCs/>
          <w:color w:val="auto"/>
          <w:sz w:val="28"/>
          <w:szCs w:val="28"/>
          <w:highlight w:val="none"/>
        </w:rPr>
      </w:pPr>
      <w:r>
        <w:rPr>
          <w:rFonts w:hint="eastAsia" w:ascii="宋体" w:hAnsi="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采购人有权要求</w:t>
      </w:r>
      <w:r>
        <w:rPr>
          <w:rFonts w:hint="eastAsia" w:ascii="宋体" w:hAnsi="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在结果公示发布之日起3个工作日内将资格审查（符合性评审）、等涉及的所有材料原件交采购人复核，如</w:t>
      </w:r>
      <w:r>
        <w:rPr>
          <w:rFonts w:hint="eastAsia" w:ascii="宋体" w:hAnsi="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未在规定时间内未递交相应原件或原件有弄虚作假的，采购人将按提供虚假材料应标报监管部门按相关法律法规进行处理。</w:t>
      </w:r>
    </w:p>
    <w:p w14:paraId="3EA6C4C2">
      <w:pPr>
        <w:adjustRightInd w:val="0"/>
        <w:snapToGrid w:val="0"/>
        <w:spacing w:line="360" w:lineRule="auto"/>
        <w:jc w:val="center"/>
        <w:outlineLvl w:val="9"/>
        <w:rPr>
          <w:rFonts w:hint="eastAsia" w:ascii="黑体" w:hAnsi="宋体" w:eastAsia="黑体"/>
          <w:b/>
          <w:bCs/>
          <w:color w:val="auto"/>
          <w:sz w:val="28"/>
          <w:szCs w:val="28"/>
          <w:highlight w:val="none"/>
        </w:rPr>
      </w:pPr>
    </w:p>
    <w:p w14:paraId="439C60B5">
      <w:pPr>
        <w:adjustRightInd w:val="0"/>
        <w:snapToGrid w:val="0"/>
        <w:spacing w:line="360" w:lineRule="auto"/>
        <w:jc w:val="center"/>
        <w:outlineLvl w:val="9"/>
        <w:rPr>
          <w:rFonts w:hint="eastAsia" w:ascii="黑体" w:hAnsi="宋体" w:eastAsia="黑体"/>
          <w:b/>
          <w:bCs/>
          <w:color w:val="auto"/>
          <w:sz w:val="28"/>
          <w:szCs w:val="28"/>
          <w:highlight w:val="none"/>
        </w:rPr>
      </w:pPr>
    </w:p>
    <w:p w14:paraId="0312B82D">
      <w:pPr>
        <w:adjustRightInd w:val="0"/>
        <w:snapToGrid w:val="0"/>
        <w:spacing w:line="360" w:lineRule="auto"/>
        <w:jc w:val="center"/>
        <w:rPr>
          <w:rFonts w:hint="eastAsia" w:ascii="宋体" w:hAnsi="宋体" w:cs="宋体"/>
          <w:b/>
          <w:bCs/>
          <w:color w:val="auto"/>
          <w:sz w:val="28"/>
          <w:szCs w:val="28"/>
          <w:highlight w:val="none"/>
        </w:rPr>
      </w:pPr>
      <w:r>
        <w:rPr>
          <w:rFonts w:hint="eastAsia" w:ascii="黑体" w:hAnsi="华文中宋" w:eastAsia="黑体" w:cs="Times New Roman"/>
          <w:color w:val="auto"/>
          <w:sz w:val="24"/>
          <w:highlight w:val="none"/>
          <w:lang w:val="en-US" w:eastAsia="zh-CN"/>
        </w:rPr>
        <w:br w:type="page"/>
      </w:r>
      <w:r>
        <w:rPr>
          <w:rFonts w:hint="eastAsia" w:ascii="宋体" w:hAnsi="宋体" w:cs="宋体"/>
          <w:b/>
          <w:bCs/>
          <w:color w:val="auto"/>
          <w:sz w:val="24"/>
          <w:szCs w:val="24"/>
          <w:highlight w:val="none"/>
        </w:rPr>
        <w:t>附1、法人、或者其他组织的营业执照等主体资格证明文件。</w:t>
      </w:r>
    </w:p>
    <w:p w14:paraId="58D06642">
      <w:pPr>
        <w:adjustRightInd w:val="0"/>
        <w:snapToGrid w:val="0"/>
        <w:spacing w:line="360" w:lineRule="auto"/>
        <w:rPr>
          <w:rFonts w:hint="eastAsia" w:ascii="宋体" w:hAnsi="宋体" w:cs="宋体"/>
          <w:b/>
          <w:bCs/>
          <w:color w:val="auto"/>
          <w:sz w:val="28"/>
          <w:szCs w:val="28"/>
          <w:highlight w:val="none"/>
        </w:rPr>
      </w:pPr>
    </w:p>
    <w:p w14:paraId="24CD5BA6">
      <w:pPr>
        <w:adjustRightInd w:val="0"/>
        <w:snapToGrid w:val="0"/>
        <w:spacing w:line="360" w:lineRule="auto"/>
        <w:rPr>
          <w:rFonts w:hint="eastAsia" w:ascii="宋体" w:hAnsi="宋体" w:cs="宋体"/>
          <w:b/>
          <w:bCs/>
          <w:color w:val="auto"/>
          <w:sz w:val="28"/>
          <w:szCs w:val="28"/>
          <w:highlight w:val="none"/>
        </w:rPr>
      </w:pPr>
    </w:p>
    <w:p w14:paraId="1655A6BC">
      <w:pPr>
        <w:adjustRightInd w:val="0"/>
        <w:snapToGrid w:val="0"/>
        <w:spacing w:line="360" w:lineRule="auto"/>
        <w:rPr>
          <w:rFonts w:hint="eastAsia" w:ascii="宋体" w:hAnsi="宋体" w:cs="宋体"/>
          <w:b/>
          <w:bCs/>
          <w:color w:val="auto"/>
          <w:sz w:val="28"/>
          <w:szCs w:val="28"/>
          <w:highlight w:val="none"/>
        </w:rPr>
      </w:pPr>
    </w:p>
    <w:p w14:paraId="02CA1C2D">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附件2、具有良好的商业信誉和健全的财务会计制度、依法缴纳税收和社会保障资金的良好记录</w:t>
      </w:r>
      <w:r>
        <w:rPr>
          <w:rFonts w:hint="eastAsia" w:ascii="宋体" w:hAnsi="宋体" w:eastAsia="宋体" w:cs="宋体"/>
          <w:b/>
          <w:bCs/>
          <w:color w:val="auto"/>
          <w:sz w:val="24"/>
          <w:szCs w:val="24"/>
          <w:highlight w:val="none"/>
          <w:lang w:val="en-US" w:eastAsia="zh-CN"/>
        </w:rPr>
        <w:t>证明材料</w:t>
      </w:r>
    </w:p>
    <w:p w14:paraId="10FEE49E">
      <w:pPr>
        <w:spacing w:line="560" w:lineRule="exact"/>
        <w:rPr>
          <w:rFonts w:hint="eastAsia" w:ascii="宋体" w:hAnsi="宋体" w:cs="宋体"/>
          <w:bCs/>
          <w:color w:val="auto"/>
          <w:szCs w:val="21"/>
          <w:highlight w:val="none"/>
        </w:rPr>
      </w:pPr>
    </w:p>
    <w:p w14:paraId="1FF7F05D">
      <w:pPr>
        <w:adjustRightInd w:val="0"/>
        <w:snapToGrid w:val="0"/>
        <w:spacing w:line="360" w:lineRule="auto"/>
        <w:jc w:val="center"/>
        <w:rPr>
          <w:rFonts w:hint="eastAsia" w:ascii="宋体" w:hAnsi="宋体" w:eastAsia="宋体" w:cs="宋体"/>
          <w:b/>
          <w:bCs/>
          <w:color w:val="auto"/>
          <w:sz w:val="24"/>
          <w:szCs w:val="24"/>
          <w:highlight w:val="none"/>
        </w:rPr>
      </w:pPr>
    </w:p>
    <w:p w14:paraId="20BF31EC">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附件3、具有履行合同所必须的设备和专业技术能力的承诺函</w:t>
      </w:r>
    </w:p>
    <w:p w14:paraId="5D70F418">
      <w:pPr>
        <w:spacing w:line="560" w:lineRule="exact"/>
        <w:rPr>
          <w:rFonts w:ascii="宋体" w:hAnsi="宋体" w:cs="宋体"/>
          <w:bCs/>
          <w:color w:val="auto"/>
          <w:szCs w:val="21"/>
          <w:highlight w:val="none"/>
          <w:u w:val="single"/>
        </w:rPr>
      </w:pPr>
      <w:r>
        <w:rPr>
          <w:rFonts w:hint="eastAsia" w:ascii="宋体" w:hAnsi="宋体" w:cs="宋体"/>
          <w:bCs/>
          <w:color w:val="auto"/>
          <w:szCs w:val="21"/>
          <w:highlight w:val="none"/>
        </w:rPr>
        <w:t xml:space="preserve">致: </w:t>
      </w:r>
    </w:p>
    <w:p w14:paraId="0FE64879">
      <w:pPr>
        <w:spacing w:line="560" w:lineRule="exact"/>
        <w:ind w:firstLine="318" w:firstLineChars="150"/>
        <w:rPr>
          <w:rFonts w:ascii="宋体" w:hAnsi="宋体" w:cs="宋体"/>
          <w:color w:val="auto"/>
          <w:szCs w:val="21"/>
          <w:highlight w:val="none"/>
        </w:rPr>
      </w:pPr>
      <w:r>
        <w:rPr>
          <w:rFonts w:hint="eastAsia" w:ascii="宋体" w:hAnsi="宋体" w:cs="宋体"/>
          <w:color w:val="auto"/>
          <w:szCs w:val="21"/>
          <w:highlight w:val="none"/>
        </w:rPr>
        <w:t>我公司在参加本次</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中，如获成交保证具有履行合同所必须的设备和专业技术能力。</w:t>
      </w:r>
    </w:p>
    <w:p w14:paraId="54A04C77">
      <w:pPr>
        <w:spacing w:line="560" w:lineRule="exact"/>
        <w:ind w:firstLine="318"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35A6BFC8">
      <w:pPr>
        <w:spacing w:line="560" w:lineRule="exact"/>
        <w:ind w:firstLine="318" w:firstLineChars="150"/>
        <w:rPr>
          <w:rFonts w:ascii="宋体" w:hAnsi="宋体" w:cs="宋体"/>
          <w:color w:val="auto"/>
          <w:szCs w:val="21"/>
          <w:highlight w:val="none"/>
        </w:rPr>
      </w:pPr>
    </w:p>
    <w:p w14:paraId="6B66B826">
      <w:pPr>
        <w:adjustRightInd w:val="0"/>
        <w:snapToGrid w:val="0"/>
        <w:spacing w:line="360" w:lineRule="auto"/>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0832E1F7">
      <w:pPr>
        <w:adjustRightInd w:val="0"/>
        <w:snapToGrid w:val="0"/>
        <w:spacing w:line="360" w:lineRule="auto"/>
        <w:rPr>
          <w:rFonts w:ascii="宋体"/>
          <w:color w:val="auto"/>
          <w:szCs w:val="21"/>
          <w:highlight w:val="none"/>
        </w:rPr>
      </w:pPr>
      <w:r>
        <w:rPr>
          <w:rFonts w:hint="eastAsia" w:ascii="宋体" w:hAnsi="宋体"/>
          <w:color w:val="auto"/>
          <w:szCs w:val="21"/>
          <w:highlight w:val="none"/>
        </w:rPr>
        <w:t>法定代表人或其授权的代理人</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rPr>
        <w:t>：</w:t>
      </w:r>
    </w:p>
    <w:p w14:paraId="7ADBC64C">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  年  月  日</w:t>
      </w:r>
    </w:p>
    <w:p w14:paraId="5A005CA6">
      <w:pPr>
        <w:adjustRightInd w:val="0"/>
        <w:snapToGrid w:val="0"/>
        <w:spacing w:line="360" w:lineRule="auto"/>
        <w:jc w:val="center"/>
        <w:rPr>
          <w:rFonts w:hint="eastAsia" w:ascii="宋体" w:hAnsi="宋体" w:eastAsia="宋体" w:cs="宋体"/>
          <w:b/>
          <w:bCs/>
          <w:color w:val="auto"/>
          <w:sz w:val="24"/>
          <w:szCs w:val="24"/>
          <w:highlight w:val="none"/>
        </w:rPr>
      </w:pPr>
    </w:p>
    <w:p w14:paraId="4F9B1F69">
      <w:pPr>
        <w:adjustRightInd w:val="0"/>
        <w:snapToGrid w:val="0"/>
        <w:spacing w:line="360" w:lineRule="auto"/>
        <w:jc w:val="center"/>
        <w:rPr>
          <w:rFonts w:hint="eastAsia" w:ascii="宋体" w:hAnsi="宋体" w:eastAsia="宋体" w:cs="宋体"/>
          <w:b/>
          <w:bCs/>
          <w:color w:val="auto"/>
          <w:sz w:val="24"/>
          <w:szCs w:val="24"/>
          <w:highlight w:val="none"/>
        </w:rPr>
      </w:pPr>
    </w:p>
    <w:p w14:paraId="4DB088B3">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附件4、参加</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前三年内在经营活动中没有重大违法记录的书面声明</w:t>
      </w:r>
    </w:p>
    <w:p w14:paraId="2405B56D">
      <w:pPr>
        <w:adjustRightInd w:val="0"/>
        <w:snapToGrid w:val="0"/>
        <w:spacing w:before="159" w:beforeLines="50" w:line="360" w:lineRule="auto"/>
        <w:ind w:left="-89" w:leftChars="-42"/>
        <w:outlineLvl w:val="0"/>
        <w:rPr>
          <w:rFonts w:ascii="宋体"/>
          <w:color w:val="auto"/>
          <w:szCs w:val="21"/>
          <w:highlight w:val="none"/>
        </w:rPr>
      </w:pPr>
      <w:bookmarkStart w:id="82" w:name="_Toc31513"/>
      <w:bookmarkStart w:id="83" w:name="_Toc30297"/>
      <w:bookmarkStart w:id="84" w:name="_Toc31163"/>
      <w:r>
        <w:rPr>
          <w:rFonts w:hint="eastAsia" w:ascii="宋体" w:hAnsi="宋体"/>
          <w:color w:val="auto"/>
          <w:szCs w:val="21"/>
          <w:highlight w:val="none"/>
        </w:rPr>
        <w:t>致：</w:t>
      </w:r>
      <w:bookmarkEnd w:id="82"/>
      <w:bookmarkEnd w:id="83"/>
      <w:bookmarkEnd w:id="84"/>
    </w:p>
    <w:p w14:paraId="20CE8E7D">
      <w:pPr>
        <w:widowControl/>
        <w:adjustRightInd w:val="0"/>
        <w:snapToGrid w:val="0"/>
        <w:spacing w:before="159" w:beforeLines="50" w:line="360" w:lineRule="auto"/>
        <w:ind w:firstLine="200"/>
        <w:rPr>
          <w:rFonts w:ascii="宋体" w:hAnsi="宋体" w:cs="宋体"/>
          <w:color w:val="auto"/>
          <w:szCs w:val="21"/>
          <w:highlight w:val="none"/>
        </w:rPr>
      </w:pPr>
      <w:r>
        <w:rPr>
          <w:rFonts w:hint="eastAsia" w:ascii="宋体" w:hAnsi="宋体"/>
          <w:bCs/>
          <w:color w:val="auto"/>
          <w:szCs w:val="21"/>
          <w:highlight w:val="none"/>
        </w:rPr>
        <w:t>我单位在</w:t>
      </w:r>
      <w:r>
        <w:rPr>
          <w:rFonts w:hint="eastAsia" w:ascii="宋体" w:hAnsi="宋体"/>
          <w:color w:val="auto"/>
          <w:szCs w:val="21"/>
          <w:highlight w:val="none"/>
        </w:rPr>
        <w:t>参加</w:t>
      </w:r>
      <w:r>
        <w:rPr>
          <w:rFonts w:hint="eastAsia" w:ascii="宋体" w:hAnsi="宋体"/>
          <w:color w:val="auto"/>
          <w:szCs w:val="21"/>
          <w:highlight w:val="none"/>
          <w:lang w:val="en-US" w:eastAsia="zh-CN"/>
        </w:rPr>
        <w:t>项目</w:t>
      </w:r>
      <w:r>
        <w:rPr>
          <w:rFonts w:hint="eastAsia" w:ascii="宋体" w:hAnsi="宋体"/>
          <w:color w:val="auto"/>
          <w:szCs w:val="21"/>
          <w:highlight w:val="none"/>
        </w:rPr>
        <w:t>前三年内在经营活动中没有</w:t>
      </w:r>
      <w:r>
        <w:rPr>
          <w:rFonts w:hint="eastAsia" w:ascii="宋体" w:hAnsi="宋体" w:cs="宋体"/>
          <w:color w:val="auto"/>
          <w:szCs w:val="21"/>
          <w:highlight w:val="none"/>
        </w:rPr>
        <w:t>违法经营受到刑事处罚或者责令停产停业、吊销许可证或者执照、较大罚款等行政处罚。</w:t>
      </w:r>
    </w:p>
    <w:p w14:paraId="68206BA0">
      <w:pPr>
        <w:widowControl/>
        <w:adjustRightInd w:val="0"/>
        <w:snapToGrid w:val="0"/>
        <w:spacing w:before="159" w:beforeLines="50" w:line="360" w:lineRule="auto"/>
        <w:ind w:firstLine="200"/>
        <w:rPr>
          <w:rFonts w:ascii="宋体"/>
          <w:color w:val="auto"/>
          <w:szCs w:val="21"/>
          <w:highlight w:val="none"/>
        </w:rPr>
      </w:pPr>
      <w:r>
        <w:rPr>
          <w:rFonts w:hint="eastAsia" w:ascii="宋体" w:hAnsi="宋体"/>
          <w:color w:val="auto"/>
          <w:szCs w:val="21"/>
          <w:highlight w:val="none"/>
        </w:rPr>
        <w:t>　特此声明！</w:t>
      </w:r>
    </w:p>
    <w:p w14:paraId="71A92EA1">
      <w:pPr>
        <w:adjustRightInd w:val="0"/>
        <w:snapToGrid w:val="0"/>
        <w:spacing w:line="360" w:lineRule="auto"/>
        <w:rPr>
          <w:rFonts w:ascii="宋体" w:hAnsi="宋体"/>
          <w:color w:val="auto"/>
          <w:szCs w:val="21"/>
          <w:highlight w:val="none"/>
        </w:rPr>
      </w:pPr>
    </w:p>
    <w:p w14:paraId="0711B284">
      <w:pPr>
        <w:adjustRightInd w:val="0"/>
        <w:snapToGrid w:val="0"/>
        <w:spacing w:line="360" w:lineRule="auto"/>
        <w:rPr>
          <w:rFonts w:asci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名称（单位章）：</w:t>
      </w:r>
    </w:p>
    <w:p w14:paraId="73B66261">
      <w:pPr>
        <w:adjustRightInd w:val="0"/>
        <w:snapToGrid w:val="0"/>
        <w:spacing w:line="360" w:lineRule="auto"/>
        <w:rPr>
          <w:rFonts w:ascii="宋体"/>
          <w:color w:val="auto"/>
          <w:szCs w:val="21"/>
          <w:highlight w:val="none"/>
        </w:rPr>
      </w:pPr>
      <w:r>
        <w:rPr>
          <w:rFonts w:hint="eastAsia" w:ascii="宋体" w:hAnsi="宋体"/>
          <w:color w:val="auto"/>
          <w:szCs w:val="21"/>
          <w:highlight w:val="none"/>
        </w:rPr>
        <w:t>法定代表人或其授权的代理人（签字或盖章）：</w:t>
      </w:r>
    </w:p>
    <w:p w14:paraId="6FEDC7C7">
      <w:pPr>
        <w:adjustRightInd w:val="0"/>
        <w:snapToGrid w:val="0"/>
        <w:spacing w:line="360" w:lineRule="auto"/>
        <w:jc w:val="both"/>
        <w:rPr>
          <w:rFonts w:hint="eastAsia" w:ascii="宋体" w:hAnsi="宋体" w:eastAsia="宋体" w:cs="宋体"/>
          <w:b w:val="0"/>
          <w:bCs w:val="0"/>
          <w:color w:val="auto"/>
          <w:kern w:val="0"/>
          <w:szCs w:val="21"/>
          <w:highlight w:val="none"/>
          <w:lang w:val="en-US" w:eastAsia="zh-CN"/>
        </w:rPr>
      </w:pPr>
      <w:r>
        <w:rPr>
          <w:rFonts w:hint="eastAsia" w:ascii="宋体" w:hAnsi="宋体"/>
          <w:color w:val="auto"/>
          <w:szCs w:val="21"/>
          <w:highlight w:val="none"/>
        </w:rPr>
        <w:t>日期：  年  月  日</w:t>
      </w:r>
    </w:p>
    <w:p w14:paraId="399DE676">
      <w:pPr>
        <w:adjustRightInd w:val="0"/>
        <w:snapToGrid w:val="0"/>
        <w:spacing w:line="360" w:lineRule="auto"/>
        <w:jc w:val="center"/>
        <w:rPr>
          <w:rFonts w:hint="eastAsia" w:ascii="黑体" w:hAnsi="宋体" w:eastAsia="黑体"/>
          <w:color w:val="auto"/>
          <w:sz w:val="24"/>
          <w:highlight w:val="none"/>
          <w:lang w:eastAsia="zh-CN"/>
        </w:rPr>
      </w:pPr>
    </w:p>
    <w:p w14:paraId="66240B08">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216AEC91">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（六）招标文件</w:t>
      </w:r>
      <w:r>
        <w:rPr>
          <w:rFonts w:hint="eastAsia" w:ascii="宋体" w:hAnsi="宋体" w:eastAsia="宋体" w:cs="宋体"/>
          <w:b/>
          <w:bCs/>
          <w:color w:val="auto"/>
          <w:sz w:val="24"/>
          <w:szCs w:val="24"/>
          <w:highlight w:val="none"/>
        </w:rPr>
        <w:t>规定的其他资格条件证明文件</w:t>
      </w:r>
    </w:p>
    <w:p w14:paraId="1A0F7326">
      <w:pPr>
        <w:adjustRightInd w:val="0"/>
        <w:snapToGrid w:val="0"/>
        <w:spacing w:line="360" w:lineRule="auto"/>
        <w:jc w:val="center"/>
        <w:outlineLvl w:val="0"/>
        <w:rPr>
          <w:rFonts w:ascii="黑体" w:hAnsi="宋体" w:eastAsia="黑体"/>
          <w:b/>
          <w:color w:val="auto"/>
          <w:szCs w:val="21"/>
          <w:highlight w:val="none"/>
        </w:rPr>
      </w:pPr>
    </w:p>
    <w:p w14:paraId="6FF47983">
      <w:pPr>
        <w:adjustRightInd w:val="0"/>
        <w:snapToGrid w:val="0"/>
        <w:spacing w:beforeLines="50" w:line="360" w:lineRule="auto"/>
        <w:outlineLvl w:val="9"/>
        <w:rPr>
          <w:rFonts w:ascii="??_GB2312" w:hAnsi="宋体" w:eastAsia="Times New Roman"/>
          <w:color w:val="auto"/>
          <w:szCs w:val="21"/>
          <w:highlight w:val="none"/>
        </w:rPr>
      </w:pPr>
      <w:r>
        <w:rPr>
          <w:rFonts w:ascii="??_GB2312" w:hAnsi="宋体" w:eastAsia="Times New Roman"/>
          <w:b/>
          <w:color w:val="auto"/>
          <w:szCs w:val="21"/>
          <w:highlight w:val="none"/>
        </w:rPr>
        <w:t>备注</w:t>
      </w:r>
      <w:r>
        <w:rPr>
          <w:rFonts w:ascii="??_GB2312" w:hAnsi="宋体" w:eastAsia="Times New Roman"/>
          <w:color w:val="auto"/>
          <w:szCs w:val="21"/>
          <w:highlight w:val="none"/>
        </w:rPr>
        <w:t>：提供第三章“投标须知”第3.1</w:t>
      </w:r>
      <w:r>
        <w:rPr>
          <w:rFonts w:ascii="??_GB2312" w:hAnsi="宋体" w:eastAsia="Times New Roman" w:cs="宋体"/>
          <w:color w:val="auto"/>
          <w:kern w:val="0"/>
          <w:szCs w:val="21"/>
          <w:highlight w:val="none"/>
          <w:lang w:val="zh-CN"/>
        </w:rPr>
        <w:t>款</w:t>
      </w:r>
      <w:r>
        <w:rPr>
          <w:rFonts w:ascii="??_GB2312" w:hAnsi="宋体" w:eastAsia="Times New Roman"/>
          <w:color w:val="auto"/>
          <w:szCs w:val="21"/>
          <w:highlight w:val="none"/>
        </w:rPr>
        <w:t>规定的证明材料的</w:t>
      </w:r>
      <w:r>
        <w:rPr>
          <w:rFonts w:hint="eastAsia" w:ascii="??_GB2312" w:hAnsi="宋体" w:eastAsia="宋体"/>
          <w:color w:val="auto"/>
          <w:szCs w:val="21"/>
          <w:highlight w:val="none"/>
          <w:lang w:eastAsia="zh-CN"/>
        </w:rPr>
        <w:t>复印件</w:t>
      </w:r>
      <w:r>
        <w:rPr>
          <w:rFonts w:hint="eastAsia" w:ascii="??_GB2312" w:hAnsi="宋体"/>
          <w:color w:val="auto"/>
          <w:szCs w:val="21"/>
          <w:highlight w:val="none"/>
        </w:rPr>
        <w:t>和</w:t>
      </w:r>
      <w:r>
        <w:rPr>
          <w:rFonts w:hint="eastAsia" w:ascii="??_GB2312" w:hAnsi="宋体"/>
          <w:color w:val="auto"/>
          <w:szCs w:val="21"/>
          <w:highlight w:val="none"/>
          <w:lang w:eastAsia="zh-CN"/>
        </w:rPr>
        <w:t>招标文件</w:t>
      </w:r>
      <w:r>
        <w:rPr>
          <w:rFonts w:hint="eastAsia" w:ascii="??_GB2312" w:hAnsi="宋体"/>
          <w:color w:val="auto"/>
          <w:szCs w:val="21"/>
          <w:highlight w:val="none"/>
        </w:rPr>
        <w:t>要求的资质证明</w:t>
      </w:r>
      <w:r>
        <w:rPr>
          <w:rFonts w:ascii="??_GB2312" w:hAnsi="宋体" w:eastAsia="Times New Roman"/>
          <w:color w:val="auto"/>
          <w:szCs w:val="21"/>
          <w:highlight w:val="none"/>
        </w:rPr>
        <w:t>。</w:t>
      </w:r>
      <w:bookmarkEnd w:id="77"/>
      <w:bookmarkEnd w:id="78"/>
      <w:bookmarkEnd w:id="79"/>
      <w:bookmarkEnd w:id="80"/>
      <w:bookmarkEnd w:id="81"/>
    </w:p>
    <w:p w14:paraId="68015DAB">
      <w:pPr>
        <w:adjustRightInd w:val="0"/>
        <w:snapToGrid w:val="0"/>
        <w:spacing w:beforeLines="50" w:line="360" w:lineRule="auto"/>
        <w:outlineLvl w:val="9"/>
        <w:rPr>
          <w:rFonts w:ascii="??_GB2312" w:hAnsi="宋体" w:eastAsia="Times New Roman"/>
          <w:color w:val="auto"/>
          <w:szCs w:val="21"/>
          <w:highlight w:val="none"/>
        </w:rPr>
      </w:pPr>
    </w:p>
    <w:p w14:paraId="3B1EC9BB">
      <w:pPr>
        <w:adjustRightInd w:val="0"/>
        <w:snapToGrid w:val="0"/>
        <w:spacing w:line="360" w:lineRule="auto"/>
        <w:jc w:val="center"/>
        <w:outlineLvl w:val="9"/>
        <w:rPr>
          <w:rFonts w:hint="default"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t>八</w:t>
      </w:r>
      <w:r>
        <w:rPr>
          <w:rFonts w:hint="eastAsia" w:ascii="黑体" w:hAnsi="宋体" w:eastAsia="黑体"/>
          <w:color w:val="auto"/>
          <w:sz w:val="28"/>
          <w:szCs w:val="28"/>
          <w:highlight w:val="none"/>
        </w:rPr>
        <w:t>、</w:t>
      </w:r>
      <w:r>
        <w:rPr>
          <w:rFonts w:hint="eastAsia" w:ascii="黑体" w:hAnsi="宋体" w:eastAsia="黑体"/>
          <w:color w:val="auto"/>
          <w:sz w:val="28"/>
          <w:szCs w:val="28"/>
          <w:highlight w:val="none"/>
          <w:lang w:val="en-US" w:eastAsia="zh-CN"/>
        </w:rPr>
        <w:t>现场踏勘情况承诺函</w:t>
      </w:r>
    </w:p>
    <w:p w14:paraId="51D996CD">
      <w:pPr>
        <w:adjustRightInd w:val="0"/>
        <w:snapToGrid w:val="0"/>
        <w:spacing w:line="360" w:lineRule="auto"/>
        <w:jc w:val="center"/>
        <w:outlineLvl w:val="9"/>
        <w:rPr>
          <w:rFonts w:hint="eastAsia" w:ascii="黑体" w:hAnsi="宋体" w:eastAsia="黑体"/>
          <w:color w:val="auto"/>
          <w:sz w:val="28"/>
          <w:szCs w:val="28"/>
          <w:highlight w:val="none"/>
        </w:rPr>
      </w:pPr>
    </w:p>
    <w:p w14:paraId="11AFBEF3">
      <w:pPr>
        <w:adjustRightInd w:val="0"/>
        <w:snapToGrid w:val="0"/>
        <w:spacing w:line="360" w:lineRule="auto"/>
        <w:jc w:val="center"/>
        <w:outlineLvl w:val="9"/>
        <w:rPr>
          <w:rFonts w:hint="eastAsia" w:ascii="黑体" w:hAnsi="宋体" w:eastAsia="黑体"/>
          <w:color w:val="auto"/>
          <w:sz w:val="28"/>
          <w:szCs w:val="28"/>
          <w:highlight w:val="none"/>
        </w:rPr>
      </w:pPr>
    </w:p>
    <w:p w14:paraId="48EBD312">
      <w:pPr>
        <w:adjustRightInd w:val="0"/>
        <w:snapToGrid w:val="0"/>
        <w:spacing w:line="360" w:lineRule="auto"/>
        <w:jc w:val="center"/>
        <w:outlineLvl w:val="9"/>
        <w:rPr>
          <w:rFonts w:hint="eastAsia" w:ascii="黑体" w:hAnsi="宋体" w:eastAsia="黑体"/>
          <w:color w:val="auto"/>
          <w:sz w:val="28"/>
          <w:szCs w:val="28"/>
          <w:highlight w:val="none"/>
        </w:rPr>
      </w:pPr>
    </w:p>
    <w:p w14:paraId="4F91A6E2">
      <w:pPr>
        <w:adjustRightInd w:val="0"/>
        <w:snapToGrid w:val="0"/>
        <w:spacing w:line="360" w:lineRule="auto"/>
        <w:jc w:val="center"/>
        <w:outlineLvl w:val="9"/>
        <w:rPr>
          <w:rFonts w:hint="eastAsia" w:ascii="黑体" w:hAnsi="宋体" w:eastAsia="黑体"/>
          <w:color w:val="auto"/>
          <w:sz w:val="28"/>
          <w:szCs w:val="28"/>
          <w:highlight w:val="none"/>
        </w:rPr>
      </w:pPr>
    </w:p>
    <w:p w14:paraId="3E0DA54E">
      <w:pPr>
        <w:adjustRightInd w:val="0"/>
        <w:snapToGrid w:val="0"/>
        <w:spacing w:line="360" w:lineRule="auto"/>
        <w:jc w:val="center"/>
        <w:outlineLvl w:val="9"/>
        <w:rPr>
          <w:rFonts w:hint="eastAsia" w:ascii="黑体" w:hAnsi="宋体" w:eastAsia="黑体"/>
          <w:color w:val="auto"/>
          <w:sz w:val="28"/>
          <w:szCs w:val="28"/>
          <w:highlight w:val="none"/>
        </w:rPr>
      </w:pPr>
    </w:p>
    <w:p w14:paraId="34EE8530">
      <w:pPr>
        <w:adjustRightInd w:val="0"/>
        <w:snapToGrid w:val="0"/>
        <w:spacing w:line="360" w:lineRule="auto"/>
        <w:jc w:val="center"/>
        <w:outlineLvl w:val="9"/>
        <w:rPr>
          <w:rFonts w:hint="eastAsia" w:ascii="黑体" w:hAnsi="宋体" w:eastAsia="黑体"/>
          <w:color w:val="auto"/>
          <w:sz w:val="28"/>
          <w:szCs w:val="28"/>
          <w:highlight w:val="none"/>
        </w:rPr>
      </w:pPr>
    </w:p>
    <w:p w14:paraId="027A3516">
      <w:pPr>
        <w:adjustRightInd w:val="0"/>
        <w:snapToGrid w:val="0"/>
        <w:spacing w:line="360" w:lineRule="auto"/>
        <w:jc w:val="center"/>
        <w:outlineLvl w:val="9"/>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lang w:val="en-US" w:eastAsia="zh-CN"/>
        </w:rPr>
        <w:t>九、服务方案</w:t>
      </w:r>
    </w:p>
    <w:p w14:paraId="4BF991EF">
      <w:pPr>
        <w:adjustRightInd w:val="0"/>
        <w:snapToGrid w:val="0"/>
        <w:spacing w:line="360" w:lineRule="auto"/>
        <w:jc w:val="center"/>
        <w:outlineLvl w:val="9"/>
        <w:rPr>
          <w:rFonts w:ascii="黑体" w:hAnsi="宋体" w:eastAsia="黑体"/>
          <w:color w:val="auto"/>
          <w:szCs w:val="21"/>
          <w:highlight w:val="none"/>
        </w:rPr>
      </w:pPr>
    </w:p>
    <w:p w14:paraId="556AE367">
      <w:pPr>
        <w:adjustRightInd w:val="0"/>
        <w:snapToGrid w:val="0"/>
        <w:spacing w:before="163" w:beforeLines="50" w:line="360" w:lineRule="auto"/>
        <w:outlineLvl w:val="9"/>
        <w:rPr>
          <w:rFonts w:ascii="??_GB2312" w:hAnsi="宋体" w:eastAsia="Times New Roman"/>
          <w:color w:val="auto"/>
          <w:szCs w:val="21"/>
          <w:highlight w:val="none"/>
        </w:rPr>
      </w:pPr>
      <w:bookmarkStart w:id="85" w:name="_Toc22345"/>
      <w:bookmarkStart w:id="86" w:name="_Toc19217"/>
      <w:bookmarkStart w:id="87" w:name="_Toc27955"/>
      <w:bookmarkStart w:id="88" w:name="_Toc15039"/>
      <w:bookmarkStart w:id="89" w:name="_Toc18603"/>
      <w:bookmarkStart w:id="90" w:name="_Toc2425"/>
      <w:r>
        <w:rPr>
          <w:rFonts w:ascii="??_GB2312" w:hAnsi="宋体" w:eastAsia="Times New Roman"/>
          <w:b/>
          <w:color w:val="auto"/>
          <w:szCs w:val="21"/>
          <w:highlight w:val="none"/>
        </w:rPr>
        <w:t>备注</w:t>
      </w:r>
      <w:r>
        <w:rPr>
          <w:rFonts w:ascii="??_GB2312" w:hAnsi="宋体" w:eastAsia="Times New Roman"/>
          <w:color w:val="auto"/>
          <w:szCs w:val="21"/>
          <w:highlight w:val="none"/>
        </w:rPr>
        <w:t>：</w:t>
      </w:r>
      <w:bookmarkEnd w:id="85"/>
      <w:bookmarkEnd w:id="86"/>
      <w:bookmarkEnd w:id="87"/>
    </w:p>
    <w:bookmarkEnd w:id="88"/>
    <w:bookmarkEnd w:id="89"/>
    <w:bookmarkEnd w:id="90"/>
    <w:p w14:paraId="72CA0D5E">
      <w:pPr>
        <w:numPr>
          <w:ilvl w:val="0"/>
          <w:numId w:val="0"/>
        </w:numPr>
        <w:adjustRightInd w:val="0"/>
        <w:snapToGrid w:val="0"/>
        <w:spacing w:before="163" w:beforeLines="50" w:line="360" w:lineRule="auto"/>
        <w:outlineLvl w:val="9"/>
        <w:rPr>
          <w:rFonts w:hint="eastAsia" w:eastAsia="宋体"/>
          <w:color w:val="auto"/>
          <w:sz w:val="21"/>
          <w:szCs w:val="21"/>
          <w:highlight w:val="none"/>
          <w:lang w:eastAsia="zh-CN"/>
        </w:rPr>
      </w:pPr>
      <w:bookmarkStart w:id="91" w:name="_Toc16027"/>
      <w:bookmarkStart w:id="92" w:name="_Toc8222"/>
      <w:r>
        <w:rPr>
          <w:rFonts w:hint="eastAsia" w:ascii="??_GB2312" w:hAnsi="宋体" w:eastAsia="宋体"/>
          <w:color w:val="auto"/>
          <w:szCs w:val="21"/>
          <w:highlight w:val="none"/>
          <w:lang w:val="en-US" w:eastAsia="zh-CN"/>
        </w:rPr>
        <w:t>1、</w:t>
      </w:r>
      <w:r>
        <w:rPr>
          <w:rFonts w:ascii="??_GB2312" w:hAnsi="宋体" w:eastAsia="Times New Roman"/>
          <w:color w:val="auto"/>
          <w:szCs w:val="21"/>
          <w:highlight w:val="none"/>
        </w:rPr>
        <w:t>提供</w:t>
      </w:r>
      <w:bookmarkEnd w:id="91"/>
      <w:bookmarkEnd w:id="92"/>
      <w:r>
        <w:rPr>
          <w:rFonts w:ascii="??_GB2312" w:hAnsi="宋体" w:eastAsia="Times New Roman"/>
          <w:color w:val="auto"/>
          <w:szCs w:val="21"/>
          <w:highlight w:val="none"/>
        </w:rPr>
        <w:t>第</w:t>
      </w:r>
      <w:r>
        <w:rPr>
          <w:rFonts w:hint="eastAsia" w:ascii="??_GB2312" w:hAnsi="宋体"/>
          <w:color w:val="auto"/>
          <w:szCs w:val="21"/>
          <w:highlight w:val="none"/>
        </w:rPr>
        <w:t>六</w:t>
      </w:r>
      <w:r>
        <w:rPr>
          <w:rFonts w:ascii="??_GB2312" w:hAnsi="宋体" w:eastAsia="Times New Roman"/>
          <w:color w:val="auto"/>
          <w:szCs w:val="21"/>
          <w:highlight w:val="none"/>
        </w:rPr>
        <w:t>章“</w:t>
      </w:r>
      <w:r>
        <w:rPr>
          <w:rFonts w:hint="eastAsia" w:ascii="??_GB2312" w:hAnsi="宋体" w:eastAsia="宋体"/>
          <w:color w:val="auto"/>
          <w:szCs w:val="21"/>
          <w:highlight w:val="none"/>
          <w:lang w:val="en-US" w:eastAsia="zh-CN"/>
        </w:rPr>
        <w:t>招标</w:t>
      </w:r>
      <w:r>
        <w:rPr>
          <w:rFonts w:hint="eastAsia" w:ascii="??_GB2312" w:hAnsi="宋体"/>
          <w:color w:val="auto"/>
          <w:szCs w:val="21"/>
          <w:highlight w:val="none"/>
        </w:rPr>
        <w:t>需求</w:t>
      </w:r>
      <w:r>
        <w:rPr>
          <w:rFonts w:ascii="??_GB2312" w:hAnsi="宋体" w:eastAsia="Times New Roman"/>
          <w:color w:val="auto"/>
          <w:szCs w:val="21"/>
          <w:highlight w:val="none"/>
        </w:rPr>
        <w:t>”规定的</w:t>
      </w:r>
      <w:r>
        <w:rPr>
          <w:rFonts w:hint="eastAsia" w:ascii="??_GB2312" w:hAnsi="宋体" w:eastAsia="宋体"/>
          <w:color w:val="auto"/>
          <w:szCs w:val="21"/>
          <w:highlight w:val="none"/>
          <w:lang w:val="en-US" w:eastAsia="zh-CN"/>
        </w:rPr>
        <w:t>资料</w:t>
      </w:r>
      <w:r>
        <w:rPr>
          <w:rFonts w:hint="eastAsia" w:ascii="??_GB2312" w:hAnsi="宋体"/>
          <w:color w:val="auto"/>
          <w:szCs w:val="21"/>
          <w:highlight w:val="none"/>
        </w:rPr>
        <w:t>（如有）</w:t>
      </w:r>
      <w:r>
        <w:rPr>
          <w:rFonts w:ascii="??_GB2312" w:hAnsi="宋体" w:eastAsia="Times New Roman"/>
          <w:color w:val="auto"/>
          <w:szCs w:val="21"/>
          <w:highlight w:val="none"/>
        </w:rPr>
        <w:t>。</w:t>
      </w:r>
    </w:p>
    <w:p w14:paraId="2252BDB0">
      <w:pPr>
        <w:adjustRightInd w:val="0"/>
        <w:snapToGrid w:val="0"/>
        <w:spacing w:beforeLines="50" w:line="360" w:lineRule="auto"/>
        <w:outlineLvl w:val="9"/>
        <w:rPr>
          <w:color w:val="auto"/>
          <w:highlight w:val="none"/>
        </w:rPr>
      </w:pPr>
      <w:r>
        <w:rPr>
          <w:rFonts w:hint="eastAsia"/>
          <w:b/>
          <w:bCs/>
          <w:color w:val="auto"/>
          <w:sz w:val="21"/>
          <w:szCs w:val="21"/>
          <w:highlight w:val="none"/>
          <w:lang w:val="en-US" w:eastAsia="zh-CN"/>
        </w:rPr>
        <w:t>2、投标人</w:t>
      </w:r>
      <w:r>
        <w:rPr>
          <w:rFonts w:hint="eastAsia"/>
          <w:b/>
          <w:bCs/>
          <w:color w:val="auto"/>
          <w:sz w:val="21"/>
          <w:szCs w:val="21"/>
          <w:highlight w:val="none"/>
          <w:lang w:eastAsia="zh-CN"/>
        </w:rPr>
        <w:t>所提供的相关证明材料必须是清晰可见的，如</w:t>
      </w:r>
      <w:r>
        <w:rPr>
          <w:rFonts w:hint="eastAsia"/>
          <w:b/>
          <w:bCs/>
          <w:color w:val="auto"/>
          <w:sz w:val="21"/>
          <w:szCs w:val="21"/>
          <w:highlight w:val="none"/>
          <w:lang w:val="en-US" w:eastAsia="zh-CN"/>
        </w:rPr>
        <w:t>投标人</w:t>
      </w:r>
      <w:r>
        <w:rPr>
          <w:rFonts w:hint="eastAsia"/>
          <w:b/>
          <w:bCs/>
          <w:color w:val="auto"/>
          <w:sz w:val="21"/>
          <w:szCs w:val="21"/>
          <w:highlight w:val="none"/>
          <w:lang w:eastAsia="zh-CN"/>
        </w:rPr>
        <w:t>提供的相关证明材料模糊不清的，</w:t>
      </w:r>
      <w:r>
        <w:rPr>
          <w:rFonts w:hint="eastAsia"/>
          <w:b/>
          <w:bCs/>
          <w:color w:val="auto"/>
          <w:sz w:val="21"/>
          <w:szCs w:val="21"/>
          <w:highlight w:val="none"/>
          <w:lang w:val="en-US" w:eastAsia="zh-CN"/>
        </w:rPr>
        <w:t>评审小组</w:t>
      </w:r>
      <w:r>
        <w:rPr>
          <w:rFonts w:hint="eastAsia"/>
          <w:b/>
          <w:bCs/>
          <w:color w:val="auto"/>
          <w:sz w:val="21"/>
          <w:szCs w:val="21"/>
          <w:highlight w:val="none"/>
          <w:lang w:eastAsia="zh-CN"/>
        </w:rPr>
        <w:t>有权不予以认定，因此造成的一切后果由</w:t>
      </w:r>
      <w:r>
        <w:rPr>
          <w:rFonts w:hint="eastAsia"/>
          <w:b/>
          <w:bCs/>
          <w:color w:val="auto"/>
          <w:sz w:val="21"/>
          <w:szCs w:val="21"/>
          <w:highlight w:val="none"/>
          <w:lang w:val="en-US" w:eastAsia="zh-CN"/>
        </w:rPr>
        <w:t>投标人</w:t>
      </w:r>
      <w:r>
        <w:rPr>
          <w:rFonts w:hint="eastAsia"/>
          <w:b/>
          <w:bCs/>
          <w:color w:val="auto"/>
          <w:sz w:val="21"/>
          <w:szCs w:val="21"/>
          <w:highlight w:val="none"/>
          <w:lang w:eastAsia="zh-CN"/>
        </w:rPr>
        <w:t>承担。</w:t>
      </w:r>
    </w:p>
    <w:p w14:paraId="5E8CDA3D">
      <w:pPr>
        <w:jc w:val="center"/>
        <w:rPr>
          <w:rFonts w:ascii="黑体" w:eastAsia="黑体"/>
          <w:color w:val="auto"/>
          <w:sz w:val="32"/>
          <w:szCs w:val="32"/>
          <w:highlight w:val="none"/>
        </w:rPr>
      </w:pPr>
    </w:p>
    <w:p w14:paraId="0A389B5A">
      <w:pPr>
        <w:rPr>
          <w:rFonts w:ascii="宋体" w:hAnsi="宋体" w:cs="宋体"/>
          <w:b/>
          <w:bCs/>
          <w:color w:val="auto"/>
          <w:sz w:val="30"/>
          <w:szCs w:val="30"/>
          <w:highlight w:val="none"/>
        </w:rPr>
      </w:pPr>
    </w:p>
    <w:bookmarkEnd w:id="26"/>
    <w:p w14:paraId="68F465F8">
      <w:pPr>
        <w:rPr>
          <w:b/>
          <w:bCs/>
          <w:color w:val="auto"/>
          <w:sz w:val="30"/>
          <w:szCs w:val="30"/>
          <w:highlight w:val="none"/>
        </w:rPr>
      </w:pPr>
      <w:bookmarkStart w:id="93" w:name="_Toc19000882"/>
      <w:r>
        <w:rPr>
          <w:rFonts w:hint="eastAsia"/>
          <w:b/>
          <w:bCs/>
          <w:color w:val="auto"/>
          <w:sz w:val="30"/>
          <w:szCs w:val="30"/>
          <w:highlight w:val="none"/>
        </w:rPr>
        <w:br w:type="page"/>
      </w:r>
    </w:p>
    <w:p w14:paraId="0E5AFF58">
      <w:pPr>
        <w:pStyle w:val="2"/>
        <w:numPr>
          <w:ilvl w:val="0"/>
          <w:numId w:val="0"/>
        </w:numPr>
        <w:jc w:val="center"/>
        <w:rPr>
          <w:color w:val="auto"/>
          <w:highlight w:val="none"/>
        </w:rPr>
      </w:pPr>
      <w:bookmarkStart w:id="94" w:name="_Toc18408"/>
      <w:r>
        <w:rPr>
          <w:rFonts w:hint="eastAsia"/>
          <w:color w:val="auto"/>
          <w:highlight w:val="none"/>
          <w:lang w:val="en-US" w:eastAsia="zh-CN"/>
        </w:rPr>
        <w:t xml:space="preserve">第七章 </w:t>
      </w:r>
      <w:r>
        <w:rPr>
          <w:rFonts w:hint="eastAsia"/>
          <w:color w:val="auto"/>
          <w:highlight w:val="none"/>
          <w:lang w:eastAsia="zh-CN"/>
        </w:rPr>
        <w:t>招标</w:t>
      </w:r>
      <w:r>
        <w:rPr>
          <w:rFonts w:hint="eastAsia"/>
          <w:color w:val="auto"/>
          <w:highlight w:val="none"/>
        </w:rPr>
        <w:t>需求</w:t>
      </w:r>
      <w:bookmarkEnd w:id="94"/>
    </w:p>
    <w:bookmarkEnd w:id="93"/>
    <w:p w14:paraId="53F32DE7">
      <w:pPr>
        <w:pStyle w:val="57"/>
        <w:pageBreakBefore w:val="0"/>
        <w:widowControl w:val="0"/>
        <w:kinsoku/>
        <w:wordWrap/>
        <w:overflowPunct/>
        <w:topLinePunct w:val="0"/>
        <w:bidi w:val="0"/>
        <w:adjustRightInd w:val="0"/>
        <w:snapToGrid w:val="0"/>
        <w:spacing w:before="0" w:beforeLines="0" w:after="0" w:afterLines="0" w:line="360" w:lineRule="auto"/>
        <w:ind w:left="0" w:leftChars="0" w:firstLine="0" w:firstLine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一、服务清单</w:t>
      </w:r>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41"/>
        <w:gridCol w:w="1568"/>
        <w:gridCol w:w="4582"/>
        <w:gridCol w:w="1177"/>
      </w:tblGrid>
      <w:tr w14:paraId="7E78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42371BAE">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1" w:type="dxa"/>
            <w:vAlign w:val="center"/>
          </w:tcPr>
          <w:p w14:paraId="64AC6E3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68" w:type="dxa"/>
            <w:vAlign w:val="center"/>
          </w:tcPr>
          <w:p w14:paraId="59D2A03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w:t>
            </w:r>
          </w:p>
        </w:tc>
        <w:tc>
          <w:tcPr>
            <w:tcW w:w="4582" w:type="dxa"/>
            <w:vAlign w:val="center"/>
          </w:tcPr>
          <w:p w14:paraId="3D8D8334">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服务需求</w:t>
            </w:r>
          </w:p>
        </w:tc>
        <w:tc>
          <w:tcPr>
            <w:tcW w:w="1177" w:type="dxa"/>
            <w:vAlign w:val="center"/>
          </w:tcPr>
          <w:p w14:paraId="6AD453CD">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最高限价</w:t>
            </w:r>
          </w:p>
        </w:tc>
      </w:tr>
      <w:tr w14:paraId="37E1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7371BB0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241" w:type="dxa"/>
            <w:vAlign w:val="center"/>
          </w:tcPr>
          <w:p w14:paraId="785F0749">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吉水县工业园区CXGYY0602地块土方平整采购项目</w:t>
            </w:r>
          </w:p>
        </w:tc>
        <w:tc>
          <w:tcPr>
            <w:tcW w:w="1568" w:type="dxa"/>
            <w:vAlign w:val="center"/>
          </w:tcPr>
          <w:p w14:paraId="1E7DCD78">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本项目工程量：地块约49.3亩，土方平整约17.3万立方米，回填土方约2000立方米。</w:t>
            </w:r>
          </w:p>
          <w:p w14:paraId="3BA49660">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cs="宋体"/>
                <w:b w:val="0"/>
                <w:bCs w:val="0"/>
                <w:color w:val="auto"/>
                <w:sz w:val="21"/>
                <w:szCs w:val="21"/>
                <w:highlight w:val="none"/>
                <w:lang w:eastAsia="zh-CN"/>
              </w:rPr>
            </w:pPr>
          </w:p>
        </w:tc>
        <w:tc>
          <w:tcPr>
            <w:tcW w:w="4582" w:type="dxa"/>
            <w:vAlign w:val="center"/>
          </w:tcPr>
          <w:p w14:paraId="03559E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吉水县工业园区CXGYY0602地块土方平整工程总面积为49.3亩，土方平整约17.3万</w:t>
            </w:r>
            <w:r>
              <w:rPr>
                <w:rFonts w:hint="eastAsia" w:ascii="宋体" w:hAnsi="宋体" w:cs="宋体"/>
                <w:b w:val="0"/>
                <w:bCs w:val="0"/>
                <w:color w:val="auto"/>
                <w:sz w:val="21"/>
                <w:szCs w:val="21"/>
                <w:highlight w:val="none"/>
                <w:lang w:val="en-US" w:eastAsia="zh-CN"/>
              </w:rPr>
              <w:t>立方米</w:t>
            </w:r>
            <w:r>
              <w:rPr>
                <w:rFonts w:hint="eastAsia" w:ascii="宋体" w:hAnsi="宋体" w:cs="宋体"/>
                <w:b w:val="0"/>
                <w:bCs w:val="0"/>
                <w:color w:val="auto"/>
                <w:sz w:val="21"/>
                <w:szCs w:val="21"/>
                <w:highlight w:val="none"/>
                <w:lang w:eastAsia="zh-CN"/>
              </w:rPr>
              <w:t>，回填土方约2000</w:t>
            </w:r>
            <w:r>
              <w:rPr>
                <w:rFonts w:hint="eastAsia" w:ascii="宋体" w:hAnsi="宋体" w:cs="宋体"/>
                <w:b w:val="0"/>
                <w:bCs w:val="0"/>
                <w:color w:val="auto"/>
                <w:sz w:val="21"/>
                <w:szCs w:val="21"/>
                <w:highlight w:val="none"/>
                <w:lang w:val="en-US" w:eastAsia="zh-CN"/>
              </w:rPr>
              <w:t>立方米</w:t>
            </w:r>
            <w:r>
              <w:rPr>
                <w:rFonts w:hint="eastAsia" w:ascii="宋体" w:hAnsi="宋体" w:cs="宋体"/>
                <w:b w:val="0"/>
                <w:bCs w:val="0"/>
                <w:color w:val="auto"/>
                <w:sz w:val="21"/>
                <w:szCs w:val="21"/>
                <w:highlight w:val="none"/>
                <w:lang w:eastAsia="zh-CN"/>
              </w:rPr>
              <w:t>。中标人负责将该地块土方平整至图纸规定标高，并将多余的土方运输至指定区域（吉水工业园区F10地块，田溪南路以东、群峰路以北），并做好弃方区域场地平整工作。可能存在部分可利用级配料及砂石，如在挖方过程中出现级配料及砂石，须及时报备采购人，中标人不得擅自处置级配料，否则采购人有权取消合同并报相关主管部门追究法律责任。具体如下：</w:t>
            </w:r>
          </w:p>
          <w:p w14:paraId="75484F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1.对采购人指定区域土方平整至指定标高【详见附件：土石方计算图】。</w:t>
            </w:r>
          </w:p>
          <w:p w14:paraId="2BD00F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.填土部分区域的标高满足招标文件规定的规划标高要求，填方费和土方平整费包含在报价中。</w:t>
            </w:r>
          </w:p>
          <w:p w14:paraId="7F418C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3.多余土方运输至指定区域，并做好弃土场场地平整工作，相关费用包含在报价中。</w:t>
            </w:r>
          </w:p>
          <w:p w14:paraId="28C24F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.施工期间中标人需对周边因施工原因污染的道路进行冲洗，需做好其他相关安全文明施工措施，相关费用包含在报价中。</w:t>
            </w:r>
          </w:p>
          <w:p w14:paraId="33C32A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lang w:eastAsia="zh-CN"/>
              </w:rPr>
              <w:t>.区块内可能出现得风化岩、软土地基、杂填土等地基技术处理和处置及其他相关施工技术措施费用包含在报价中（</w:t>
            </w:r>
            <w:r>
              <w:rPr>
                <w:rFonts w:hint="eastAsia" w:ascii="宋体" w:hAnsi="宋体" w:cs="宋体"/>
                <w:b/>
                <w:bCs/>
                <w:color w:val="auto"/>
                <w:sz w:val="21"/>
                <w:szCs w:val="21"/>
                <w:highlight w:val="none"/>
                <w:lang w:val="en-US" w:eastAsia="zh-CN"/>
              </w:rPr>
              <w:t>投标人需自行组织现场踏勘，全面考察并掌握项目现场的地质条件、环境状况及潜在风险。在项目实施过程中，如遇地质条件变化，包括但不限于风化岩、软土地基、杂填土等复杂情况，采购人将不承担由此产生的任何额外费用，所有相关风险及费用均由投标人自行承担</w:t>
            </w:r>
            <w:r>
              <w:rPr>
                <w:rFonts w:hint="eastAsia" w:ascii="宋体" w:hAnsi="宋体" w:cs="宋体"/>
                <w:b/>
                <w:bCs/>
                <w:color w:val="auto"/>
                <w:sz w:val="21"/>
                <w:szCs w:val="21"/>
                <w:highlight w:val="none"/>
                <w:lang w:eastAsia="zh-CN"/>
              </w:rPr>
              <w:t>）。</w:t>
            </w:r>
          </w:p>
          <w:p w14:paraId="2BD864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highlight w:val="none"/>
              </w:rPr>
            </w:pP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.相关税费包含在报价中。</w:t>
            </w:r>
          </w:p>
        </w:tc>
        <w:tc>
          <w:tcPr>
            <w:tcW w:w="1177" w:type="dxa"/>
            <w:vAlign w:val="center"/>
          </w:tcPr>
          <w:p w14:paraId="7C55570B">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1778066.60</w:t>
            </w:r>
            <w:r>
              <w:rPr>
                <w:rFonts w:hint="eastAsia" w:ascii="宋体" w:hAnsi="宋体" w:eastAsia="宋体" w:cs="宋体"/>
                <w:b w:val="0"/>
                <w:bCs w:val="0"/>
                <w:color w:val="auto"/>
                <w:sz w:val="21"/>
                <w:szCs w:val="21"/>
                <w:highlight w:val="none"/>
                <w:lang w:val="en-US" w:eastAsia="zh-CN"/>
              </w:rPr>
              <w:t>元</w:t>
            </w:r>
          </w:p>
        </w:tc>
      </w:tr>
    </w:tbl>
    <w:p w14:paraId="6ACAC34F">
      <w:pPr>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二、服务内容</w:t>
      </w:r>
    </w:p>
    <w:p w14:paraId="78EC704E">
      <w:pPr>
        <w:pStyle w:val="3"/>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吉水县工业园区CXGYY0602地块土方平整采购项目地块约49.3亩，土方平整约17.3万</w:t>
      </w:r>
      <w:r>
        <w:rPr>
          <w:rFonts w:hint="eastAsia" w:ascii="宋体" w:hAnsi="宋体" w:cs="宋体"/>
          <w:b w:val="0"/>
          <w:bCs w:val="0"/>
          <w:color w:val="auto"/>
          <w:sz w:val="21"/>
          <w:szCs w:val="21"/>
          <w:highlight w:val="none"/>
          <w:lang w:val="en-US" w:eastAsia="zh-CN"/>
        </w:rPr>
        <w:t>立方米</w:t>
      </w:r>
      <w:r>
        <w:rPr>
          <w:rFonts w:hint="eastAsia" w:ascii="宋体" w:hAnsi="宋体" w:cs="宋体"/>
          <w:b w:val="0"/>
          <w:bCs w:val="0"/>
          <w:color w:val="auto"/>
          <w:sz w:val="21"/>
          <w:szCs w:val="21"/>
          <w:highlight w:val="none"/>
          <w:lang w:eastAsia="zh-CN"/>
        </w:rPr>
        <w:t>，回填土方约2000</w:t>
      </w:r>
      <w:r>
        <w:rPr>
          <w:rFonts w:hint="eastAsia" w:ascii="宋体" w:hAnsi="宋体" w:cs="宋体"/>
          <w:b w:val="0"/>
          <w:bCs w:val="0"/>
          <w:color w:val="auto"/>
          <w:sz w:val="21"/>
          <w:szCs w:val="21"/>
          <w:highlight w:val="none"/>
          <w:lang w:val="en-US" w:eastAsia="zh-CN"/>
        </w:rPr>
        <w:t>立方米</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如在挖方过程中出现</w:t>
      </w:r>
      <w:r>
        <w:rPr>
          <w:rFonts w:hint="eastAsia" w:ascii="宋体" w:hAnsi="宋体" w:eastAsia="宋体" w:cs="宋体"/>
          <w:b w:val="0"/>
          <w:bCs w:val="0"/>
          <w:color w:val="auto"/>
          <w:sz w:val="21"/>
          <w:szCs w:val="21"/>
          <w:highlight w:val="none"/>
          <w:lang w:eastAsia="zh-CN"/>
        </w:rPr>
        <w:t>级配料</w:t>
      </w:r>
      <w:r>
        <w:rPr>
          <w:rFonts w:hint="eastAsia" w:ascii="宋体" w:hAnsi="宋体" w:cs="宋体"/>
          <w:b w:val="0"/>
          <w:bCs w:val="0"/>
          <w:color w:val="auto"/>
          <w:sz w:val="21"/>
          <w:szCs w:val="21"/>
          <w:highlight w:val="none"/>
          <w:lang w:eastAsia="zh-CN"/>
        </w:rPr>
        <w:t>及砂石</w:t>
      </w:r>
      <w:r>
        <w:rPr>
          <w:rFonts w:hint="eastAsia" w:ascii="宋体" w:hAnsi="宋体" w:eastAsia="宋体" w:cs="宋体"/>
          <w:b w:val="0"/>
          <w:bCs w:val="0"/>
          <w:color w:val="auto"/>
          <w:sz w:val="21"/>
          <w:szCs w:val="21"/>
          <w:highlight w:val="none"/>
          <w:lang w:eastAsia="zh-CN"/>
        </w:rPr>
        <w:t>，须及时报备采购人，</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不得擅自处置级配料，否则采购人有权取消合同并报相关主管部门追究法律责任。</w:t>
      </w:r>
    </w:p>
    <w:p w14:paraId="456ECFD7">
      <w:pPr>
        <w:pStyle w:val="3"/>
        <w:keepNext w:val="0"/>
        <w:keepLines w:val="0"/>
        <w:pageBreakBefore w:val="0"/>
        <w:widowControl w:val="0"/>
        <w:kinsoku/>
        <w:wordWrap/>
        <w:overflowPunct/>
        <w:topLinePunct w:val="0"/>
        <w:autoSpaceDE/>
        <w:autoSpaceDN/>
        <w:bidi w:val="0"/>
        <w:adjustRightInd/>
        <w:snapToGrid/>
        <w:spacing w:line="360" w:lineRule="auto"/>
        <w:ind w:firstLine="424"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填方、</w:t>
      </w:r>
      <w:r>
        <w:rPr>
          <w:rFonts w:hint="eastAsia" w:ascii="宋体" w:hAnsi="宋体" w:eastAsia="宋体" w:cs="宋体"/>
          <w:b w:val="0"/>
          <w:bCs w:val="0"/>
          <w:color w:val="auto"/>
          <w:sz w:val="21"/>
          <w:szCs w:val="21"/>
          <w:highlight w:val="none"/>
          <w:lang w:val="en-US" w:eastAsia="zh-CN"/>
        </w:rPr>
        <w:t>场地平整、</w:t>
      </w:r>
      <w:r>
        <w:rPr>
          <w:rFonts w:hint="eastAsia" w:ascii="宋体" w:hAnsi="宋体" w:eastAsia="宋体" w:cs="宋体"/>
          <w:b w:val="0"/>
          <w:bCs w:val="0"/>
          <w:color w:val="auto"/>
          <w:sz w:val="21"/>
          <w:szCs w:val="21"/>
          <w:highlight w:val="none"/>
          <w:lang w:eastAsia="zh-CN"/>
        </w:rPr>
        <w:t>转运、</w:t>
      </w:r>
      <w:r>
        <w:rPr>
          <w:rFonts w:hint="eastAsia" w:ascii="宋体" w:hAnsi="宋体" w:eastAsia="宋体" w:cs="宋体"/>
          <w:b w:val="0"/>
          <w:bCs w:val="0"/>
          <w:color w:val="auto"/>
          <w:sz w:val="21"/>
          <w:szCs w:val="21"/>
          <w:highlight w:val="none"/>
          <w:lang w:val="en-US" w:eastAsia="zh-CN"/>
        </w:rPr>
        <w:t>施工围挡等</w:t>
      </w:r>
      <w:r>
        <w:rPr>
          <w:rFonts w:hint="eastAsia" w:ascii="宋体" w:hAnsi="宋体" w:eastAsia="宋体" w:cs="宋体"/>
          <w:b w:val="0"/>
          <w:bCs w:val="0"/>
          <w:color w:val="auto"/>
          <w:sz w:val="21"/>
          <w:szCs w:val="21"/>
          <w:highlight w:val="none"/>
          <w:lang w:eastAsia="zh-CN"/>
        </w:rPr>
        <w:t>费用包含在报价中。内容包含土方运输、填方、平整，按采购人要求平整到相应标高，具体以施工图为准。开挖过程中如有遇到复杂土质等由投标人自行承担。</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应严格依据设计图标高按施工规范施工，且应按采购人的要求有序施工。在土石方开挖过程中如有遇到复杂土质，采购人不另外增加费用,由</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自行承担所有费用。因</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eastAsia="zh-CN"/>
        </w:rPr>
        <w:t>在计算投标报价过程中报价不合理或费用计算错误，采购人一律不予调整，由此产生的损失及后果自负。</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eastAsia="zh-CN"/>
        </w:rPr>
        <w:t>必须满足业主要求完成土方运输及平整工作，如</w:t>
      </w:r>
      <w:r>
        <w:rPr>
          <w:rFonts w:hint="eastAsia" w:ascii="宋体" w:hAnsi="宋体" w:eastAsia="宋体" w:cs="宋体"/>
          <w:b w:val="0"/>
          <w:bCs w:val="0"/>
          <w:color w:val="auto"/>
          <w:sz w:val="21"/>
          <w:szCs w:val="21"/>
          <w:highlight w:val="none"/>
          <w:lang w:val="en-US" w:eastAsia="zh-CN"/>
        </w:rPr>
        <w:t>中标人未按要求进行平整或未达到验收要求，采购人有权取消合同、没收履约保证金并追究法律责任。</w:t>
      </w:r>
    </w:p>
    <w:p w14:paraId="1D40A0AF">
      <w:pPr>
        <w:pageBreakBefore w:val="0"/>
        <w:widowControl w:val="0"/>
        <w:kinsoku/>
        <w:wordWrap/>
        <w:overflowPunct/>
        <w:topLinePunct w:val="0"/>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要求</w:t>
      </w:r>
    </w:p>
    <w:p w14:paraId="543873B2">
      <w:pPr>
        <w:pageBreakBefore w:val="0"/>
        <w:widowControl w:val="0"/>
        <w:numPr>
          <w:ilvl w:val="0"/>
          <w:numId w:val="0"/>
        </w:numPr>
        <w:kinsoku/>
        <w:wordWrap/>
        <w:overflowPunct/>
        <w:topLinePunct w:val="0"/>
        <w:bidi w:val="0"/>
        <w:adjustRightInd/>
        <w:snapToGrid/>
        <w:spacing w:line="360" w:lineRule="auto"/>
        <w:ind w:left="0" w:leftChars="0" w:firstLine="424" w:firstLineChars="200"/>
        <w:jc w:val="left"/>
        <w:textAlignment w:val="auto"/>
        <w:rPr>
          <w:rFonts w:hint="eastAsia" w:ascii="宋体" w:hAnsi="宋体" w:eastAsia="宋体" w:cs="宋体"/>
          <w:b/>
          <w:bCs/>
          <w:color w:val="auto"/>
          <w:kern w:val="24"/>
          <w:sz w:val="21"/>
          <w:szCs w:val="21"/>
          <w:highlight w:val="none"/>
        </w:rPr>
      </w:pPr>
      <w:r>
        <w:rPr>
          <w:rFonts w:hint="eastAsia" w:ascii="宋体" w:hAnsi="宋体" w:eastAsia="宋体" w:cs="宋体"/>
          <w:b/>
          <w:bCs/>
          <w:color w:val="auto"/>
          <w:kern w:val="24"/>
          <w:sz w:val="21"/>
          <w:szCs w:val="21"/>
          <w:highlight w:val="none"/>
          <w:lang w:val="en-US" w:eastAsia="zh-CN" w:bidi="ar-SA"/>
        </w:rPr>
        <w:t>1、</w:t>
      </w:r>
      <w:r>
        <w:rPr>
          <w:rFonts w:hint="eastAsia" w:ascii="宋体" w:hAnsi="宋体" w:eastAsia="宋体" w:cs="宋体"/>
          <w:b/>
          <w:bCs/>
          <w:color w:val="auto"/>
          <w:kern w:val="24"/>
          <w:sz w:val="21"/>
          <w:szCs w:val="21"/>
          <w:highlight w:val="none"/>
        </w:rPr>
        <w:t>施工要求</w:t>
      </w:r>
    </w:p>
    <w:p w14:paraId="6AB55E55">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（1）针对本项目要求制定施工进度计划及保证措施交由</w:t>
      </w:r>
      <w:r>
        <w:rPr>
          <w:rFonts w:hint="eastAsia" w:ascii="宋体" w:hAnsi="宋体" w:cs="宋体"/>
          <w:color w:val="auto"/>
          <w:kern w:val="24"/>
          <w:sz w:val="21"/>
          <w:szCs w:val="21"/>
          <w:highlight w:val="none"/>
          <w:lang w:eastAsia="zh-CN"/>
        </w:rPr>
        <w:t>采购人</w:t>
      </w:r>
      <w:r>
        <w:rPr>
          <w:rFonts w:hint="eastAsia" w:ascii="宋体" w:hAnsi="宋体" w:eastAsia="宋体" w:cs="宋体"/>
          <w:color w:val="auto"/>
          <w:kern w:val="24"/>
          <w:sz w:val="21"/>
          <w:szCs w:val="21"/>
          <w:highlight w:val="none"/>
        </w:rPr>
        <w:t>审核，由</w:t>
      </w:r>
      <w:r>
        <w:rPr>
          <w:rFonts w:hint="eastAsia" w:ascii="宋体" w:hAnsi="宋体" w:cs="宋体"/>
          <w:color w:val="auto"/>
          <w:kern w:val="24"/>
          <w:sz w:val="21"/>
          <w:szCs w:val="21"/>
          <w:highlight w:val="none"/>
          <w:lang w:eastAsia="zh-CN"/>
        </w:rPr>
        <w:t>采购人</w:t>
      </w:r>
      <w:r>
        <w:rPr>
          <w:rFonts w:hint="eastAsia" w:ascii="宋体" w:hAnsi="宋体" w:eastAsia="宋体" w:cs="宋体"/>
          <w:color w:val="auto"/>
          <w:kern w:val="24"/>
          <w:sz w:val="21"/>
          <w:szCs w:val="21"/>
          <w:highlight w:val="none"/>
        </w:rPr>
        <w:t>审核同意签字后方可实行。</w:t>
      </w:r>
    </w:p>
    <w:p w14:paraId="3C96ED5A">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（2）施工前邀请</w:t>
      </w:r>
      <w:r>
        <w:rPr>
          <w:rFonts w:hint="eastAsia" w:ascii="宋体" w:hAnsi="宋体" w:cs="宋体"/>
          <w:color w:val="auto"/>
          <w:kern w:val="24"/>
          <w:sz w:val="21"/>
          <w:szCs w:val="21"/>
          <w:highlight w:val="none"/>
          <w:lang w:eastAsia="zh-CN"/>
        </w:rPr>
        <w:t>采购人</w:t>
      </w:r>
      <w:r>
        <w:rPr>
          <w:rFonts w:hint="eastAsia" w:ascii="宋体" w:hAnsi="宋体" w:eastAsia="宋体" w:cs="宋体"/>
          <w:color w:val="auto"/>
          <w:kern w:val="24"/>
          <w:sz w:val="21"/>
          <w:szCs w:val="21"/>
          <w:highlight w:val="none"/>
        </w:rPr>
        <w:t>进行书面安全技术交底，双方签字后实行。</w:t>
      </w:r>
    </w:p>
    <w:p w14:paraId="6CD45EF1">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（3）在施工区域四周设置安全围护，夜间设置红色照明警示灯。</w:t>
      </w:r>
    </w:p>
    <w:p w14:paraId="738FA2E7">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（4）施工时需配备专人指挥，实行定机、定人、定岗管理职责。</w:t>
      </w:r>
    </w:p>
    <w:p w14:paraId="1793CD42">
      <w:pPr>
        <w:pStyle w:val="1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（5）保证施工过程中的安全，任何人员事故由</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自行负责并承担费用；</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定期对其员工进行安全、文明教育并留有记录备查。</w:t>
      </w:r>
    </w:p>
    <w:p w14:paraId="227A6821">
      <w:pPr>
        <w:pStyle w:val="3"/>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bookmarkStart w:id="95" w:name="_Toc276644075"/>
      <w:bookmarkStart w:id="96" w:name="_Toc276466169"/>
      <w:bookmarkStart w:id="97" w:name="_Toc217732031"/>
      <w:bookmarkStart w:id="98" w:name="_Toc145097461"/>
      <w:bookmarkStart w:id="99" w:name="_Toc173829587"/>
      <w:r>
        <w:rPr>
          <w:rFonts w:hint="eastAsia" w:ascii="宋体" w:hAnsi="宋体" w:eastAsia="宋体" w:cs="宋体"/>
          <w:color w:val="auto"/>
          <w:kern w:val="24"/>
          <w:sz w:val="21"/>
          <w:szCs w:val="21"/>
          <w:highlight w:val="none"/>
        </w:rPr>
        <w:t>2、</w:t>
      </w:r>
      <w:bookmarkEnd w:id="95"/>
      <w:bookmarkEnd w:id="96"/>
      <w:bookmarkEnd w:id="97"/>
      <w:bookmarkEnd w:id="98"/>
      <w:bookmarkEnd w:id="99"/>
      <w:r>
        <w:rPr>
          <w:rFonts w:hint="eastAsia" w:ascii="宋体" w:hAnsi="宋体" w:eastAsia="宋体" w:cs="宋体"/>
          <w:color w:val="auto"/>
          <w:kern w:val="24"/>
          <w:sz w:val="21"/>
          <w:szCs w:val="21"/>
          <w:highlight w:val="none"/>
        </w:rPr>
        <w:t>运输要求</w:t>
      </w:r>
    </w:p>
    <w:p w14:paraId="701A983B">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bookmarkStart w:id="100" w:name="_Toc173829553"/>
      <w:bookmarkStart w:id="101" w:name="_Toc144670606"/>
      <w:bookmarkStart w:id="102" w:name="_Toc173829588"/>
      <w:bookmarkStart w:id="103" w:name="_Toc217732032"/>
      <w:bookmarkStart w:id="104" w:name="_Toc145097462"/>
      <w:r>
        <w:rPr>
          <w:rFonts w:hint="eastAsia" w:ascii="宋体" w:hAnsi="宋体" w:eastAsia="宋体" w:cs="宋体"/>
          <w:color w:val="auto"/>
          <w:kern w:val="24"/>
          <w:sz w:val="21"/>
          <w:szCs w:val="21"/>
          <w:highlight w:val="none"/>
        </w:rPr>
        <w:t>（1）</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需针对本项目要求制定土方运输路线规划。</w:t>
      </w:r>
    </w:p>
    <w:p w14:paraId="5C1F0228">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w:t>
      </w:r>
      <w:r>
        <w:rPr>
          <w:rFonts w:hint="eastAsia" w:ascii="宋体" w:hAnsi="宋体" w:cs="宋体"/>
          <w:color w:val="auto"/>
          <w:kern w:val="24"/>
          <w:sz w:val="21"/>
          <w:szCs w:val="21"/>
          <w:highlight w:val="none"/>
          <w:lang w:val="en-US" w:eastAsia="zh-CN"/>
        </w:rPr>
        <w:t>2</w:t>
      </w:r>
      <w:r>
        <w:rPr>
          <w:rFonts w:hint="eastAsia" w:ascii="宋体" w:hAnsi="宋体" w:eastAsia="宋体" w:cs="宋体"/>
          <w:color w:val="auto"/>
          <w:kern w:val="24"/>
          <w:sz w:val="21"/>
          <w:szCs w:val="21"/>
          <w:highlight w:val="none"/>
        </w:rPr>
        <w:t>）</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按标准设置车辆冲洗平台、出入口硬化等工作。</w:t>
      </w:r>
    </w:p>
    <w:p w14:paraId="69618C5F">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（3）</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所投入本项目的所有运输车辆、驾驶人证照必须齐全，并购买保险（保险单第三责任险不少于100万元），不合格（包括无证和证件过期）的，不能承担运输任务。</w:t>
      </w:r>
    </w:p>
    <w:p w14:paraId="7BFF204F">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（4）运输土方的车辆驶离挖方地块时，必须冲洗车体，保持车辆干净整洁；运输路线上做到随时清扫散落的土方及泥浆。</w:t>
      </w:r>
    </w:p>
    <w:p w14:paraId="3F628DED">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（5）运输土方的车辆必须按指定的运输路线行驶。运输过程中，应限量装载，车厢上部必须覆盖蓬布或采取其他有效措施，防止渣上沿途泄漏、飞扬。</w:t>
      </w:r>
    </w:p>
    <w:p w14:paraId="183A1753">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（6）</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必须按照公安、路政、公路、城管等有关管理部门的要求合法合规运输，如</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违反规定运输，所有责任由</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自行承担。</w:t>
      </w:r>
    </w:p>
    <w:p w14:paraId="0EC0E240">
      <w:pPr>
        <w:pStyle w:val="5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（7）运输土方应实行定人、定车、定岗管理职责。</w:t>
      </w:r>
    </w:p>
    <w:p w14:paraId="533E64E6">
      <w:pPr>
        <w:pStyle w:val="1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（8）</w:t>
      </w:r>
      <w:r>
        <w:rPr>
          <w:rFonts w:hint="eastAsia" w:ascii="宋体" w:hAnsi="宋体" w:eastAsia="宋体" w:cs="宋体"/>
          <w:color w:val="auto"/>
          <w:kern w:val="24"/>
          <w:sz w:val="21"/>
          <w:szCs w:val="21"/>
          <w:highlight w:val="none"/>
          <w:lang w:eastAsia="zh-CN"/>
        </w:rPr>
        <w:t>中标人</w:t>
      </w:r>
      <w:r>
        <w:rPr>
          <w:rFonts w:hint="eastAsia" w:ascii="宋体" w:hAnsi="宋体" w:eastAsia="宋体" w:cs="宋体"/>
          <w:color w:val="auto"/>
          <w:kern w:val="24"/>
          <w:sz w:val="21"/>
          <w:szCs w:val="21"/>
          <w:highlight w:val="none"/>
        </w:rPr>
        <w:t>保证运输车辆在运输过程中的安全，任何车辆、人员事故有</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自行负责并承担费用；</w:t>
      </w:r>
      <w:r>
        <w:rPr>
          <w:rFonts w:hint="eastAsia" w:ascii="宋体" w:hAnsi="宋体" w:eastAsia="宋体" w:cs="宋体"/>
          <w:color w:val="auto"/>
          <w:kern w:val="24"/>
          <w:sz w:val="21"/>
          <w:szCs w:val="21"/>
          <w:highlight w:val="none"/>
          <w:lang w:eastAsia="zh-CN"/>
        </w:rPr>
        <w:t>投标人</w:t>
      </w:r>
      <w:r>
        <w:rPr>
          <w:rFonts w:hint="eastAsia" w:ascii="宋体" w:hAnsi="宋体" w:eastAsia="宋体" w:cs="宋体"/>
          <w:color w:val="auto"/>
          <w:kern w:val="24"/>
          <w:sz w:val="21"/>
          <w:szCs w:val="21"/>
          <w:highlight w:val="none"/>
        </w:rPr>
        <w:t>定期对其员工进行安全、文明教育并留有记录备查。</w:t>
      </w:r>
    </w:p>
    <w:p w14:paraId="56320216">
      <w:pPr>
        <w:pStyle w:val="12"/>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（9）</w:t>
      </w:r>
      <w:r>
        <w:rPr>
          <w:rFonts w:hint="eastAsia" w:ascii="宋体" w:hAnsi="宋体" w:eastAsia="宋体" w:cs="宋体"/>
          <w:color w:val="auto"/>
          <w:kern w:val="24"/>
          <w:sz w:val="21"/>
          <w:szCs w:val="21"/>
          <w:highlight w:val="none"/>
          <w:lang w:eastAsia="zh-CN"/>
        </w:rPr>
        <w:t>中标人</w:t>
      </w:r>
      <w:r>
        <w:rPr>
          <w:rFonts w:hint="eastAsia" w:hAnsi="宋体" w:cs="宋体"/>
          <w:color w:val="auto"/>
          <w:sz w:val="21"/>
          <w:szCs w:val="21"/>
          <w:highlight w:val="none"/>
          <w:lang w:val="en-US" w:eastAsia="zh-CN"/>
        </w:rPr>
        <w:t>对本项目的施工</w:t>
      </w:r>
      <w:r>
        <w:rPr>
          <w:rFonts w:hint="eastAsia" w:ascii="宋体" w:hAnsi="宋体" w:eastAsia="宋体" w:cs="宋体"/>
          <w:color w:val="auto"/>
          <w:sz w:val="21"/>
          <w:szCs w:val="21"/>
          <w:highlight w:val="none"/>
        </w:rPr>
        <w:t>须符合吉水县相关政策要求，如造成的相关法律责任及民事纠纷均由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bookmarkEnd w:id="100"/>
    <w:bookmarkEnd w:id="101"/>
    <w:bookmarkEnd w:id="102"/>
    <w:bookmarkEnd w:id="103"/>
    <w:bookmarkEnd w:id="104"/>
    <w:p w14:paraId="65253C03">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default"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3、</w:t>
      </w:r>
      <w:r>
        <w:rPr>
          <w:rFonts w:hint="eastAsia" w:ascii="宋体" w:hAnsi="宋体" w:cs="宋体"/>
          <w:b/>
          <w:color w:val="auto"/>
          <w:sz w:val="21"/>
          <w:szCs w:val="21"/>
          <w:highlight w:val="none"/>
          <w:lang w:val="en-US" w:eastAsia="zh-CN"/>
        </w:rPr>
        <w:t>填方和场地平整要求：须符合国家规范标准及工程施工技术（验收）规程。</w:t>
      </w:r>
    </w:p>
    <w:p w14:paraId="5A36455D">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其他要求</w:t>
      </w:r>
      <w:bookmarkStart w:id="105" w:name="_GoBack"/>
      <w:bookmarkEnd w:id="105"/>
    </w:p>
    <w:p w14:paraId="36C116A8">
      <w:pPr>
        <w:pStyle w:val="10"/>
        <w:pageBreakBefore w:val="0"/>
        <w:widowControl w:val="0"/>
        <w:kinsoku/>
        <w:wordWrap/>
        <w:overflowPunct/>
        <w:topLinePunct w:val="0"/>
        <w:bidi w:val="0"/>
        <w:adjustRightInd/>
        <w:snapToGrid/>
        <w:spacing w:before="0" w:line="360" w:lineRule="auto"/>
        <w:ind w:left="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（1）本项目为交钥匙工程，所投报价为包干价，投标报价包含土石方填方平整费、人工费、运输费、机械费、文明施工费、税费及完成本项目所需的一切费用。</w:t>
      </w:r>
    </w:p>
    <w:p w14:paraId="5750B15B">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（2）现场勘查：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应自行安排时间进行实地勘察,为报价取得依据，一旦</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rPr>
        <w:t>，不得以不了解现场情况为理由而提出额外费用，</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将不予考虑。踏勘现场的费用自理，在现场考察过程中，投标如果发生人身伤亡、财务或其它损失，不论何种原因造成，均由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自负。</w:t>
      </w:r>
    </w:p>
    <w:p w14:paraId="6A1F4C80">
      <w:pPr>
        <w:pStyle w:val="10"/>
        <w:pageBreakBefore w:val="0"/>
        <w:widowControl w:val="0"/>
        <w:kinsoku/>
        <w:wordWrap/>
        <w:overflowPunct/>
        <w:topLinePunct w:val="0"/>
        <w:bidi w:val="0"/>
        <w:adjustRightInd/>
        <w:snapToGrid/>
        <w:spacing w:before="0" w:line="360" w:lineRule="auto"/>
        <w:ind w:left="0" w:firstLine="42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须加强施工现场的组织管理，所有派驻的施工人员必须严格遵守安全文明施工的有关规章制度和</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规定的相关制度。</w:t>
      </w:r>
    </w:p>
    <w:p w14:paraId="54F2CCFD">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应严格依据设计图标高按施工规范施工，且应按</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的要求有序施工，如没有达到验收要求，</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将协同有关部门对</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进行经济、行政处罚（列入黑名单）。</w:t>
      </w:r>
    </w:p>
    <w:p w14:paraId="6977B7B3">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）为保证本项目的顺利实施，根据建设部、市住建局关于项目负责人和主要施工管理人员到位到岗的相关规定，本工程</w:t>
      </w:r>
      <w:r>
        <w:rPr>
          <w:rFonts w:hint="eastAsia" w:ascii="宋体" w:hAnsi="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lang w:eastAsia="zh-CN"/>
        </w:rPr>
        <w:t>要求</w:t>
      </w:r>
      <w:r>
        <w:rPr>
          <w:rFonts w:hint="eastAsia" w:ascii="宋体" w:hAnsi="宋体" w:cs="宋体"/>
          <w:b w:val="0"/>
          <w:bCs/>
          <w:color w:val="auto"/>
          <w:sz w:val="21"/>
          <w:szCs w:val="21"/>
          <w:highlight w:val="none"/>
          <w:lang w:val="en-US" w:eastAsia="zh-CN"/>
        </w:rPr>
        <w:t>投标人至少</w:t>
      </w:r>
      <w:r>
        <w:rPr>
          <w:rFonts w:hint="eastAsia" w:ascii="宋体" w:hAnsi="宋体" w:eastAsia="宋体" w:cs="宋体"/>
          <w:b w:val="0"/>
          <w:bCs/>
          <w:color w:val="auto"/>
          <w:sz w:val="21"/>
          <w:szCs w:val="21"/>
          <w:highlight w:val="none"/>
          <w:lang w:eastAsia="zh-CN"/>
        </w:rPr>
        <w:t>拟派</w:t>
      </w:r>
      <w:r>
        <w:rPr>
          <w:rFonts w:hint="eastAsia" w:ascii="宋体" w:hAnsi="宋体" w:cs="宋体"/>
          <w:b w:val="0"/>
          <w:bCs/>
          <w:color w:val="auto"/>
          <w:sz w:val="21"/>
          <w:szCs w:val="21"/>
          <w:highlight w:val="none"/>
          <w:lang w:val="en-US" w:eastAsia="zh-CN"/>
        </w:rPr>
        <w:t>注册</w:t>
      </w:r>
      <w:r>
        <w:rPr>
          <w:rFonts w:hint="eastAsia" w:ascii="宋体" w:hAnsi="宋体" w:eastAsia="宋体" w:cs="宋体"/>
          <w:b w:val="0"/>
          <w:bCs/>
          <w:color w:val="auto"/>
          <w:sz w:val="21"/>
          <w:szCs w:val="21"/>
          <w:highlight w:val="none"/>
          <w:lang w:eastAsia="zh-CN"/>
        </w:rPr>
        <w:t>建造师</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施工员</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质量员</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专职安全员</w:t>
      </w:r>
      <w:r>
        <w:rPr>
          <w:rFonts w:hint="eastAsia" w:ascii="宋体" w:hAnsi="宋体" w:cs="宋体"/>
          <w:b w:val="0"/>
          <w:bCs w:val="0"/>
          <w:color w:val="auto"/>
          <w:sz w:val="21"/>
          <w:szCs w:val="21"/>
          <w:highlight w:val="none"/>
          <w:lang w:val="en-US" w:eastAsia="zh-CN"/>
        </w:rPr>
        <w:t>各1人</w:t>
      </w:r>
      <w:r>
        <w:rPr>
          <w:rFonts w:hint="eastAsia" w:ascii="宋体" w:hAnsi="宋体" w:cs="宋体"/>
          <w:b w:val="0"/>
          <w:bCs w:val="0"/>
          <w:color w:val="auto"/>
          <w:sz w:val="21"/>
          <w:szCs w:val="21"/>
          <w:highlight w:val="none"/>
          <w:lang w:val="en-US" w:eastAsia="zh-CN"/>
        </w:rPr>
        <w:t>，均</w:t>
      </w:r>
      <w:r>
        <w:rPr>
          <w:rFonts w:hint="eastAsia" w:ascii="宋体" w:hAnsi="宋体" w:eastAsia="宋体" w:cs="宋体"/>
          <w:b w:val="0"/>
          <w:bCs/>
          <w:color w:val="auto"/>
          <w:sz w:val="21"/>
          <w:szCs w:val="21"/>
          <w:highlight w:val="none"/>
          <w:lang w:eastAsia="zh-CN"/>
        </w:rPr>
        <w:t>不得有在建工程，不得出现一人多岗现象，以上人员若出现上述现象，按照“赣建字【2016】6号《关于我省房屋建筑和市政基础设施工程招标投标活动中有关问题处理意见的通知》”的规定执行。</w:t>
      </w:r>
    </w:p>
    <w:p w14:paraId="5CDAD243">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采购人有权</w:t>
      </w:r>
      <w:r>
        <w:rPr>
          <w:rFonts w:hint="eastAsia" w:ascii="宋体" w:hAnsi="宋体" w:eastAsia="宋体" w:cs="宋体"/>
          <w:b w:val="0"/>
          <w:bCs/>
          <w:color w:val="auto"/>
          <w:sz w:val="21"/>
          <w:szCs w:val="21"/>
          <w:highlight w:val="none"/>
          <w:lang w:eastAsia="zh-CN"/>
        </w:rPr>
        <w:t>委派专人或监理人员在施工现场对施工单位进行日常考勤，要求施工单位项目负责人每月不得少于22天在施工现场，其余三大员每月不得少于25天在施工现场。</w:t>
      </w:r>
      <w:r>
        <w:rPr>
          <w:rFonts w:hint="eastAsia" w:ascii="宋体" w:hAnsi="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lang w:eastAsia="zh-CN"/>
        </w:rPr>
        <w:t>将根据《吉安市房屋建筑和市政基础设施工程施工现场重点岗位管理人员电子考勤暂行办法》(吉市建字[2020]23号）文件规定，对上述人员将进行电子考勤，形成考勤日志，项目负责人（建造师）每月不得少于22天在施工现场，三大员每月不得少于25天在施工现场。</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eastAsia="zh-CN"/>
        </w:rPr>
        <w:t>每发现项目负责人不在施工现场，按每次罚款5000元，</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eastAsia="zh-CN"/>
        </w:rPr>
        <w:t>每发现其余三大员不在施工现场，按每次罚款3000元。</w:t>
      </w:r>
    </w:p>
    <w:p w14:paraId="4CA7FDC9">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（7）中标人需为其参与本项目的所有人员购买相关保险，包括但不限于：意外伤害险、安全生产责任保险、</w:t>
      </w:r>
      <w:r>
        <w:rPr>
          <w:rFonts w:hint="eastAsia" w:ascii="宋体" w:hAnsi="宋体" w:eastAsia="宋体" w:cs="宋体"/>
          <w:color w:val="auto"/>
          <w:sz w:val="21"/>
          <w:szCs w:val="21"/>
          <w:highlight w:val="none"/>
          <w:shd w:val="clear" w:color="auto" w:fill="auto"/>
          <w:lang w:val="en-US" w:eastAsia="zh-CN"/>
        </w:rPr>
        <w:t>第三者责任险，采购人不承担任何作业过程中所出现的风险，保证施工过程中的安全，施工过程中任何人员事故均由</w:t>
      </w:r>
      <w:r>
        <w:rPr>
          <w:rFonts w:hint="eastAsia" w:cs="宋体"/>
          <w:color w:val="auto"/>
          <w:sz w:val="21"/>
          <w:szCs w:val="21"/>
          <w:highlight w:val="none"/>
          <w:shd w:val="clear" w:color="auto" w:fill="auto"/>
          <w:lang w:val="en-US" w:eastAsia="zh-CN"/>
        </w:rPr>
        <w:t>中标人</w:t>
      </w:r>
      <w:r>
        <w:rPr>
          <w:rFonts w:hint="eastAsia" w:ascii="宋体" w:hAnsi="宋体" w:eastAsia="宋体" w:cs="宋体"/>
          <w:color w:val="auto"/>
          <w:sz w:val="21"/>
          <w:szCs w:val="21"/>
          <w:highlight w:val="none"/>
          <w:shd w:val="clear" w:color="auto" w:fill="auto"/>
          <w:lang w:val="en-US" w:eastAsia="zh-CN"/>
        </w:rPr>
        <w:t>自行负责并承担费用。</w:t>
      </w:r>
    </w:p>
    <w:p w14:paraId="462A1236">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四、商务要求</w:t>
      </w:r>
    </w:p>
    <w:p w14:paraId="6128EFE7">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1、服务地点：</w:t>
      </w:r>
      <w:r>
        <w:rPr>
          <w:rFonts w:hint="eastAsia" w:ascii="宋体" w:hAnsi="宋体" w:cs="宋体"/>
          <w:color w:val="auto"/>
          <w:sz w:val="21"/>
          <w:szCs w:val="21"/>
          <w:highlight w:val="none"/>
          <w:lang w:eastAsia="zh-CN"/>
        </w:rPr>
        <w:t>吉水城西工业园区</w:t>
      </w:r>
      <w:r>
        <w:rPr>
          <w:rFonts w:hint="eastAsia" w:ascii="宋体" w:hAnsi="宋体" w:eastAsia="宋体" w:cs="宋体"/>
          <w:color w:val="auto"/>
          <w:sz w:val="21"/>
          <w:szCs w:val="21"/>
          <w:highlight w:val="none"/>
        </w:rPr>
        <w:t>。</w:t>
      </w:r>
    </w:p>
    <w:p w14:paraId="1AC791C9">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2、服务期限：</w:t>
      </w:r>
      <w:r>
        <w:rPr>
          <w:rFonts w:hint="eastAsia" w:ascii="宋体" w:hAnsi="宋体" w:cs="宋体"/>
          <w:color w:val="auto"/>
          <w:sz w:val="21"/>
          <w:szCs w:val="21"/>
          <w:highlight w:val="none"/>
          <w:lang w:eastAsia="zh-CN"/>
        </w:rPr>
        <w:t>合同工期60天，具体以实际开工日期起算时间为准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收到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进场通知后3天内进场施工，工期每延迟一天罚1万元。</w:t>
      </w:r>
    </w:p>
    <w:p w14:paraId="24EDE07F">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3、付款方式：完成总工程量50%后开始支付完成工程量的60%的工程款，</w:t>
      </w:r>
      <w:r>
        <w:rPr>
          <w:rFonts w:hint="eastAsia" w:ascii="宋体" w:hAnsi="宋体" w:cs="宋体"/>
          <w:color w:val="auto"/>
          <w:sz w:val="21"/>
          <w:szCs w:val="21"/>
          <w:highlight w:val="none"/>
          <w:lang w:eastAsia="zh-CN"/>
        </w:rPr>
        <w:t>工程验收合格后支付已完成工程量的80%，结算审计完成后一次性付清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应提供符合税务部门规定的税务发票结算）。</w:t>
      </w:r>
    </w:p>
    <w:p w14:paraId="33DF55BD">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本项目为交钥匙工程，所投报价为包干价，投标报价包含土石方开挖费、土石方填方平整费、人工费、运输费、机械费、文明施工费、税费及完成本项目所需的一切费用</w:t>
      </w:r>
      <w:r>
        <w:rPr>
          <w:rFonts w:hint="eastAsia" w:ascii="宋体" w:hAnsi="宋体" w:eastAsia="宋体" w:cs="宋体"/>
          <w:color w:val="auto"/>
          <w:sz w:val="21"/>
          <w:szCs w:val="21"/>
          <w:highlight w:val="none"/>
        </w:rPr>
        <w:t>。</w:t>
      </w:r>
    </w:p>
    <w:p w14:paraId="1E984819">
      <w:pPr>
        <w:pStyle w:val="57"/>
        <w:pageBreakBefore w:val="0"/>
        <w:widowControl w:val="0"/>
        <w:kinsoku/>
        <w:wordWrap/>
        <w:overflowPunct/>
        <w:topLinePunct w:val="0"/>
        <w:bidi w:val="0"/>
        <w:adjustRightInd/>
        <w:snapToGrid/>
        <w:spacing w:before="0" w:beforeLines="0" w:after="0" w:afterLines="0" w:line="360" w:lineRule="auto"/>
        <w:ind w:left="0" w:firstLine="424"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b/>
          <w:bCs w:val="0"/>
          <w:color w:val="auto"/>
          <w:sz w:val="21"/>
          <w:szCs w:val="21"/>
          <w:highlight w:val="none"/>
          <w:lang w:eastAsia="zh-CN"/>
        </w:rPr>
        <w:t>合同签订后，</w:t>
      </w:r>
      <w:r>
        <w:rPr>
          <w:rFonts w:hint="eastAsia" w:ascii="宋体" w:hAnsi="宋体" w:eastAsia="宋体" w:cs="宋体"/>
          <w:b/>
          <w:bCs w:val="0"/>
          <w:color w:val="auto"/>
          <w:sz w:val="21"/>
          <w:szCs w:val="21"/>
          <w:highlight w:val="none"/>
          <w:lang w:val="en-US" w:eastAsia="zh-CN"/>
        </w:rPr>
        <w:t>中标人</w:t>
      </w:r>
      <w:r>
        <w:rPr>
          <w:rFonts w:hint="eastAsia" w:ascii="宋体" w:hAnsi="宋体" w:eastAsia="宋体" w:cs="宋体"/>
          <w:b/>
          <w:bCs w:val="0"/>
          <w:color w:val="auto"/>
          <w:sz w:val="21"/>
          <w:szCs w:val="21"/>
          <w:highlight w:val="none"/>
          <w:lang w:eastAsia="zh-CN"/>
        </w:rPr>
        <w:t>应依法履行合同，并按施工图完成相关任务，项目</w:t>
      </w:r>
      <w:r>
        <w:rPr>
          <w:rFonts w:hint="eastAsia" w:ascii="宋体" w:hAnsi="宋体" w:eastAsia="宋体" w:cs="宋体"/>
          <w:b/>
          <w:bCs w:val="0"/>
          <w:color w:val="auto"/>
          <w:sz w:val="21"/>
          <w:szCs w:val="21"/>
          <w:highlight w:val="none"/>
          <w:lang w:val="en-US" w:eastAsia="zh-CN"/>
        </w:rPr>
        <w:t>结算</w:t>
      </w:r>
      <w:r>
        <w:rPr>
          <w:rFonts w:hint="eastAsia" w:ascii="宋体" w:hAnsi="宋体" w:eastAsia="宋体" w:cs="宋体"/>
          <w:b/>
          <w:bCs w:val="0"/>
          <w:color w:val="auto"/>
          <w:sz w:val="21"/>
          <w:szCs w:val="21"/>
          <w:highlight w:val="none"/>
          <w:lang w:eastAsia="zh-CN"/>
        </w:rPr>
        <w:t>价不得高于中标价（合同价），超过部分由中标单位自行承担。施工单位材料和设备进场前需征求建设单位同意。</w:t>
      </w:r>
    </w:p>
    <w:p w14:paraId="5CAAD88E">
      <w:pPr>
        <w:pageBreakBefore w:val="0"/>
        <w:widowControl w:val="0"/>
        <w:kinsoku/>
        <w:wordWrap/>
        <w:overflowPunct/>
        <w:topLinePunct w:val="0"/>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服务过程中符合国家现行技术标准和规范的要求。</w:t>
      </w:r>
    </w:p>
    <w:p w14:paraId="5D96C06A">
      <w:pPr>
        <w:keepNext w:val="0"/>
        <w:keepLines w:val="0"/>
        <w:pageBreakBefore w:val="0"/>
        <w:widowControl w:val="0"/>
        <w:kinsoku/>
        <w:wordWrap/>
        <w:overflowPunct/>
        <w:topLinePunct w:val="0"/>
        <w:autoSpaceDE/>
        <w:autoSpaceDN/>
        <w:bidi w:val="0"/>
        <w:adjustRightInd/>
        <w:snapToGrid/>
        <w:spacing w:line="360" w:lineRule="auto"/>
        <w:ind w:left="0" w:firstLine="424"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、未尽事宜，请与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协商在合同中体现。</w:t>
      </w:r>
    </w:p>
    <w:p w14:paraId="0EC7D9F1">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1EB813A9">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color w:val="auto"/>
          <w:szCs w:val="21"/>
          <w:highlight w:val="none"/>
        </w:rPr>
      </w:pPr>
      <w:r>
        <w:rPr>
          <w:rFonts w:hint="eastAsia"/>
          <w:b/>
          <w:bCs/>
          <w:color w:val="auto"/>
          <w:szCs w:val="21"/>
          <w:highlight w:val="none"/>
        </w:rPr>
        <w:t>评标办法：</w:t>
      </w:r>
    </w:p>
    <w:p w14:paraId="253F4E10">
      <w:pPr>
        <w:keepNext w:val="0"/>
        <w:keepLines w:val="0"/>
        <w:pageBreakBefore w:val="0"/>
        <w:widowControl w:val="0"/>
        <w:kinsoku/>
        <w:wordWrap/>
        <w:overflowPunct/>
        <w:topLinePunct w:val="0"/>
        <w:autoSpaceDE/>
        <w:autoSpaceDN/>
        <w:bidi w:val="0"/>
        <w:adjustRightInd w:val="0"/>
        <w:snapToGrid/>
        <w:spacing w:line="360" w:lineRule="auto"/>
        <w:ind w:firstLine="424"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eastAsia="宋体" w:cs="宋体"/>
          <w:b/>
          <w:bCs/>
          <w:color w:val="auto"/>
          <w:sz w:val="21"/>
          <w:szCs w:val="21"/>
          <w:highlight w:val="none"/>
        </w:rPr>
        <w:t>本项目评审采用</w:t>
      </w:r>
      <w:r>
        <w:rPr>
          <w:rFonts w:hint="eastAsia" w:ascii="宋体" w:hAnsi="宋体" w:cs="宋体"/>
          <w:b/>
          <w:bCs/>
          <w:color w:val="auto"/>
          <w:szCs w:val="21"/>
          <w:highlight w:val="none"/>
        </w:rPr>
        <w:t>最低评标价法，即投标文件满足招标文件全部实质性要求且经评审投标报价最低的投标人为中标候选人的评标方法。</w:t>
      </w:r>
    </w:p>
    <w:p w14:paraId="11B70310">
      <w:pPr>
        <w:keepNext w:val="0"/>
        <w:keepLines w:val="0"/>
        <w:pageBreakBefore w:val="0"/>
        <w:widowControl w:val="0"/>
        <w:kinsoku/>
        <w:wordWrap/>
        <w:overflowPunct/>
        <w:topLinePunct w:val="0"/>
        <w:autoSpaceDE/>
        <w:autoSpaceDN/>
        <w:bidi w:val="0"/>
        <w:adjustRightInd w:val="0"/>
        <w:snapToGrid/>
        <w:spacing w:line="360" w:lineRule="auto"/>
        <w:ind w:firstLine="424" w:firstLineChars="200"/>
        <w:textAlignment w:val="auto"/>
        <w:rPr>
          <w:rFonts w:hint="eastAsia" w:hAnsi="宋体"/>
          <w:b/>
          <w:bCs/>
          <w:color w:val="auto"/>
          <w:sz w:val="21"/>
          <w:szCs w:val="21"/>
          <w:highlight w:val="none"/>
        </w:rPr>
      </w:pPr>
      <w:r>
        <w:rPr>
          <w:rFonts w:hint="eastAsia" w:hAnsi="宋体"/>
          <w:b/>
          <w:bCs/>
          <w:color w:val="auto"/>
          <w:sz w:val="21"/>
          <w:szCs w:val="21"/>
          <w:highlight w:val="none"/>
        </w:rPr>
        <w:t>2、投标报价相同的，由评标委员会随机抽取。（为尽量避免出现报价相同的情况，建议投标人投标报价精确到小数点后两位）评标委员会认为，排在前面的中标候选人的最低投标价或者某些分项报价明显不合理，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14:paraId="7D332BCD">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3、参照赣财规[2025]5号</w:t>
      </w:r>
      <w:r>
        <w:rPr>
          <w:rFonts w:hint="eastAsia" w:ascii="宋体" w:hAnsi="宋体" w:eastAsia="宋体" w:cs="宋体"/>
          <w:b/>
          <w:bCs/>
          <w:color w:val="auto"/>
          <w:sz w:val="21"/>
          <w:szCs w:val="21"/>
          <w:highlight w:val="none"/>
          <w:lang w:eastAsia="zh-CN"/>
        </w:rPr>
        <w:t>出现下列情形之一的，视为存在异常低价问题，</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应当启动异常低价响应审查程序：</w:t>
      </w:r>
    </w:p>
    <w:p w14:paraId="7C852C48">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（1）响应报价低于全部通过符合性审查</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响应报价平均值50%的，即响应报价&lt;全部通过符合性审查</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响应报价平均值×50%；</w:t>
      </w:r>
    </w:p>
    <w:p w14:paraId="1C52FBB6">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（2）响应报价低于通过符合性审查且报价次低</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响应报价50%的，即响应报价&lt;通过符合性审查且报价次低</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响应报价×50%；</w:t>
      </w:r>
    </w:p>
    <w:p w14:paraId="240529F2">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（3）响应报价低于采购项目最高限价45%的，即响应报价&lt;采购项目最高限价×45%，项目没有设定最高限价的，采购预算视为最高限价；</w:t>
      </w:r>
    </w:p>
    <w:p w14:paraId="7388F1ED">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（4）</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认为</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报价过低，有可能影响产品质量或者不能诚信履约的其他情形。</w:t>
      </w:r>
    </w:p>
    <w:p w14:paraId="41DCC6BE">
      <w:pPr>
        <w:keepNext w:val="0"/>
        <w:keepLines w:val="0"/>
        <w:pageBreakBefore w:val="0"/>
        <w:widowControl w:val="0"/>
        <w:kinsoku/>
        <w:wordWrap/>
        <w:overflowPunct/>
        <w:topLinePunct w:val="0"/>
        <w:autoSpaceDE/>
        <w:autoSpaceDN/>
        <w:bidi w:val="0"/>
        <w:snapToGrid/>
        <w:spacing w:line="380" w:lineRule="exact"/>
        <w:ind w:leftChars="0" w:firstLine="424"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相关法律法规对</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报价有规定的，从其规定。</w:t>
      </w:r>
    </w:p>
    <w:p w14:paraId="72BF90EF">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备注：发生以上情况，可能做无效投标处理。</w:t>
      </w:r>
    </w:p>
    <w:p w14:paraId="4C56905A">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依法处理异常低价问题</w:t>
      </w:r>
    </w:p>
    <w:p w14:paraId="7522A874">
      <w:pPr>
        <w:keepNext w:val="0"/>
        <w:keepLines w:val="0"/>
        <w:pageBreakBefore w:val="0"/>
        <w:widowControl w:val="0"/>
        <w:kinsoku/>
        <w:wordWrap/>
        <w:overflowPunct/>
        <w:topLinePunct w:val="0"/>
        <w:autoSpaceDE/>
        <w:autoSpaceDN/>
        <w:bidi w:val="0"/>
        <w:snapToGrid/>
        <w:spacing w:line="380" w:lineRule="exact"/>
        <w:ind w:firstLine="424" w:firstLineChars="200"/>
        <w:jc w:val="left"/>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、采购人依法依规进行审查处理。</w:t>
      </w:r>
    </w:p>
    <w:p w14:paraId="6DFFB514">
      <w:pPr>
        <w:keepNext w:val="0"/>
        <w:keepLines w:val="0"/>
        <w:pageBreakBefore w:val="0"/>
        <w:widowControl w:val="0"/>
        <w:kinsoku/>
        <w:wordWrap/>
        <w:overflowPunct/>
        <w:topLinePunct w:val="0"/>
        <w:autoSpaceDE/>
        <w:autoSpaceDN/>
        <w:bidi w:val="0"/>
        <w:adjustRightInd w:val="0"/>
        <w:snapToGrid/>
        <w:spacing w:line="360" w:lineRule="auto"/>
        <w:ind w:firstLine="424"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要求相关</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在评标现场合理的时间内，提供项目具体成本测算等与报价合理性相关的书面说明及必要证明材料，对响应价格作出解释，由</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结合价格、项目中标（成交）价格、行业薪资水平等情况，依据专业经验对</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报价合理性进行判断。响应</w:t>
      </w:r>
      <w:r>
        <w:rPr>
          <w:rFonts w:hint="eastAsia" w:ascii="宋体" w:hAnsi="宋体" w:cs="宋体"/>
          <w:b/>
          <w:bCs/>
          <w:color w:val="auto"/>
          <w:sz w:val="21"/>
          <w:szCs w:val="21"/>
          <w:highlight w:val="none"/>
          <w:lang w:eastAsia="zh-CN"/>
        </w:rPr>
        <w:t>服务商</w:t>
      </w:r>
      <w:r>
        <w:rPr>
          <w:rFonts w:hint="eastAsia" w:ascii="宋体" w:hAnsi="宋体" w:eastAsia="宋体" w:cs="宋体"/>
          <w:b/>
          <w:bCs/>
          <w:color w:val="auto"/>
          <w:sz w:val="21"/>
          <w:szCs w:val="21"/>
          <w:highlight w:val="none"/>
          <w:lang w:eastAsia="zh-CN"/>
        </w:rPr>
        <w:t>不提供书面说明、证明材料，或者提供的书面说明、证明材料不能证明其报价合理性的，</w:t>
      </w:r>
      <w:r>
        <w:rPr>
          <w:rFonts w:hint="eastAsia" w:ascii="宋体" w:hAnsi="宋体" w:cs="宋体"/>
          <w:b/>
          <w:bCs/>
          <w:color w:val="auto"/>
          <w:sz w:val="21"/>
          <w:szCs w:val="21"/>
          <w:highlight w:val="none"/>
          <w:lang w:eastAsia="zh-CN"/>
        </w:rPr>
        <w:t>评审小组</w:t>
      </w:r>
      <w:r>
        <w:rPr>
          <w:rFonts w:hint="eastAsia" w:ascii="宋体" w:hAnsi="宋体" w:eastAsia="宋体" w:cs="宋体"/>
          <w:b/>
          <w:bCs/>
          <w:color w:val="auto"/>
          <w:sz w:val="21"/>
          <w:szCs w:val="21"/>
          <w:highlight w:val="none"/>
          <w:lang w:eastAsia="zh-CN"/>
        </w:rPr>
        <w:t>应当将其作为无效响应处理。审查相关情况应当在评审报告中进行记录。</w:t>
      </w:r>
    </w:p>
    <w:p w14:paraId="6DC44ED5">
      <w:pPr>
        <w:keepNext w:val="0"/>
        <w:keepLines w:val="0"/>
        <w:pageBreakBefore w:val="0"/>
        <w:widowControl w:val="0"/>
        <w:kinsoku/>
        <w:wordWrap/>
        <w:overflowPunct/>
        <w:topLinePunct w:val="0"/>
        <w:autoSpaceDE/>
        <w:autoSpaceDN/>
        <w:bidi w:val="0"/>
        <w:adjustRightInd w:val="0"/>
        <w:snapToGrid/>
        <w:spacing w:line="360" w:lineRule="auto"/>
        <w:ind w:firstLine="424" w:firstLineChars="200"/>
        <w:textAlignment w:val="auto"/>
        <w:rPr>
          <w:rFonts w:hint="eastAsia" w:ascii="宋体" w:hAnsi="宋体" w:cs="宋体"/>
          <w:b/>
          <w:bCs/>
          <w:color w:val="auto"/>
          <w:sz w:val="28"/>
          <w:szCs w:val="28"/>
          <w:highlight w:val="none"/>
          <w:lang w:val="en-US" w:eastAsia="zh-CN"/>
        </w:rPr>
      </w:pPr>
      <w:r>
        <w:rPr>
          <w:rFonts w:hint="eastAsia"/>
          <w:b/>
          <w:bCs/>
          <w:color w:val="auto"/>
          <w:highlight w:val="none"/>
          <w:lang w:eastAsia="zh-CN"/>
        </w:rPr>
        <w:br w:type="page"/>
      </w:r>
    </w:p>
    <w:p w14:paraId="46BF11B6">
      <w:pPr>
        <w:jc w:val="center"/>
        <w:rPr>
          <w:rFonts w:ascii="宋体" w:hAnsi="宋体" w:cs="宋体"/>
          <w:b/>
          <w:color w:val="auto"/>
          <w:sz w:val="24"/>
          <w:highlight w:val="none"/>
        </w:rPr>
      </w:pPr>
      <w:r>
        <w:rPr>
          <w:rFonts w:hint="eastAsia" w:ascii="宋体" w:hAnsi="宋体" w:cs="宋体"/>
          <w:b/>
          <w:color w:val="auto"/>
          <w:sz w:val="28"/>
          <w:szCs w:val="28"/>
          <w:highlight w:val="none"/>
          <w:lang w:eastAsia="zh-CN"/>
        </w:rPr>
        <w:t>【ABXZBNB202601016】</w:t>
      </w:r>
      <w:r>
        <w:rPr>
          <w:rFonts w:hint="eastAsia" w:ascii="宋体" w:hAnsi="宋体" w:cs="宋体"/>
          <w:b/>
          <w:color w:val="auto"/>
          <w:sz w:val="28"/>
          <w:szCs w:val="28"/>
          <w:highlight w:val="none"/>
        </w:rPr>
        <w:t>招标文件的审批意见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049"/>
      </w:tblGrid>
      <w:tr w14:paraId="00A1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1551" w:type="dxa"/>
            <w:noWrap/>
            <w:vAlign w:val="center"/>
          </w:tcPr>
          <w:p w14:paraId="19C23D19">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招</w:t>
            </w:r>
          </w:p>
          <w:p w14:paraId="05F75E86">
            <w:pPr>
              <w:jc w:val="center"/>
              <w:rPr>
                <w:rFonts w:hint="eastAsia" w:ascii="宋体" w:hAnsi="宋体" w:cs="宋体"/>
                <w:color w:val="auto"/>
                <w:sz w:val="24"/>
                <w:szCs w:val="24"/>
                <w:highlight w:val="none"/>
                <w:lang w:eastAsia="zh-CN"/>
              </w:rPr>
            </w:pPr>
          </w:p>
          <w:p w14:paraId="5760AC43">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标</w:t>
            </w:r>
          </w:p>
          <w:p w14:paraId="4C8D0015">
            <w:pPr>
              <w:jc w:val="center"/>
              <w:rPr>
                <w:rFonts w:ascii="宋体" w:hAnsi="宋体" w:cs="宋体"/>
                <w:color w:val="auto"/>
                <w:sz w:val="24"/>
                <w:szCs w:val="24"/>
                <w:highlight w:val="none"/>
              </w:rPr>
            </w:pPr>
          </w:p>
          <w:p w14:paraId="448B510A">
            <w:pPr>
              <w:jc w:val="center"/>
              <w:rPr>
                <w:rFonts w:ascii="宋体" w:hAnsi="宋体" w:cs="宋体"/>
                <w:color w:val="auto"/>
                <w:sz w:val="24"/>
                <w:szCs w:val="24"/>
                <w:highlight w:val="none"/>
              </w:rPr>
            </w:pPr>
            <w:r>
              <w:rPr>
                <w:rFonts w:hint="eastAsia" w:ascii="宋体" w:hAnsi="宋体" w:cs="宋体"/>
                <w:color w:val="auto"/>
                <w:sz w:val="24"/>
                <w:szCs w:val="24"/>
                <w:highlight w:val="none"/>
              </w:rPr>
              <w:t>单</w:t>
            </w:r>
          </w:p>
          <w:p w14:paraId="0686424D">
            <w:pPr>
              <w:jc w:val="center"/>
              <w:rPr>
                <w:rFonts w:ascii="宋体" w:hAnsi="宋体" w:cs="宋体"/>
                <w:color w:val="auto"/>
                <w:sz w:val="24"/>
                <w:szCs w:val="24"/>
                <w:highlight w:val="none"/>
              </w:rPr>
            </w:pPr>
          </w:p>
          <w:p w14:paraId="59EB03B4">
            <w:pPr>
              <w:jc w:val="center"/>
              <w:rPr>
                <w:rFonts w:ascii="宋体" w:hAnsi="宋体" w:cs="宋体"/>
                <w:color w:val="auto"/>
                <w:sz w:val="24"/>
                <w:szCs w:val="24"/>
                <w:highlight w:val="none"/>
              </w:rPr>
            </w:pPr>
            <w:r>
              <w:rPr>
                <w:rFonts w:hint="eastAsia" w:ascii="宋体" w:hAnsi="宋体" w:cs="宋体"/>
                <w:color w:val="auto"/>
                <w:sz w:val="24"/>
                <w:szCs w:val="24"/>
                <w:highlight w:val="none"/>
              </w:rPr>
              <w:t>位</w:t>
            </w:r>
          </w:p>
          <w:p w14:paraId="39889D71">
            <w:pPr>
              <w:jc w:val="center"/>
              <w:rPr>
                <w:rFonts w:ascii="宋体" w:hAnsi="宋体" w:cs="宋体"/>
                <w:b/>
                <w:color w:val="auto"/>
                <w:sz w:val="24"/>
                <w:szCs w:val="24"/>
                <w:highlight w:val="none"/>
              </w:rPr>
            </w:pPr>
          </w:p>
        </w:tc>
        <w:tc>
          <w:tcPr>
            <w:tcW w:w="7049" w:type="dxa"/>
            <w:noWrap/>
          </w:tcPr>
          <w:p w14:paraId="69A0958F">
            <w:pPr>
              <w:rPr>
                <w:rFonts w:ascii="宋体" w:hAnsi="宋体" w:cs="宋体"/>
                <w:b/>
                <w:color w:val="auto"/>
                <w:sz w:val="24"/>
                <w:szCs w:val="24"/>
                <w:highlight w:val="none"/>
              </w:rPr>
            </w:pPr>
          </w:p>
          <w:p w14:paraId="71873270">
            <w:pPr>
              <w:rPr>
                <w:rFonts w:ascii="宋体" w:hAnsi="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意见：</w:t>
            </w:r>
          </w:p>
          <w:p w14:paraId="4A4DD04D">
            <w:pPr>
              <w:rPr>
                <w:rFonts w:ascii="宋体" w:hAnsi="宋体" w:cs="宋体"/>
                <w:b/>
                <w:color w:val="auto"/>
                <w:sz w:val="24"/>
                <w:szCs w:val="24"/>
                <w:highlight w:val="none"/>
              </w:rPr>
            </w:pPr>
          </w:p>
          <w:p w14:paraId="2EEC79FF">
            <w:pPr>
              <w:rPr>
                <w:rFonts w:ascii="宋体" w:hAnsi="宋体" w:cs="宋体"/>
                <w:b/>
                <w:color w:val="auto"/>
                <w:sz w:val="24"/>
                <w:szCs w:val="24"/>
                <w:highlight w:val="none"/>
              </w:rPr>
            </w:pPr>
            <w:r>
              <w:rPr>
                <w:rFonts w:hint="eastAsia" w:ascii="宋体" w:hAnsi="宋体" w:cs="宋体"/>
                <w:b/>
                <w:color w:val="auto"/>
                <w:sz w:val="24"/>
                <w:szCs w:val="24"/>
                <w:highlight w:val="none"/>
              </w:rPr>
              <w:t>　　　　</w:t>
            </w:r>
          </w:p>
          <w:p w14:paraId="14611E09">
            <w:pPr>
              <w:rPr>
                <w:rFonts w:ascii="宋体" w:hAnsi="宋体" w:cs="宋体"/>
                <w:color w:val="auto"/>
                <w:sz w:val="24"/>
                <w:szCs w:val="24"/>
                <w:highlight w:val="none"/>
              </w:rPr>
            </w:pPr>
            <w:r>
              <w:rPr>
                <w:rFonts w:hint="eastAsia" w:ascii="宋体" w:hAnsi="宋体" w:cs="宋体"/>
                <w:color w:val="auto"/>
                <w:sz w:val="24"/>
                <w:szCs w:val="24"/>
                <w:highlight w:val="none"/>
              </w:rPr>
              <w:t>　　　　　　　　　　　　　　　　　（章）</w:t>
            </w:r>
          </w:p>
          <w:p w14:paraId="5900C558">
            <w:pPr>
              <w:rPr>
                <w:rFonts w:ascii="宋体" w:hAnsi="宋体" w:cs="宋体"/>
                <w:color w:val="auto"/>
                <w:sz w:val="24"/>
                <w:szCs w:val="24"/>
                <w:highlight w:val="none"/>
              </w:rPr>
            </w:pPr>
          </w:p>
          <w:p w14:paraId="40087C31">
            <w:pPr>
              <w:rPr>
                <w:rFonts w:ascii="宋体" w:hAnsi="宋体" w:cs="宋体"/>
                <w:color w:val="auto"/>
                <w:sz w:val="24"/>
                <w:szCs w:val="24"/>
                <w:highlight w:val="none"/>
              </w:rPr>
            </w:pPr>
          </w:p>
          <w:p w14:paraId="33B7CADD">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法定代表人或经办</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签字或签章</w:t>
            </w:r>
            <w:r>
              <w:rPr>
                <w:rFonts w:hint="eastAsia" w:ascii="宋体" w:hAnsi="宋体" w:cs="宋体"/>
                <w:color w:val="auto"/>
                <w:sz w:val="24"/>
                <w:szCs w:val="24"/>
                <w:highlight w:val="none"/>
              </w:rPr>
              <w:t>）</w:t>
            </w:r>
          </w:p>
          <w:p w14:paraId="1F94AE79">
            <w:pPr>
              <w:rPr>
                <w:rFonts w:ascii="宋体" w:hAnsi="宋体" w:cs="宋体"/>
                <w:color w:val="auto"/>
                <w:sz w:val="24"/>
                <w:szCs w:val="24"/>
                <w:highlight w:val="none"/>
              </w:rPr>
            </w:pPr>
          </w:p>
          <w:p w14:paraId="10221166">
            <w:pPr>
              <w:rPr>
                <w:rFonts w:ascii="宋体" w:hAnsi="宋体" w:cs="宋体"/>
                <w:color w:val="auto"/>
                <w:sz w:val="24"/>
                <w:szCs w:val="24"/>
                <w:highlight w:val="none"/>
              </w:rPr>
            </w:pPr>
          </w:p>
          <w:p w14:paraId="1C1982B4">
            <w:pPr>
              <w:ind w:left="126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3B185415">
            <w:pPr>
              <w:ind w:left="420"/>
              <w:rPr>
                <w:rFonts w:ascii="宋体" w:hAnsi="宋体" w:cs="宋体"/>
                <w:b/>
                <w:color w:val="auto"/>
                <w:sz w:val="24"/>
                <w:szCs w:val="24"/>
                <w:highlight w:val="none"/>
              </w:rPr>
            </w:pPr>
          </w:p>
        </w:tc>
      </w:tr>
    </w:tbl>
    <w:p w14:paraId="731F53F9">
      <w:pPr>
        <w:pStyle w:val="10"/>
        <w:spacing w:before="0" w:line="360" w:lineRule="auto"/>
        <w:ind w:left="0" w:firstLine="424" w:firstLineChars="200"/>
        <w:jc w:val="both"/>
        <w:rPr>
          <w:rFonts w:hAnsi="宋体"/>
          <w:b/>
          <w:bCs/>
          <w:color w:val="auto"/>
          <w:sz w:val="21"/>
          <w:szCs w:val="21"/>
          <w:highlight w:val="none"/>
        </w:rPr>
      </w:pPr>
    </w:p>
    <w:sectPr>
      <w:footerReference r:id="rId15" w:type="default"/>
      <w:pgSz w:w="11906" w:h="16838"/>
      <w:pgMar w:top="1417" w:right="1417" w:bottom="1417" w:left="1417" w:header="851" w:footer="992" w:gutter="113"/>
      <w:pgBorders>
        <w:top w:val="none" w:sz="0" w:space="0"/>
        <w:left w:val="none" w:sz="0" w:space="0"/>
        <w:bottom w:val="none" w:sz="0" w:space="0"/>
        <w:right w:val="none" w:sz="0" w:space="0"/>
      </w:pgBorders>
      <w:pgNumType w:fmt="decimal"/>
      <w:cols w:space="0" w:num="1"/>
      <w:titlePg/>
      <w:docGrid w:type="linesAndChars" w:linePitch="326"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Ђ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5B08">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C184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C184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417D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4354">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8028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E8028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48B1">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AF80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BAF80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7675">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E3AE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DDE3AE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BB51">
    <w:pPr>
      <w:pStyle w:val="15"/>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270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6205" cy="127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F52F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pt;width:9.15pt;mso-position-horizontal:center;mso-position-horizontal-relative:margin;z-index:251665408;mso-width-relative:page;mso-height-relative:page;" filled="f" stroked="f" coordsize="21600,21600" o:gfxdata="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kjtg0gAAAAMBAAAPAAAAAAAAAAEAIAAAACIAAABkcnMvZG93bnJldi54bWxQ&#10;SwECFAAUAAAACACHTuJA1KJcajYCAABhBAAADgAAAAAAAAABACAAAAAhAQAAZHJzL2Uyb0RvYy54&#10;bWxQSwUGAAAAAAYABgBZAQAAyQUAAAAA&#10;">
              <v:fill on="f" focussize="0,0"/>
              <v:stroke on="f" weight="0.5pt"/>
              <v:imagedata o:title=""/>
              <o:lock v:ext="edit" aspectratio="f"/>
              <v:textbox inset="0mm,0mm,0mm,0mm">
                <w:txbxContent>
                  <w:p w14:paraId="1C4F52F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8552">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FB94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5FB94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5F84">
    <w:pPr>
      <w:widowControl w:val="0"/>
      <w:tabs>
        <w:tab w:val="center" w:pos="4153"/>
        <w:tab w:val="right" w:pos="8306"/>
      </w:tabs>
      <w:snapToGrid w:val="0"/>
      <w:spacing w:line="240" w:lineRule="auto"/>
      <w:jc w:val="center"/>
      <w:rPr>
        <w:rFonts w:ascii="Times New Roman" w:hAnsi="Times New Roman" w:eastAsia="宋体" w:cs="Times New Roman"/>
        <w:kern w:val="2"/>
        <w:sz w:val="21"/>
        <w:szCs w:val="18"/>
        <w:lang w:val="en-US" w:eastAsia="zh-CN" w:bidi="ar-SA"/>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1E0F8">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831E0F8">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4A11">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0FB2A">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F10FB2A">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9823">
    <w:pPr>
      <w:pBdr>
        <w:bottom w:val="double" w:color="auto" w:sz="8" w:space="0"/>
      </w:pBdr>
      <w:jc w:val="center"/>
      <w:rPr>
        <w:rFonts w:hint="eastAsia" w:eastAsia="宋体"/>
        <w:lang w:eastAsia="zh-CN"/>
      </w:rPr>
    </w:pPr>
    <w:r>
      <w:rPr>
        <w:sz w:val="18"/>
      </w:rPr>
      <w:pict>
        <v:shape id="PowerPlusWaterMarkObject28085" o:spid="_x0000_s4098" o:spt="136" type="#_x0000_t136" style="position:absolute;left:0pt;height:47.35pt;width:539.9pt;mso-position-horizontal:center;mso-position-horizontal-relative:margin;mso-position-vertical:center;mso-position-vertical-relative:margin;rotation:-2949120f;z-index:-251656192;mso-width-relative:page;mso-height-relative:page;" fillcolor="#C0C0C0" filled="t" stroked="f" coordsize="21600,21600">
          <v:path/>
          <v:fill on="t" opacity="56360f" focussize="0,0"/>
          <v:stroke on="f"/>
          <v:imagedata o:title=""/>
          <o:lock v:ext="edit" aspectratio="t"/>
          <v:textpath on="t" fitshape="t" fitpath="t" trim="t" xscale="f" string="江西安必信招标咨询有限公司" style="font-family:黑体;font-size:36pt;v-text-align:center;"/>
        </v:shape>
      </w:pict>
    </w:r>
    <w:r>
      <w:rPr>
        <w:rFonts w:eastAsia="Times New Roman"/>
        <w:szCs w:val="21"/>
      </w:rPr>
      <w:drawing>
        <wp:inline distT="0" distB="0" distL="114300" distR="114300">
          <wp:extent cx="247650" cy="266700"/>
          <wp:effectExtent l="0" t="0" r="0" b="0"/>
          <wp:docPr id="11"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安必信log"/>
                  <pic:cNvPicPr>
                    <a:picLocks noChangeAspect="1"/>
                  </pic:cNvPicPr>
                </pic:nvPicPr>
                <pic:blipFill>
                  <a:blip r:embed="rId1"/>
                  <a:stretch>
                    <a:fillRect/>
                  </a:stretch>
                </pic:blipFill>
                <pic:spPr>
                  <a:xfrm>
                    <a:off x="0" y="0"/>
                    <a:ext cx="247650" cy="266700"/>
                  </a:xfrm>
                  <a:prstGeom prst="rect">
                    <a:avLst/>
                  </a:prstGeom>
                  <a:noFill/>
                  <a:ln>
                    <a:noFill/>
                  </a:ln>
                </pic:spPr>
              </pic:pic>
            </a:graphicData>
          </a:graphic>
        </wp:inline>
      </w:drawing>
    </w:r>
    <w:r>
      <w:rPr>
        <w:rFonts w:hint="eastAsia" w:ascii="宋体" w:hAnsi="宋体" w:cs="宋体"/>
        <w:szCs w:val="21"/>
      </w:rPr>
      <w:t xml:space="preserve">江西安必信招标咨询有限公司      </w:t>
    </w:r>
    <w:r>
      <w:rPr>
        <w:rFonts w:hint="eastAsia" w:ascii="宋体" w:hAnsi="宋体" w:cs="宋体"/>
        <w:szCs w:val="21"/>
        <w:lang w:val="en-US" w:eastAsia="zh-CN"/>
      </w:rPr>
      <w:t xml:space="preserve">             </w:t>
    </w:r>
    <w:r>
      <w:rPr>
        <w:rFonts w:hint="eastAsia" w:ascii="宋体" w:hAnsi="宋体" w:cs="宋体"/>
        <w:szCs w:val="21"/>
      </w:rPr>
      <w:t xml:space="preserve">       项目编号：</w:t>
    </w:r>
    <w:r>
      <w:rPr>
        <w:rFonts w:hint="eastAsia" w:ascii="仿宋" w:hAnsi="仿宋" w:eastAsia="仿宋" w:cs="仿宋"/>
        <w:szCs w:val="21"/>
        <w:lang w:eastAsia="zh-CN"/>
      </w:rPr>
      <w:t>【ABXZBNB202601016】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BDA3">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E52A">
    <w:pPr>
      <w:pBdr>
        <w:bottom w:val="double" w:color="auto" w:sz="8" w:space="0"/>
      </w:pBdr>
      <w:jc w:val="center"/>
    </w:pPr>
    <w:r>
      <w:rPr>
        <w:rFonts w:eastAsia="Times New Roman"/>
        <w:szCs w:val="21"/>
      </w:rPr>
      <w:drawing>
        <wp:inline distT="0" distB="0" distL="114300" distR="114300">
          <wp:extent cx="247650" cy="266700"/>
          <wp:effectExtent l="0" t="0" r="0" b="0"/>
          <wp:docPr id="8"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安必信log"/>
                  <pic:cNvPicPr>
                    <a:picLocks noChangeAspect="1"/>
                  </pic:cNvPicPr>
                </pic:nvPicPr>
                <pic:blipFill>
                  <a:blip r:embed="rId1"/>
                  <a:stretch>
                    <a:fillRect/>
                  </a:stretch>
                </pic:blipFill>
                <pic:spPr>
                  <a:xfrm>
                    <a:off x="0" y="0"/>
                    <a:ext cx="247650" cy="266700"/>
                  </a:xfrm>
                  <a:prstGeom prst="rect">
                    <a:avLst/>
                  </a:prstGeom>
                  <a:noFill/>
                  <a:ln>
                    <a:noFill/>
                  </a:ln>
                </pic:spPr>
              </pic:pic>
            </a:graphicData>
          </a:graphic>
        </wp:inline>
      </w:drawing>
    </w:r>
    <w:r>
      <w:rPr>
        <w:rFonts w:hint="eastAsia" w:ascii="宋体" w:hAnsi="宋体" w:cs="宋体"/>
        <w:szCs w:val="21"/>
      </w:rPr>
      <w:t xml:space="preserve">江西安必信招标咨询有限公司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项目编号：</w:t>
    </w:r>
    <w:r>
      <w:rPr>
        <w:rFonts w:hint="eastAsia" w:ascii="仿宋" w:hAnsi="仿宋" w:eastAsia="仿宋" w:cs="仿宋"/>
        <w:szCs w:val="21"/>
        <w:lang w:eastAsia="zh-CN"/>
      </w:rPr>
      <w:t>【ABXZBNB202601016】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90540">
    <w:pPr>
      <w:pBdr>
        <w:bottom w:val="double" w:color="auto" w:sz="8" w:space="0"/>
      </w:pBdr>
      <w:jc w:val="center"/>
      <w:rPr>
        <w:rFonts w:hint="eastAsia" w:eastAsia="宋体"/>
        <w:lang w:eastAsia="zh-CN"/>
      </w:rPr>
    </w:pPr>
    <w:r>
      <w:rPr>
        <w:rFonts w:eastAsia="Times New Roman"/>
        <w:szCs w:val="21"/>
      </w:rPr>
      <w:drawing>
        <wp:inline distT="0" distB="0" distL="114300" distR="114300">
          <wp:extent cx="247650" cy="266700"/>
          <wp:effectExtent l="0" t="0" r="0" b="0"/>
          <wp:docPr id="2" name="图片 1" descr="安必信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必信log"/>
                  <pic:cNvPicPr>
                    <a:picLocks noChangeAspect="1"/>
                  </pic:cNvPicPr>
                </pic:nvPicPr>
                <pic:blipFill>
                  <a:blip r:embed="rId1"/>
                  <a:stretch>
                    <a:fillRect/>
                  </a:stretch>
                </pic:blipFill>
                <pic:spPr>
                  <a:xfrm>
                    <a:off x="0" y="0"/>
                    <a:ext cx="247650" cy="266700"/>
                  </a:xfrm>
                  <a:prstGeom prst="rect">
                    <a:avLst/>
                  </a:prstGeom>
                  <a:noFill/>
                  <a:ln>
                    <a:noFill/>
                  </a:ln>
                </pic:spPr>
              </pic:pic>
            </a:graphicData>
          </a:graphic>
        </wp:inline>
      </w:drawing>
    </w:r>
    <w:r>
      <w:rPr>
        <w:rFonts w:hint="eastAsia" w:ascii="宋体" w:hAnsi="宋体" w:cs="宋体"/>
        <w:szCs w:val="21"/>
      </w:rPr>
      <w:t xml:space="preserve">江西安必信招标咨询有限公司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项目编号：</w:t>
    </w:r>
    <w:r>
      <w:rPr>
        <w:sz w:val="18"/>
      </w:rPr>
      <w:pict>
        <v:shape id="_x0000_s4100" o:spid="_x0000_s4100" o:spt="136" type="#_x0000_t136" style="position:absolute;left:0pt;margin-left:-45.95pt;margin-top:320pt;height:47.35pt;width:539.9pt;mso-position-horizontal-relative:margin;mso-position-vertical-relative:margin;rotation:-2949120f;z-index:-251655168;mso-width-relative:page;mso-height-relative:page;" fillcolor="#C0C0C0" filled="t" stroked="f" coordsize="21600,21600">
          <v:path/>
          <v:fill on="t" opacity="42598f" focussize="0,0"/>
          <v:stroke on="f"/>
          <v:imagedata o:title=""/>
          <o:lock v:ext="edit" aspectratio="t"/>
          <v:textpath on="t" fitshape="t" fitpath="t" trim="t" xscale="f" string="江西安必信招标咨询有限公司" style="font-family:黑体;font-size:36pt;v-text-align:center;"/>
        </v:shape>
      </w:pict>
    </w:r>
    <w:r>
      <w:rPr>
        <w:sz w:val="18"/>
      </w:rPr>
      <w:pict>
        <v:shape id="_x0000_s4101" o:spid="_x0000_s4101" o:spt="136" type="#_x0000_t136" style="position:absolute;left:0pt;margin-left:-45.95pt;margin-top:320pt;height:47.35pt;width:539.9pt;mso-position-horizontal-relative:margin;mso-position-vertical-relative:margin;rotation:-2949120f;z-index:-251654144;mso-width-relative:page;mso-height-relative:page;" fillcolor="#C0C0C0" filled="t" stroked="f" coordsize="21600,21600">
          <v:path/>
          <v:fill on="t" opacity="56360f" focussize="0,0"/>
          <v:stroke on="f"/>
          <v:imagedata o:title=""/>
          <o:lock v:ext="edit" aspectratio="t"/>
          <v:textpath on="t" fitshape="t" fitpath="t" trim="t" xscale="f" string="江西安必信招标咨询有限公司" style="font-family:黑体;font-size:36pt;v-text-align:center;"/>
        </v:shape>
      </w:pict>
    </w:r>
    <w:r>
      <w:rPr>
        <w:rFonts w:hint="eastAsia" w:ascii="仿宋" w:hAnsi="仿宋" w:eastAsia="仿宋" w:cs="仿宋"/>
        <w:szCs w:val="21"/>
        <w:lang w:eastAsia="zh-CN"/>
      </w:rPr>
      <w:t>【ABXZBNB202601016】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83DCC"/>
    <w:multiLevelType w:val="singleLevel"/>
    <w:tmpl w:val="89E83DCC"/>
    <w:lvl w:ilvl="0" w:tentative="0">
      <w:start w:val="1"/>
      <w:numFmt w:val="chineseCounting"/>
      <w:suff w:val="nothing"/>
      <w:lvlText w:val="第%1章　"/>
      <w:lvlJc w:val="left"/>
      <w:rPr>
        <w:rFonts w:hint="eastAsia"/>
      </w:rPr>
    </w:lvl>
  </w:abstractNum>
  <w:abstractNum w:abstractNumId="1">
    <w:nsid w:val="354D7BB6"/>
    <w:multiLevelType w:val="singleLevel"/>
    <w:tmpl w:val="354D7BB6"/>
    <w:lvl w:ilvl="0" w:tentative="0">
      <w:start w:val="7"/>
      <w:numFmt w:val="decimal"/>
      <w:lvlText w:val="%1."/>
      <w:lvlJc w:val="left"/>
      <w:pPr>
        <w:tabs>
          <w:tab w:val="left" w:pos="425"/>
        </w:tabs>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7"/>
  <w:drawingGridVerticalSpacing w:val="163"/>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OTM5YTEwNWMwY2I2NjEyMzliN2ExZDQxZmViODUifQ=="/>
  </w:docVars>
  <w:rsids>
    <w:rsidRoot w:val="0D775181"/>
    <w:rsid w:val="00032D4E"/>
    <w:rsid w:val="00134372"/>
    <w:rsid w:val="00187F0B"/>
    <w:rsid w:val="002751BE"/>
    <w:rsid w:val="002E219B"/>
    <w:rsid w:val="00484F2E"/>
    <w:rsid w:val="00545F38"/>
    <w:rsid w:val="008728EA"/>
    <w:rsid w:val="009266E6"/>
    <w:rsid w:val="009605B5"/>
    <w:rsid w:val="009F143B"/>
    <w:rsid w:val="00A44F2B"/>
    <w:rsid w:val="00A46587"/>
    <w:rsid w:val="00A77BBB"/>
    <w:rsid w:val="00BA1267"/>
    <w:rsid w:val="00BC3D4E"/>
    <w:rsid w:val="00CF49B9"/>
    <w:rsid w:val="00DC1DF1"/>
    <w:rsid w:val="010267FA"/>
    <w:rsid w:val="01294D98"/>
    <w:rsid w:val="01576A52"/>
    <w:rsid w:val="019E1415"/>
    <w:rsid w:val="01E6705A"/>
    <w:rsid w:val="02226052"/>
    <w:rsid w:val="022F44E8"/>
    <w:rsid w:val="02571C51"/>
    <w:rsid w:val="026659F0"/>
    <w:rsid w:val="0271490B"/>
    <w:rsid w:val="02844CBE"/>
    <w:rsid w:val="02A41E68"/>
    <w:rsid w:val="02F4165E"/>
    <w:rsid w:val="030D0C4E"/>
    <w:rsid w:val="04137F87"/>
    <w:rsid w:val="047F723D"/>
    <w:rsid w:val="04EF0D49"/>
    <w:rsid w:val="051350D2"/>
    <w:rsid w:val="0541021A"/>
    <w:rsid w:val="05BF3A5F"/>
    <w:rsid w:val="06345BBB"/>
    <w:rsid w:val="06586C84"/>
    <w:rsid w:val="06B63D5C"/>
    <w:rsid w:val="06F6583D"/>
    <w:rsid w:val="07C31B26"/>
    <w:rsid w:val="07CC2869"/>
    <w:rsid w:val="07D91DEE"/>
    <w:rsid w:val="07ED6B9F"/>
    <w:rsid w:val="08060237"/>
    <w:rsid w:val="083117D0"/>
    <w:rsid w:val="08C30285"/>
    <w:rsid w:val="08CF4000"/>
    <w:rsid w:val="08E02227"/>
    <w:rsid w:val="08F64918"/>
    <w:rsid w:val="09012B88"/>
    <w:rsid w:val="09267C87"/>
    <w:rsid w:val="094A7106"/>
    <w:rsid w:val="094C1EC9"/>
    <w:rsid w:val="09C301C5"/>
    <w:rsid w:val="09E40515"/>
    <w:rsid w:val="09ED7B98"/>
    <w:rsid w:val="0A1B300E"/>
    <w:rsid w:val="0A397A3F"/>
    <w:rsid w:val="0A5A21CC"/>
    <w:rsid w:val="0A7A66E1"/>
    <w:rsid w:val="0AFD3A31"/>
    <w:rsid w:val="0B5148CF"/>
    <w:rsid w:val="0B5F3948"/>
    <w:rsid w:val="0BE65903"/>
    <w:rsid w:val="0BEB548C"/>
    <w:rsid w:val="0C3A62F3"/>
    <w:rsid w:val="0C584624"/>
    <w:rsid w:val="0C5D1079"/>
    <w:rsid w:val="0CC1310A"/>
    <w:rsid w:val="0CE42333"/>
    <w:rsid w:val="0CED2F32"/>
    <w:rsid w:val="0CF400EF"/>
    <w:rsid w:val="0D15073F"/>
    <w:rsid w:val="0D5F6FF5"/>
    <w:rsid w:val="0D651A7F"/>
    <w:rsid w:val="0D6A3F68"/>
    <w:rsid w:val="0D775181"/>
    <w:rsid w:val="0D8A7DF6"/>
    <w:rsid w:val="0DF85BFA"/>
    <w:rsid w:val="0E197DBB"/>
    <w:rsid w:val="0EB52B5A"/>
    <w:rsid w:val="0F7F4595"/>
    <w:rsid w:val="0FB373A1"/>
    <w:rsid w:val="0FD75A8B"/>
    <w:rsid w:val="102C19F9"/>
    <w:rsid w:val="111570B0"/>
    <w:rsid w:val="1129751A"/>
    <w:rsid w:val="113C0703"/>
    <w:rsid w:val="11AF6CEA"/>
    <w:rsid w:val="11AF6E88"/>
    <w:rsid w:val="121417E0"/>
    <w:rsid w:val="12700C51"/>
    <w:rsid w:val="128A2747"/>
    <w:rsid w:val="128D5080"/>
    <w:rsid w:val="12A8788E"/>
    <w:rsid w:val="12B5625B"/>
    <w:rsid w:val="12EA366F"/>
    <w:rsid w:val="13532B10"/>
    <w:rsid w:val="13673828"/>
    <w:rsid w:val="13803151"/>
    <w:rsid w:val="1398197A"/>
    <w:rsid w:val="13E40E7B"/>
    <w:rsid w:val="14124ED4"/>
    <w:rsid w:val="149F1414"/>
    <w:rsid w:val="14B051F1"/>
    <w:rsid w:val="14B94509"/>
    <w:rsid w:val="14CE6878"/>
    <w:rsid w:val="14FA1F22"/>
    <w:rsid w:val="15592ED7"/>
    <w:rsid w:val="15C8651F"/>
    <w:rsid w:val="15DF426D"/>
    <w:rsid w:val="16027CCE"/>
    <w:rsid w:val="160550C9"/>
    <w:rsid w:val="1644784E"/>
    <w:rsid w:val="16603849"/>
    <w:rsid w:val="166F1411"/>
    <w:rsid w:val="16DC051F"/>
    <w:rsid w:val="179E5E98"/>
    <w:rsid w:val="17C0574B"/>
    <w:rsid w:val="17EF3DF3"/>
    <w:rsid w:val="182D3B3E"/>
    <w:rsid w:val="183C1215"/>
    <w:rsid w:val="18545171"/>
    <w:rsid w:val="189A52D6"/>
    <w:rsid w:val="191954BD"/>
    <w:rsid w:val="19453803"/>
    <w:rsid w:val="195B4800"/>
    <w:rsid w:val="19C666CC"/>
    <w:rsid w:val="1A4376F2"/>
    <w:rsid w:val="1A715C98"/>
    <w:rsid w:val="1A7F369B"/>
    <w:rsid w:val="1AEB4D0D"/>
    <w:rsid w:val="1B046EAE"/>
    <w:rsid w:val="1B5D2BA6"/>
    <w:rsid w:val="1B646C59"/>
    <w:rsid w:val="1B8847D2"/>
    <w:rsid w:val="1BC920AF"/>
    <w:rsid w:val="1C07350E"/>
    <w:rsid w:val="1CC5000F"/>
    <w:rsid w:val="1CE03213"/>
    <w:rsid w:val="1D3A344E"/>
    <w:rsid w:val="1D823D5F"/>
    <w:rsid w:val="1D9239FD"/>
    <w:rsid w:val="1DB849F4"/>
    <w:rsid w:val="1DD06E3C"/>
    <w:rsid w:val="1E8774A4"/>
    <w:rsid w:val="1F072424"/>
    <w:rsid w:val="1F5A4422"/>
    <w:rsid w:val="1FBF290D"/>
    <w:rsid w:val="20013731"/>
    <w:rsid w:val="20657CA5"/>
    <w:rsid w:val="209B4FA7"/>
    <w:rsid w:val="20D51AD4"/>
    <w:rsid w:val="210276AA"/>
    <w:rsid w:val="21564AA0"/>
    <w:rsid w:val="216A0679"/>
    <w:rsid w:val="218C0286"/>
    <w:rsid w:val="219A4117"/>
    <w:rsid w:val="22024147"/>
    <w:rsid w:val="22347C86"/>
    <w:rsid w:val="22F82628"/>
    <w:rsid w:val="22FF0230"/>
    <w:rsid w:val="23850C41"/>
    <w:rsid w:val="239161EE"/>
    <w:rsid w:val="23A248FC"/>
    <w:rsid w:val="23F37E91"/>
    <w:rsid w:val="24180E78"/>
    <w:rsid w:val="24691586"/>
    <w:rsid w:val="24BC3136"/>
    <w:rsid w:val="253A25D3"/>
    <w:rsid w:val="25613EAC"/>
    <w:rsid w:val="25837528"/>
    <w:rsid w:val="25841E6C"/>
    <w:rsid w:val="25F4557D"/>
    <w:rsid w:val="264C7798"/>
    <w:rsid w:val="2651065D"/>
    <w:rsid w:val="26661415"/>
    <w:rsid w:val="26792277"/>
    <w:rsid w:val="26C77082"/>
    <w:rsid w:val="270A2AE8"/>
    <w:rsid w:val="274521CF"/>
    <w:rsid w:val="279A4FAF"/>
    <w:rsid w:val="279E3A2E"/>
    <w:rsid w:val="27B5694E"/>
    <w:rsid w:val="2889257A"/>
    <w:rsid w:val="28DA2CB1"/>
    <w:rsid w:val="291C66DF"/>
    <w:rsid w:val="297A12BD"/>
    <w:rsid w:val="29C57F71"/>
    <w:rsid w:val="2A250400"/>
    <w:rsid w:val="2A415884"/>
    <w:rsid w:val="2A545E15"/>
    <w:rsid w:val="2A70416C"/>
    <w:rsid w:val="2A765226"/>
    <w:rsid w:val="2AC547DA"/>
    <w:rsid w:val="2B6B3CCE"/>
    <w:rsid w:val="2BAF3ACD"/>
    <w:rsid w:val="2C15575C"/>
    <w:rsid w:val="2C263036"/>
    <w:rsid w:val="2C434B43"/>
    <w:rsid w:val="2C450FF8"/>
    <w:rsid w:val="2C6260C5"/>
    <w:rsid w:val="2C8E5875"/>
    <w:rsid w:val="2CC34DA9"/>
    <w:rsid w:val="2D0A3AA6"/>
    <w:rsid w:val="2D0C7AB0"/>
    <w:rsid w:val="2D311100"/>
    <w:rsid w:val="2D560DCD"/>
    <w:rsid w:val="2D974382"/>
    <w:rsid w:val="2DA1328E"/>
    <w:rsid w:val="2DC068B3"/>
    <w:rsid w:val="2E397806"/>
    <w:rsid w:val="2E420263"/>
    <w:rsid w:val="2E802C48"/>
    <w:rsid w:val="2E8E614B"/>
    <w:rsid w:val="2EB67B3A"/>
    <w:rsid w:val="2EB7272A"/>
    <w:rsid w:val="2ED16CA5"/>
    <w:rsid w:val="2F411F0C"/>
    <w:rsid w:val="2F4349CC"/>
    <w:rsid w:val="2F9C6646"/>
    <w:rsid w:val="30654825"/>
    <w:rsid w:val="30716812"/>
    <w:rsid w:val="30B40954"/>
    <w:rsid w:val="312D479B"/>
    <w:rsid w:val="31412FE0"/>
    <w:rsid w:val="31C56890"/>
    <w:rsid w:val="31D06C52"/>
    <w:rsid w:val="31E319AD"/>
    <w:rsid w:val="32334757"/>
    <w:rsid w:val="324A441C"/>
    <w:rsid w:val="32692121"/>
    <w:rsid w:val="326B0037"/>
    <w:rsid w:val="328D172D"/>
    <w:rsid w:val="330D3D65"/>
    <w:rsid w:val="3348324E"/>
    <w:rsid w:val="338B50F1"/>
    <w:rsid w:val="33A218B2"/>
    <w:rsid w:val="33C056C9"/>
    <w:rsid w:val="341B24B3"/>
    <w:rsid w:val="344F7518"/>
    <w:rsid w:val="34A402E3"/>
    <w:rsid w:val="34C27D8B"/>
    <w:rsid w:val="356E2821"/>
    <w:rsid w:val="359E0B84"/>
    <w:rsid w:val="35AF526D"/>
    <w:rsid w:val="35B14006"/>
    <w:rsid w:val="35B65162"/>
    <w:rsid w:val="35EE31A7"/>
    <w:rsid w:val="36247BA7"/>
    <w:rsid w:val="362F0F68"/>
    <w:rsid w:val="36714D18"/>
    <w:rsid w:val="36AB7279"/>
    <w:rsid w:val="36AE1139"/>
    <w:rsid w:val="36B0688C"/>
    <w:rsid w:val="36B52AE4"/>
    <w:rsid w:val="36BD1113"/>
    <w:rsid w:val="370E7782"/>
    <w:rsid w:val="375A5C65"/>
    <w:rsid w:val="378C102F"/>
    <w:rsid w:val="37BE5588"/>
    <w:rsid w:val="382837AB"/>
    <w:rsid w:val="383545E2"/>
    <w:rsid w:val="386C27E7"/>
    <w:rsid w:val="3902751A"/>
    <w:rsid w:val="393823DE"/>
    <w:rsid w:val="39723D54"/>
    <w:rsid w:val="397E6A4F"/>
    <w:rsid w:val="39A1380C"/>
    <w:rsid w:val="39B855A5"/>
    <w:rsid w:val="39BF4E92"/>
    <w:rsid w:val="3A0A0A66"/>
    <w:rsid w:val="3A51006D"/>
    <w:rsid w:val="3A6B0937"/>
    <w:rsid w:val="3AB10937"/>
    <w:rsid w:val="3AE3017F"/>
    <w:rsid w:val="3B3C44C0"/>
    <w:rsid w:val="3B62458F"/>
    <w:rsid w:val="3B927DC3"/>
    <w:rsid w:val="3BBB74FA"/>
    <w:rsid w:val="3BE31002"/>
    <w:rsid w:val="3C014B0C"/>
    <w:rsid w:val="3C267350"/>
    <w:rsid w:val="3C97266F"/>
    <w:rsid w:val="3C9A1245"/>
    <w:rsid w:val="3D400D9A"/>
    <w:rsid w:val="3D681A51"/>
    <w:rsid w:val="3D9976D6"/>
    <w:rsid w:val="3DC94AAA"/>
    <w:rsid w:val="3DE17472"/>
    <w:rsid w:val="3E111FAD"/>
    <w:rsid w:val="3E33237B"/>
    <w:rsid w:val="3E354866"/>
    <w:rsid w:val="3E3C0628"/>
    <w:rsid w:val="3E554590"/>
    <w:rsid w:val="3E5E3CAA"/>
    <w:rsid w:val="3E720193"/>
    <w:rsid w:val="3E827699"/>
    <w:rsid w:val="3E8A08B4"/>
    <w:rsid w:val="3E906E18"/>
    <w:rsid w:val="3EC92399"/>
    <w:rsid w:val="3F265092"/>
    <w:rsid w:val="3F327BF8"/>
    <w:rsid w:val="3F4014A8"/>
    <w:rsid w:val="3F79157A"/>
    <w:rsid w:val="3FC946EB"/>
    <w:rsid w:val="3FE26AD6"/>
    <w:rsid w:val="3FE65609"/>
    <w:rsid w:val="405E52CC"/>
    <w:rsid w:val="4069590E"/>
    <w:rsid w:val="411C21A4"/>
    <w:rsid w:val="41383DEE"/>
    <w:rsid w:val="419645E9"/>
    <w:rsid w:val="419C6D89"/>
    <w:rsid w:val="41B42D30"/>
    <w:rsid w:val="41E37EF0"/>
    <w:rsid w:val="422A026F"/>
    <w:rsid w:val="42CB6C1A"/>
    <w:rsid w:val="42FF7AA8"/>
    <w:rsid w:val="4327296F"/>
    <w:rsid w:val="434E53C7"/>
    <w:rsid w:val="43AE6563"/>
    <w:rsid w:val="441219F8"/>
    <w:rsid w:val="445C1CE1"/>
    <w:rsid w:val="445E2538"/>
    <w:rsid w:val="449E3321"/>
    <w:rsid w:val="455A22DA"/>
    <w:rsid w:val="45830245"/>
    <w:rsid w:val="459B6D2C"/>
    <w:rsid w:val="45D71C19"/>
    <w:rsid w:val="4622268A"/>
    <w:rsid w:val="462E42A9"/>
    <w:rsid w:val="463F462F"/>
    <w:rsid w:val="4683570D"/>
    <w:rsid w:val="46FB0AE5"/>
    <w:rsid w:val="4722370E"/>
    <w:rsid w:val="47C53700"/>
    <w:rsid w:val="48E015D4"/>
    <w:rsid w:val="48E17117"/>
    <w:rsid w:val="48E1744F"/>
    <w:rsid w:val="48EF0FE3"/>
    <w:rsid w:val="492055E6"/>
    <w:rsid w:val="493B2C25"/>
    <w:rsid w:val="49896444"/>
    <w:rsid w:val="499651E9"/>
    <w:rsid w:val="499C1DD0"/>
    <w:rsid w:val="499F48B0"/>
    <w:rsid w:val="49A04FD2"/>
    <w:rsid w:val="49A50E03"/>
    <w:rsid w:val="49C77893"/>
    <w:rsid w:val="4AE80A03"/>
    <w:rsid w:val="4B202067"/>
    <w:rsid w:val="4B5648AF"/>
    <w:rsid w:val="4BAD5A0B"/>
    <w:rsid w:val="4BC43503"/>
    <w:rsid w:val="4BF16EEB"/>
    <w:rsid w:val="4C175874"/>
    <w:rsid w:val="4C3D5599"/>
    <w:rsid w:val="4C964B29"/>
    <w:rsid w:val="4CBF7616"/>
    <w:rsid w:val="4D1C279A"/>
    <w:rsid w:val="4D232668"/>
    <w:rsid w:val="4D773A6D"/>
    <w:rsid w:val="4DAE04F9"/>
    <w:rsid w:val="4DD14386"/>
    <w:rsid w:val="4E8019D6"/>
    <w:rsid w:val="4E816119"/>
    <w:rsid w:val="4EC62D67"/>
    <w:rsid w:val="4EF0595D"/>
    <w:rsid w:val="4F172192"/>
    <w:rsid w:val="4F26316A"/>
    <w:rsid w:val="4F97603B"/>
    <w:rsid w:val="4FDB0DDA"/>
    <w:rsid w:val="500D797F"/>
    <w:rsid w:val="5019313D"/>
    <w:rsid w:val="501D117D"/>
    <w:rsid w:val="50702396"/>
    <w:rsid w:val="508252BD"/>
    <w:rsid w:val="511E5637"/>
    <w:rsid w:val="516D1BE8"/>
    <w:rsid w:val="51782E6E"/>
    <w:rsid w:val="51DB0974"/>
    <w:rsid w:val="521A6135"/>
    <w:rsid w:val="52890535"/>
    <w:rsid w:val="5297334B"/>
    <w:rsid w:val="52A80EC4"/>
    <w:rsid w:val="52C753C5"/>
    <w:rsid w:val="52EE42A5"/>
    <w:rsid w:val="539548D6"/>
    <w:rsid w:val="539D50FD"/>
    <w:rsid w:val="53A61630"/>
    <w:rsid w:val="542C2677"/>
    <w:rsid w:val="5452403F"/>
    <w:rsid w:val="54923FFF"/>
    <w:rsid w:val="5509685A"/>
    <w:rsid w:val="553600AA"/>
    <w:rsid w:val="55456536"/>
    <w:rsid w:val="55AC1E05"/>
    <w:rsid w:val="55C844F0"/>
    <w:rsid w:val="55D26833"/>
    <w:rsid w:val="55E01CEB"/>
    <w:rsid w:val="56101070"/>
    <w:rsid w:val="564138A4"/>
    <w:rsid w:val="565328B7"/>
    <w:rsid w:val="568B1FD5"/>
    <w:rsid w:val="56B7725B"/>
    <w:rsid w:val="56CE4922"/>
    <w:rsid w:val="56DF4788"/>
    <w:rsid w:val="56E1670D"/>
    <w:rsid w:val="572175B9"/>
    <w:rsid w:val="57295D0E"/>
    <w:rsid w:val="572A7AC4"/>
    <w:rsid w:val="572D2442"/>
    <w:rsid w:val="57BF5DFE"/>
    <w:rsid w:val="586B07E0"/>
    <w:rsid w:val="586F4A0B"/>
    <w:rsid w:val="58854F6E"/>
    <w:rsid w:val="58984F35"/>
    <w:rsid w:val="58CB3836"/>
    <w:rsid w:val="596B379A"/>
    <w:rsid w:val="59B8562B"/>
    <w:rsid w:val="59C503C4"/>
    <w:rsid w:val="59C83920"/>
    <w:rsid w:val="59D85EE5"/>
    <w:rsid w:val="59ED6BDC"/>
    <w:rsid w:val="5A0601AA"/>
    <w:rsid w:val="5A0D0558"/>
    <w:rsid w:val="5A5832FD"/>
    <w:rsid w:val="5A746672"/>
    <w:rsid w:val="5A7845BF"/>
    <w:rsid w:val="5A9F1F15"/>
    <w:rsid w:val="5B6F1663"/>
    <w:rsid w:val="5B8923B3"/>
    <w:rsid w:val="5BC10F13"/>
    <w:rsid w:val="5BD22CA7"/>
    <w:rsid w:val="5C0D77B5"/>
    <w:rsid w:val="5CB3602E"/>
    <w:rsid w:val="5CD5091E"/>
    <w:rsid w:val="5CD86575"/>
    <w:rsid w:val="5D275EB0"/>
    <w:rsid w:val="5D353B4F"/>
    <w:rsid w:val="5D8751CC"/>
    <w:rsid w:val="5DE5106A"/>
    <w:rsid w:val="5E21295B"/>
    <w:rsid w:val="5E565A8E"/>
    <w:rsid w:val="5EE17E89"/>
    <w:rsid w:val="5F4F0DB7"/>
    <w:rsid w:val="5FBF69B6"/>
    <w:rsid w:val="5FD2649E"/>
    <w:rsid w:val="5FD77F1E"/>
    <w:rsid w:val="60091500"/>
    <w:rsid w:val="60110E2F"/>
    <w:rsid w:val="604C3A2B"/>
    <w:rsid w:val="608B0561"/>
    <w:rsid w:val="6155760C"/>
    <w:rsid w:val="61686DFD"/>
    <w:rsid w:val="616E24FC"/>
    <w:rsid w:val="61806CA1"/>
    <w:rsid w:val="61994561"/>
    <w:rsid w:val="61A116B7"/>
    <w:rsid w:val="61C62F2B"/>
    <w:rsid w:val="62134508"/>
    <w:rsid w:val="623D6281"/>
    <w:rsid w:val="6277588E"/>
    <w:rsid w:val="6279154B"/>
    <w:rsid w:val="627C6574"/>
    <w:rsid w:val="629E63D3"/>
    <w:rsid w:val="63134DE0"/>
    <w:rsid w:val="637569B7"/>
    <w:rsid w:val="63D812B9"/>
    <w:rsid w:val="64382979"/>
    <w:rsid w:val="64D54C4B"/>
    <w:rsid w:val="64E72260"/>
    <w:rsid w:val="64F62037"/>
    <w:rsid w:val="657D1EA3"/>
    <w:rsid w:val="65BE6C4A"/>
    <w:rsid w:val="65C14045"/>
    <w:rsid w:val="65D97BAC"/>
    <w:rsid w:val="65EB6DAF"/>
    <w:rsid w:val="65F97FBB"/>
    <w:rsid w:val="66506635"/>
    <w:rsid w:val="667E0B8F"/>
    <w:rsid w:val="66EE4E7A"/>
    <w:rsid w:val="6702143E"/>
    <w:rsid w:val="67135B76"/>
    <w:rsid w:val="674C2D43"/>
    <w:rsid w:val="676F6BFC"/>
    <w:rsid w:val="677B149D"/>
    <w:rsid w:val="678E2854"/>
    <w:rsid w:val="67967046"/>
    <w:rsid w:val="67A863A7"/>
    <w:rsid w:val="67FD2BAD"/>
    <w:rsid w:val="68264690"/>
    <w:rsid w:val="68A445D2"/>
    <w:rsid w:val="68A815DC"/>
    <w:rsid w:val="68A90BB3"/>
    <w:rsid w:val="68BB5BC5"/>
    <w:rsid w:val="690044A8"/>
    <w:rsid w:val="69097D0A"/>
    <w:rsid w:val="69270993"/>
    <w:rsid w:val="699479E1"/>
    <w:rsid w:val="69CD3F9B"/>
    <w:rsid w:val="69D01E16"/>
    <w:rsid w:val="69D07809"/>
    <w:rsid w:val="69EF0691"/>
    <w:rsid w:val="6A4F773B"/>
    <w:rsid w:val="6A5102E8"/>
    <w:rsid w:val="6A697710"/>
    <w:rsid w:val="6AD729B3"/>
    <w:rsid w:val="6AD76EF0"/>
    <w:rsid w:val="6B285EE0"/>
    <w:rsid w:val="6B4F1608"/>
    <w:rsid w:val="6B795E05"/>
    <w:rsid w:val="6BA8732E"/>
    <w:rsid w:val="6C761DCB"/>
    <w:rsid w:val="6CB84CB8"/>
    <w:rsid w:val="6D0635E7"/>
    <w:rsid w:val="6D3824E9"/>
    <w:rsid w:val="6D833C48"/>
    <w:rsid w:val="6DC8359A"/>
    <w:rsid w:val="6E056B39"/>
    <w:rsid w:val="6E3D4079"/>
    <w:rsid w:val="6E4C1DFC"/>
    <w:rsid w:val="6E7A53E9"/>
    <w:rsid w:val="6F616E1F"/>
    <w:rsid w:val="6F6867C0"/>
    <w:rsid w:val="6FAA4301"/>
    <w:rsid w:val="705C2AD4"/>
    <w:rsid w:val="70614E5F"/>
    <w:rsid w:val="70621B4C"/>
    <w:rsid w:val="708C1533"/>
    <w:rsid w:val="70DE2274"/>
    <w:rsid w:val="712B4136"/>
    <w:rsid w:val="712E3A9B"/>
    <w:rsid w:val="71815014"/>
    <w:rsid w:val="7185216A"/>
    <w:rsid w:val="72105796"/>
    <w:rsid w:val="723B06E6"/>
    <w:rsid w:val="72451C4A"/>
    <w:rsid w:val="729278A2"/>
    <w:rsid w:val="72946584"/>
    <w:rsid w:val="72CD109E"/>
    <w:rsid w:val="7319225E"/>
    <w:rsid w:val="732854ED"/>
    <w:rsid w:val="735D63B6"/>
    <w:rsid w:val="73840550"/>
    <w:rsid w:val="73A910DB"/>
    <w:rsid w:val="73BB6668"/>
    <w:rsid w:val="73D91BAB"/>
    <w:rsid w:val="741311E8"/>
    <w:rsid w:val="743A2C52"/>
    <w:rsid w:val="7475508E"/>
    <w:rsid w:val="748A3C8B"/>
    <w:rsid w:val="749A691C"/>
    <w:rsid w:val="75096F5F"/>
    <w:rsid w:val="75185EBA"/>
    <w:rsid w:val="756E26A5"/>
    <w:rsid w:val="758C6643"/>
    <w:rsid w:val="75BB5B5E"/>
    <w:rsid w:val="75DA39DB"/>
    <w:rsid w:val="75E05BE3"/>
    <w:rsid w:val="760A1F02"/>
    <w:rsid w:val="768E6A30"/>
    <w:rsid w:val="76B15603"/>
    <w:rsid w:val="76B32238"/>
    <w:rsid w:val="76BE4A08"/>
    <w:rsid w:val="76DC7AF7"/>
    <w:rsid w:val="76FA3C23"/>
    <w:rsid w:val="771A1E90"/>
    <w:rsid w:val="77A072B5"/>
    <w:rsid w:val="77C12832"/>
    <w:rsid w:val="77C74CAC"/>
    <w:rsid w:val="78024977"/>
    <w:rsid w:val="78094F1B"/>
    <w:rsid w:val="781D5992"/>
    <w:rsid w:val="78386A93"/>
    <w:rsid w:val="7839793F"/>
    <w:rsid w:val="78495512"/>
    <w:rsid w:val="785967E7"/>
    <w:rsid w:val="791B73E3"/>
    <w:rsid w:val="79294073"/>
    <w:rsid w:val="792E49C4"/>
    <w:rsid w:val="79397A45"/>
    <w:rsid w:val="795137BA"/>
    <w:rsid w:val="799D2200"/>
    <w:rsid w:val="79AA541E"/>
    <w:rsid w:val="79B06543"/>
    <w:rsid w:val="79C8388C"/>
    <w:rsid w:val="79CE4B60"/>
    <w:rsid w:val="79FD2E11"/>
    <w:rsid w:val="7A2048E3"/>
    <w:rsid w:val="7A3B6711"/>
    <w:rsid w:val="7A5A7270"/>
    <w:rsid w:val="7A885AC4"/>
    <w:rsid w:val="7AE30252"/>
    <w:rsid w:val="7B431DE5"/>
    <w:rsid w:val="7B6C59DB"/>
    <w:rsid w:val="7B966A58"/>
    <w:rsid w:val="7B9C6D7F"/>
    <w:rsid w:val="7BAC7605"/>
    <w:rsid w:val="7BD3244E"/>
    <w:rsid w:val="7C744461"/>
    <w:rsid w:val="7C9126DC"/>
    <w:rsid w:val="7C921F30"/>
    <w:rsid w:val="7D5C5324"/>
    <w:rsid w:val="7D8B495A"/>
    <w:rsid w:val="7D966B23"/>
    <w:rsid w:val="7DBE0B85"/>
    <w:rsid w:val="7E2B3DB3"/>
    <w:rsid w:val="7E2F64D1"/>
    <w:rsid w:val="7E8D3555"/>
    <w:rsid w:val="7ECD2214"/>
    <w:rsid w:val="7EE741F5"/>
    <w:rsid w:val="7F0B7EFF"/>
    <w:rsid w:val="7FEB1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jc w:val="center"/>
      <w:outlineLvl w:val="0"/>
    </w:pPr>
    <w:rPr>
      <w:rFonts w:ascii="楷体_GB2312" w:hAnsi="楷体_GB2312"/>
      <w:b/>
      <w:kern w:val="32"/>
      <w:sz w:val="36"/>
      <w:szCs w:val="20"/>
    </w:rPr>
  </w:style>
  <w:style w:type="paragraph" w:styleId="3">
    <w:name w:val="heading 2"/>
    <w:basedOn w:val="1"/>
    <w:next w:val="1"/>
    <w:qFormat/>
    <w:uiPriority w:val="0"/>
    <w:pPr>
      <w:keepNext/>
      <w:keepLines/>
      <w:spacing w:line="416" w:lineRule="auto"/>
      <w:outlineLvl w:val="1"/>
    </w:pPr>
    <w:rPr>
      <w:rFonts w:ascii="Arial" w:hAnsi="Arial"/>
      <w:b/>
      <w:bCs/>
      <w:sz w:val="24"/>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numPr>
        <w:ilvl w:val="4"/>
        <w:numId w:val="1"/>
      </w:numPr>
      <w:tabs>
        <w:tab w:val="left" w:pos="425"/>
        <w:tab w:val="left" w:pos="1008"/>
      </w:tabs>
      <w:spacing w:before="280" w:after="290" w:line="372" w:lineRule="auto"/>
      <w:jc w:val="left"/>
      <w:outlineLvl w:val="4"/>
    </w:pPr>
    <w:rPr>
      <w:b/>
      <w:bCs/>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toa heading"/>
    <w:basedOn w:val="1"/>
    <w:next w:val="1"/>
    <w:qFormat/>
    <w:uiPriority w:val="0"/>
    <w:rPr>
      <w:rFonts w:ascii="Arial" w:hAnsi="Arial" w:eastAsia="宋体" w:cs="Times New Roman"/>
      <w:sz w:val="24"/>
    </w:rPr>
  </w:style>
  <w:style w:type="paragraph" w:styleId="9">
    <w:name w:val="annotation text"/>
    <w:basedOn w:val="1"/>
    <w:qFormat/>
    <w:uiPriority w:val="0"/>
    <w:pPr>
      <w:jc w:val="left"/>
    </w:pPr>
  </w:style>
  <w:style w:type="paragraph" w:styleId="10">
    <w:name w:val="Body Text"/>
    <w:basedOn w:val="1"/>
    <w:next w:val="1"/>
    <w:unhideWhenUsed/>
    <w:qFormat/>
    <w:uiPriority w:val="99"/>
    <w:pPr>
      <w:autoSpaceDE w:val="0"/>
      <w:autoSpaceDN w:val="0"/>
      <w:adjustRightInd w:val="0"/>
      <w:spacing w:before="185"/>
      <w:ind w:left="1080"/>
      <w:jc w:val="left"/>
    </w:pPr>
    <w:rPr>
      <w:rFonts w:ascii="宋体" w:cs="宋体"/>
      <w:kern w:val="0"/>
      <w:sz w:val="24"/>
    </w:rPr>
  </w:style>
  <w:style w:type="paragraph" w:styleId="11">
    <w:name w:val="Body Text Indent"/>
    <w:basedOn w:val="1"/>
    <w:next w:val="7"/>
    <w:qFormat/>
    <w:uiPriority w:val="0"/>
    <w:pPr>
      <w:spacing w:line="360" w:lineRule="auto"/>
      <w:ind w:firstLine="420" w:firstLineChars="200"/>
    </w:pPr>
  </w:style>
  <w:style w:type="paragraph" w:styleId="12">
    <w:name w:val="Plain Text"/>
    <w:basedOn w:val="1"/>
    <w:qFormat/>
    <w:uiPriority w:val="99"/>
    <w:rPr>
      <w:rFonts w:ascii="宋体" w:hAnsi="Courier New"/>
      <w:kern w:val="0"/>
      <w:sz w:val="20"/>
      <w:szCs w:val="21"/>
    </w:rPr>
  </w:style>
  <w:style w:type="paragraph" w:styleId="13">
    <w:name w:val="Date"/>
    <w:basedOn w:val="1"/>
    <w:next w:val="1"/>
    <w:qFormat/>
    <w:uiPriority w:val="99"/>
    <w:rPr>
      <w:sz w:val="24"/>
      <w:szCs w:val="20"/>
    </w:rPr>
  </w:style>
  <w:style w:type="paragraph" w:styleId="14">
    <w:name w:val="Balloon Text"/>
    <w:basedOn w:val="1"/>
    <w:link w:val="5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99"/>
    <w:rPr>
      <w:rFonts w:ascii="华文中宋" w:hAnsi="华文中宋" w:eastAsia="华文中宋"/>
      <w:b/>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10"/>
    <w:next w:val="10"/>
    <w:qFormat/>
    <w:uiPriority w:val="0"/>
    <w:pPr>
      <w:ind w:firstLine="420" w:firstLineChars="100"/>
    </w:pPr>
    <w:rPr>
      <w:rFonts w:ascii="Times New Roman" w:hAnsi="Times New Roman" w:eastAsia="宋体" w:cs="Times New Roman"/>
    </w:rPr>
  </w:style>
  <w:style w:type="paragraph" w:styleId="20">
    <w:name w:val="Body Text First Indent 2"/>
    <w:basedOn w:val="11"/>
    <w:unhideWhenUsed/>
    <w:qFormat/>
    <w:uiPriority w:val="99"/>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bCs/>
    </w:rPr>
  </w:style>
  <w:style w:type="character" w:styleId="25">
    <w:name w:val="page number"/>
    <w:basedOn w:val="23"/>
    <w:qFormat/>
    <w:uiPriority w:val="0"/>
    <w:rPr>
      <w:lang w:val="en-US"/>
    </w:rPr>
  </w:style>
  <w:style w:type="character" w:styleId="26">
    <w:name w:val="FollowedHyperlink"/>
    <w:basedOn w:val="23"/>
    <w:qFormat/>
    <w:uiPriority w:val="0"/>
    <w:rPr>
      <w:color w:val="800080"/>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Typewriter"/>
    <w:basedOn w:val="23"/>
    <w:qFormat/>
    <w:uiPriority w:val="0"/>
    <w:rPr>
      <w:rFonts w:hint="default"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basedOn w:val="23"/>
    <w:qFormat/>
    <w:uiPriority w:val="0"/>
    <w:rPr>
      <w:color w:val="0000FF"/>
      <w:u w:val="none"/>
    </w:rPr>
  </w:style>
  <w:style w:type="character" w:styleId="33">
    <w:name w:val="HTML Code"/>
    <w:basedOn w:val="23"/>
    <w:qFormat/>
    <w:uiPriority w:val="0"/>
    <w:rPr>
      <w:rFonts w:ascii="monospace" w:hAnsi="monospace" w:eastAsia="monospace" w:cs="monospace"/>
      <w:sz w:val="20"/>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Default"/>
    <w:next w:val="3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mu"/>
    <w:basedOn w:val="1"/>
    <w:qFormat/>
    <w:uiPriority w:val="0"/>
    <w:pPr>
      <w:widowControl/>
      <w:spacing w:before="280" w:after="280"/>
    </w:pPr>
    <w:rPr>
      <w:rFonts w:ascii="Ђˎ̥"/>
      <w:sz w:val="21"/>
    </w:rPr>
  </w:style>
  <w:style w:type="character" w:customStyle="1" w:styleId="39">
    <w:name w:val="样式 仿宋"/>
    <w:qFormat/>
    <w:uiPriority w:val="0"/>
    <w:rPr>
      <w:rFonts w:ascii="仿宋" w:hAnsi="仿宋" w:eastAsia="仿宋"/>
      <w:kern w:val="1"/>
    </w:rPr>
  </w:style>
  <w:style w:type="paragraph" w:customStyle="1" w:styleId="40">
    <w:name w:val="p0"/>
    <w:basedOn w:val="1"/>
    <w:qFormat/>
    <w:uiPriority w:val="99"/>
    <w:pPr>
      <w:widowControl/>
    </w:pPr>
    <w:rPr>
      <w:kern w:val="0"/>
      <w:szCs w:val="21"/>
    </w:rPr>
  </w:style>
  <w:style w:type="paragraph" w:customStyle="1" w:styleId="41">
    <w:name w:val="样式 标题 2 + 首行缩进:  0.99 厘米"/>
    <w:basedOn w:val="3"/>
    <w:qFormat/>
    <w:uiPriority w:val="0"/>
    <w:pPr>
      <w:spacing w:line="480" w:lineRule="auto"/>
    </w:pPr>
    <w:rPr>
      <w:rFonts w:ascii="黑体" w:cs="宋体"/>
      <w:snapToGrid w:val="0"/>
      <w:kern w:val="44"/>
      <w:sz w:val="28"/>
      <w:szCs w:val="28"/>
    </w:rPr>
  </w:style>
  <w:style w:type="character" w:customStyle="1" w:styleId="42">
    <w:name w:val="first-child"/>
    <w:basedOn w:val="23"/>
    <w:qFormat/>
    <w:uiPriority w:val="0"/>
  </w:style>
  <w:style w:type="character" w:customStyle="1" w:styleId="43">
    <w:name w:val="layui-layer-tabnow"/>
    <w:basedOn w:val="23"/>
    <w:qFormat/>
    <w:uiPriority w:val="0"/>
    <w:rPr>
      <w:bdr w:val="single" w:color="CCCCCC" w:sz="6" w:space="0"/>
      <w:shd w:val="clear" w:color="auto" w:fill="FFFFFF"/>
    </w:rPr>
  </w:style>
  <w:style w:type="character" w:customStyle="1" w:styleId="44">
    <w:name w:val="font01"/>
    <w:basedOn w:val="23"/>
    <w:qFormat/>
    <w:uiPriority w:val="0"/>
    <w:rPr>
      <w:rFonts w:hint="eastAsia" w:ascii="宋体" w:hAnsi="宋体" w:eastAsia="宋体" w:cs="宋体"/>
      <w:color w:val="000000"/>
      <w:sz w:val="22"/>
      <w:szCs w:val="22"/>
      <w:u w:val="none"/>
    </w:rPr>
  </w:style>
  <w:style w:type="paragraph" w:customStyle="1" w:styleId="45">
    <w:name w:val="列出段落1"/>
    <w:basedOn w:val="1"/>
    <w:qFormat/>
    <w:uiPriority w:val="34"/>
    <w:pPr>
      <w:ind w:firstLine="420"/>
    </w:pPr>
  </w:style>
  <w:style w:type="character" w:customStyle="1" w:styleId="46">
    <w:name w:val="font91"/>
    <w:basedOn w:val="23"/>
    <w:qFormat/>
    <w:uiPriority w:val="0"/>
    <w:rPr>
      <w:rFonts w:hint="eastAsia" w:ascii="宋体" w:hAnsi="宋体" w:eastAsia="宋体" w:cs="宋体"/>
      <w:color w:val="000000"/>
      <w:sz w:val="20"/>
      <w:szCs w:val="20"/>
      <w:u w:val="none"/>
    </w:rPr>
  </w:style>
  <w:style w:type="character" w:customStyle="1" w:styleId="47">
    <w:name w:val="font71"/>
    <w:basedOn w:val="23"/>
    <w:qFormat/>
    <w:uiPriority w:val="0"/>
    <w:rPr>
      <w:rFonts w:hint="eastAsia" w:ascii="宋体" w:hAnsi="宋体" w:eastAsia="宋体" w:cs="宋体"/>
      <w:color w:val="000000"/>
      <w:sz w:val="20"/>
      <w:szCs w:val="20"/>
      <w:u w:val="none"/>
    </w:rPr>
  </w:style>
  <w:style w:type="character" w:customStyle="1" w:styleId="48">
    <w:name w:val="font11"/>
    <w:basedOn w:val="23"/>
    <w:qFormat/>
    <w:uiPriority w:val="0"/>
    <w:rPr>
      <w:rFonts w:ascii="Arial Unicode MS" w:hAnsi="Arial Unicode MS" w:eastAsia="Arial Unicode MS" w:cs="Arial Unicode MS"/>
      <w:color w:val="000000"/>
      <w:sz w:val="20"/>
      <w:szCs w:val="20"/>
      <w:u w:val="none"/>
    </w:rPr>
  </w:style>
  <w:style w:type="character" w:customStyle="1" w:styleId="49">
    <w:name w:val="font31"/>
    <w:basedOn w:val="23"/>
    <w:qFormat/>
    <w:uiPriority w:val="99"/>
    <w:rPr>
      <w:rFonts w:ascii="宋体" w:hAnsi="宋体" w:eastAsia="宋体" w:cs="宋体"/>
      <w:color w:val="000000"/>
      <w:sz w:val="18"/>
      <w:szCs w:val="18"/>
      <w:u w:val="none"/>
    </w:rPr>
  </w:style>
  <w:style w:type="paragraph" w:customStyle="1" w:styleId="50">
    <w:name w:val="首行缩进"/>
    <w:basedOn w:val="1"/>
    <w:qFormat/>
    <w:uiPriority w:val="0"/>
    <w:pPr>
      <w:spacing w:line="360" w:lineRule="auto"/>
      <w:ind w:firstLine="480" w:firstLineChars="200"/>
    </w:pPr>
    <w:rPr>
      <w:rFonts w:ascii="宋体" w:hAnsi="宋体" w:cs="宋体"/>
      <w:kern w:val="0"/>
      <w:sz w:val="24"/>
    </w:rPr>
  </w:style>
  <w:style w:type="character" w:customStyle="1" w:styleId="51">
    <w:name w:val="批注框文本 Char"/>
    <w:basedOn w:val="23"/>
    <w:link w:val="14"/>
    <w:qFormat/>
    <w:uiPriority w:val="0"/>
    <w:rPr>
      <w:kern w:val="2"/>
      <w:sz w:val="18"/>
      <w:szCs w:val="18"/>
    </w:rPr>
  </w:style>
  <w:style w:type="paragraph" w:customStyle="1" w:styleId="52">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 Char Char Char Char"/>
    <w:basedOn w:val="1"/>
    <w:qFormat/>
    <w:uiPriority w:val="0"/>
    <w:rPr>
      <w:szCs w:val="20"/>
    </w:rPr>
  </w:style>
  <w:style w:type="table" w:customStyle="1" w:styleId="54">
    <w:name w:val="Table Normal1"/>
    <w:qFormat/>
    <w:uiPriority w:val="0"/>
    <w:rPr>
      <w:rFonts w:ascii="Calibri" w:hAnsi="Calibri" w:cs="Arial"/>
    </w:rPr>
    <w:tblPr>
      <w:tblCellMar>
        <w:top w:w="0" w:type="dxa"/>
        <w:left w:w="0" w:type="dxa"/>
        <w:bottom w:w="0" w:type="dxa"/>
        <w:right w:w="0" w:type="dxa"/>
      </w:tblCellMar>
    </w:tblPr>
  </w:style>
  <w:style w:type="character" w:customStyle="1" w:styleId="55">
    <w:name w:val="font21"/>
    <w:basedOn w:val="23"/>
    <w:qFormat/>
    <w:uiPriority w:val="0"/>
    <w:rPr>
      <w:rFonts w:ascii="宋体" w:hAnsi="宋体" w:eastAsia="宋体" w:cs="宋体"/>
      <w:color w:val="000000"/>
      <w:sz w:val="18"/>
      <w:szCs w:val="18"/>
      <w:u w:val="none"/>
    </w:rPr>
  </w:style>
  <w:style w:type="character" w:customStyle="1" w:styleId="56">
    <w:name w:val="font41"/>
    <w:basedOn w:val="23"/>
    <w:qFormat/>
    <w:uiPriority w:val="0"/>
    <w:rPr>
      <w:rFonts w:ascii="宋体" w:hAnsi="宋体" w:eastAsia="宋体" w:cs="宋体"/>
      <w:color w:val="000000"/>
      <w:sz w:val="38"/>
      <w:szCs w:val="38"/>
      <w:u w:val="none"/>
    </w:rPr>
  </w:style>
  <w:style w:type="paragraph" w:customStyle="1" w:styleId="57">
    <w:name w:val="普通正文"/>
    <w:basedOn w:val="1"/>
    <w:qFormat/>
    <w:uiPriority w:val="0"/>
    <w:pPr>
      <w:spacing w:before="120" w:beforeLines="0" w:after="120" w:afterLines="0"/>
      <w:ind w:firstLine="480"/>
      <w:jc w:val="left"/>
    </w:pPr>
    <w:rPr>
      <w:rFonts w:ascii="Arial" w:hAnsi="Arial" w:eastAsia="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1026" textRotate="1"/>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19647</Words>
  <Characters>20589</Characters>
  <Lines>154</Lines>
  <Paragraphs>43</Paragraphs>
  <TotalTime>4</TotalTime>
  <ScaleCrop>false</ScaleCrop>
  <LinksUpToDate>false</LinksUpToDate>
  <CharactersWithSpaces>21268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2020-02-08T03:46:00Z</dcterms:created>
  <dc:creator>悠扬风笛</dc:creator>
  <cp:lastModifiedBy>Administrator</cp:lastModifiedBy>
  <cp:lastPrinted>2026-02-13T07:32:00Z</cp:lastPrinted>
  <dcterms:modified xsi:type="dcterms:W3CDTF">2026-02-13T09:44:49Z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EB56BE58A28A40938C30367DF6608482_13</vt:lpwstr>
  </property>
  <property fmtid="{D5CDD505-2E9C-101B-9397-08002B2CF9AE}" pid="4" name="KSOTemplateDocerSaveRecord">
    <vt:lpwstr>eyJoZGlkIjoiZTM3NWJiMDM5NzgzYzVlOTkwYTdmODg5Yjg0N2JhNzQiLCJ1c2VySWQiOiI0NTczMTg5NjUifQ==</vt:lpwstr>
  </property>
</Properties>
</file>