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B45B">
      <w:pPr>
        <w:ind w:firstLine="539"/>
        <w:jc w:val="center"/>
        <w:outlineLvl w:val="0"/>
        <w:rPr>
          <w:rFonts w:hint="eastAsia" w:ascii="宋体" w:hAnsi="宋体" w:eastAsia="宋体" w:cs="宋体"/>
          <w:color w:val="auto"/>
          <w:sz w:val="100"/>
          <w:szCs w:val="100"/>
          <w:highlight w:val="white"/>
          <w:lang w:eastAsia="zh-CN"/>
        </w:rPr>
      </w:pPr>
      <w:bookmarkStart w:id="0" w:name="_Toc10613"/>
      <w:bookmarkStart w:id="1" w:name="_Toc31237"/>
    </w:p>
    <w:p w14:paraId="4081DD5C">
      <w:pPr>
        <w:ind w:firstLine="539"/>
        <w:jc w:val="center"/>
        <w:outlineLvl w:val="0"/>
        <w:rPr>
          <w:rFonts w:hint="eastAsia" w:ascii="宋体" w:hAnsi="宋体" w:cs="宋体"/>
          <w:color w:val="auto"/>
          <w:sz w:val="100"/>
          <w:szCs w:val="100"/>
        </w:rPr>
      </w:pPr>
      <w:r>
        <w:rPr>
          <w:rFonts w:hint="eastAsia" w:ascii="宋体" w:hAnsi="宋体" w:cs="宋体"/>
          <w:color w:val="auto"/>
          <w:sz w:val="100"/>
          <w:szCs w:val="100"/>
          <w:highlight w:val="white"/>
        </w:rPr>
        <w:t>竞争性磋商文件</w:t>
      </w:r>
      <w:bookmarkEnd w:id="0"/>
      <w:bookmarkEnd w:id="1"/>
    </w:p>
    <w:p w14:paraId="3A685994">
      <w:pPr>
        <w:pStyle w:val="29"/>
        <w:rPr>
          <w:rFonts w:hint="eastAsia" w:ascii="宋体" w:hAnsi="宋体"/>
          <w:color w:val="auto"/>
        </w:rPr>
      </w:pPr>
    </w:p>
    <w:p w14:paraId="3640DAA0">
      <w:pPr>
        <w:pStyle w:val="29"/>
        <w:rPr>
          <w:rFonts w:hint="eastAsia" w:ascii="宋体" w:hAnsi="宋体"/>
          <w:color w:val="auto"/>
        </w:rPr>
      </w:pPr>
    </w:p>
    <w:p w14:paraId="19D7DD57">
      <w:pPr>
        <w:pStyle w:val="29"/>
        <w:rPr>
          <w:rFonts w:hint="eastAsia" w:ascii="宋体" w:hAnsi="宋体"/>
          <w:color w:val="auto"/>
        </w:rPr>
      </w:pPr>
    </w:p>
    <w:p w14:paraId="4FCBBE51">
      <w:pPr>
        <w:pStyle w:val="29"/>
        <w:rPr>
          <w:rFonts w:hint="eastAsia" w:ascii="宋体" w:hAnsi="宋体"/>
          <w:color w:val="auto"/>
        </w:rPr>
      </w:pPr>
    </w:p>
    <w:p w14:paraId="16EA7FBD">
      <w:pPr>
        <w:pStyle w:val="29"/>
        <w:rPr>
          <w:rFonts w:hint="eastAsia" w:ascii="宋体" w:hAnsi="宋体"/>
          <w:color w:val="auto"/>
        </w:rPr>
      </w:pPr>
    </w:p>
    <w:p w14:paraId="6AA61D66">
      <w:pPr>
        <w:spacing w:line="360" w:lineRule="auto"/>
        <w:jc w:val="left"/>
        <w:rPr>
          <w:rFonts w:hint="eastAsia" w:ascii="宋体" w:hAnsi="宋体" w:cs="宋体"/>
          <w:b/>
          <w:color w:val="auto"/>
          <w:sz w:val="28"/>
          <w:szCs w:val="28"/>
        </w:rPr>
      </w:pPr>
    </w:p>
    <w:p w14:paraId="07938C3D">
      <w:pPr>
        <w:spacing w:line="360" w:lineRule="auto"/>
        <w:ind w:left="1257" w:leftChars="532" w:hanging="140" w:hangingChars="50"/>
        <w:jc w:val="both"/>
        <w:outlineLvl w:val="0"/>
        <w:rPr>
          <w:rFonts w:hint="eastAsia" w:ascii="宋体" w:hAnsi="宋体" w:cs="宋体"/>
          <w:b/>
          <w:color w:val="auto"/>
          <w:sz w:val="28"/>
          <w:szCs w:val="28"/>
          <w:highlight w:val="white"/>
          <w:lang w:val="en-US" w:eastAsia="zh-CN"/>
        </w:rPr>
      </w:pPr>
      <w:bookmarkStart w:id="2" w:name="_Toc22311"/>
      <w:bookmarkStart w:id="3" w:name="_Toc20246"/>
      <w:r>
        <w:rPr>
          <w:rFonts w:hint="eastAsia" w:ascii="宋体" w:hAnsi="宋体" w:cs="宋体"/>
          <w:b/>
          <w:color w:val="auto"/>
          <w:sz w:val="28"/>
          <w:szCs w:val="28"/>
          <w:highlight w:val="white"/>
        </w:rPr>
        <w:t>项目名称：</w:t>
      </w:r>
      <w:bookmarkEnd w:id="2"/>
      <w:bookmarkEnd w:id="3"/>
      <w:bookmarkStart w:id="4" w:name="_Toc25289"/>
      <w:bookmarkStart w:id="5" w:name="_Toc24015"/>
      <w:r>
        <w:rPr>
          <w:rFonts w:hint="eastAsia" w:ascii="宋体" w:hAnsi="宋体" w:cs="宋体"/>
          <w:b/>
          <w:color w:val="auto"/>
          <w:sz w:val="28"/>
          <w:szCs w:val="28"/>
          <w:highlight w:val="white"/>
          <w:lang w:val="en-US" w:eastAsia="zh-CN"/>
        </w:rPr>
        <w:t>遂川县泉江小学（含八角楼校区）学生安心</w:t>
      </w:r>
    </w:p>
    <w:p w14:paraId="0B1DF9F6">
      <w:pPr>
        <w:spacing w:line="360" w:lineRule="auto"/>
        <w:ind w:left="1257" w:leftChars="532" w:hanging="140" w:hangingChars="50"/>
        <w:jc w:val="center"/>
        <w:outlineLvl w:val="0"/>
        <w:rPr>
          <w:rFonts w:hint="eastAsia" w:ascii="宋体" w:hAnsi="宋体" w:cs="宋体"/>
          <w:b/>
          <w:color w:val="auto"/>
          <w:sz w:val="28"/>
          <w:szCs w:val="28"/>
          <w:highlight w:val="white"/>
          <w:lang w:val="en-US" w:eastAsia="zh-CN"/>
        </w:rPr>
      </w:pPr>
      <w:r>
        <w:rPr>
          <w:rFonts w:hint="eastAsia" w:ascii="宋体" w:hAnsi="宋体" w:cs="宋体"/>
          <w:b/>
          <w:color w:val="auto"/>
          <w:sz w:val="28"/>
          <w:szCs w:val="28"/>
          <w:highlight w:val="white"/>
          <w:lang w:val="en-US" w:eastAsia="zh-CN"/>
        </w:rPr>
        <w:t>午餐配餐服务项目</w:t>
      </w:r>
    </w:p>
    <w:p w14:paraId="30317CB5">
      <w:pPr>
        <w:spacing w:line="360" w:lineRule="auto"/>
        <w:ind w:firstLine="1121" w:firstLineChars="400"/>
        <w:jc w:val="left"/>
        <w:outlineLvl w:val="0"/>
        <w:rPr>
          <w:rFonts w:hint="eastAsia" w:ascii="宋体" w:hAnsi="宋体" w:cs="宋体"/>
          <w:b/>
          <w:color w:val="auto"/>
          <w:sz w:val="28"/>
          <w:szCs w:val="28"/>
          <w:highlight w:val="white"/>
        </w:rPr>
      </w:pPr>
    </w:p>
    <w:p w14:paraId="3BF4E1E1">
      <w:pPr>
        <w:spacing w:line="360" w:lineRule="auto"/>
        <w:ind w:firstLine="1121" w:firstLineChars="400"/>
        <w:jc w:val="left"/>
        <w:outlineLvl w:val="0"/>
        <w:rPr>
          <w:rFonts w:hint="eastAsia" w:ascii="宋体" w:hAnsi="宋体" w:eastAsia="宋体" w:cs="宋体"/>
          <w:b/>
          <w:color w:val="auto"/>
          <w:sz w:val="28"/>
          <w:szCs w:val="28"/>
          <w:highlight w:val="white"/>
          <w:lang w:eastAsia="zh-CN"/>
        </w:rPr>
      </w:pPr>
      <w:r>
        <w:rPr>
          <w:rFonts w:hint="eastAsia" w:ascii="宋体" w:hAnsi="宋体" w:cs="宋体"/>
          <w:b/>
          <w:color w:val="auto"/>
          <w:sz w:val="28"/>
          <w:szCs w:val="28"/>
          <w:highlight w:val="white"/>
        </w:rPr>
        <w:t>项目编号：</w:t>
      </w:r>
      <w:bookmarkEnd w:id="4"/>
      <w:bookmarkEnd w:id="5"/>
      <w:r>
        <w:rPr>
          <w:rFonts w:hint="eastAsia" w:ascii="宋体" w:hAnsi="宋体" w:cs="宋体"/>
          <w:b/>
          <w:color w:val="auto"/>
          <w:sz w:val="28"/>
          <w:szCs w:val="28"/>
          <w:highlight w:val="white"/>
          <w:lang w:eastAsia="zh-CN"/>
        </w:rPr>
        <w:t>仁远采字SC-【202</w:t>
      </w:r>
      <w:r>
        <w:rPr>
          <w:rFonts w:hint="eastAsia" w:ascii="宋体" w:hAnsi="宋体" w:cs="宋体"/>
          <w:b/>
          <w:color w:val="auto"/>
          <w:sz w:val="28"/>
          <w:szCs w:val="28"/>
          <w:highlight w:val="white"/>
          <w:lang w:val="en-US" w:eastAsia="zh-CN"/>
        </w:rPr>
        <w:t>6</w:t>
      </w:r>
      <w:r>
        <w:rPr>
          <w:rFonts w:hint="eastAsia" w:ascii="宋体" w:hAnsi="宋体" w:cs="宋体"/>
          <w:b/>
          <w:color w:val="auto"/>
          <w:sz w:val="28"/>
          <w:szCs w:val="28"/>
          <w:highlight w:val="white"/>
          <w:lang w:eastAsia="zh-CN"/>
        </w:rPr>
        <w:t>】</w:t>
      </w:r>
      <w:r>
        <w:rPr>
          <w:rFonts w:hint="eastAsia" w:ascii="宋体" w:hAnsi="宋体" w:cs="宋体"/>
          <w:b/>
          <w:color w:val="auto"/>
          <w:sz w:val="28"/>
          <w:szCs w:val="28"/>
          <w:highlight w:val="white"/>
          <w:lang w:val="en-US" w:eastAsia="zh-CN"/>
        </w:rPr>
        <w:t>003</w:t>
      </w:r>
      <w:r>
        <w:rPr>
          <w:rFonts w:hint="eastAsia" w:ascii="宋体" w:hAnsi="宋体" w:cs="宋体"/>
          <w:b/>
          <w:color w:val="auto"/>
          <w:sz w:val="28"/>
          <w:szCs w:val="28"/>
          <w:highlight w:val="white"/>
          <w:lang w:eastAsia="zh-CN"/>
        </w:rPr>
        <w:t>号</w:t>
      </w:r>
    </w:p>
    <w:p w14:paraId="1BAB73D8">
      <w:pPr>
        <w:spacing w:line="360" w:lineRule="auto"/>
        <w:ind w:firstLine="980" w:firstLineChars="350"/>
        <w:jc w:val="left"/>
        <w:outlineLvl w:val="0"/>
        <w:rPr>
          <w:rFonts w:hint="eastAsia" w:ascii="宋体" w:hAnsi="宋体" w:cs="宋体"/>
          <w:b/>
          <w:color w:val="auto"/>
          <w:sz w:val="28"/>
          <w:szCs w:val="28"/>
          <w:highlight w:val="white"/>
        </w:rPr>
      </w:pPr>
    </w:p>
    <w:p w14:paraId="0627A60E">
      <w:pPr>
        <w:spacing w:line="480" w:lineRule="auto"/>
        <w:rPr>
          <w:rFonts w:hint="eastAsia" w:ascii="宋体" w:hAnsi="宋体" w:cs="宋体"/>
          <w:color w:val="auto"/>
          <w:sz w:val="36"/>
        </w:rPr>
      </w:pPr>
    </w:p>
    <w:p w14:paraId="5023608F">
      <w:pPr>
        <w:spacing w:line="480" w:lineRule="auto"/>
        <w:rPr>
          <w:rFonts w:hint="eastAsia" w:ascii="宋体" w:hAnsi="宋体" w:cs="宋体"/>
          <w:color w:val="auto"/>
          <w:sz w:val="36"/>
        </w:rPr>
      </w:pPr>
    </w:p>
    <w:p w14:paraId="535AB0A1">
      <w:pPr>
        <w:spacing w:line="480" w:lineRule="auto"/>
        <w:jc w:val="center"/>
        <w:outlineLvl w:val="0"/>
        <w:rPr>
          <w:rFonts w:hint="eastAsia" w:ascii="宋体" w:hAnsi="宋体" w:cs="宋体"/>
          <w:color w:val="auto"/>
          <w:sz w:val="36"/>
        </w:rPr>
      </w:pPr>
      <w:bookmarkStart w:id="6" w:name="_Toc18828"/>
      <w:bookmarkStart w:id="7" w:name="_Toc30570"/>
      <w:r>
        <w:rPr>
          <w:rFonts w:hint="eastAsia" w:ascii="宋体" w:hAnsi="宋体" w:cs="宋体"/>
          <w:color w:val="auto"/>
          <w:sz w:val="36"/>
          <w:highlight w:val="white"/>
        </w:rPr>
        <w:t>遂川县仁远建设事务发展有限公司</w:t>
      </w:r>
      <w:bookmarkEnd w:id="6"/>
      <w:bookmarkEnd w:id="7"/>
    </w:p>
    <w:p w14:paraId="1CA18F28">
      <w:pPr>
        <w:spacing w:line="480" w:lineRule="auto"/>
        <w:jc w:val="center"/>
        <w:rPr>
          <w:rFonts w:hint="eastAsia" w:ascii="宋体" w:hAnsi="宋体" w:cs="宋体"/>
          <w:color w:val="auto"/>
          <w:sz w:val="36"/>
        </w:rPr>
        <w:sectPr>
          <w:footerReference r:id="rId9" w:type="first"/>
          <w:headerReference r:id="rId5" w:type="default"/>
          <w:footerReference r:id="rId7" w:type="default"/>
          <w:headerReference r:id="rId6" w:type="even"/>
          <w:footerReference r:id="rId8" w:type="even"/>
          <w:pgSz w:w="11907" w:h="16840"/>
          <w:pgMar w:top="1418" w:right="1304" w:bottom="1418" w:left="1304" w:header="720" w:footer="720" w:gutter="0"/>
          <w:cols w:space="720" w:num="1"/>
          <w:titlePg/>
          <w:docGrid w:linePitch="285" w:charSpace="0"/>
        </w:sectPr>
      </w:pPr>
      <w:r>
        <w:rPr>
          <w:rFonts w:hint="eastAsia" w:ascii="宋体" w:hAnsi="宋体" w:eastAsia="宋体" w:cs="宋体"/>
          <w:color w:val="auto"/>
          <w:sz w:val="36"/>
          <w:highlight w:val="white"/>
          <w:lang w:val="en-US" w:eastAsia="zh-CN"/>
        </w:rPr>
        <w:t>二0二六</w:t>
      </w:r>
      <w:r>
        <w:rPr>
          <w:rFonts w:hint="eastAsia" w:ascii="宋体" w:hAnsi="宋体" w:cs="宋体"/>
          <w:color w:val="auto"/>
          <w:sz w:val="36"/>
          <w:highlight w:val="white"/>
        </w:rPr>
        <w:t>年</w:t>
      </w:r>
      <w:r>
        <w:rPr>
          <w:rFonts w:hint="eastAsia" w:ascii="宋体" w:hAnsi="宋体" w:eastAsia="宋体" w:cs="宋体"/>
          <w:color w:val="auto"/>
          <w:sz w:val="36"/>
          <w:highlight w:val="white"/>
          <w:lang w:val="en-US" w:eastAsia="zh-CN"/>
        </w:rPr>
        <w:t>二</w:t>
      </w:r>
      <w:r>
        <w:rPr>
          <w:rFonts w:hint="eastAsia" w:ascii="宋体" w:hAnsi="宋体" w:cs="宋体"/>
          <w:color w:val="auto"/>
          <w:sz w:val="36"/>
          <w:highlight w:val="white"/>
        </w:rPr>
        <w:t>月</w:t>
      </w:r>
    </w:p>
    <w:p w14:paraId="41B0CEBD">
      <w:pPr>
        <w:jc w:val="center"/>
        <w:outlineLvl w:val="0"/>
        <w:rPr>
          <w:rFonts w:hint="eastAsia" w:ascii="宋体" w:hAnsi="宋体" w:cs="宋体"/>
          <w:color w:val="auto"/>
          <w:sz w:val="24"/>
          <w:szCs w:val="24"/>
        </w:rPr>
      </w:pPr>
      <w:bookmarkStart w:id="8" w:name="_Toc14956"/>
      <w:r>
        <w:rPr>
          <w:rFonts w:hint="eastAsia" w:ascii="宋体" w:hAnsi="宋体" w:cs="宋体"/>
          <w:color w:val="auto"/>
          <w:sz w:val="24"/>
          <w:szCs w:val="24"/>
          <w:highlight w:val="white"/>
        </w:rPr>
        <w:t>目录</w:t>
      </w:r>
      <w:bookmarkEnd w:id="8"/>
    </w:p>
    <w:p w14:paraId="0B263382">
      <w:pPr>
        <w:pStyle w:val="15"/>
        <w:tabs>
          <w:tab w:val="right" w:leader="dot" w:pos="8640"/>
          <w:tab w:val="clear" w:pos="9000"/>
        </w:tabs>
        <w:rPr>
          <w:rFonts w:hint="eastAsia" w:ascii="宋体" w:hAnsi="宋体" w:cs="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highlight w:val="white"/>
        </w:rPr>
        <w:instrText xml:space="preserve">TOC \o "1-1" \h \u </w:instrText>
      </w:r>
      <w:r>
        <w:rPr>
          <w:rFonts w:hint="eastAsia" w:ascii="宋体" w:hAnsi="宋体" w:cs="宋体"/>
          <w:b/>
          <w:color w:val="auto"/>
          <w:sz w:val="24"/>
          <w:szCs w:val="24"/>
        </w:rPr>
        <w:fldChar w:fldCharType="separate"/>
      </w:r>
    </w:p>
    <w:p w14:paraId="6329DE09">
      <w:pPr>
        <w:pStyle w:val="15"/>
        <w:tabs>
          <w:tab w:val="right" w:leader="dot" w:pos="8640"/>
          <w:tab w:val="clear" w:pos="9000"/>
        </w:tabs>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_Toc29175 </w:instrText>
      </w:r>
      <w:r>
        <w:rPr>
          <w:rFonts w:hint="eastAsia" w:ascii="宋体" w:hAnsi="宋体" w:cs="宋体"/>
          <w:color w:val="auto"/>
          <w:sz w:val="24"/>
          <w:szCs w:val="24"/>
        </w:rPr>
        <w:fldChar w:fldCharType="separate"/>
      </w:r>
      <w:r>
        <w:rPr>
          <w:rFonts w:hint="eastAsia" w:ascii="宋体" w:hAnsi="宋体" w:cs="宋体"/>
          <w:bCs/>
          <w:color w:val="auto"/>
          <w:sz w:val="24"/>
          <w:szCs w:val="24"/>
          <w:highlight w:val="white"/>
        </w:rPr>
        <w:t>第一章　磋商邀请</w:t>
      </w:r>
      <w:r>
        <w:rPr>
          <w:rFonts w:hint="eastAsia" w:ascii="宋体" w:hAnsi="宋体" w:cs="宋体"/>
          <w:color w:val="auto"/>
          <w:sz w:val="24"/>
          <w:szCs w:val="24"/>
          <w:highlight w:val="white"/>
        </w:rPr>
        <w:tab/>
      </w: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PAGEREF _Toc29175 \h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4CE291A">
      <w:pPr>
        <w:pStyle w:val="15"/>
        <w:tabs>
          <w:tab w:val="left" w:pos="4200"/>
          <w:tab w:val="right" w:leader="dot" w:pos="8640"/>
          <w:tab w:val="clear" w:pos="9000"/>
        </w:tabs>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_Toc31106 </w:instrText>
      </w:r>
      <w:r>
        <w:rPr>
          <w:rFonts w:hint="eastAsia" w:ascii="宋体" w:hAnsi="宋体" w:cs="宋体"/>
          <w:color w:val="auto"/>
          <w:sz w:val="24"/>
          <w:szCs w:val="24"/>
        </w:rPr>
        <w:fldChar w:fldCharType="separate"/>
      </w:r>
      <w:r>
        <w:rPr>
          <w:rFonts w:hint="eastAsia" w:ascii="宋体" w:hAnsi="宋体" w:cs="宋体"/>
          <w:bCs/>
          <w:color w:val="auto"/>
          <w:sz w:val="24"/>
          <w:szCs w:val="24"/>
          <w:highlight w:val="white"/>
        </w:rPr>
        <w:t>第二章　磋商须知</w:t>
      </w:r>
      <w:r>
        <w:rPr>
          <w:rFonts w:hint="eastAsia" w:ascii="宋体" w:hAnsi="宋体" w:eastAsia="宋体" w:cs="宋体"/>
          <w:bCs/>
          <w:color w:val="auto"/>
          <w:sz w:val="24"/>
          <w:szCs w:val="24"/>
          <w:highlight w:val="white"/>
          <w:lang w:val="en-US" w:eastAsia="zh-CN"/>
        </w:rPr>
        <w:t>....................</w:t>
      </w:r>
      <w:r>
        <w:rPr>
          <w:rFonts w:hint="eastAsia" w:ascii="宋体" w:hAnsi="宋体" w:cs="宋体"/>
          <w:color w:val="auto"/>
          <w:sz w:val="24"/>
          <w:szCs w:val="24"/>
          <w:highlight w:val="white"/>
        </w:rPr>
        <w:tab/>
      </w: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PAGEREF _Toc31106 \h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995F213">
      <w:pPr>
        <w:rPr>
          <w:rFonts w:hint="eastAsia"/>
          <w:color w:val="auto"/>
        </w:rPr>
      </w:pPr>
      <w:r>
        <w:rPr>
          <w:rFonts w:hint="eastAsia" w:ascii="宋体" w:hAnsi="宋体" w:cs="宋体"/>
          <w:color w:val="auto"/>
          <w:sz w:val="24"/>
          <w:szCs w:val="24"/>
          <w:highlight w:val="white"/>
        </w:rPr>
        <w:t>第三章</w:t>
      </w:r>
      <w:r>
        <w:rPr>
          <w:rFonts w:hint="eastAsia" w:ascii="宋体" w:hAnsi="宋体" w:eastAsia="宋体" w:cs="宋体"/>
          <w:color w:val="auto"/>
          <w:sz w:val="24"/>
          <w:szCs w:val="24"/>
          <w:highlight w:val="white"/>
          <w:lang w:val="en-US" w:eastAsia="zh-CN"/>
        </w:rPr>
        <w:t xml:space="preserve">  </w:t>
      </w:r>
      <w:r>
        <w:rPr>
          <w:rFonts w:hint="eastAsia" w:ascii="宋体" w:hAnsi="宋体" w:cs="宋体"/>
          <w:color w:val="auto"/>
          <w:sz w:val="24"/>
          <w:szCs w:val="24"/>
          <w:highlight w:val="white"/>
        </w:rPr>
        <w:t>签订的合同文本</w:t>
      </w:r>
      <w:r>
        <w:rPr>
          <w:rFonts w:hint="eastAsia" w:ascii="宋体" w:hAnsi="宋体" w:eastAsia="宋体" w:cs="宋体"/>
          <w:color w:val="auto"/>
          <w:sz w:val="24"/>
          <w:szCs w:val="24"/>
          <w:highlight w:val="white"/>
          <w:lang w:val="en-US" w:eastAsia="zh-CN"/>
        </w:rPr>
        <w:t>.................................................19</w:t>
      </w:r>
      <w:r>
        <w:rPr>
          <w:rFonts w:hint="eastAsia" w:ascii="宋体" w:hAnsi="宋体" w:cs="宋体"/>
          <w:color w:val="auto"/>
          <w:sz w:val="24"/>
          <w:szCs w:val="24"/>
          <w:highlight w:val="white"/>
        </w:rPr>
        <w:tab/>
      </w:r>
    </w:p>
    <w:p w14:paraId="0922D3D9">
      <w:pPr>
        <w:pStyle w:val="15"/>
        <w:tabs>
          <w:tab w:val="right" w:leader="dot" w:pos="8640"/>
          <w:tab w:val="clear" w:pos="9000"/>
        </w:tabs>
        <w:rPr>
          <w:rFonts w:hint="eastAsia" w:ascii="宋体" w:hAnsi="宋体" w:eastAsia="宋体" w:cs="宋体"/>
          <w:color w:val="auto"/>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_Toc22821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四</w:t>
      </w:r>
      <w:r>
        <w:rPr>
          <w:rFonts w:hint="eastAsia" w:ascii="宋体" w:hAnsi="宋体" w:cs="宋体"/>
          <w:color w:val="auto"/>
          <w:sz w:val="24"/>
          <w:szCs w:val="24"/>
          <w:highlight w:val="white"/>
        </w:rPr>
        <w:t>章　磋商文件格式</w:t>
      </w:r>
      <w:r>
        <w:rPr>
          <w:rFonts w:hint="eastAsia" w:ascii="宋体" w:hAnsi="宋体" w:cs="宋体"/>
          <w:color w:val="auto"/>
          <w:sz w:val="24"/>
          <w:szCs w:val="24"/>
          <w:highlight w:val="white"/>
        </w:rPr>
        <w:tab/>
      </w:r>
      <w:r>
        <w:rPr>
          <w:rFonts w:hint="eastAsia" w:ascii="宋体" w:hAnsi="宋体" w:eastAsia="宋体" w:cs="宋体"/>
          <w:color w:val="auto"/>
          <w:sz w:val="24"/>
          <w:szCs w:val="24"/>
          <w:highlight w:val="white"/>
          <w:lang w:val="en-US" w:eastAsia="zh-CN"/>
        </w:rPr>
        <w:t>...</w:t>
      </w:r>
      <w:r>
        <w:rPr>
          <w:rFonts w:hint="eastAsia" w:ascii="宋体" w:hAnsi="宋体" w:eastAsia="宋体" w:cs="宋体"/>
          <w:color w:val="auto"/>
          <w:sz w:val="24"/>
          <w:szCs w:val="24"/>
          <w:lang w:val="en-US" w:eastAsia="zh-CN"/>
        </w:rPr>
        <w:t>2</w:t>
      </w:r>
      <w:r>
        <w:rPr>
          <w:rFonts w:hint="eastAsia" w:ascii="宋体" w:hAnsi="宋体" w:cs="宋体"/>
          <w:color w:val="auto"/>
          <w:sz w:val="24"/>
          <w:szCs w:val="24"/>
        </w:rPr>
        <w:fldChar w:fldCharType="end"/>
      </w:r>
      <w:r>
        <w:rPr>
          <w:rFonts w:hint="eastAsia" w:ascii="宋体" w:hAnsi="宋体" w:eastAsia="宋体" w:cs="宋体"/>
          <w:color w:val="auto"/>
          <w:sz w:val="24"/>
          <w:szCs w:val="24"/>
          <w:lang w:val="en-US" w:eastAsia="zh-CN"/>
        </w:rPr>
        <w:t>1</w:t>
      </w:r>
    </w:p>
    <w:p w14:paraId="7B0E5C10">
      <w:pPr>
        <w:numPr>
          <w:ilvl w:val="0"/>
          <w:numId w:val="0"/>
        </w:numPr>
        <w:spacing w:line="360" w:lineRule="auto"/>
        <w:jc w:val="both"/>
        <w:outlineLvl w:val="0"/>
        <w:rPr>
          <w:rFonts w:hint="default" w:ascii="宋体" w:hAnsi="宋体" w:eastAsia="宋体" w:cs="宋体"/>
          <w:snapToGrid w:val="0"/>
          <w:color w:val="auto"/>
          <w:kern w:val="0"/>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_Toc32383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五</w:t>
      </w:r>
      <w:r>
        <w:rPr>
          <w:rFonts w:hint="eastAsia" w:ascii="宋体" w:hAnsi="宋体" w:cs="宋体"/>
          <w:color w:val="auto"/>
          <w:sz w:val="24"/>
          <w:szCs w:val="24"/>
          <w:highlight w:val="white"/>
        </w:rPr>
        <w:t xml:space="preserve">章  </w:t>
      </w:r>
      <w:r>
        <w:rPr>
          <w:rFonts w:hint="eastAsia" w:ascii="宋体" w:hAnsi="宋体" w:eastAsia="Arial" w:cs="宋体"/>
          <w:snapToGrid w:val="0"/>
          <w:color w:val="auto"/>
          <w:kern w:val="0"/>
          <w:sz w:val="24"/>
          <w:szCs w:val="24"/>
        </w:rPr>
        <w:t>采购需求</w:t>
      </w:r>
      <w:r>
        <w:rPr>
          <w:rFonts w:hint="eastAsia" w:ascii="宋体" w:hAnsi="宋体" w:eastAsia="宋体" w:cs="宋体"/>
          <w:snapToGrid w:val="0"/>
          <w:color w:val="auto"/>
          <w:kern w:val="0"/>
          <w:sz w:val="24"/>
          <w:szCs w:val="24"/>
          <w:lang w:val="en-US" w:eastAsia="zh-CN"/>
        </w:rPr>
        <w:t>.......................................................36</w:t>
      </w:r>
    </w:p>
    <w:p w14:paraId="452D7421">
      <w:pPr>
        <w:pStyle w:val="15"/>
        <w:tabs>
          <w:tab w:val="right" w:leader="dot" w:pos="8640"/>
          <w:tab w:val="clear" w:pos="9000"/>
        </w:tabs>
        <w:rPr>
          <w:rFonts w:hint="default" w:ascii="宋体" w:hAnsi="宋体" w:eastAsia="宋体" w:cs="宋体"/>
          <w:color w:val="auto"/>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_Toc22353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六</w:t>
      </w:r>
      <w:r>
        <w:rPr>
          <w:rFonts w:hint="eastAsia" w:ascii="宋体" w:hAnsi="宋体" w:cs="宋体"/>
          <w:color w:val="auto"/>
          <w:sz w:val="24"/>
          <w:szCs w:val="24"/>
          <w:highlight w:val="white"/>
        </w:rPr>
        <w:t xml:space="preserve">章  </w:t>
      </w:r>
      <w:r>
        <w:rPr>
          <w:rFonts w:hint="eastAsia" w:ascii="宋体" w:hAnsi="宋体" w:eastAsia="宋体" w:cs="宋体"/>
          <w:color w:val="auto"/>
          <w:sz w:val="24"/>
          <w:szCs w:val="24"/>
          <w:highlight w:val="white"/>
          <w:lang w:eastAsia="zh-CN"/>
        </w:rPr>
        <w:t>评审标准</w:t>
      </w:r>
      <w:r>
        <w:rPr>
          <w:rFonts w:hint="eastAsia" w:ascii="宋体" w:hAnsi="宋体" w:cs="宋体"/>
          <w:color w:val="auto"/>
          <w:sz w:val="24"/>
          <w:szCs w:val="24"/>
          <w:highlight w:val="white"/>
        </w:rPr>
        <w:tab/>
      </w:r>
      <w:r>
        <w:rPr>
          <w:rFonts w:hint="eastAsia" w:ascii="宋体" w:hAnsi="宋体" w:cs="宋体"/>
          <w:color w:val="auto"/>
          <w:sz w:val="24"/>
          <w:szCs w:val="24"/>
        </w:rPr>
        <w:fldChar w:fldCharType="end"/>
      </w:r>
      <w:r>
        <w:rPr>
          <w:rFonts w:hint="eastAsia" w:ascii="宋体" w:hAnsi="宋体" w:eastAsia="宋体" w:cs="宋体"/>
          <w:color w:val="auto"/>
          <w:sz w:val="24"/>
          <w:szCs w:val="24"/>
          <w:lang w:val="en-US" w:eastAsia="zh-CN"/>
        </w:rPr>
        <w:t>47</w:t>
      </w:r>
    </w:p>
    <w:p w14:paraId="3352AB7D">
      <w:pPr>
        <w:pStyle w:val="15"/>
        <w:tabs>
          <w:tab w:val="right" w:leader="dot" w:pos="8640"/>
          <w:tab w:val="clear" w:pos="9000"/>
        </w:tabs>
        <w:ind w:firstLine="8880" w:firstLineChars="3700"/>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white"/>
        </w:rPr>
        <w:tab/>
      </w:r>
      <w:r>
        <w:rPr>
          <w:rFonts w:hint="eastAsia" w:ascii="宋体" w:hAnsi="宋体" w:cs="宋体"/>
          <w:color w:val="auto"/>
          <w:sz w:val="24"/>
          <w:szCs w:val="24"/>
        </w:rPr>
        <w:fldChar w:fldCharType="end"/>
      </w:r>
    </w:p>
    <w:p w14:paraId="10B63367">
      <w:pPr>
        <w:outlineLvl w:val="0"/>
        <w:rPr>
          <w:rFonts w:hint="eastAsia" w:ascii="宋体" w:hAnsi="宋体" w:cs="宋体"/>
          <w:b/>
          <w:color w:val="auto"/>
          <w:sz w:val="24"/>
          <w:szCs w:val="24"/>
        </w:rPr>
      </w:pPr>
      <w:r>
        <w:rPr>
          <w:rFonts w:hint="eastAsia" w:ascii="宋体" w:hAnsi="宋体" w:cs="宋体"/>
          <w:color w:val="auto"/>
          <w:sz w:val="24"/>
          <w:szCs w:val="24"/>
        </w:rPr>
        <w:fldChar w:fldCharType="end"/>
      </w:r>
    </w:p>
    <w:p w14:paraId="69012E44">
      <w:pPr>
        <w:rPr>
          <w:rFonts w:hint="eastAsia" w:ascii="宋体" w:hAnsi="宋体" w:cs="宋体"/>
          <w:b/>
          <w:color w:val="auto"/>
          <w:sz w:val="24"/>
          <w:szCs w:val="24"/>
        </w:rPr>
      </w:pPr>
    </w:p>
    <w:p w14:paraId="76581C8A">
      <w:pPr>
        <w:rPr>
          <w:rFonts w:hint="eastAsia" w:ascii="宋体" w:hAnsi="宋体" w:cs="宋体"/>
          <w:b/>
          <w:color w:val="auto"/>
          <w:sz w:val="24"/>
          <w:szCs w:val="24"/>
        </w:rPr>
      </w:pPr>
    </w:p>
    <w:p w14:paraId="12BEE3BA">
      <w:pPr>
        <w:rPr>
          <w:rFonts w:hint="eastAsia" w:ascii="宋体" w:hAnsi="宋体" w:cs="宋体"/>
          <w:b/>
          <w:color w:val="auto"/>
          <w:sz w:val="24"/>
          <w:szCs w:val="24"/>
        </w:rPr>
      </w:pPr>
    </w:p>
    <w:p w14:paraId="3BF1B5F6">
      <w:pPr>
        <w:pStyle w:val="30"/>
        <w:rPr>
          <w:rFonts w:hint="eastAsia" w:ascii="宋体" w:hAnsi="宋体" w:cs="宋体"/>
          <w:b/>
          <w:color w:val="auto"/>
          <w:szCs w:val="24"/>
        </w:rPr>
      </w:pPr>
    </w:p>
    <w:p w14:paraId="4D10112A">
      <w:pPr>
        <w:pStyle w:val="30"/>
        <w:rPr>
          <w:rFonts w:hint="eastAsia" w:ascii="宋体" w:hAnsi="宋体" w:cs="宋体"/>
          <w:b/>
          <w:color w:val="auto"/>
          <w:szCs w:val="24"/>
        </w:rPr>
      </w:pPr>
    </w:p>
    <w:p w14:paraId="5F60FA42">
      <w:pPr>
        <w:pStyle w:val="30"/>
        <w:rPr>
          <w:rFonts w:hint="eastAsia" w:ascii="宋体" w:hAnsi="宋体" w:cs="宋体"/>
          <w:b/>
          <w:color w:val="auto"/>
          <w:szCs w:val="24"/>
        </w:rPr>
      </w:pPr>
    </w:p>
    <w:p w14:paraId="452FBF17">
      <w:pPr>
        <w:pStyle w:val="30"/>
        <w:rPr>
          <w:rFonts w:hint="eastAsia" w:ascii="宋体" w:hAnsi="宋体" w:cs="宋体"/>
          <w:b/>
          <w:color w:val="auto"/>
          <w:szCs w:val="24"/>
        </w:rPr>
      </w:pPr>
    </w:p>
    <w:p w14:paraId="1E5C1A17">
      <w:pPr>
        <w:pStyle w:val="30"/>
        <w:rPr>
          <w:rFonts w:hint="eastAsia" w:ascii="宋体" w:hAnsi="宋体" w:cs="宋体"/>
          <w:b/>
          <w:color w:val="auto"/>
          <w:szCs w:val="24"/>
        </w:rPr>
      </w:pPr>
    </w:p>
    <w:p w14:paraId="132BB5D2">
      <w:pPr>
        <w:pStyle w:val="30"/>
        <w:rPr>
          <w:rFonts w:hint="eastAsia" w:ascii="宋体" w:hAnsi="宋体" w:cs="宋体"/>
          <w:b/>
          <w:color w:val="auto"/>
          <w:szCs w:val="24"/>
        </w:rPr>
      </w:pPr>
    </w:p>
    <w:p w14:paraId="73EE1EF9">
      <w:pPr>
        <w:pStyle w:val="30"/>
        <w:rPr>
          <w:rFonts w:hint="eastAsia" w:ascii="宋体" w:hAnsi="宋体" w:cs="宋体"/>
          <w:b/>
          <w:color w:val="auto"/>
          <w:szCs w:val="24"/>
        </w:rPr>
      </w:pPr>
    </w:p>
    <w:p w14:paraId="17D0B74B">
      <w:pPr>
        <w:pStyle w:val="30"/>
        <w:rPr>
          <w:rFonts w:hint="eastAsia" w:ascii="宋体" w:hAnsi="宋体" w:cs="宋体"/>
          <w:b/>
          <w:color w:val="auto"/>
          <w:szCs w:val="24"/>
        </w:rPr>
      </w:pPr>
    </w:p>
    <w:p w14:paraId="5D63CFB7">
      <w:pPr>
        <w:pStyle w:val="30"/>
        <w:rPr>
          <w:rFonts w:hint="eastAsia" w:ascii="宋体" w:hAnsi="宋体" w:cs="宋体"/>
          <w:b/>
          <w:color w:val="auto"/>
          <w:szCs w:val="24"/>
        </w:rPr>
      </w:pPr>
    </w:p>
    <w:p w14:paraId="0D928DAE">
      <w:pPr>
        <w:pStyle w:val="30"/>
        <w:rPr>
          <w:rFonts w:hint="eastAsia" w:ascii="宋体" w:hAnsi="宋体" w:cs="宋体"/>
          <w:b/>
          <w:color w:val="auto"/>
          <w:szCs w:val="24"/>
        </w:rPr>
      </w:pPr>
    </w:p>
    <w:p w14:paraId="281B2E98">
      <w:pPr>
        <w:pStyle w:val="30"/>
        <w:rPr>
          <w:rFonts w:hint="eastAsia" w:ascii="宋体" w:hAnsi="宋体" w:cs="宋体"/>
          <w:b/>
          <w:color w:val="auto"/>
          <w:szCs w:val="24"/>
        </w:rPr>
      </w:pPr>
    </w:p>
    <w:p w14:paraId="0A301F89">
      <w:pPr>
        <w:pStyle w:val="30"/>
        <w:rPr>
          <w:rFonts w:hint="eastAsia" w:ascii="宋体" w:hAnsi="宋体" w:cs="宋体"/>
          <w:b/>
          <w:color w:val="auto"/>
          <w:szCs w:val="24"/>
        </w:rPr>
      </w:pPr>
    </w:p>
    <w:p w14:paraId="1F121F8F">
      <w:pPr>
        <w:pStyle w:val="30"/>
        <w:rPr>
          <w:rFonts w:hint="eastAsia" w:ascii="宋体" w:hAnsi="宋体" w:cs="宋体"/>
          <w:b/>
          <w:color w:val="auto"/>
          <w:szCs w:val="24"/>
        </w:rPr>
      </w:pPr>
    </w:p>
    <w:p w14:paraId="4B9BD10A">
      <w:pPr>
        <w:pStyle w:val="30"/>
        <w:rPr>
          <w:rFonts w:hint="eastAsia" w:ascii="宋体" w:hAnsi="宋体" w:cs="宋体"/>
          <w:b/>
          <w:color w:val="auto"/>
          <w:szCs w:val="24"/>
        </w:rPr>
      </w:pPr>
    </w:p>
    <w:p w14:paraId="3D8EDC02">
      <w:pPr>
        <w:pStyle w:val="30"/>
        <w:rPr>
          <w:rFonts w:hint="eastAsia" w:ascii="宋体" w:hAnsi="宋体" w:cs="宋体"/>
          <w:b/>
          <w:color w:val="auto"/>
          <w:szCs w:val="24"/>
        </w:rPr>
      </w:pPr>
    </w:p>
    <w:p w14:paraId="7C5C94DA">
      <w:pPr>
        <w:rPr>
          <w:rFonts w:hint="eastAsia" w:ascii="宋体" w:hAnsi="宋体" w:cs="宋体"/>
          <w:b/>
          <w:color w:val="auto"/>
          <w:sz w:val="24"/>
          <w:szCs w:val="24"/>
        </w:rPr>
      </w:pPr>
    </w:p>
    <w:p w14:paraId="4E07D94E">
      <w:pPr>
        <w:rPr>
          <w:rFonts w:hint="eastAsia" w:ascii="宋体" w:hAnsi="宋体" w:cs="宋体"/>
          <w:b/>
          <w:color w:val="auto"/>
          <w:sz w:val="24"/>
          <w:szCs w:val="24"/>
        </w:rPr>
      </w:pPr>
    </w:p>
    <w:p w14:paraId="49CAB5C6">
      <w:pPr>
        <w:rPr>
          <w:rFonts w:hint="eastAsia" w:ascii="宋体" w:hAnsi="宋体" w:cs="宋体"/>
          <w:b/>
          <w:color w:val="auto"/>
          <w:sz w:val="24"/>
          <w:szCs w:val="24"/>
        </w:rPr>
      </w:pPr>
    </w:p>
    <w:p w14:paraId="25869F5E">
      <w:pPr>
        <w:rPr>
          <w:rFonts w:hint="eastAsia" w:ascii="宋体" w:hAnsi="宋体" w:cs="宋体"/>
          <w:b/>
          <w:color w:val="auto"/>
          <w:sz w:val="24"/>
          <w:szCs w:val="24"/>
        </w:rPr>
      </w:pPr>
    </w:p>
    <w:p w14:paraId="1B87E077">
      <w:pPr>
        <w:rPr>
          <w:rFonts w:hint="eastAsia" w:ascii="宋体" w:hAnsi="宋体" w:cs="宋体"/>
          <w:b/>
          <w:color w:val="auto"/>
          <w:sz w:val="24"/>
          <w:szCs w:val="24"/>
        </w:rPr>
      </w:pPr>
    </w:p>
    <w:p w14:paraId="33A30BDE">
      <w:pPr>
        <w:rPr>
          <w:rFonts w:hint="eastAsia" w:ascii="宋体" w:hAnsi="宋体" w:cs="宋体"/>
          <w:b/>
          <w:color w:val="auto"/>
          <w:sz w:val="24"/>
          <w:szCs w:val="24"/>
        </w:rPr>
      </w:pPr>
    </w:p>
    <w:p w14:paraId="5E76A05D">
      <w:pPr>
        <w:rPr>
          <w:rFonts w:hint="eastAsia" w:ascii="宋体" w:hAnsi="宋体" w:cs="宋体"/>
          <w:b/>
          <w:color w:val="auto"/>
          <w:sz w:val="24"/>
          <w:szCs w:val="24"/>
        </w:rPr>
      </w:pPr>
    </w:p>
    <w:p w14:paraId="4DA8B695">
      <w:pPr>
        <w:rPr>
          <w:rFonts w:hint="eastAsia" w:ascii="宋体" w:hAnsi="宋体" w:cs="宋体"/>
          <w:b/>
          <w:color w:val="auto"/>
          <w:sz w:val="24"/>
          <w:szCs w:val="24"/>
        </w:rPr>
      </w:pPr>
    </w:p>
    <w:p w14:paraId="38689A6A">
      <w:pPr>
        <w:rPr>
          <w:rFonts w:hint="eastAsia" w:ascii="宋体" w:hAnsi="宋体" w:cs="宋体"/>
          <w:b/>
          <w:color w:val="auto"/>
          <w:sz w:val="24"/>
          <w:szCs w:val="24"/>
        </w:rPr>
      </w:pPr>
    </w:p>
    <w:p w14:paraId="22CABB4C">
      <w:pPr>
        <w:rPr>
          <w:rFonts w:hint="eastAsia" w:ascii="宋体" w:hAnsi="宋体" w:cs="宋体"/>
          <w:b/>
          <w:color w:val="auto"/>
          <w:sz w:val="24"/>
          <w:szCs w:val="24"/>
        </w:rPr>
      </w:pPr>
    </w:p>
    <w:p w14:paraId="5DB2811A">
      <w:pPr>
        <w:pStyle w:val="3"/>
        <w:adjustRightInd w:val="0"/>
        <w:snapToGrid w:val="0"/>
        <w:spacing w:line="360" w:lineRule="auto"/>
        <w:jc w:val="center"/>
        <w:rPr>
          <w:rFonts w:hint="eastAsia" w:hAnsi="宋体" w:cs="宋体"/>
          <w:b/>
          <w:bCs/>
          <w:color w:val="auto"/>
          <w:sz w:val="32"/>
        </w:rPr>
      </w:pPr>
      <w:bookmarkStart w:id="9" w:name="_Toc29175"/>
      <w:bookmarkStart w:id="10" w:name="_Toc10646"/>
      <w:r>
        <w:rPr>
          <w:rFonts w:hint="eastAsia" w:hAnsi="宋体" w:cs="宋体"/>
          <w:b/>
          <w:bCs/>
          <w:color w:val="auto"/>
          <w:sz w:val="32"/>
          <w:highlight w:val="white"/>
        </w:rPr>
        <w:t>第一章　磋商邀请</w:t>
      </w:r>
      <w:bookmarkEnd w:id="9"/>
      <w:bookmarkEnd w:id="10"/>
    </w:p>
    <w:p w14:paraId="685F9630">
      <w:pPr>
        <w:spacing w:line="440" w:lineRule="exact"/>
        <w:ind w:firstLine="480" w:firstLineChars="200"/>
        <w:rPr>
          <w:color w:val="auto"/>
          <w:sz w:val="24"/>
          <w:szCs w:val="24"/>
        </w:rPr>
      </w:pPr>
      <w:bookmarkStart w:id="11" w:name="_Hlk102489083"/>
      <w:bookmarkStart w:id="12" w:name="_Toc470101223"/>
      <w:r>
        <w:rPr>
          <w:rFonts w:hint="eastAsia"/>
          <w:color w:val="auto"/>
          <w:sz w:val="24"/>
          <w:szCs w:val="24"/>
          <w:highlight w:val="white"/>
        </w:rPr>
        <w:t>项目概况</w:t>
      </w:r>
    </w:p>
    <w:p w14:paraId="2F994E18">
      <w:pPr>
        <w:spacing w:line="440" w:lineRule="exact"/>
        <w:ind w:firstLine="480" w:firstLineChars="200"/>
        <w:rPr>
          <w:color w:val="auto"/>
          <w:sz w:val="24"/>
          <w:szCs w:val="24"/>
        </w:rPr>
      </w:pPr>
      <w:r>
        <w:rPr>
          <w:rFonts w:hint="eastAsia" w:ascii="宋体" w:hAnsi="宋体" w:cs="宋体"/>
          <w:color w:val="auto"/>
          <w:sz w:val="24"/>
          <w:szCs w:val="24"/>
          <w:highlight w:val="white"/>
          <w:u w:val="single"/>
          <w:lang w:val="en-US" w:eastAsia="zh-CN"/>
        </w:rPr>
        <w:t>遂川县泉江小学（含八角楼校区）学生安心午餐配餐服务项目</w:t>
      </w:r>
      <w:r>
        <w:rPr>
          <w:rFonts w:hint="eastAsia"/>
          <w:color w:val="auto"/>
          <w:sz w:val="24"/>
          <w:szCs w:val="24"/>
          <w:highlight w:val="white"/>
        </w:rPr>
        <w:t>的潜在投标人应在</w:t>
      </w:r>
      <w:r>
        <w:rPr>
          <w:rFonts w:hint="eastAsia"/>
          <w:color w:val="auto"/>
          <w:sz w:val="24"/>
          <w:szCs w:val="24"/>
          <w:highlight w:val="white"/>
          <w:u w:val="single"/>
          <w:lang w:val="en-US" w:eastAsia="zh-CN"/>
        </w:rPr>
        <w:t>中国招标投标公共服务平台官网、江西省招标投标网</w:t>
      </w:r>
      <w:r>
        <w:rPr>
          <w:rFonts w:hint="eastAsia"/>
          <w:color w:val="auto"/>
          <w:sz w:val="24"/>
          <w:szCs w:val="24"/>
          <w:highlight w:val="white"/>
        </w:rPr>
        <w:t>获取采购文件，并</w:t>
      </w:r>
      <w:r>
        <w:rPr>
          <w:rFonts w:hint="eastAsia" w:ascii="宋体" w:hAnsi="宋体" w:cs="宋体"/>
          <w:color w:val="auto"/>
          <w:sz w:val="24"/>
          <w:szCs w:val="24"/>
          <w:highlight w:val="white"/>
        </w:rPr>
        <w:t>于</w:t>
      </w:r>
      <w:r>
        <w:rPr>
          <w:rFonts w:hint="eastAsia" w:ascii="宋体" w:hAnsi="宋体" w:eastAsia="宋体" w:cs="宋体"/>
          <w:color w:val="auto"/>
          <w:sz w:val="24"/>
          <w:szCs w:val="24"/>
          <w:highlight w:val="white"/>
          <w:u w:val="single"/>
          <w:lang w:val="en-US" w:eastAsia="zh-CN"/>
        </w:rPr>
        <w:t>2026</w:t>
      </w:r>
      <w:r>
        <w:rPr>
          <w:rFonts w:hint="eastAsia" w:ascii="宋体" w:hAnsi="宋体" w:cs="宋体"/>
          <w:color w:val="auto"/>
          <w:sz w:val="24"/>
          <w:szCs w:val="24"/>
          <w:highlight w:val="white"/>
          <w:u w:val="non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none"/>
        </w:rPr>
        <w:t>月</w:t>
      </w:r>
      <w:r>
        <w:rPr>
          <w:rFonts w:hint="eastAsia" w:ascii="宋体" w:hAnsi="宋体" w:eastAsia="宋体" w:cs="宋体"/>
          <w:color w:val="auto"/>
          <w:sz w:val="24"/>
          <w:szCs w:val="24"/>
          <w:highlight w:val="white"/>
          <w:u w:val="single"/>
          <w:lang w:val="en-US" w:eastAsia="zh-CN"/>
        </w:rPr>
        <w:t>25</w:t>
      </w:r>
      <w:r>
        <w:rPr>
          <w:rFonts w:hint="eastAsia" w:ascii="宋体" w:hAnsi="宋体" w:cs="宋体"/>
          <w:color w:val="auto"/>
          <w:sz w:val="24"/>
          <w:szCs w:val="24"/>
          <w:highlight w:val="white"/>
          <w:u w:val="none"/>
        </w:rPr>
        <w:t>日</w:t>
      </w:r>
      <w:r>
        <w:rPr>
          <w:rFonts w:hint="eastAsia" w:ascii="宋体" w:hAnsi="宋体" w:cs="宋体"/>
          <w:color w:val="auto"/>
          <w:sz w:val="24"/>
          <w:szCs w:val="24"/>
          <w:highlight w:val="white"/>
          <w:u w:val="single"/>
          <w:lang w:val="en-US" w:eastAsia="zh-CN"/>
        </w:rPr>
        <w:t>9</w:t>
      </w:r>
      <w:r>
        <w:rPr>
          <w:rFonts w:hint="eastAsia" w:ascii="宋体" w:hAnsi="宋体" w:cs="宋体"/>
          <w:color w:val="auto"/>
          <w:sz w:val="24"/>
          <w:szCs w:val="24"/>
          <w:highlight w:val="white"/>
          <w:u w:val="single"/>
        </w:rPr>
        <w:t>点00分</w:t>
      </w:r>
      <w:r>
        <w:rPr>
          <w:rFonts w:hint="eastAsia"/>
          <w:color w:val="auto"/>
          <w:sz w:val="24"/>
          <w:szCs w:val="24"/>
          <w:highlight w:val="white"/>
        </w:rPr>
        <w:t>（北京时间）前提交响应文件。</w:t>
      </w:r>
    </w:p>
    <w:p w14:paraId="44B248CD">
      <w:pPr>
        <w:spacing w:line="440" w:lineRule="exact"/>
        <w:outlineLvl w:val="1"/>
        <w:rPr>
          <w:color w:val="auto"/>
          <w:sz w:val="24"/>
          <w:szCs w:val="22"/>
        </w:rPr>
      </w:pPr>
      <w:bookmarkStart w:id="13" w:name="_Toc27619"/>
      <w:r>
        <w:rPr>
          <w:rFonts w:hint="eastAsia"/>
          <w:color w:val="auto"/>
          <w:sz w:val="24"/>
          <w:szCs w:val="22"/>
          <w:highlight w:val="white"/>
        </w:rPr>
        <w:t>一、项目基本情况</w:t>
      </w:r>
      <w:bookmarkEnd w:id="13"/>
    </w:p>
    <w:p w14:paraId="674A69E9">
      <w:pPr>
        <w:tabs>
          <w:tab w:val="left" w:pos="7377"/>
        </w:tabs>
        <w:spacing w:line="44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项目编号：</w:t>
      </w:r>
      <w:r>
        <w:rPr>
          <w:rFonts w:hint="eastAsia" w:ascii="宋体" w:hAnsi="宋体" w:cs="宋体"/>
          <w:color w:val="auto"/>
          <w:sz w:val="24"/>
          <w:szCs w:val="24"/>
          <w:highlight w:val="white"/>
          <w:lang w:eastAsia="zh-CN"/>
        </w:rPr>
        <w:t>仁远采字SC-【202</w:t>
      </w:r>
      <w:r>
        <w:rPr>
          <w:rFonts w:hint="eastAsia" w:ascii="宋体" w:hAnsi="宋体" w:cs="宋体"/>
          <w:color w:val="auto"/>
          <w:sz w:val="24"/>
          <w:szCs w:val="24"/>
          <w:highlight w:val="white"/>
          <w:lang w:val="en-US" w:eastAsia="zh-CN"/>
        </w:rPr>
        <w:t>6</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003</w:t>
      </w:r>
      <w:r>
        <w:rPr>
          <w:rFonts w:hint="eastAsia" w:ascii="宋体" w:hAnsi="宋体" w:cs="宋体"/>
          <w:color w:val="auto"/>
          <w:sz w:val="24"/>
          <w:szCs w:val="24"/>
          <w:highlight w:val="white"/>
          <w:lang w:eastAsia="zh-CN"/>
        </w:rPr>
        <w:t>号</w:t>
      </w:r>
      <w:r>
        <w:rPr>
          <w:rFonts w:hint="eastAsia" w:ascii="宋体" w:hAnsi="宋体" w:cs="宋体"/>
          <w:color w:val="auto"/>
          <w:sz w:val="24"/>
          <w:szCs w:val="24"/>
          <w:highlight w:val="white"/>
          <w:lang w:eastAsia="zh-CN"/>
        </w:rPr>
        <w:tab/>
      </w:r>
    </w:p>
    <w:p w14:paraId="6DA6D616">
      <w:pPr>
        <w:tabs>
          <w:tab w:val="left" w:pos="7377"/>
        </w:tabs>
        <w:spacing w:line="440" w:lineRule="exact"/>
        <w:ind w:firstLine="480" w:firstLineChars="200"/>
        <w:rPr>
          <w:rFonts w:hint="default" w:ascii="宋体" w:hAnsi="宋体"/>
          <w:bCs/>
          <w:color w:val="auto"/>
          <w:sz w:val="24"/>
          <w:highlight w:val="white"/>
          <w:u w:val="single"/>
          <w:lang w:val="en-US" w:eastAsia="zh-CN"/>
        </w:rPr>
      </w:pPr>
      <w:r>
        <w:rPr>
          <w:rFonts w:hint="eastAsia" w:ascii="宋体" w:hAnsi="宋体" w:cs="宋体"/>
          <w:color w:val="auto"/>
          <w:sz w:val="24"/>
          <w:highlight w:val="white"/>
        </w:rPr>
        <w:t>项目名称：</w:t>
      </w:r>
      <w:r>
        <w:rPr>
          <w:rFonts w:hint="eastAsia" w:ascii="宋体" w:hAnsi="宋体" w:cs="宋体"/>
          <w:color w:val="auto"/>
          <w:sz w:val="24"/>
          <w:szCs w:val="24"/>
          <w:highlight w:val="white"/>
          <w:lang w:val="en-US" w:eastAsia="zh-CN"/>
        </w:rPr>
        <w:t>遂川县泉江小学（含八角楼校区）学生安心午餐配餐服务项目</w:t>
      </w:r>
    </w:p>
    <w:p w14:paraId="2C1E92E2">
      <w:pPr>
        <w:spacing w:line="440" w:lineRule="exact"/>
        <w:ind w:firstLine="480" w:firstLineChars="200"/>
        <w:rPr>
          <w:rFonts w:hint="eastAsia" w:ascii="宋体" w:hAnsi="宋体" w:eastAsia="Arial" w:cs="宋体"/>
          <w:color w:val="auto"/>
          <w:sz w:val="24"/>
          <w:szCs w:val="24"/>
          <w:highlight w:val="white"/>
        </w:rPr>
      </w:pPr>
      <w:r>
        <w:rPr>
          <w:rFonts w:hint="eastAsia" w:ascii="宋体" w:hAnsi="宋体" w:eastAsia="Arial" w:cs="宋体"/>
          <w:color w:val="auto"/>
          <w:sz w:val="24"/>
          <w:szCs w:val="24"/>
          <w:highlight w:val="white"/>
        </w:rPr>
        <w:t>采购方式：竞争性磋商</w:t>
      </w:r>
    </w:p>
    <w:p w14:paraId="36C01A1C">
      <w:pPr>
        <w:spacing w:line="440" w:lineRule="exact"/>
        <w:ind w:firstLine="480" w:firstLineChars="200"/>
        <w:rPr>
          <w:rFonts w:hint="eastAsia" w:ascii="宋体" w:hAnsi="宋体" w:eastAsia="宋体" w:cs="宋体"/>
          <w:color w:val="auto"/>
          <w:sz w:val="24"/>
          <w:szCs w:val="24"/>
          <w:highlight w:val="white"/>
          <w:lang w:val="en-US" w:eastAsia="zh-CN"/>
        </w:rPr>
      </w:pPr>
      <w:r>
        <w:rPr>
          <w:rFonts w:hint="eastAsia" w:ascii="宋体" w:hAnsi="宋体" w:cs="宋体"/>
          <w:color w:val="auto"/>
          <w:sz w:val="24"/>
          <w:szCs w:val="24"/>
          <w:highlight w:val="white"/>
        </w:rPr>
        <w:t>预算金额：</w:t>
      </w:r>
      <w:r>
        <w:rPr>
          <w:rFonts w:hint="eastAsia" w:ascii="宋体" w:hAnsi="宋体" w:eastAsia="宋体" w:cs="宋体"/>
          <w:b/>
          <w:bCs/>
          <w:color w:val="auto"/>
          <w:sz w:val="24"/>
          <w:szCs w:val="24"/>
          <w:highlight w:val="white"/>
          <w:lang w:val="en-US" w:eastAsia="zh-CN"/>
        </w:rPr>
        <w:t>500000元</w:t>
      </w:r>
    </w:p>
    <w:p w14:paraId="6FD42C3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highlight w:val="white"/>
        </w:rPr>
        <w:t>采购需求：</w:t>
      </w: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21"/>
        <w:gridCol w:w="1023"/>
        <w:gridCol w:w="913"/>
        <w:gridCol w:w="3477"/>
      </w:tblGrid>
      <w:tr w14:paraId="2274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34" w:type="dxa"/>
            <w:noWrap w:val="0"/>
            <w:vAlign w:val="center"/>
          </w:tcPr>
          <w:p w14:paraId="258F959A">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序号</w:t>
            </w:r>
          </w:p>
        </w:tc>
        <w:tc>
          <w:tcPr>
            <w:tcW w:w="3421" w:type="dxa"/>
            <w:noWrap w:val="0"/>
            <w:vAlign w:val="center"/>
          </w:tcPr>
          <w:p w14:paraId="641877DA">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项目名称</w:t>
            </w:r>
          </w:p>
        </w:tc>
        <w:tc>
          <w:tcPr>
            <w:tcW w:w="1023" w:type="dxa"/>
            <w:noWrap w:val="0"/>
            <w:vAlign w:val="center"/>
          </w:tcPr>
          <w:p w14:paraId="0DB90792">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数量</w:t>
            </w:r>
          </w:p>
        </w:tc>
        <w:tc>
          <w:tcPr>
            <w:tcW w:w="913" w:type="dxa"/>
            <w:noWrap w:val="0"/>
            <w:vAlign w:val="center"/>
          </w:tcPr>
          <w:p w14:paraId="52D1BC95">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单位</w:t>
            </w:r>
          </w:p>
        </w:tc>
        <w:tc>
          <w:tcPr>
            <w:tcW w:w="3477" w:type="dxa"/>
            <w:noWrap w:val="0"/>
            <w:vAlign w:val="center"/>
          </w:tcPr>
          <w:p w14:paraId="0ADE1EA2">
            <w:pPr>
              <w:spacing w:line="42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服务内容</w:t>
            </w:r>
          </w:p>
        </w:tc>
      </w:tr>
      <w:tr w14:paraId="72E4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4" w:type="dxa"/>
            <w:noWrap w:val="0"/>
            <w:vAlign w:val="center"/>
          </w:tcPr>
          <w:p w14:paraId="7B25E86C">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1</w:t>
            </w:r>
          </w:p>
        </w:tc>
        <w:tc>
          <w:tcPr>
            <w:tcW w:w="3421" w:type="dxa"/>
            <w:noWrap w:val="0"/>
            <w:vAlign w:val="center"/>
          </w:tcPr>
          <w:p w14:paraId="3F26AECC">
            <w:pPr>
              <w:widowControl/>
              <w:spacing w:line="420" w:lineRule="exact"/>
              <w:jc w:val="center"/>
              <w:textAlignment w:val="center"/>
              <w:rPr>
                <w:rFonts w:hint="default" w:ascii="宋体" w:hAnsi="宋体" w:cs="宋体"/>
                <w:color w:val="auto"/>
                <w:sz w:val="24"/>
                <w:szCs w:val="24"/>
                <w:highlight w:val="white"/>
                <w:lang w:val="en-US" w:eastAsia="zh-CN"/>
              </w:rPr>
            </w:pPr>
            <w:r>
              <w:rPr>
                <w:rFonts w:hint="eastAsia" w:ascii="宋体" w:hAnsi="宋体" w:cs="宋体"/>
                <w:color w:val="auto"/>
                <w:sz w:val="24"/>
                <w:szCs w:val="24"/>
                <w:highlight w:val="white"/>
                <w:lang w:val="en-US" w:eastAsia="zh-CN"/>
              </w:rPr>
              <w:t>遂川县泉江小学（含八角楼校区）学生安心午餐配餐服务项目</w:t>
            </w:r>
          </w:p>
        </w:tc>
        <w:tc>
          <w:tcPr>
            <w:tcW w:w="1023" w:type="dxa"/>
            <w:noWrap w:val="0"/>
            <w:vAlign w:val="center"/>
          </w:tcPr>
          <w:p w14:paraId="0A5CD00C">
            <w:pPr>
              <w:widowControl/>
              <w:spacing w:line="420" w:lineRule="exact"/>
              <w:jc w:val="center"/>
              <w:textAlignment w:val="center"/>
              <w:rPr>
                <w:rFonts w:hint="eastAsia" w:ascii="宋体" w:hAnsi="宋体" w:cs="宋体"/>
                <w:color w:val="auto"/>
                <w:sz w:val="24"/>
                <w:szCs w:val="24"/>
                <w:highlight w:val="white"/>
                <w:lang w:eastAsia="zh-CN"/>
              </w:rPr>
            </w:pPr>
            <w:r>
              <w:rPr>
                <w:rFonts w:hint="eastAsia" w:ascii="宋体" w:hAnsi="宋体" w:cs="宋体"/>
                <w:color w:val="auto"/>
                <w:sz w:val="24"/>
                <w:szCs w:val="24"/>
                <w:highlight w:val="white"/>
                <w:lang w:eastAsia="zh-CN"/>
              </w:rPr>
              <w:t>1</w:t>
            </w:r>
          </w:p>
        </w:tc>
        <w:tc>
          <w:tcPr>
            <w:tcW w:w="913" w:type="dxa"/>
            <w:noWrap w:val="0"/>
            <w:vAlign w:val="center"/>
          </w:tcPr>
          <w:p w14:paraId="30E9F3E2">
            <w:pPr>
              <w:spacing w:line="4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eastAsia="zh-CN"/>
              </w:rPr>
              <w:t>项</w:t>
            </w:r>
          </w:p>
        </w:tc>
        <w:tc>
          <w:tcPr>
            <w:tcW w:w="3477" w:type="dxa"/>
            <w:noWrap w:val="0"/>
            <w:vAlign w:val="center"/>
          </w:tcPr>
          <w:p w14:paraId="5F0439CE">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lang w:val="en-US" w:eastAsia="zh-CN"/>
              </w:rPr>
              <w:t>投标人根据采购人选用的食谱，在熟食加工配送中心制作完成后送至学校。</w:t>
            </w:r>
          </w:p>
        </w:tc>
      </w:tr>
    </w:tbl>
    <w:p w14:paraId="697C21B4">
      <w:pPr>
        <w:tabs>
          <w:tab w:val="left" w:pos="7377"/>
        </w:tabs>
        <w:spacing w:line="440" w:lineRule="exact"/>
        <w:ind w:firstLine="240" w:firstLineChars="100"/>
        <w:rPr>
          <w:rFonts w:hint="eastAsia" w:ascii="宋体" w:hAnsi="宋体" w:cs="宋体"/>
          <w:color w:val="auto"/>
          <w:sz w:val="24"/>
          <w:szCs w:val="24"/>
          <w:highlight w:val="white"/>
          <w:lang w:eastAsia="zh-CN"/>
        </w:rPr>
      </w:pPr>
    </w:p>
    <w:p w14:paraId="146892BA">
      <w:pPr>
        <w:tabs>
          <w:tab w:val="left" w:pos="7377"/>
        </w:tabs>
        <w:spacing w:line="440" w:lineRule="exact"/>
        <w:ind w:firstLine="240" w:firstLineChars="100"/>
        <w:rPr>
          <w:rFonts w:ascii="宋体" w:hAnsi="宋体" w:eastAsia="宋体" w:cs="宋体"/>
          <w:color w:val="auto"/>
          <w:spacing w:val="0"/>
          <w:position w:val="0"/>
          <w:sz w:val="24"/>
          <w:szCs w:val="24"/>
          <w:highlight w:val="none"/>
          <w:lang w:eastAsia="zh-CN"/>
        </w:rPr>
      </w:pPr>
      <w:r>
        <w:rPr>
          <w:rFonts w:hint="eastAsia" w:ascii="宋体" w:hAnsi="宋体" w:cs="宋体"/>
          <w:color w:val="auto"/>
          <w:sz w:val="24"/>
          <w:szCs w:val="24"/>
          <w:highlight w:val="white"/>
          <w:lang w:eastAsia="zh-CN"/>
        </w:rPr>
        <w:t>合同履行期限</w:t>
      </w:r>
      <w:r>
        <w:rPr>
          <w:rFonts w:hint="eastAsia" w:ascii="宋体" w:hAnsi="宋体" w:cs="宋体"/>
          <w:color w:val="auto"/>
          <w:sz w:val="24"/>
          <w:szCs w:val="24"/>
          <w:highlight w:val="white"/>
          <w:u w:val="none"/>
          <w:lang w:eastAsia="zh-CN"/>
        </w:rPr>
        <w:t>：</w:t>
      </w:r>
      <w:r>
        <w:rPr>
          <w:rFonts w:hint="eastAsia" w:ascii="宋体" w:hAnsi="宋体" w:cs="宋体"/>
          <w:color w:val="auto"/>
          <w:sz w:val="24"/>
          <w:szCs w:val="24"/>
          <w:highlight w:val="white"/>
          <w:u w:val="single"/>
          <w:lang w:val="en-US" w:eastAsia="zh-CN"/>
        </w:rPr>
        <w:t xml:space="preserve"> 壹年，具体起始时间以签订合同为准，金额以实际结算金额为准。</w:t>
      </w:r>
      <w:bookmarkStart w:id="14" w:name="_Toc3214"/>
      <w:bookmarkStart w:id="15" w:name="_Toc28359090"/>
      <w:bookmarkStart w:id="16" w:name="_Toc35393799"/>
      <w:bookmarkStart w:id="17" w:name="_Toc28359013"/>
      <w:bookmarkStart w:id="18" w:name="_Toc35393630"/>
    </w:p>
    <w:p w14:paraId="4A02AA3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right="0" w:firstLine="240" w:firstLineChars="100"/>
        <w:textAlignment w:val="baseline"/>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本项目</w:t>
      </w:r>
      <w:r>
        <w:rPr>
          <w:rFonts w:hint="eastAsia" w:ascii="宋体" w:hAnsi="宋体" w:eastAsia="宋体" w:cs="宋体"/>
          <w:color w:val="auto"/>
          <w:spacing w:val="0"/>
          <w:position w:val="0"/>
          <w:sz w:val="24"/>
          <w:szCs w:val="24"/>
          <w:highlight w:val="none"/>
          <w:lang w:val="en-US" w:eastAsia="zh-CN"/>
        </w:rPr>
        <w:t>是否</w:t>
      </w:r>
      <w:r>
        <w:rPr>
          <w:rFonts w:ascii="宋体" w:hAnsi="宋体" w:eastAsia="宋体" w:cs="宋体"/>
          <w:color w:val="auto"/>
          <w:spacing w:val="0"/>
          <w:position w:val="0"/>
          <w:sz w:val="24"/>
          <w:szCs w:val="24"/>
          <w:highlight w:val="none"/>
          <w:lang w:eastAsia="zh-CN"/>
        </w:rPr>
        <w:t>接受联合体</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否</w:t>
      </w:r>
    </w:p>
    <w:p w14:paraId="3E5EBF87">
      <w:pPr>
        <w:pStyle w:val="4"/>
        <w:spacing w:line="360" w:lineRule="auto"/>
        <w:ind w:left="719" w:leftChars="114" w:hanging="480" w:hangingChars="200"/>
        <w:jc w:val="left"/>
        <w:rPr>
          <w:rFonts w:hint="default" w:ascii="宋体" w:hAnsi="宋体" w:eastAsia="宋体" w:cs="宋体"/>
          <w:color w:val="auto"/>
          <w:spacing w:val="0"/>
          <w:position w:val="0"/>
          <w:sz w:val="24"/>
          <w:szCs w:val="24"/>
          <w:highlight w:val="none"/>
          <w:lang w:val="en-US" w:eastAsia="zh-CN"/>
        </w:rPr>
      </w:pPr>
      <w:r>
        <w:rPr>
          <w:rFonts w:hint="eastAsia" w:ascii="宋体" w:hAnsi="宋体" w:eastAsia="Arial" w:cs="宋体"/>
          <w:b w:val="0"/>
          <w:snapToGrid w:val="0"/>
          <w:color w:val="auto"/>
          <w:kern w:val="0"/>
          <w:sz w:val="24"/>
          <w:szCs w:val="24"/>
          <w:highlight w:val="white"/>
          <w:lang w:eastAsia="zh-CN"/>
        </w:rPr>
        <w:t>注：本项目采用固定报价模式，固定报价：</w:t>
      </w:r>
      <w:r>
        <w:rPr>
          <w:rFonts w:hint="eastAsia" w:ascii="宋体" w:hAnsi="宋体" w:eastAsia="Arial" w:cs="宋体"/>
          <w:b w:val="0"/>
          <w:snapToGrid w:val="0"/>
          <w:color w:val="auto"/>
          <w:kern w:val="0"/>
          <w:sz w:val="24"/>
          <w:szCs w:val="24"/>
          <w:highlight w:val="white"/>
          <w:lang w:val="en-US" w:eastAsia="zh-CN"/>
        </w:rPr>
        <w:t>10</w:t>
      </w:r>
      <w:r>
        <w:rPr>
          <w:rFonts w:hint="eastAsia" w:ascii="宋体" w:hAnsi="宋体" w:eastAsia="Arial" w:cs="宋体"/>
          <w:b w:val="0"/>
          <w:snapToGrid w:val="0"/>
          <w:color w:val="auto"/>
          <w:kern w:val="0"/>
          <w:sz w:val="24"/>
          <w:szCs w:val="24"/>
          <w:highlight w:val="white"/>
          <w:lang w:eastAsia="zh-CN"/>
        </w:rPr>
        <w:t>元/餐/人，投标报价按照</w:t>
      </w:r>
      <w:r>
        <w:rPr>
          <w:rFonts w:hint="eastAsia" w:ascii="宋体" w:hAnsi="宋体" w:eastAsia="Arial" w:cs="宋体"/>
          <w:b w:val="0"/>
          <w:snapToGrid w:val="0"/>
          <w:color w:val="auto"/>
          <w:kern w:val="0"/>
          <w:sz w:val="24"/>
          <w:szCs w:val="24"/>
          <w:highlight w:val="white"/>
          <w:lang w:val="en-US" w:eastAsia="zh-CN"/>
        </w:rPr>
        <w:t>10</w:t>
      </w:r>
      <w:r>
        <w:rPr>
          <w:rFonts w:hint="eastAsia" w:ascii="宋体" w:hAnsi="宋体" w:eastAsia="Arial" w:cs="宋体"/>
          <w:b w:val="0"/>
          <w:snapToGrid w:val="0"/>
          <w:color w:val="auto"/>
          <w:kern w:val="0"/>
          <w:sz w:val="24"/>
          <w:szCs w:val="24"/>
          <w:highlight w:val="white"/>
          <w:lang w:eastAsia="zh-CN"/>
        </w:rPr>
        <w:t>元/餐/人，否则视为无效投标。</w:t>
      </w:r>
    </w:p>
    <w:p w14:paraId="2F8F11C2">
      <w:pPr>
        <w:numPr>
          <w:ilvl w:val="0"/>
          <w:numId w:val="2"/>
        </w:numPr>
        <w:spacing w:line="440" w:lineRule="exact"/>
        <w:outlineLvl w:val="1"/>
        <w:rPr>
          <w:rFonts w:hint="eastAsia"/>
          <w:b/>
          <w:bCs/>
          <w:color w:val="auto"/>
          <w:sz w:val="24"/>
          <w:szCs w:val="22"/>
          <w:highlight w:val="white"/>
        </w:rPr>
      </w:pPr>
      <w:r>
        <w:rPr>
          <w:rFonts w:hint="eastAsia"/>
          <w:b/>
          <w:bCs/>
          <w:color w:val="auto"/>
          <w:sz w:val="24"/>
          <w:szCs w:val="22"/>
          <w:highlight w:val="white"/>
        </w:rPr>
        <w:t>申请人的资格要求：</w:t>
      </w:r>
      <w:bookmarkEnd w:id="14"/>
      <w:bookmarkEnd w:id="15"/>
      <w:bookmarkEnd w:id="16"/>
      <w:bookmarkEnd w:id="17"/>
      <w:bookmarkEnd w:id="18"/>
      <w:bookmarkStart w:id="19" w:name="_Toc35393631"/>
      <w:bookmarkStart w:id="20" w:name="_Toc12675"/>
      <w:bookmarkStart w:id="21" w:name="_Toc28359091"/>
      <w:bookmarkStart w:id="22" w:name="_Toc35393800"/>
      <w:bookmarkStart w:id="23" w:name="_Toc28359014"/>
    </w:p>
    <w:p w14:paraId="14FD702D">
      <w:pPr>
        <w:pStyle w:val="31"/>
        <w:ind w:left="0" w:leftChars="0" w:firstLine="0" w:firstLineChars="0"/>
        <w:jc w:val="left"/>
        <w:rPr>
          <w:rFonts w:hint="eastAsia" w:ascii="宋体" w:hAnsi="宋体" w:eastAsia="宋体"/>
          <w:b w:val="0"/>
          <w:bCs/>
          <w:color w:val="auto"/>
          <w:sz w:val="24"/>
          <w:szCs w:val="24"/>
          <w:highlight w:val="white"/>
        </w:rPr>
      </w:pPr>
      <w:r>
        <w:rPr>
          <w:rFonts w:hint="eastAsia" w:ascii="宋体" w:hAnsi="宋体" w:eastAsia="宋体"/>
          <w:b w:val="0"/>
          <w:bCs/>
          <w:color w:val="auto"/>
          <w:sz w:val="24"/>
          <w:szCs w:val="24"/>
          <w:highlight w:val="white"/>
        </w:rPr>
        <w:t>1、满足《中华人民共和国政府采购法》第二十二条规定：</w:t>
      </w:r>
    </w:p>
    <w:p w14:paraId="43270155">
      <w:pPr>
        <w:pStyle w:val="31"/>
        <w:ind w:left="0" w:leftChars="0" w:firstLine="0" w:firstLineChars="0"/>
        <w:jc w:val="left"/>
        <w:rPr>
          <w:rFonts w:hint="eastAsia" w:ascii="宋体" w:hAnsi="宋体" w:eastAsia="宋体"/>
          <w:b w:val="0"/>
          <w:bCs/>
          <w:color w:val="auto"/>
          <w:sz w:val="24"/>
          <w:szCs w:val="24"/>
          <w:highlight w:val="white"/>
        </w:rPr>
      </w:pPr>
      <w:r>
        <w:rPr>
          <w:rFonts w:hint="eastAsia" w:ascii="宋体" w:hAnsi="宋体" w:eastAsia="宋体"/>
          <w:b w:val="0"/>
          <w:bCs/>
          <w:color w:val="auto"/>
          <w:sz w:val="24"/>
          <w:szCs w:val="24"/>
          <w:highlight w:val="white"/>
        </w:rPr>
        <w:t>1.1</w:t>
      </w:r>
      <w:r>
        <w:rPr>
          <w:rFonts w:hint="eastAsia" w:ascii="宋体" w:hAnsi="宋体" w:eastAsia="宋体"/>
          <w:b w:val="0"/>
          <w:bCs/>
          <w:color w:val="auto"/>
          <w:sz w:val="24"/>
          <w:szCs w:val="24"/>
          <w:highlight w:val="white"/>
          <w:lang w:val="en-US" w:eastAsia="zh-CN"/>
        </w:rPr>
        <w:t xml:space="preserve"> </w:t>
      </w:r>
      <w:r>
        <w:rPr>
          <w:rFonts w:hint="eastAsia" w:ascii="宋体" w:hAnsi="宋体" w:eastAsia="宋体" w:cs="Times New Roman"/>
          <w:b w:val="0"/>
          <w:bCs/>
          <w:color w:val="auto"/>
          <w:sz w:val="24"/>
          <w:szCs w:val="24"/>
          <w:highlight w:val="white"/>
        </w:rPr>
        <w:t>具有独立承担民事责任的能力；</w:t>
      </w:r>
    </w:p>
    <w:p w14:paraId="5785BFE1">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1.2</w:t>
      </w:r>
      <w:r>
        <w:rPr>
          <w:rFonts w:hint="eastAsia" w:ascii="宋体" w:eastAsia="宋体"/>
          <w:b w:val="0"/>
          <w:bCs/>
          <w:color w:val="auto"/>
          <w:sz w:val="24"/>
          <w:szCs w:val="24"/>
          <w:highlight w:val="white"/>
          <w:lang w:val="en-US" w:eastAsia="zh-CN"/>
        </w:rPr>
        <w:t xml:space="preserve"> </w:t>
      </w:r>
      <w:r>
        <w:rPr>
          <w:rFonts w:hint="eastAsia" w:ascii="宋体" w:eastAsia="宋体"/>
          <w:b w:val="0"/>
          <w:bCs/>
          <w:color w:val="auto"/>
          <w:sz w:val="24"/>
          <w:szCs w:val="24"/>
          <w:highlight w:val="white"/>
        </w:rPr>
        <w:t>具有良好的商业信誉和健全的财务会计制度；</w:t>
      </w:r>
    </w:p>
    <w:p w14:paraId="6F823E62">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1.3 具有履行合同所必需的设备和专业技术能力；</w:t>
      </w:r>
    </w:p>
    <w:p w14:paraId="5DBFB5E3">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1.4 有依法缴纳税收和社会保障资金的良好记录；</w:t>
      </w:r>
    </w:p>
    <w:p w14:paraId="679F62F6">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1.5</w:t>
      </w:r>
      <w:r>
        <w:rPr>
          <w:rFonts w:hint="eastAsia" w:ascii="宋体" w:eastAsia="宋体"/>
          <w:b w:val="0"/>
          <w:bCs/>
          <w:color w:val="auto"/>
          <w:sz w:val="24"/>
          <w:szCs w:val="24"/>
          <w:highlight w:val="white"/>
          <w:lang w:val="en-US" w:eastAsia="zh-CN"/>
        </w:rPr>
        <w:t xml:space="preserve"> </w:t>
      </w:r>
      <w:r>
        <w:rPr>
          <w:rFonts w:hint="eastAsia" w:ascii="宋体" w:eastAsia="宋体"/>
          <w:b w:val="0"/>
          <w:bCs/>
          <w:color w:val="auto"/>
          <w:sz w:val="24"/>
          <w:szCs w:val="24"/>
          <w:highlight w:val="white"/>
        </w:rPr>
        <w:t>参加政府采购活动前三年内，在经营活动中没有重大违法记录；</w:t>
      </w:r>
    </w:p>
    <w:p w14:paraId="1352D2E6">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1.6 法律、行政法规规定的其他条件</w:t>
      </w:r>
    </w:p>
    <w:p w14:paraId="66EFD7E2">
      <w:pPr>
        <w:pStyle w:val="45"/>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单位负责人为同一人或者存在直接控股、管理关系的不同</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，不得参加同一合同项下的采购活动。为本采购项目提供整体设计、规范编制或者项目管理、监理、检测等服务的，不得参加本项目的政府采购活动。</w:t>
      </w:r>
    </w:p>
    <w:p w14:paraId="72621706">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eastAsia="zh-CN"/>
        </w:rPr>
        <w:t>服务商被“信用中国”网站列入失信被执行人</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重大税收违法案件当事人名单、</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position w:val="0"/>
          <w:sz w:val="24"/>
          <w:szCs w:val="24"/>
          <w:highlight w:val="none"/>
          <w:lang w:val="en-US" w:eastAsia="zh-CN"/>
        </w:rPr>
        <w:t>的</w:t>
      </w:r>
      <w:r>
        <w:rPr>
          <w:rFonts w:hint="eastAsia" w:ascii="宋体" w:hAnsi="宋体" w:eastAsia="宋体" w:cs="宋体"/>
          <w:color w:val="auto"/>
          <w:spacing w:val="0"/>
          <w:position w:val="0"/>
          <w:sz w:val="24"/>
          <w:szCs w:val="24"/>
          <w:highlight w:val="none"/>
          <w:lang w:eastAsia="zh-CN"/>
        </w:rPr>
        <w:t>，不得参加本项目的政府采购活动。</w:t>
      </w:r>
    </w:p>
    <w:p w14:paraId="284CC65C">
      <w:pPr>
        <w:pStyle w:val="5"/>
        <w:spacing w:line="380" w:lineRule="exact"/>
        <w:ind w:left="0" w:leftChars="0" w:firstLine="0" w:firstLineChars="0"/>
        <w:rPr>
          <w:rFonts w:hint="eastAsia" w:ascii="宋体" w:hAnsi="宋体" w:eastAsia="宋体" w:cs="Arial"/>
          <w:b w:val="0"/>
          <w:bCs/>
          <w:snapToGrid w:val="0"/>
          <w:color w:val="auto"/>
          <w:spacing w:val="4"/>
          <w:kern w:val="0"/>
          <w:sz w:val="24"/>
          <w:szCs w:val="24"/>
          <w:highlight w:val="white"/>
        </w:rPr>
      </w:pPr>
      <w:r>
        <w:rPr>
          <w:rFonts w:hint="eastAsia" w:ascii="宋体" w:hAnsi="宋体" w:eastAsia="宋体" w:cs="Arial"/>
          <w:b w:val="0"/>
          <w:bCs/>
          <w:snapToGrid w:val="0"/>
          <w:color w:val="auto"/>
          <w:spacing w:val="4"/>
          <w:kern w:val="0"/>
          <w:sz w:val="24"/>
          <w:szCs w:val="24"/>
          <w:highlight w:val="white"/>
          <w:lang w:val="en-US" w:eastAsia="zh-CN"/>
        </w:rPr>
        <w:t>4</w:t>
      </w:r>
      <w:r>
        <w:rPr>
          <w:rFonts w:hint="eastAsia" w:ascii="宋体" w:hAnsi="宋体" w:eastAsia="宋体" w:cs="Arial"/>
          <w:b w:val="0"/>
          <w:bCs/>
          <w:snapToGrid w:val="0"/>
          <w:color w:val="auto"/>
          <w:spacing w:val="4"/>
          <w:kern w:val="0"/>
          <w:sz w:val="24"/>
          <w:szCs w:val="24"/>
          <w:highlight w:val="white"/>
        </w:rPr>
        <w:t>、本项目的特定资格要求：</w:t>
      </w:r>
    </w:p>
    <w:p w14:paraId="402CA2B0">
      <w:pPr>
        <w:pStyle w:val="5"/>
        <w:spacing w:line="380" w:lineRule="exact"/>
        <w:ind w:left="0" w:leftChars="0" w:firstLine="0" w:firstLineChars="0"/>
        <w:rPr>
          <w:rFonts w:hint="eastAsia" w:ascii="宋体" w:hAnsi="宋体" w:eastAsia="宋体" w:cs="Arial"/>
          <w:b w:val="0"/>
          <w:bCs/>
          <w:snapToGrid w:val="0"/>
          <w:color w:val="auto"/>
          <w:spacing w:val="4"/>
          <w:kern w:val="0"/>
          <w:sz w:val="24"/>
          <w:szCs w:val="24"/>
          <w:highlight w:val="white"/>
          <w:lang w:eastAsia="zh-CN"/>
        </w:rPr>
      </w:pPr>
      <w:r>
        <w:rPr>
          <w:rFonts w:hint="eastAsia" w:ascii="宋体" w:hAnsi="宋体" w:eastAsia="宋体" w:cs="Arial"/>
          <w:b w:val="0"/>
          <w:bCs/>
          <w:snapToGrid w:val="0"/>
          <w:color w:val="auto"/>
          <w:spacing w:val="4"/>
          <w:kern w:val="0"/>
          <w:sz w:val="24"/>
          <w:szCs w:val="24"/>
          <w:highlight w:val="white"/>
          <w:lang w:val="en-US" w:eastAsia="zh-CN"/>
        </w:rPr>
        <w:t>4</w:t>
      </w:r>
      <w:r>
        <w:rPr>
          <w:rFonts w:hint="eastAsia" w:ascii="宋体" w:hAnsi="宋体" w:eastAsia="宋体" w:cs="Arial"/>
          <w:b w:val="0"/>
          <w:bCs/>
          <w:snapToGrid w:val="0"/>
          <w:color w:val="auto"/>
          <w:spacing w:val="4"/>
          <w:kern w:val="0"/>
          <w:sz w:val="24"/>
          <w:szCs w:val="24"/>
          <w:highlight w:val="white"/>
        </w:rPr>
        <w:t>.1</w:t>
      </w:r>
      <w:r>
        <w:rPr>
          <w:rFonts w:hint="eastAsia" w:ascii="宋体" w:hAnsi="宋体" w:eastAsia="宋体" w:cs="Arial"/>
          <w:b w:val="0"/>
          <w:bCs/>
          <w:snapToGrid w:val="0"/>
          <w:color w:val="auto"/>
          <w:spacing w:val="4"/>
          <w:kern w:val="0"/>
          <w:sz w:val="24"/>
          <w:szCs w:val="24"/>
          <w:highlight w:val="white"/>
          <w:lang w:val="en-US" w:eastAsia="zh-CN"/>
        </w:rPr>
        <w:t xml:space="preserve"> </w:t>
      </w:r>
      <w:r>
        <w:rPr>
          <w:rFonts w:hint="eastAsia" w:ascii="宋体" w:hAnsi="宋体" w:eastAsia="宋体" w:cs="Arial"/>
          <w:b w:val="0"/>
          <w:bCs/>
          <w:snapToGrid w:val="0"/>
          <w:color w:val="auto"/>
          <w:spacing w:val="4"/>
          <w:kern w:val="0"/>
          <w:sz w:val="24"/>
          <w:szCs w:val="24"/>
          <w:highlight w:val="white"/>
        </w:rPr>
        <w:t>如果投标人代表不是法定代表人的须有法定代表人授权书</w:t>
      </w:r>
      <w:r>
        <w:rPr>
          <w:rFonts w:hint="eastAsia" w:ascii="宋体" w:hAnsi="宋体" w:eastAsia="宋体" w:cs="Arial"/>
          <w:b w:val="0"/>
          <w:bCs/>
          <w:snapToGrid w:val="0"/>
          <w:color w:val="auto"/>
          <w:spacing w:val="4"/>
          <w:kern w:val="0"/>
          <w:sz w:val="24"/>
          <w:szCs w:val="24"/>
          <w:highlight w:val="white"/>
          <w:lang w:eastAsia="zh-CN"/>
        </w:rPr>
        <w:t>；</w:t>
      </w:r>
    </w:p>
    <w:p w14:paraId="54C3D0E5">
      <w:pPr>
        <w:pStyle w:val="5"/>
        <w:spacing w:line="380" w:lineRule="exact"/>
        <w:ind w:left="0" w:leftChars="0" w:firstLine="0" w:firstLineChars="0"/>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Arial"/>
          <w:b w:val="0"/>
          <w:bCs/>
          <w:snapToGrid w:val="0"/>
          <w:color w:val="auto"/>
          <w:spacing w:val="4"/>
          <w:kern w:val="0"/>
          <w:sz w:val="24"/>
          <w:szCs w:val="24"/>
          <w:highlight w:val="white"/>
          <w:lang w:val="en-US" w:eastAsia="zh-CN"/>
        </w:rPr>
        <w:t xml:space="preserve">4.2 </w:t>
      </w:r>
      <w:r>
        <w:rPr>
          <w:rFonts w:hint="eastAsia" w:ascii="宋体" w:hAnsi="宋体" w:eastAsia="宋体" w:cs="宋体"/>
          <w:b/>
          <w:bCs/>
          <w:color w:val="auto"/>
          <w:spacing w:val="0"/>
          <w:position w:val="0"/>
          <w:sz w:val="24"/>
          <w:szCs w:val="24"/>
          <w:highlight w:val="none"/>
          <w:lang w:val="en-US" w:eastAsia="zh-CN"/>
        </w:rPr>
        <w:t>服务商</w:t>
      </w:r>
      <w:r>
        <w:rPr>
          <w:rFonts w:hint="eastAsia" w:ascii="宋体" w:hAnsi="宋体" w:eastAsia="宋体" w:cs="宋体"/>
          <w:b/>
          <w:bCs/>
          <w:color w:val="auto"/>
          <w:spacing w:val="0"/>
          <w:position w:val="0"/>
          <w:sz w:val="24"/>
          <w:szCs w:val="24"/>
          <w:highlight w:val="none"/>
          <w:lang w:eastAsia="zh-CN"/>
        </w:rPr>
        <w:t>具有有效的《食品经营许可证》（</w:t>
      </w:r>
      <w:r>
        <w:rPr>
          <w:rFonts w:hint="eastAsia" w:ascii="宋体" w:hAnsi="宋体" w:eastAsia="宋体" w:cs="宋体"/>
          <w:b/>
          <w:bCs/>
          <w:color w:val="auto"/>
          <w:spacing w:val="0"/>
          <w:position w:val="0"/>
          <w:sz w:val="24"/>
          <w:szCs w:val="24"/>
          <w:highlight w:val="none"/>
          <w:lang w:val="en-US" w:eastAsia="zh-CN"/>
        </w:rPr>
        <w:t>许可项目必须含：“热食类食品制售”、“集体用餐配送</w:t>
      </w:r>
      <w:r>
        <w:rPr>
          <w:rFonts w:hint="default" w:ascii="宋体" w:hAnsi="宋体" w:eastAsia="宋体" w:cs="宋体"/>
          <w:b/>
          <w:bCs/>
          <w:color w:val="auto"/>
          <w:spacing w:val="0"/>
          <w:position w:val="0"/>
          <w:sz w:val="24"/>
          <w:szCs w:val="24"/>
          <w:highlight w:val="none"/>
          <w:lang w:val="en-US" w:eastAsia="zh-CN"/>
        </w:rPr>
        <w:t>”</w:t>
      </w:r>
      <w:r>
        <w:rPr>
          <w:rFonts w:hint="eastAsia" w:ascii="宋体" w:hAnsi="宋体" w:eastAsia="宋体" w:cs="宋体"/>
          <w:b/>
          <w:bCs/>
          <w:color w:val="auto"/>
          <w:spacing w:val="0"/>
          <w:position w:val="0"/>
          <w:sz w:val="24"/>
          <w:szCs w:val="24"/>
          <w:highlight w:val="none"/>
          <w:lang w:val="en-US" w:eastAsia="zh-CN"/>
        </w:rPr>
        <w:t>)</w:t>
      </w:r>
      <w:r>
        <w:rPr>
          <w:rFonts w:hint="eastAsia" w:ascii="宋体" w:hAnsi="宋体" w:eastAsia="宋体" w:cs="宋体"/>
          <w:b/>
          <w:bCs/>
          <w:color w:val="auto"/>
          <w:spacing w:val="0"/>
          <w:position w:val="0"/>
          <w:sz w:val="24"/>
          <w:szCs w:val="24"/>
          <w:highlight w:val="none"/>
          <w:lang w:eastAsia="zh-CN"/>
        </w:rPr>
        <w:t>；</w:t>
      </w:r>
    </w:p>
    <w:p w14:paraId="35C30CE4">
      <w:pPr>
        <w:spacing w:line="440" w:lineRule="exact"/>
        <w:outlineLvl w:val="1"/>
        <w:rPr>
          <w:color w:val="auto"/>
          <w:sz w:val="24"/>
          <w:szCs w:val="22"/>
        </w:rPr>
      </w:pPr>
      <w:r>
        <w:rPr>
          <w:rFonts w:hint="eastAsia"/>
          <w:color w:val="auto"/>
          <w:sz w:val="24"/>
          <w:szCs w:val="22"/>
          <w:highlight w:val="white"/>
        </w:rPr>
        <w:t>三</w:t>
      </w:r>
      <w:r>
        <w:rPr>
          <w:rFonts w:hint="eastAsia"/>
          <w:b/>
          <w:bCs/>
          <w:color w:val="auto"/>
          <w:sz w:val="24"/>
          <w:szCs w:val="22"/>
          <w:highlight w:val="white"/>
        </w:rPr>
        <w:t>、获取</w:t>
      </w:r>
      <w:r>
        <w:rPr>
          <w:rFonts w:hint="eastAsia" w:eastAsia="宋体"/>
          <w:b/>
          <w:bCs/>
          <w:color w:val="auto"/>
          <w:sz w:val="24"/>
          <w:szCs w:val="22"/>
          <w:highlight w:val="white"/>
          <w:lang w:val="en-US" w:eastAsia="zh-CN"/>
        </w:rPr>
        <w:t>磋商</w:t>
      </w:r>
      <w:r>
        <w:rPr>
          <w:rFonts w:hint="eastAsia"/>
          <w:b/>
          <w:bCs/>
          <w:color w:val="auto"/>
          <w:sz w:val="24"/>
          <w:szCs w:val="22"/>
          <w:highlight w:val="white"/>
        </w:rPr>
        <w:t>文件</w:t>
      </w:r>
      <w:bookmarkEnd w:id="19"/>
      <w:bookmarkEnd w:id="20"/>
      <w:bookmarkEnd w:id="21"/>
      <w:bookmarkEnd w:id="22"/>
      <w:bookmarkEnd w:id="23"/>
    </w:p>
    <w:p w14:paraId="5BA7742C">
      <w:pPr>
        <w:spacing w:line="440" w:lineRule="exact"/>
        <w:ind w:firstLine="540"/>
        <w:rPr>
          <w:rFonts w:ascii="宋体" w:hAnsi="宋体" w:cs="宋体"/>
          <w:iCs/>
          <w:color w:val="auto"/>
          <w:sz w:val="24"/>
          <w:szCs w:val="24"/>
          <w:u w:val="single"/>
        </w:rPr>
      </w:pPr>
      <w:r>
        <w:rPr>
          <w:rFonts w:hint="eastAsia" w:ascii="宋体" w:hAnsi="宋体" w:cs="宋体"/>
          <w:color w:val="auto"/>
          <w:sz w:val="24"/>
          <w:szCs w:val="24"/>
          <w:highlight w:val="white"/>
        </w:rPr>
        <w:t>时间：</w:t>
      </w:r>
      <w:r>
        <w:rPr>
          <w:rFonts w:hint="eastAsia" w:ascii="宋体" w:hAnsi="宋体" w:cs="宋体"/>
          <w:color w:val="auto"/>
          <w:sz w:val="24"/>
          <w:szCs w:val="24"/>
          <w:highlight w:val="white"/>
          <w:u w:val="single"/>
        </w:rPr>
        <w:t>202</w:t>
      </w:r>
      <w:r>
        <w:rPr>
          <w:rFonts w:hint="eastAsia" w:ascii="宋体" w:hAnsi="宋体" w:eastAsia="宋体" w:cs="宋体"/>
          <w:color w:val="auto"/>
          <w:sz w:val="24"/>
          <w:szCs w:val="24"/>
          <w:highlight w:val="white"/>
          <w:u w:val="single"/>
          <w:lang w:val="en-US" w:eastAsia="zh-CN"/>
        </w:rPr>
        <w:t>6</w:t>
      </w:r>
      <w:r>
        <w:rPr>
          <w:rFonts w:hint="eastAsia" w:ascii="宋体" w:hAnsi="宋体" w:cs="宋体"/>
          <w:color w:val="auto"/>
          <w:sz w:val="24"/>
          <w:szCs w:val="24"/>
          <w:highlight w:val="white"/>
          <w:u w:val="singl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single"/>
        </w:rPr>
        <w:t>月</w:t>
      </w:r>
      <w:r>
        <w:rPr>
          <w:rFonts w:hint="eastAsia" w:ascii="宋体" w:hAnsi="宋体" w:cs="宋体"/>
          <w:color w:val="auto"/>
          <w:sz w:val="24"/>
          <w:szCs w:val="24"/>
          <w:highlight w:val="white"/>
          <w:u w:val="single"/>
          <w:lang w:val="en-US" w:eastAsia="zh-CN"/>
        </w:rPr>
        <w:t>09</w:t>
      </w:r>
      <w:r>
        <w:rPr>
          <w:rFonts w:hint="eastAsia" w:ascii="宋体" w:hAnsi="宋体" w:cs="宋体"/>
          <w:color w:val="auto"/>
          <w:sz w:val="24"/>
          <w:szCs w:val="24"/>
          <w:highlight w:val="white"/>
          <w:u w:val="single"/>
        </w:rPr>
        <w:t>日</w:t>
      </w:r>
      <w:r>
        <w:rPr>
          <w:rFonts w:hint="eastAsia" w:ascii="宋体" w:hAnsi="宋体" w:cs="宋体"/>
          <w:color w:val="auto"/>
          <w:sz w:val="24"/>
          <w:szCs w:val="24"/>
          <w:highlight w:val="white"/>
        </w:rPr>
        <w:t>至</w:t>
      </w:r>
      <w:r>
        <w:rPr>
          <w:rFonts w:hint="eastAsia" w:ascii="宋体" w:hAnsi="宋体" w:cs="宋体"/>
          <w:color w:val="auto"/>
          <w:sz w:val="24"/>
          <w:szCs w:val="24"/>
          <w:highlight w:val="white"/>
          <w:u w:val="single"/>
        </w:rPr>
        <w:t>20</w:t>
      </w:r>
      <w:r>
        <w:rPr>
          <w:rFonts w:hint="eastAsia" w:ascii="宋体" w:hAnsi="宋体" w:eastAsia="宋体" w:cs="宋体"/>
          <w:color w:val="auto"/>
          <w:sz w:val="24"/>
          <w:szCs w:val="24"/>
          <w:highlight w:val="white"/>
          <w:u w:val="single"/>
          <w:lang w:val="en-US" w:eastAsia="zh-CN"/>
        </w:rPr>
        <w:t>26</w:t>
      </w:r>
      <w:r>
        <w:rPr>
          <w:rFonts w:hint="eastAsia" w:ascii="宋体" w:hAnsi="宋体" w:cs="宋体"/>
          <w:color w:val="auto"/>
          <w:sz w:val="24"/>
          <w:szCs w:val="24"/>
          <w:highlight w:val="white"/>
          <w:u w:val="singl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single"/>
        </w:rPr>
        <w:t>月</w:t>
      </w:r>
      <w:r>
        <w:rPr>
          <w:rFonts w:hint="eastAsia" w:ascii="宋体" w:hAnsi="宋体" w:eastAsia="宋体" w:cs="宋体"/>
          <w:color w:val="auto"/>
          <w:sz w:val="24"/>
          <w:szCs w:val="24"/>
          <w:highlight w:val="white"/>
          <w:u w:val="single"/>
          <w:lang w:val="en-US" w:eastAsia="zh-CN"/>
        </w:rPr>
        <w:t>14</w:t>
      </w:r>
      <w:r>
        <w:rPr>
          <w:rFonts w:hint="eastAsia" w:ascii="宋体" w:hAnsi="宋体" w:cs="宋体"/>
          <w:color w:val="auto"/>
          <w:sz w:val="24"/>
          <w:szCs w:val="24"/>
          <w:highlight w:val="white"/>
          <w:u w:val="single"/>
          <w:lang w:val="en-US" w:eastAsia="zh-CN"/>
        </w:rPr>
        <w:t>日</w:t>
      </w:r>
      <w:r>
        <w:rPr>
          <w:rFonts w:hint="eastAsia" w:ascii="宋体" w:hAnsi="宋体" w:cs="宋体"/>
          <w:color w:val="auto"/>
          <w:sz w:val="24"/>
          <w:szCs w:val="24"/>
          <w:highlight w:val="white"/>
          <w:u w:val="single"/>
        </w:rPr>
        <w:t>（提供期限自本公告发布之日起不得少于5个工作日）</w:t>
      </w:r>
    </w:p>
    <w:p w14:paraId="27AFB6E7">
      <w:pPr>
        <w:keepNext w:val="0"/>
        <w:keepLines w:val="0"/>
        <w:widowControl/>
        <w:suppressLineNumbers w:val="0"/>
        <w:ind w:firstLine="720" w:firstLineChars="300"/>
        <w:jc w:val="left"/>
        <w:rPr>
          <w:rFonts w:hint="default" w:ascii="宋体" w:hAnsi="宋体" w:cs="宋体"/>
          <w:color w:val="auto"/>
          <w:sz w:val="24"/>
          <w:u w:val="none"/>
          <w:lang w:val="en-US"/>
        </w:rPr>
      </w:pPr>
      <w:bookmarkStart w:id="24" w:name="_Toc35393801"/>
      <w:bookmarkStart w:id="25" w:name="_Toc28359015"/>
      <w:bookmarkStart w:id="26" w:name="_Toc28359092"/>
      <w:bookmarkStart w:id="27" w:name="_Toc35393632"/>
      <w:bookmarkStart w:id="28" w:name="_Toc13495"/>
      <w:r>
        <w:rPr>
          <w:rFonts w:hint="eastAsia" w:ascii="宋体" w:hAnsi="宋体" w:cs="宋体"/>
          <w:color w:val="auto"/>
          <w:sz w:val="24"/>
        </w:rPr>
        <w:t>地点：</w:t>
      </w:r>
      <w:r>
        <w:rPr>
          <w:rFonts w:hint="eastAsia" w:ascii="宋体" w:hAnsi="宋体" w:eastAsia="宋体" w:cs="宋体"/>
          <w:color w:val="auto"/>
          <w:kern w:val="0"/>
          <w:sz w:val="24"/>
          <w:szCs w:val="24"/>
          <w:lang w:val="en-US" w:eastAsia="zh-CN" w:bidi="ar"/>
        </w:rPr>
        <w:t>中国招标投标公共服务平台官网、</w:t>
      </w:r>
      <w:r>
        <w:rPr>
          <w:rFonts w:hint="eastAsia"/>
          <w:color w:val="auto"/>
          <w:sz w:val="24"/>
          <w:szCs w:val="24"/>
          <w:highlight w:val="white"/>
          <w:u w:val="none"/>
          <w:lang w:val="en-US" w:eastAsia="zh-CN"/>
        </w:rPr>
        <w:t>江西省招标投标网</w:t>
      </w:r>
    </w:p>
    <w:p w14:paraId="01364266">
      <w:pPr>
        <w:pageBreakBefore w:val="0"/>
        <w:overflowPunct/>
        <w:topLinePunct w:val="0"/>
        <w:bidi w:val="0"/>
        <w:spacing w:line="360" w:lineRule="exact"/>
        <w:ind w:firstLine="856" w:firstLineChars="357"/>
        <w:rPr>
          <w:rFonts w:ascii="宋体" w:hAnsi="宋体" w:cs="宋体"/>
          <w:color w:val="auto"/>
          <w:sz w:val="24"/>
          <w:u w:val="none"/>
        </w:rPr>
      </w:pPr>
      <w:r>
        <w:rPr>
          <w:rFonts w:hint="eastAsia" w:ascii="宋体" w:hAnsi="宋体" w:cs="宋体"/>
          <w:color w:val="auto"/>
          <w:sz w:val="24"/>
          <w:u w:val="none"/>
        </w:rPr>
        <w:t>方式：网上下载</w:t>
      </w:r>
    </w:p>
    <w:p w14:paraId="20EBAA50">
      <w:pPr>
        <w:pageBreakBefore w:val="0"/>
        <w:overflowPunct/>
        <w:topLinePunct w:val="0"/>
        <w:bidi w:val="0"/>
        <w:spacing w:line="360" w:lineRule="exact"/>
        <w:ind w:firstLine="856" w:firstLineChars="357"/>
        <w:rPr>
          <w:rFonts w:ascii="宋体" w:hAnsi="宋体" w:cs="宋体"/>
          <w:color w:val="auto"/>
          <w:sz w:val="24"/>
        </w:rPr>
      </w:pPr>
      <w:r>
        <w:rPr>
          <w:rFonts w:hint="eastAsia" w:ascii="宋体" w:hAnsi="宋体" w:cs="宋体"/>
          <w:color w:val="auto"/>
          <w:sz w:val="24"/>
        </w:rPr>
        <w:t>售价：0元</w:t>
      </w:r>
    </w:p>
    <w:p w14:paraId="39FE5EB2">
      <w:pPr>
        <w:spacing w:line="440" w:lineRule="exact"/>
        <w:outlineLvl w:val="1"/>
        <w:rPr>
          <w:rFonts w:hint="eastAsia" w:ascii="宋体" w:hAnsi="宋体" w:cs="宋体"/>
          <w:bCs/>
          <w:color w:val="auto"/>
          <w:sz w:val="24"/>
          <w:szCs w:val="24"/>
          <w:highlight w:val="white"/>
        </w:rPr>
      </w:pPr>
      <w:r>
        <w:rPr>
          <w:rFonts w:hint="eastAsia"/>
          <w:color w:val="auto"/>
          <w:sz w:val="24"/>
          <w:szCs w:val="22"/>
          <w:highlight w:val="white"/>
        </w:rPr>
        <w:t>四、</w:t>
      </w:r>
      <w:bookmarkEnd w:id="24"/>
      <w:bookmarkEnd w:id="25"/>
      <w:bookmarkEnd w:id="26"/>
      <w:bookmarkEnd w:id="27"/>
      <w:r>
        <w:rPr>
          <w:rFonts w:hint="eastAsia" w:ascii="宋体" w:hAnsi="宋体" w:cs="宋体"/>
          <w:color w:val="auto"/>
          <w:sz w:val="24"/>
          <w:szCs w:val="24"/>
          <w:highlight w:val="white"/>
        </w:rPr>
        <w:t>响</w:t>
      </w:r>
      <w:r>
        <w:rPr>
          <w:rFonts w:hint="eastAsia" w:ascii="宋体" w:hAnsi="宋体" w:cs="宋体"/>
          <w:bCs/>
          <w:color w:val="auto"/>
          <w:sz w:val="24"/>
          <w:szCs w:val="24"/>
          <w:highlight w:val="white"/>
        </w:rPr>
        <w:t>应文件提交</w:t>
      </w:r>
      <w:bookmarkEnd w:id="28"/>
      <w:bookmarkStart w:id="378" w:name="_GoBack"/>
      <w:bookmarkEnd w:id="378"/>
    </w:p>
    <w:p w14:paraId="1B1FBFC4">
      <w:pPr>
        <w:spacing w:line="440" w:lineRule="exact"/>
        <w:ind w:firstLine="540"/>
        <w:rPr>
          <w:rFonts w:ascii="宋体" w:hAnsi="宋体" w:cs="宋体"/>
          <w:bCs/>
          <w:color w:val="auto"/>
          <w:sz w:val="24"/>
          <w:szCs w:val="24"/>
          <w:u w:val="single"/>
        </w:rPr>
      </w:pPr>
      <w:r>
        <w:rPr>
          <w:rFonts w:hint="eastAsia" w:ascii="宋体" w:hAnsi="宋体" w:cs="宋体"/>
          <w:bCs/>
          <w:color w:val="auto"/>
          <w:sz w:val="24"/>
          <w:szCs w:val="24"/>
          <w:highlight w:val="white"/>
        </w:rPr>
        <w:t>截止时间：</w:t>
      </w:r>
      <w:r>
        <w:rPr>
          <w:rFonts w:hint="eastAsia" w:ascii="宋体" w:hAnsi="宋体" w:cs="宋体"/>
          <w:bCs/>
          <w:color w:val="auto"/>
          <w:sz w:val="24"/>
          <w:szCs w:val="24"/>
          <w:highlight w:val="white"/>
          <w:u w:val="single"/>
        </w:rPr>
        <w:t>202</w:t>
      </w:r>
      <w:r>
        <w:rPr>
          <w:rFonts w:hint="eastAsia" w:ascii="宋体" w:hAnsi="宋体" w:eastAsia="宋体" w:cs="宋体"/>
          <w:bCs/>
          <w:color w:val="auto"/>
          <w:sz w:val="24"/>
          <w:szCs w:val="24"/>
          <w:highlight w:val="white"/>
          <w:u w:val="single"/>
          <w:lang w:val="en-US" w:eastAsia="zh-CN"/>
        </w:rPr>
        <w:t>6</w:t>
      </w:r>
      <w:r>
        <w:rPr>
          <w:rFonts w:hint="eastAsia" w:ascii="宋体" w:hAnsi="宋体" w:cs="宋体"/>
          <w:bCs/>
          <w:color w:val="auto"/>
          <w:sz w:val="24"/>
          <w:szCs w:val="24"/>
          <w:highlight w:val="white"/>
          <w:u w:val="single"/>
        </w:rPr>
        <w:t>年</w:t>
      </w:r>
      <w:r>
        <w:rPr>
          <w:rFonts w:hint="eastAsia" w:ascii="宋体" w:hAnsi="宋体" w:eastAsia="宋体" w:cs="宋体"/>
          <w:bCs/>
          <w:color w:val="auto"/>
          <w:sz w:val="24"/>
          <w:szCs w:val="24"/>
          <w:highlight w:val="white"/>
          <w:u w:val="single"/>
          <w:lang w:val="en-US" w:eastAsia="zh-CN"/>
        </w:rPr>
        <w:t>2</w:t>
      </w:r>
      <w:r>
        <w:rPr>
          <w:rFonts w:hint="eastAsia" w:ascii="宋体" w:hAnsi="宋体" w:cs="宋体"/>
          <w:bCs/>
          <w:color w:val="auto"/>
          <w:sz w:val="24"/>
          <w:szCs w:val="24"/>
          <w:highlight w:val="white"/>
          <w:u w:val="single"/>
        </w:rPr>
        <w:t>月</w:t>
      </w:r>
      <w:r>
        <w:rPr>
          <w:rFonts w:hint="eastAsia" w:ascii="宋体" w:hAnsi="宋体" w:eastAsia="宋体" w:cs="宋体"/>
          <w:bCs/>
          <w:color w:val="auto"/>
          <w:sz w:val="24"/>
          <w:szCs w:val="24"/>
          <w:highlight w:val="white"/>
          <w:u w:val="single"/>
          <w:lang w:val="en-US" w:eastAsia="zh-CN"/>
        </w:rPr>
        <w:t>25</w:t>
      </w:r>
      <w:r>
        <w:rPr>
          <w:rFonts w:hint="eastAsia" w:ascii="宋体" w:hAnsi="宋体" w:cs="宋体"/>
          <w:bCs/>
          <w:color w:val="auto"/>
          <w:sz w:val="24"/>
          <w:szCs w:val="24"/>
          <w:highlight w:val="white"/>
          <w:u w:val="single"/>
        </w:rPr>
        <w:t>日</w:t>
      </w:r>
      <w:r>
        <w:rPr>
          <w:rFonts w:hint="eastAsia" w:ascii="宋体" w:hAnsi="宋体" w:cs="宋体"/>
          <w:bCs/>
          <w:color w:val="auto"/>
          <w:sz w:val="24"/>
          <w:szCs w:val="24"/>
          <w:highlight w:val="white"/>
          <w:u w:val="single"/>
          <w:lang w:val="en-US" w:eastAsia="zh-CN"/>
        </w:rPr>
        <w:t>9</w:t>
      </w:r>
      <w:r>
        <w:rPr>
          <w:rFonts w:hint="eastAsia" w:ascii="宋体" w:hAnsi="宋体" w:cs="宋体"/>
          <w:bCs/>
          <w:color w:val="auto"/>
          <w:sz w:val="24"/>
          <w:szCs w:val="24"/>
          <w:highlight w:val="white"/>
          <w:u w:val="single"/>
        </w:rPr>
        <w:t>点</w:t>
      </w:r>
      <w:r>
        <w:rPr>
          <w:rFonts w:hint="eastAsia" w:ascii="宋体" w:hAnsi="宋体" w:eastAsia="宋体" w:cs="宋体"/>
          <w:bCs/>
          <w:color w:val="auto"/>
          <w:sz w:val="24"/>
          <w:szCs w:val="24"/>
          <w:highlight w:val="white"/>
          <w:u w:val="single"/>
          <w:lang w:val="en-US" w:eastAsia="zh-CN"/>
        </w:rPr>
        <w:t>00</w:t>
      </w:r>
      <w:r>
        <w:rPr>
          <w:rFonts w:hint="eastAsia" w:ascii="宋体" w:hAnsi="宋体" w:cs="宋体"/>
          <w:bCs/>
          <w:color w:val="auto"/>
          <w:sz w:val="24"/>
          <w:szCs w:val="24"/>
          <w:highlight w:val="white"/>
          <w:u w:val="single"/>
        </w:rPr>
        <w:t>分</w:t>
      </w:r>
      <w:r>
        <w:rPr>
          <w:rFonts w:hint="eastAsia" w:ascii="宋体" w:hAnsi="宋体" w:cs="宋体"/>
          <w:bCs/>
          <w:color w:val="auto"/>
          <w:sz w:val="24"/>
          <w:szCs w:val="24"/>
          <w:highlight w:val="white"/>
        </w:rPr>
        <w:t>（北京时间）</w:t>
      </w:r>
      <w:r>
        <w:rPr>
          <w:rFonts w:hint="eastAsia" w:ascii="宋体" w:hAnsi="宋体" w:cs="宋体"/>
          <w:bCs/>
          <w:color w:val="auto"/>
          <w:sz w:val="24"/>
          <w:szCs w:val="24"/>
          <w:highlight w:val="white"/>
          <w:u w:val="single"/>
        </w:rPr>
        <w:t>（自磋商文件开始发出之日起至投标人提交投标文件截止之日止，不得少于5个工作日）</w:t>
      </w:r>
      <w:r>
        <w:rPr>
          <w:rFonts w:hint="eastAsia" w:ascii="宋体" w:hAnsi="宋体" w:cs="宋体"/>
          <w:iCs/>
          <w:color w:val="auto"/>
          <w:sz w:val="24"/>
          <w:szCs w:val="24"/>
          <w:highlight w:val="white"/>
          <w:u w:val="single"/>
        </w:rPr>
        <w:t>。</w:t>
      </w:r>
    </w:p>
    <w:p w14:paraId="1B3EA559">
      <w:pPr>
        <w:pStyle w:val="5"/>
        <w:numPr>
          <w:ilvl w:val="0"/>
          <w:numId w:val="0"/>
        </w:numPr>
        <w:spacing w:line="380" w:lineRule="exact"/>
        <w:ind w:firstLine="480" w:firstLineChars="200"/>
        <w:rPr>
          <w:rFonts w:ascii="宋体" w:hAnsi="宋体" w:cs="宋体"/>
          <w:bCs/>
          <w:color w:val="auto"/>
          <w:sz w:val="24"/>
          <w:szCs w:val="24"/>
        </w:rPr>
      </w:pPr>
      <w:r>
        <w:rPr>
          <w:rFonts w:hint="eastAsia" w:ascii="宋体" w:hAnsi="宋体" w:cs="宋体"/>
          <w:color w:val="auto"/>
          <w:sz w:val="24"/>
          <w:szCs w:val="24"/>
          <w:highlight w:val="white"/>
        </w:rPr>
        <w:t>地点：遂川县仁远建设事务发展有限公司</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县</w:t>
      </w:r>
      <w:r>
        <w:rPr>
          <w:rFonts w:hint="eastAsia" w:ascii="宋体" w:hAnsi="宋体" w:cs="宋体"/>
          <w:color w:val="auto"/>
          <w:sz w:val="24"/>
          <w:szCs w:val="24"/>
          <w:highlight w:val="white"/>
        </w:rPr>
        <w:t>工农兵大道35号茧丝绸总公司四楼）</w:t>
      </w:r>
    </w:p>
    <w:p w14:paraId="603E0DCC">
      <w:pPr>
        <w:pStyle w:val="4"/>
        <w:spacing w:before="0" w:after="0" w:line="420" w:lineRule="exact"/>
        <w:jc w:val="left"/>
        <w:rPr>
          <w:rFonts w:ascii="宋体" w:hAnsi="宋体" w:eastAsia="宋体" w:cs="宋体"/>
          <w:b w:val="0"/>
          <w:color w:val="auto"/>
          <w:sz w:val="24"/>
          <w:szCs w:val="24"/>
        </w:rPr>
      </w:pPr>
      <w:bookmarkStart w:id="29" w:name="_Toc28359016"/>
      <w:bookmarkStart w:id="30" w:name="_Toc25863_WPSOffice_Level2"/>
      <w:bookmarkStart w:id="31" w:name="_Toc23"/>
      <w:bookmarkStart w:id="32" w:name="_Toc28359093"/>
      <w:bookmarkStart w:id="33" w:name="_Toc35393633"/>
      <w:bookmarkStart w:id="34" w:name="_Toc2186_WPSOffice_Level2"/>
      <w:bookmarkStart w:id="35" w:name="_Toc31884"/>
      <w:bookmarkStart w:id="36" w:name="_Toc35393802"/>
      <w:bookmarkStart w:id="37" w:name="_Toc28359095"/>
      <w:bookmarkStart w:id="38" w:name="_Toc28359018"/>
      <w:bookmarkStart w:id="39" w:name="_Toc35393805"/>
      <w:bookmarkStart w:id="40" w:name="_Toc35393636"/>
      <w:r>
        <w:rPr>
          <w:rFonts w:hint="eastAsia" w:ascii="宋体" w:hAnsi="宋体" w:eastAsia="宋体" w:cs="宋体"/>
          <w:b w:val="0"/>
          <w:color w:val="auto"/>
          <w:sz w:val="24"/>
          <w:szCs w:val="24"/>
          <w:highlight w:val="white"/>
        </w:rPr>
        <w:t>五、开启</w:t>
      </w:r>
      <w:bookmarkEnd w:id="29"/>
      <w:bookmarkEnd w:id="30"/>
      <w:bookmarkEnd w:id="31"/>
      <w:bookmarkEnd w:id="32"/>
      <w:bookmarkEnd w:id="33"/>
      <w:bookmarkEnd w:id="34"/>
      <w:bookmarkEnd w:id="35"/>
      <w:bookmarkEnd w:id="36"/>
    </w:p>
    <w:p w14:paraId="5CC95F72">
      <w:pPr>
        <w:spacing w:line="42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highlight w:val="white"/>
        </w:rPr>
        <w:t>时间：</w:t>
      </w:r>
      <w:r>
        <w:rPr>
          <w:rFonts w:hint="eastAsia" w:ascii="宋体" w:hAnsi="宋体" w:cs="宋体"/>
          <w:color w:val="auto"/>
          <w:sz w:val="24"/>
          <w:szCs w:val="24"/>
          <w:highlight w:val="white"/>
          <w:u w:val="single"/>
        </w:rPr>
        <w:t>202</w:t>
      </w:r>
      <w:r>
        <w:rPr>
          <w:rFonts w:hint="eastAsia" w:ascii="宋体" w:hAnsi="宋体" w:eastAsia="宋体" w:cs="宋体"/>
          <w:color w:val="auto"/>
          <w:sz w:val="24"/>
          <w:szCs w:val="24"/>
          <w:highlight w:val="white"/>
          <w:u w:val="single"/>
          <w:lang w:val="en-US" w:eastAsia="zh-CN"/>
        </w:rPr>
        <w:t>6</w:t>
      </w:r>
      <w:r>
        <w:rPr>
          <w:rFonts w:hint="eastAsia" w:ascii="宋体" w:hAnsi="宋体" w:cs="宋体"/>
          <w:bCs/>
          <w:color w:val="auto"/>
          <w:sz w:val="24"/>
          <w:szCs w:val="24"/>
          <w:highlight w:val="white"/>
          <w:u w:val="single"/>
        </w:rPr>
        <w:t>年</w:t>
      </w:r>
      <w:r>
        <w:rPr>
          <w:rFonts w:hint="eastAsia" w:ascii="宋体" w:hAnsi="宋体" w:eastAsia="宋体" w:cs="宋体"/>
          <w:bCs/>
          <w:color w:val="auto"/>
          <w:sz w:val="24"/>
          <w:szCs w:val="24"/>
          <w:highlight w:val="white"/>
          <w:u w:val="single"/>
          <w:lang w:val="en-US" w:eastAsia="zh-CN"/>
        </w:rPr>
        <w:t>2</w:t>
      </w:r>
      <w:r>
        <w:rPr>
          <w:rFonts w:hint="eastAsia" w:ascii="宋体" w:hAnsi="宋体" w:cs="宋体"/>
          <w:bCs/>
          <w:color w:val="auto"/>
          <w:sz w:val="24"/>
          <w:szCs w:val="24"/>
          <w:highlight w:val="white"/>
          <w:u w:val="single"/>
        </w:rPr>
        <w:t>月</w:t>
      </w:r>
      <w:r>
        <w:rPr>
          <w:rFonts w:hint="eastAsia" w:ascii="宋体" w:hAnsi="宋体" w:eastAsia="宋体" w:cs="宋体"/>
          <w:bCs/>
          <w:color w:val="auto"/>
          <w:sz w:val="24"/>
          <w:szCs w:val="24"/>
          <w:highlight w:val="white"/>
          <w:u w:val="single"/>
          <w:lang w:val="en-US" w:eastAsia="zh-CN"/>
        </w:rPr>
        <w:t>25</w:t>
      </w:r>
      <w:r>
        <w:rPr>
          <w:rFonts w:hint="eastAsia" w:ascii="宋体" w:hAnsi="宋体" w:cs="宋体"/>
          <w:bCs/>
          <w:color w:val="auto"/>
          <w:sz w:val="24"/>
          <w:szCs w:val="24"/>
          <w:highlight w:val="white"/>
          <w:u w:val="single"/>
        </w:rPr>
        <w:t>日</w:t>
      </w:r>
      <w:r>
        <w:rPr>
          <w:rFonts w:hint="eastAsia" w:ascii="宋体" w:hAnsi="宋体" w:cs="宋体"/>
          <w:bCs/>
          <w:color w:val="auto"/>
          <w:sz w:val="24"/>
          <w:szCs w:val="24"/>
          <w:highlight w:val="white"/>
          <w:u w:val="single"/>
          <w:lang w:val="en-US" w:eastAsia="zh-CN"/>
        </w:rPr>
        <w:t>9</w:t>
      </w:r>
      <w:r>
        <w:rPr>
          <w:rFonts w:hint="eastAsia" w:ascii="宋体" w:hAnsi="宋体" w:cs="宋体"/>
          <w:bCs/>
          <w:color w:val="auto"/>
          <w:sz w:val="24"/>
          <w:szCs w:val="24"/>
          <w:highlight w:val="white"/>
          <w:u w:val="single"/>
        </w:rPr>
        <w:t>点00分</w:t>
      </w:r>
      <w:r>
        <w:rPr>
          <w:rFonts w:hint="eastAsia" w:ascii="宋体" w:hAnsi="宋体" w:cs="宋体"/>
          <w:bCs/>
          <w:color w:val="auto"/>
          <w:sz w:val="24"/>
          <w:szCs w:val="24"/>
          <w:highlight w:val="white"/>
        </w:rPr>
        <w:t>（北京时间）</w:t>
      </w:r>
    </w:p>
    <w:p w14:paraId="2A171394">
      <w:pPr>
        <w:pStyle w:val="5"/>
        <w:numPr>
          <w:ilvl w:val="0"/>
          <w:numId w:val="0"/>
        </w:numPr>
        <w:spacing w:line="38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highlight w:val="white"/>
        </w:rPr>
        <w:t>地点：遂川县仁远建设事务发展有限公司</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县</w:t>
      </w:r>
      <w:r>
        <w:rPr>
          <w:rFonts w:hint="eastAsia" w:ascii="宋体" w:hAnsi="宋体" w:cs="宋体"/>
          <w:color w:val="auto"/>
          <w:sz w:val="24"/>
          <w:szCs w:val="24"/>
          <w:highlight w:val="white"/>
        </w:rPr>
        <w:t>工农兵大道35号茧丝绸总公司四楼）</w:t>
      </w:r>
    </w:p>
    <w:p w14:paraId="4C91C66C">
      <w:pPr>
        <w:pStyle w:val="4"/>
        <w:numPr>
          <w:ilvl w:val="0"/>
          <w:numId w:val="3"/>
        </w:numPr>
        <w:spacing w:before="0" w:after="0" w:line="420" w:lineRule="exact"/>
        <w:jc w:val="left"/>
        <w:rPr>
          <w:rFonts w:hint="eastAsia" w:ascii="宋体" w:hAnsi="宋体" w:eastAsia="宋体" w:cs="宋体"/>
          <w:b w:val="0"/>
          <w:color w:val="auto"/>
          <w:sz w:val="24"/>
          <w:szCs w:val="24"/>
          <w:highlight w:val="white"/>
        </w:rPr>
      </w:pPr>
      <w:bookmarkStart w:id="41" w:name="_Toc23918"/>
      <w:bookmarkStart w:id="42" w:name="_Toc3258_WPSOffice_Level2"/>
      <w:r>
        <w:rPr>
          <w:rFonts w:hint="eastAsia" w:ascii="宋体" w:hAnsi="宋体" w:eastAsia="宋体" w:cs="宋体"/>
          <w:b w:val="0"/>
          <w:color w:val="auto"/>
          <w:sz w:val="24"/>
          <w:szCs w:val="24"/>
          <w:highlight w:val="white"/>
        </w:rPr>
        <w:t>公告</w:t>
      </w:r>
      <w:r>
        <w:rPr>
          <w:rFonts w:hint="eastAsia" w:ascii="宋体" w:hAnsi="宋体" w:eastAsia="宋体" w:cs="宋体"/>
          <w:b w:val="0"/>
          <w:color w:val="auto"/>
          <w:sz w:val="24"/>
          <w:szCs w:val="24"/>
          <w:highlight w:val="white"/>
          <w:lang w:val="en-US" w:eastAsia="zh-CN"/>
        </w:rPr>
        <w:t>发布及</w:t>
      </w:r>
      <w:r>
        <w:rPr>
          <w:rFonts w:hint="eastAsia" w:ascii="宋体" w:hAnsi="宋体" w:eastAsia="宋体" w:cs="宋体"/>
          <w:b w:val="0"/>
          <w:color w:val="auto"/>
          <w:sz w:val="24"/>
          <w:szCs w:val="24"/>
          <w:highlight w:val="white"/>
        </w:rPr>
        <w:t>期限</w:t>
      </w:r>
      <w:bookmarkEnd w:id="41"/>
      <w:bookmarkEnd w:id="42"/>
    </w:p>
    <w:p w14:paraId="595DB743">
      <w:pPr>
        <w:adjustRightInd w:val="0"/>
        <w:snapToGrid w:val="0"/>
        <w:spacing w:line="360" w:lineRule="auto"/>
        <w:ind w:firstLine="480" w:firstLineChars="200"/>
        <w:jc w:val="left"/>
        <w:rPr>
          <w:rFonts w:hint="eastAsia"/>
          <w:color w:val="auto"/>
          <w:sz w:val="24"/>
          <w:szCs w:val="24"/>
          <w:highlight w:val="white"/>
          <w:u w:val="single"/>
          <w:lang w:val="en-US" w:eastAsia="zh-CN"/>
        </w:rPr>
      </w:pPr>
      <w:r>
        <w:rPr>
          <w:rFonts w:hint="eastAsia" w:ascii="宋体" w:hAnsi="宋体" w:eastAsia="宋体" w:cs="宋体"/>
          <w:b w:val="0"/>
          <w:snapToGrid w:val="0"/>
          <w:color w:val="auto"/>
          <w:kern w:val="0"/>
          <w:sz w:val="24"/>
          <w:szCs w:val="24"/>
          <w:highlight w:val="white"/>
          <w:lang w:val="en-US" w:eastAsia="zh-CN"/>
        </w:rPr>
        <w:t>公告发布地址：</w:t>
      </w:r>
      <w:r>
        <w:rPr>
          <w:rFonts w:hint="eastAsia"/>
          <w:color w:val="auto"/>
          <w:sz w:val="24"/>
          <w:szCs w:val="24"/>
          <w:highlight w:val="white"/>
          <w:u w:val="single"/>
          <w:lang w:val="en-US" w:eastAsia="zh-CN"/>
        </w:rPr>
        <w:t>中国招标投标公共服务平台官网（http://www.cebpubservice.com/）、江西省招标投标网（http://www.jxtb.org.cn/）</w:t>
      </w:r>
    </w:p>
    <w:p w14:paraId="7E6DFEC7">
      <w:pPr>
        <w:spacing w:line="4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highlight w:val="white"/>
        </w:rPr>
        <w:t>公告期限：自本公告发布之日起3个工作日。</w:t>
      </w:r>
    </w:p>
    <w:p w14:paraId="45BBC6D6">
      <w:pPr>
        <w:pStyle w:val="4"/>
        <w:spacing w:before="0" w:after="0" w:line="420" w:lineRule="exact"/>
        <w:jc w:val="left"/>
        <w:rPr>
          <w:rFonts w:ascii="宋体" w:hAnsi="宋体" w:eastAsia="宋体" w:cs="宋体"/>
          <w:b w:val="0"/>
          <w:color w:val="auto"/>
          <w:sz w:val="24"/>
          <w:szCs w:val="24"/>
        </w:rPr>
      </w:pPr>
      <w:bookmarkStart w:id="43" w:name="_Toc35393635"/>
      <w:bookmarkStart w:id="44" w:name="_Toc35393804"/>
      <w:bookmarkStart w:id="45" w:name="_Toc15795"/>
      <w:bookmarkStart w:id="46" w:name="_Toc2989"/>
      <w:bookmarkStart w:id="47" w:name="_Toc26658_WPSOffice_Level2"/>
      <w:bookmarkStart w:id="48" w:name="_Toc8545_WPSOffice_Level2"/>
      <w:r>
        <w:rPr>
          <w:rFonts w:hint="eastAsia" w:ascii="宋体" w:hAnsi="宋体" w:eastAsia="宋体" w:cs="宋体"/>
          <w:b w:val="0"/>
          <w:color w:val="auto"/>
          <w:sz w:val="24"/>
          <w:szCs w:val="24"/>
          <w:highlight w:val="white"/>
        </w:rPr>
        <w:t>七、其他补充事宜</w:t>
      </w:r>
      <w:bookmarkEnd w:id="43"/>
      <w:bookmarkEnd w:id="44"/>
      <w:bookmarkEnd w:id="45"/>
      <w:bookmarkEnd w:id="46"/>
      <w:bookmarkEnd w:id="47"/>
      <w:bookmarkEnd w:id="48"/>
    </w:p>
    <w:p w14:paraId="558689FD">
      <w:pPr>
        <w:pStyle w:val="5"/>
        <w:numPr>
          <w:ilvl w:val="0"/>
          <w:numId w:val="0"/>
        </w:numPr>
        <w:spacing w:line="380" w:lineRule="exact"/>
        <w:ind w:firstLine="480" w:firstLineChars="200"/>
        <w:rPr>
          <w:rFonts w:hint="eastAsia" w:ascii="宋体" w:hAnsi="宋体"/>
          <w:color w:val="auto"/>
          <w:sz w:val="24"/>
          <w:highlight w:val="white"/>
        </w:rPr>
      </w:pPr>
      <w:r>
        <w:rPr>
          <w:rFonts w:hint="eastAsia" w:ascii="宋体" w:hAnsi="宋体" w:eastAsia="宋体"/>
          <w:color w:val="auto"/>
          <w:sz w:val="24"/>
          <w:highlight w:val="white"/>
          <w:lang w:val="en-US" w:eastAsia="zh-CN"/>
        </w:rPr>
        <w:t>1、</w:t>
      </w:r>
      <w:r>
        <w:rPr>
          <w:rFonts w:hint="eastAsia" w:ascii="宋体" w:hAnsi="宋体"/>
          <w:color w:val="auto"/>
          <w:sz w:val="24"/>
          <w:highlight w:val="white"/>
        </w:rPr>
        <w:t>本项目投标保证金人民币</w:t>
      </w:r>
      <w:r>
        <w:rPr>
          <w:rFonts w:hint="eastAsia" w:ascii="宋体" w:hAnsi="Times New Roman" w:eastAsia="宋体" w:cs="Times New Roman"/>
          <w:b/>
          <w:bCs/>
          <w:color w:val="auto"/>
          <w:sz w:val="24"/>
          <w:szCs w:val="24"/>
          <w:highlight w:val="white"/>
          <w:u w:val="none"/>
          <w:lang w:val="en-US" w:eastAsia="zh-CN"/>
        </w:rPr>
        <w:t>壹万元整</w:t>
      </w:r>
      <w:r>
        <w:rPr>
          <w:rFonts w:hint="eastAsia"/>
          <w:b/>
          <w:bCs/>
          <w:color w:val="auto"/>
          <w:sz w:val="24"/>
          <w:szCs w:val="24"/>
          <w:highlight w:val="white"/>
          <w:u w:val="none"/>
        </w:rPr>
        <w:t>（￥</w:t>
      </w:r>
      <w:r>
        <w:rPr>
          <w:rFonts w:hint="eastAsia"/>
          <w:b/>
          <w:bCs/>
          <w:color w:val="auto"/>
          <w:sz w:val="24"/>
          <w:szCs w:val="24"/>
          <w:highlight w:val="white"/>
          <w:u w:val="none"/>
          <w:lang w:val="en-US" w:eastAsia="zh-CN"/>
        </w:rPr>
        <w:t>10000</w:t>
      </w:r>
      <w:r>
        <w:rPr>
          <w:rFonts w:hint="eastAsia"/>
          <w:b/>
          <w:bCs/>
          <w:color w:val="auto"/>
          <w:sz w:val="24"/>
          <w:szCs w:val="24"/>
          <w:highlight w:val="white"/>
          <w:u w:val="none"/>
        </w:rPr>
        <w:t>.00元）</w:t>
      </w:r>
      <w:r>
        <w:rPr>
          <w:rFonts w:hint="eastAsia"/>
          <w:b/>
          <w:bCs/>
          <w:color w:val="auto"/>
          <w:sz w:val="24"/>
          <w:szCs w:val="24"/>
        </w:rPr>
        <w:t>，</w:t>
      </w:r>
      <w:r>
        <w:rPr>
          <w:rFonts w:hint="eastAsia"/>
          <w:color w:val="auto"/>
          <w:sz w:val="24"/>
          <w:szCs w:val="24"/>
        </w:rPr>
        <w:t>投标保证金必须在开标时间前一天17：00前从投标人营业执照所在地本单位基本账户一次性足额缴纳至招标人指定账户，单据上须注明</w:t>
      </w:r>
      <w:r>
        <w:rPr>
          <w:rFonts w:hint="eastAsia" w:ascii="宋体" w:hAnsi="宋体"/>
          <w:b/>
          <w:color w:val="auto"/>
          <w:sz w:val="24"/>
          <w:highlight w:val="white"/>
        </w:rPr>
        <w:t>“</w:t>
      </w:r>
      <w:r>
        <w:rPr>
          <w:rFonts w:hint="eastAsia"/>
          <w:b/>
          <w:bCs/>
          <w:color w:val="auto"/>
          <w:sz w:val="24"/>
          <w:szCs w:val="24"/>
          <w:highlight w:val="white"/>
        </w:rPr>
        <w:t>仁远采字SC-【202</w:t>
      </w:r>
      <w:r>
        <w:rPr>
          <w:rFonts w:hint="eastAsia" w:eastAsia="宋体"/>
          <w:b/>
          <w:bCs/>
          <w:color w:val="auto"/>
          <w:sz w:val="24"/>
          <w:szCs w:val="24"/>
          <w:highlight w:val="white"/>
          <w:lang w:val="en-US" w:eastAsia="zh-CN"/>
        </w:rPr>
        <w:t>6</w:t>
      </w:r>
      <w:r>
        <w:rPr>
          <w:rFonts w:hint="eastAsia"/>
          <w:b/>
          <w:bCs/>
          <w:color w:val="auto"/>
          <w:sz w:val="24"/>
          <w:szCs w:val="24"/>
          <w:highlight w:val="white"/>
        </w:rPr>
        <w:t>】</w:t>
      </w:r>
      <w:r>
        <w:rPr>
          <w:rFonts w:hint="eastAsia" w:eastAsia="宋体"/>
          <w:b/>
          <w:bCs/>
          <w:color w:val="auto"/>
          <w:sz w:val="24"/>
          <w:szCs w:val="24"/>
          <w:highlight w:val="white"/>
          <w:lang w:val="en-US" w:eastAsia="zh-CN"/>
        </w:rPr>
        <w:t>003</w:t>
      </w:r>
      <w:r>
        <w:rPr>
          <w:rFonts w:hint="eastAsia"/>
          <w:b/>
          <w:bCs/>
          <w:color w:val="auto"/>
          <w:sz w:val="24"/>
          <w:szCs w:val="24"/>
          <w:highlight w:val="white"/>
        </w:rPr>
        <w:t>号</w:t>
      </w:r>
      <w:r>
        <w:rPr>
          <w:rFonts w:hint="eastAsia" w:ascii="宋体" w:hAnsi="宋体"/>
          <w:b/>
          <w:color w:val="auto"/>
          <w:sz w:val="24"/>
          <w:highlight w:val="white"/>
        </w:rPr>
        <w:t>”</w:t>
      </w:r>
      <w:r>
        <w:rPr>
          <w:rFonts w:hint="eastAsia" w:ascii="宋体" w:hAnsi="宋体"/>
          <w:color w:val="auto"/>
          <w:sz w:val="24"/>
          <w:highlight w:val="white"/>
        </w:rPr>
        <w:t>字样，投标保证金递交的开户银行及账号如下：</w:t>
      </w:r>
    </w:p>
    <w:p w14:paraId="43615E08">
      <w:pPr>
        <w:pStyle w:val="5"/>
        <w:numPr>
          <w:ilvl w:val="0"/>
          <w:numId w:val="0"/>
        </w:numPr>
        <w:spacing w:line="380" w:lineRule="exact"/>
        <w:ind w:firstLine="480" w:firstLineChars="200"/>
        <w:rPr>
          <w:rFonts w:hint="eastAsia" w:ascii="宋体" w:hAnsi="Times New Roman" w:eastAsia="宋体" w:cs="Times New Roman"/>
          <w:color w:val="auto"/>
          <w:sz w:val="24"/>
          <w:szCs w:val="24"/>
          <w:lang w:val="en-US" w:eastAsia="zh-CN"/>
        </w:rPr>
      </w:pPr>
      <w:r>
        <w:rPr>
          <w:rFonts w:hint="eastAsia"/>
          <w:color w:val="auto"/>
          <w:sz w:val="24"/>
          <w:szCs w:val="24"/>
        </w:rPr>
        <w:t>转账银行户名：</w:t>
      </w:r>
      <w:r>
        <w:rPr>
          <w:rFonts w:hint="eastAsia" w:ascii="宋体" w:hAnsi="Times New Roman" w:eastAsia="宋体" w:cs="Times New Roman"/>
          <w:color w:val="auto"/>
          <w:sz w:val="24"/>
          <w:szCs w:val="24"/>
          <w:lang w:val="en-US" w:eastAsia="zh-CN"/>
        </w:rPr>
        <w:t xml:space="preserve"> 遂川县仁远建设事务发展有限公司</w:t>
      </w:r>
    </w:p>
    <w:p w14:paraId="39A2E2F9">
      <w:pPr>
        <w:pStyle w:val="5"/>
        <w:numPr>
          <w:ilvl w:val="0"/>
          <w:numId w:val="0"/>
        </w:numPr>
        <w:spacing w:line="380" w:lineRule="exact"/>
        <w:ind w:firstLine="480" w:firstLineChars="200"/>
        <w:rPr>
          <w:rFonts w:hint="eastAsia"/>
          <w:color w:val="auto"/>
          <w:sz w:val="24"/>
          <w:szCs w:val="24"/>
          <w:lang w:val="en-US" w:eastAsia="zh-CN"/>
        </w:rPr>
      </w:pPr>
      <w:r>
        <w:rPr>
          <w:rFonts w:hint="eastAsia"/>
          <w:color w:val="auto"/>
          <w:sz w:val="24"/>
          <w:szCs w:val="24"/>
        </w:rPr>
        <w:t>开户行：江西遂川农村商业银行股份有限公司</w:t>
      </w:r>
      <w:r>
        <w:rPr>
          <w:rFonts w:hint="eastAsia"/>
          <w:color w:val="auto"/>
          <w:sz w:val="24"/>
          <w:szCs w:val="24"/>
          <w:lang w:val="en-US" w:eastAsia="zh-CN"/>
        </w:rPr>
        <w:t xml:space="preserve"> </w:t>
      </w:r>
    </w:p>
    <w:p w14:paraId="78BAC979">
      <w:pPr>
        <w:pStyle w:val="5"/>
        <w:numPr>
          <w:ilvl w:val="0"/>
          <w:numId w:val="0"/>
        </w:numPr>
        <w:spacing w:line="380" w:lineRule="exact"/>
        <w:ind w:firstLine="480" w:firstLineChars="200"/>
        <w:rPr>
          <w:rFonts w:hint="default" w:eastAsia="宋体"/>
          <w:color w:val="auto"/>
          <w:sz w:val="24"/>
          <w:szCs w:val="24"/>
          <w:lang w:val="en-US" w:eastAsia="zh-CN"/>
        </w:rPr>
      </w:pPr>
      <w:r>
        <w:rPr>
          <w:rFonts w:hint="eastAsia"/>
          <w:color w:val="auto"/>
          <w:sz w:val="24"/>
          <w:szCs w:val="24"/>
        </w:rPr>
        <w:t>账号：1780 4775 0000 0019 62</w:t>
      </w:r>
    </w:p>
    <w:p w14:paraId="284C8BA4">
      <w:pPr>
        <w:pStyle w:val="5"/>
        <w:numPr>
          <w:ilvl w:val="0"/>
          <w:numId w:val="0"/>
        </w:numPr>
        <w:spacing w:line="380" w:lineRule="exact"/>
        <w:rPr>
          <w:rFonts w:hint="eastAsia" w:ascii="宋体" w:hAnsi="宋体"/>
          <w:b/>
          <w:color w:val="auto"/>
          <w:sz w:val="24"/>
          <w:highlight w:val="white"/>
        </w:rPr>
      </w:pPr>
      <w:r>
        <w:rPr>
          <w:rFonts w:hint="eastAsia" w:ascii="宋体" w:hAnsi="宋体"/>
          <w:b/>
          <w:color w:val="auto"/>
          <w:sz w:val="24"/>
          <w:highlight w:val="white"/>
        </w:rPr>
        <w:t>注：（1）投标人必须在规定的到账时间之前一次性足额转账到达招标文件规定的账号中，并打印缴纳凭条。投标资格以投标保证金截止时间前受理保证金账户到账时间为准，未按上述约定要求缴纳投标保证金的，投标无效。</w:t>
      </w:r>
    </w:p>
    <w:p w14:paraId="1E4DA93E">
      <w:pPr>
        <w:pStyle w:val="5"/>
        <w:numPr>
          <w:ilvl w:val="0"/>
          <w:numId w:val="0"/>
        </w:numPr>
        <w:spacing w:line="380" w:lineRule="exact"/>
        <w:rPr>
          <w:rFonts w:hint="eastAsia" w:ascii="宋体" w:hAnsi="宋体"/>
          <w:b/>
          <w:color w:val="auto"/>
          <w:sz w:val="24"/>
          <w:highlight w:val="white"/>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2</w:t>
      </w:r>
      <w:r>
        <w:rPr>
          <w:rFonts w:hint="eastAsia" w:ascii="宋体" w:hAnsi="宋体" w:eastAsia="宋体"/>
          <w:b/>
          <w:color w:val="auto"/>
          <w:sz w:val="24"/>
          <w:highlight w:val="white"/>
          <w:lang w:eastAsia="zh-CN"/>
        </w:rPr>
        <w:t>）</w:t>
      </w:r>
      <w:r>
        <w:rPr>
          <w:rFonts w:hint="eastAsia" w:ascii="宋体" w:hAnsi="宋体"/>
          <w:b/>
          <w:color w:val="auto"/>
          <w:sz w:val="24"/>
          <w:highlight w:val="white"/>
        </w:rPr>
        <w:t>未中标单位的保证金在中标通知书发出之日起五个工作日内不计息退还；</w:t>
      </w:r>
    </w:p>
    <w:p w14:paraId="3AB3A3AE">
      <w:pPr>
        <w:pStyle w:val="5"/>
        <w:numPr>
          <w:ilvl w:val="0"/>
          <w:numId w:val="0"/>
        </w:numPr>
        <w:spacing w:line="380" w:lineRule="exact"/>
        <w:jc w:val="left"/>
        <w:rPr>
          <w:rFonts w:ascii="宋体" w:hAnsi="宋体" w:cs="宋体"/>
          <w:color w:val="auto"/>
          <w:sz w:val="24"/>
          <w:szCs w:val="24"/>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3</w:t>
      </w:r>
      <w:r>
        <w:rPr>
          <w:rFonts w:hint="eastAsia" w:ascii="宋体" w:hAnsi="宋体" w:eastAsia="宋体"/>
          <w:b/>
          <w:color w:val="auto"/>
          <w:sz w:val="24"/>
          <w:highlight w:val="white"/>
          <w:lang w:eastAsia="zh-CN"/>
        </w:rPr>
        <w:t>）</w:t>
      </w:r>
      <w:r>
        <w:rPr>
          <w:rFonts w:hint="eastAsia" w:ascii="宋体" w:hAnsi="宋体"/>
          <w:b/>
          <w:color w:val="auto"/>
          <w:sz w:val="24"/>
          <w:highlight w:val="white"/>
        </w:rPr>
        <w:t>中标单位的保证金，在采购合同签订后,须凭采购单位同意退还保证金的函，到遂川县仁远建设事务发展有限公司办理相关退款手续后五个工作日内不计息退还</w:t>
      </w:r>
      <w:r>
        <w:rPr>
          <w:rFonts w:hint="eastAsia" w:ascii="宋体" w:hAnsi="宋体"/>
          <w:color w:val="auto"/>
          <w:sz w:val="24"/>
          <w:highlight w:val="white"/>
        </w:rPr>
        <w:t>。</w:t>
      </w:r>
    </w:p>
    <w:bookmarkEnd w:id="37"/>
    <w:bookmarkEnd w:id="38"/>
    <w:bookmarkEnd w:id="39"/>
    <w:bookmarkEnd w:id="40"/>
    <w:p w14:paraId="0725BDA5">
      <w:pPr>
        <w:pStyle w:val="30"/>
        <w:spacing w:line="440" w:lineRule="exact"/>
        <w:ind w:firstLine="520" w:firstLineChars="200"/>
        <w:rPr>
          <w:rFonts w:ascii="宋体" w:hAnsi="宋体" w:cs="宋体"/>
          <w:color w:val="auto"/>
        </w:rPr>
      </w:pPr>
      <w:r>
        <w:rPr>
          <w:rFonts w:hint="eastAsia" w:ascii="宋体" w:hAnsi="宋体" w:cs="宋体"/>
          <w:color w:val="auto"/>
          <w:highlight w:val="white"/>
        </w:rPr>
        <w:t>2、本项目采购代理服务费：向中标人收取，收费标准详见磋商文件。</w:t>
      </w:r>
    </w:p>
    <w:p w14:paraId="7CC37BFE">
      <w:pPr>
        <w:spacing w:line="440" w:lineRule="exact"/>
        <w:outlineLvl w:val="1"/>
        <w:rPr>
          <w:color w:val="auto"/>
          <w:sz w:val="24"/>
          <w:szCs w:val="22"/>
        </w:rPr>
      </w:pPr>
      <w:bookmarkStart w:id="49" w:name="_Toc24597"/>
      <w:r>
        <w:rPr>
          <w:rFonts w:hint="eastAsia"/>
          <w:color w:val="auto"/>
          <w:sz w:val="24"/>
          <w:szCs w:val="22"/>
          <w:highlight w:val="white"/>
        </w:rPr>
        <w:t>八、对本次招标提出询问，请按以下方式联系。</w:t>
      </w:r>
      <w:bookmarkEnd w:id="49"/>
    </w:p>
    <w:p w14:paraId="444C5BB3">
      <w:pPr>
        <w:spacing w:line="440" w:lineRule="exact"/>
        <w:ind w:firstLine="480" w:firstLineChars="200"/>
        <w:rPr>
          <w:rFonts w:hint="eastAsia"/>
          <w:color w:val="auto"/>
          <w:sz w:val="24"/>
          <w:szCs w:val="22"/>
          <w:highlight w:val="white"/>
        </w:rPr>
      </w:pPr>
      <w:bookmarkStart w:id="50" w:name="_Toc35393806"/>
      <w:bookmarkStart w:id="51" w:name="_Toc35393637"/>
      <w:bookmarkStart w:id="52" w:name="_Toc28359096"/>
      <w:bookmarkStart w:id="53" w:name="_Toc28359019"/>
      <w:r>
        <w:rPr>
          <w:rFonts w:hint="eastAsia" w:ascii="宋体" w:hAnsi="宋体" w:cs="宋体"/>
          <w:color w:val="auto"/>
          <w:sz w:val="24"/>
          <w:szCs w:val="24"/>
          <w:highlight w:val="white"/>
        </w:rPr>
        <w:t>1.采购</w:t>
      </w:r>
      <w:r>
        <w:rPr>
          <w:rFonts w:hint="eastAsia"/>
          <w:color w:val="auto"/>
          <w:sz w:val="24"/>
          <w:szCs w:val="22"/>
          <w:highlight w:val="white"/>
        </w:rPr>
        <w:t>人信息</w:t>
      </w:r>
      <w:bookmarkEnd w:id="50"/>
      <w:bookmarkEnd w:id="51"/>
      <w:bookmarkEnd w:id="52"/>
      <w:bookmarkEnd w:id="53"/>
    </w:p>
    <w:p w14:paraId="5F22CF32">
      <w:pPr>
        <w:spacing w:line="440" w:lineRule="exact"/>
        <w:ind w:firstLine="480" w:firstLineChars="200"/>
        <w:rPr>
          <w:rFonts w:hint="default" w:ascii="宋体" w:hAnsi="宋体" w:cs="宋体"/>
          <w:color w:val="000000" w:themeColor="text1"/>
          <w:sz w:val="24"/>
          <w:szCs w:val="24"/>
          <w:u w:val="single"/>
          <w:lang w:val="en-US" w:eastAsia="zh-CN"/>
          <w14:textFill>
            <w14:solidFill>
              <w14:schemeClr w14:val="tx1"/>
            </w14:solidFill>
          </w14:textFill>
        </w:rPr>
      </w:pPr>
      <w:bookmarkStart w:id="54" w:name="_Toc35393638"/>
      <w:bookmarkStart w:id="55" w:name="_Toc28359020"/>
      <w:bookmarkStart w:id="56" w:name="_Toc35393807"/>
      <w:bookmarkStart w:id="57" w:name="_Toc28359097"/>
      <w:r>
        <w:rPr>
          <w:rFonts w:hint="eastAsia" w:ascii="宋体" w:hAnsi="宋体" w:cs="宋体"/>
          <w:color w:val="000000" w:themeColor="text1"/>
          <w:sz w:val="24"/>
          <w:szCs w:val="24"/>
          <w14:textFill>
            <w14:solidFill>
              <w14:schemeClr w14:val="tx1"/>
            </w14:solidFill>
          </w14:textFill>
        </w:rPr>
        <w:t>名    称：</w:t>
      </w:r>
      <w:r>
        <w:rPr>
          <w:rFonts w:hint="eastAsia" w:ascii="宋体" w:hAnsi="宋体" w:cs="宋体"/>
          <w:color w:val="000000" w:themeColor="text1"/>
          <w:sz w:val="24"/>
          <w:szCs w:val="24"/>
          <w:u w:val="single"/>
          <w:lang w:val="en-US" w:eastAsia="zh-CN"/>
          <w14:textFill>
            <w14:solidFill>
              <w14:schemeClr w14:val="tx1"/>
            </w14:solidFill>
          </w14:textFill>
        </w:rPr>
        <w:t>遂川县泉江小学</w:t>
      </w:r>
    </w:p>
    <w:p w14:paraId="1A84771E">
      <w:pPr>
        <w:spacing w:line="440" w:lineRule="exact"/>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遂川县</w:t>
      </w:r>
      <w:r>
        <w:rPr>
          <w:rFonts w:hint="eastAsia" w:ascii="宋体" w:hAnsi="宋体" w:eastAsia="宋体" w:cs="宋体"/>
          <w:color w:val="000000" w:themeColor="text1"/>
          <w:sz w:val="24"/>
          <w:szCs w:val="24"/>
          <w:u w:val="single"/>
          <w:lang w:val="en-US" w:eastAsia="zh-CN"/>
          <w14:textFill>
            <w14:solidFill>
              <w14:schemeClr w14:val="tx1"/>
            </w14:solidFill>
          </w14:textFill>
        </w:rPr>
        <w:t>泉江镇工农兵大道</w:t>
      </w:r>
    </w:p>
    <w:p w14:paraId="3F9FBDD0">
      <w:pPr>
        <w:spacing w:line="440" w:lineRule="exact"/>
        <w:ind w:firstLine="480" w:firstLineChars="200"/>
        <w:rPr>
          <w:rFonts w:hint="default" w:ascii="宋体" w:hAnsi="宋体" w:eastAsia="宋体" w:cs="宋体"/>
          <w:color w:val="FF0000"/>
          <w:sz w:val="24"/>
          <w:szCs w:val="24"/>
          <w:u w:val="single"/>
          <w:lang w:val="en-US" w:eastAsia="zh-CN"/>
        </w:rPr>
      </w:pPr>
      <w:r>
        <w:rPr>
          <w:rFonts w:hint="eastAsia" w:ascii="宋体" w:hAnsi="宋体" w:cs="宋体"/>
          <w:color w:val="000000" w:themeColor="text1"/>
          <w:sz w:val="24"/>
          <w:szCs w:val="24"/>
          <w14:textFill>
            <w14:solidFill>
              <w14:schemeClr w14:val="tx1"/>
            </w14:solidFill>
          </w14:textFill>
        </w:rPr>
        <w:t>联系方式：</w:t>
      </w:r>
      <w:r>
        <w:rPr>
          <w:rFonts w:hint="eastAsia" w:ascii="宋体" w:hAnsi="宋体" w:cs="宋体"/>
          <w:color w:val="000000" w:themeColor="text1"/>
          <w:sz w:val="24"/>
          <w:szCs w:val="24"/>
          <w:u w:val="single"/>
          <w:lang w:val="en-US" w:eastAsia="zh-CN"/>
          <w14:textFill>
            <w14:solidFill>
              <w14:schemeClr w14:val="tx1"/>
            </w14:solidFill>
          </w14:textFill>
        </w:rPr>
        <w:t xml:space="preserve">王先生 15807066247  </w:t>
      </w:r>
    </w:p>
    <w:p w14:paraId="396AA080">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highlight w:val="white"/>
        </w:rPr>
        <w:t>2.采购代理机构信息</w:t>
      </w:r>
      <w:bookmarkEnd w:id="54"/>
      <w:bookmarkEnd w:id="55"/>
      <w:bookmarkEnd w:id="56"/>
      <w:bookmarkEnd w:id="57"/>
    </w:p>
    <w:p w14:paraId="670ABE37">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名    称：</w:t>
      </w:r>
      <w:r>
        <w:rPr>
          <w:rFonts w:hint="eastAsia" w:ascii="宋体" w:hAnsi="宋体" w:cs="宋体"/>
          <w:color w:val="auto"/>
          <w:sz w:val="24"/>
          <w:szCs w:val="24"/>
          <w:highlight w:val="white"/>
          <w:u w:val="single"/>
        </w:rPr>
        <w:t>遂川县仁远建设事务发展有限公司</w:t>
      </w:r>
    </w:p>
    <w:p w14:paraId="0460AEF7">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地　　址：</w:t>
      </w:r>
      <w:r>
        <w:rPr>
          <w:rFonts w:hint="eastAsia" w:ascii="宋体" w:hAnsi="宋体" w:cs="宋体"/>
          <w:color w:val="auto"/>
          <w:sz w:val="24"/>
          <w:szCs w:val="24"/>
          <w:highlight w:val="white"/>
          <w:u w:val="single"/>
        </w:rPr>
        <w:t>遂川县城工农兵大道35号（县茧丝绸总公司四楼）</w:t>
      </w:r>
    </w:p>
    <w:p w14:paraId="142DF6AD">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联系方式：</w:t>
      </w:r>
      <w:r>
        <w:rPr>
          <w:rFonts w:hint="eastAsia" w:ascii="宋体" w:hAnsi="宋体" w:eastAsia="宋体" w:cs="宋体"/>
          <w:color w:val="auto"/>
          <w:sz w:val="24"/>
          <w:szCs w:val="24"/>
          <w:highlight w:val="white"/>
          <w:u w:val="single"/>
          <w:lang w:val="en-US" w:eastAsia="zh-CN"/>
        </w:rPr>
        <w:t>吴</w:t>
      </w:r>
      <w:r>
        <w:rPr>
          <w:rFonts w:hint="eastAsia" w:ascii="宋体" w:hAnsi="宋体" w:cs="宋体"/>
          <w:color w:val="auto"/>
          <w:sz w:val="24"/>
          <w:szCs w:val="24"/>
          <w:highlight w:val="white"/>
          <w:u w:val="single"/>
        </w:rPr>
        <w:t>女士  0796-6327783</w:t>
      </w:r>
    </w:p>
    <w:p w14:paraId="6E910F3F">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highlight w:val="white"/>
        </w:rPr>
        <w:t>电子邮箱：</w:t>
      </w:r>
      <w:r>
        <w:rPr>
          <w:rFonts w:hint="eastAsia" w:ascii="宋体" w:hAnsi="宋体" w:cs="宋体"/>
          <w:color w:val="auto"/>
          <w:sz w:val="24"/>
          <w:szCs w:val="24"/>
          <w:highlight w:val="white"/>
          <w:u w:val="single"/>
        </w:rPr>
        <w:t>scrygs2008@163.com</w:t>
      </w:r>
      <w:bookmarkStart w:id="58" w:name="_Toc28359021"/>
      <w:bookmarkStart w:id="59" w:name="_Toc28359098"/>
      <w:bookmarkStart w:id="60" w:name="_Toc35393808"/>
      <w:bookmarkStart w:id="61" w:name="_Toc35393639"/>
    </w:p>
    <w:p w14:paraId="3FA089B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highlight w:val="white"/>
        </w:rPr>
        <w:t>3.项目联系方式</w:t>
      </w:r>
      <w:bookmarkEnd w:id="58"/>
      <w:bookmarkEnd w:id="59"/>
      <w:bookmarkEnd w:id="60"/>
      <w:bookmarkEnd w:id="61"/>
    </w:p>
    <w:p w14:paraId="31DF09F8">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项目联系人：</w:t>
      </w:r>
      <w:r>
        <w:rPr>
          <w:rFonts w:hint="eastAsia" w:ascii="宋体" w:hAnsi="宋体" w:eastAsia="宋体" w:cs="宋体"/>
          <w:color w:val="auto"/>
          <w:sz w:val="24"/>
          <w:szCs w:val="24"/>
          <w:highlight w:val="white"/>
          <w:u w:val="single"/>
          <w:lang w:val="en-US" w:eastAsia="zh-CN"/>
        </w:rPr>
        <w:t>吴</w:t>
      </w:r>
      <w:r>
        <w:rPr>
          <w:rFonts w:hint="eastAsia" w:ascii="宋体" w:hAnsi="宋体" w:cs="宋体"/>
          <w:color w:val="auto"/>
          <w:sz w:val="24"/>
          <w:szCs w:val="24"/>
          <w:highlight w:val="white"/>
          <w:u w:val="single"/>
        </w:rPr>
        <w:t>女士</w:t>
      </w:r>
    </w:p>
    <w:p w14:paraId="432F0EDE">
      <w:pPr>
        <w:spacing w:line="440" w:lineRule="exact"/>
        <w:ind w:firstLine="480" w:firstLineChars="200"/>
        <w:rPr>
          <w:rFonts w:hint="eastAsia" w:ascii="宋体" w:hAnsi="宋体" w:cs="宋体"/>
          <w:color w:val="auto"/>
          <w:sz w:val="24"/>
          <w:szCs w:val="24"/>
          <w:highlight w:val="white"/>
          <w:u w:val="single"/>
        </w:rPr>
      </w:pPr>
      <w:r>
        <w:rPr>
          <w:rFonts w:hint="eastAsia" w:ascii="宋体" w:hAnsi="宋体" w:cs="宋体"/>
          <w:color w:val="auto"/>
          <w:sz w:val="24"/>
          <w:szCs w:val="24"/>
          <w:highlight w:val="white"/>
        </w:rPr>
        <w:t>电　　  话：</w:t>
      </w:r>
      <w:r>
        <w:rPr>
          <w:rFonts w:hint="eastAsia" w:ascii="宋体" w:hAnsi="宋体" w:cs="宋体"/>
          <w:color w:val="auto"/>
          <w:sz w:val="24"/>
          <w:szCs w:val="24"/>
          <w:highlight w:val="white"/>
          <w:u w:val="single"/>
        </w:rPr>
        <w:t>0796-6327783</w:t>
      </w:r>
    </w:p>
    <w:p w14:paraId="2940BC74">
      <w:pPr>
        <w:pStyle w:val="8"/>
        <w:rPr>
          <w:color w:val="auto"/>
        </w:rPr>
      </w:pPr>
    </w:p>
    <w:p w14:paraId="29CD874A">
      <w:pPr>
        <w:rPr>
          <w:color w:val="auto"/>
        </w:rPr>
      </w:pPr>
    </w:p>
    <w:p w14:paraId="2523F03D">
      <w:pPr>
        <w:pStyle w:val="4"/>
        <w:rPr>
          <w:color w:val="auto"/>
        </w:rPr>
      </w:pPr>
    </w:p>
    <w:p w14:paraId="211484CF">
      <w:pPr>
        <w:rPr>
          <w:color w:val="auto"/>
        </w:rPr>
      </w:pPr>
    </w:p>
    <w:p w14:paraId="44CDB110">
      <w:pPr>
        <w:pStyle w:val="4"/>
        <w:rPr>
          <w:color w:val="auto"/>
        </w:rPr>
      </w:pPr>
    </w:p>
    <w:p w14:paraId="4A68F88D">
      <w:pPr>
        <w:rPr>
          <w:color w:val="auto"/>
        </w:rPr>
      </w:pPr>
    </w:p>
    <w:p w14:paraId="4B7088FC">
      <w:pPr>
        <w:rPr>
          <w:color w:val="auto"/>
        </w:rPr>
      </w:pPr>
    </w:p>
    <w:p w14:paraId="14753FD7">
      <w:pPr>
        <w:rPr>
          <w:color w:val="auto"/>
        </w:rPr>
      </w:pPr>
    </w:p>
    <w:p w14:paraId="57D2F067">
      <w:pPr>
        <w:rPr>
          <w:color w:val="auto"/>
        </w:rPr>
      </w:pPr>
    </w:p>
    <w:p w14:paraId="054CD211">
      <w:pPr>
        <w:rPr>
          <w:color w:val="auto"/>
        </w:rPr>
      </w:pPr>
    </w:p>
    <w:p w14:paraId="7DD3B4F9">
      <w:pPr>
        <w:rPr>
          <w:color w:val="auto"/>
        </w:rPr>
      </w:pPr>
    </w:p>
    <w:p w14:paraId="514E2260">
      <w:pPr>
        <w:rPr>
          <w:color w:val="auto"/>
        </w:rPr>
      </w:pPr>
    </w:p>
    <w:p w14:paraId="3939ABE3">
      <w:pPr>
        <w:rPr>
          <w:color w:val="auto"/>
        </w:rPr>
      </w:pPr>
    </w:p>
    <w:p w14:paraId="0AD0FC07">
      <w:pPr>
        <w:rPr>
          <w:color w:val="auto"/>
        </w:rPr>
      </w:pPr>
    </w:p>
    <w:p w14:paraId="3400C676">
      <w:pPr>
        <w:rPr>
          <w:color w:val="auto"/>
        </w:rPr>
      </w:pPr>
    </w:p>
    <w:p w14:paraId="00B952C0">
      <w:pPr>
        <w:rPr>
          <w:color w:val="auto"/>
        </w:rPr>
      </w:pPr>
    </w:p>
    <w:p w14:paraId="2C4A0FAC">
      <w:pPr>
        <w:rPr>
          <w:color w:val="auto"/>
        </w:rPr>
      </w:pPr>
    </w:p>
    <w:p w14:paraId="7EFD5786">
      <w:pPr>
        <w:rPr>
          <w:color w:val="auto"/>
        </w:rPr>
      </w:pPr>
    </w:p>
    <w:p w14:paraId="7A0CFBB1">
      <w:pPr>
        <w:rPr>
          <w:color w:val="auto"/>
        </w:rPr>
      </w:pPr>
    </w:p>
    <w:p w14:paraId="231FD301">
      <w:pPr>
        <w:rPr>
          <w:color w:val="auto"/>
        </w:rPr>
      </w:pPr>
    </w:p>
    <w:p w14:paraId="5259130D">
      <w:pPr>
        <w:rPr>
          <w:color w:val="auto"/>
        </w:rPr>
      </w:pPr>
    </w:p>
    <w:p w14:paraId="577E99B3">
      <w:pPr>
        <w:rPr>
          <w:color w:val="auto"/>
        </w:rPr>
      </w:pPr>
    </w:p>
    <w:bookmarkEnd w:id="11"/>
    <w:p w14:paraId="3F5E5BC7">
      <w:pPr>
        <w:pStyle w:val="3"/>
        <w:ind w:firstLine="2881" w:firstLineChars="900"/>
        <w:rPr>
          <w:rFonts w:hint="eastAsia" w:hAnsi="宋体" w:cs="宋体"/>
          <w:b/>
          <w:bCs/>
          <w:color w:val="auto"/>
          <w:sz w:val="32"/>
          <w:highlight w:val="white"/>
        </w:rPr>
      </w:pPr>
      <w:bookmarkStart w:id="62" w:name="_Toc31106"/>
      <w:bookmarkStart w:id="63" w:name="_Toc10364"/>
      <w:bookmarkStart w:id="64" w:name="_Toc9889_WPSOffice_Level1"/>
      <w:bookmarkStart w:id="65" w:name="_Toc28576"/>
    </w:p>
    <w:p w14:paraId="65875503">
      <w:pPr>
        <w:pStyle w:val="3"/>
        <w:ind w:firstLine="2881" w:firstLineChars="900"/>
        <w:rPr>
          <w:rFonts w:hint="eastAsia" w:hAnsi="宋体" w:cs="宋体"/>
          <w:b/>
          <w:bCs/>
          <w:color w:val="auto"/>
          <w:sz w:val="32"/>
        </w:rPr>
      </w:pPr>
      <w:r>
        <w:rPr>
          <w:rFonts w:hint="eastAsia" w:hAnsi="宋体" w:cs="宋体"/>
          <w:b/>
          <w:bCs/>
          <w:color w:val="auto"/>
          <w:sz w:val="32"/>
          <w:highlight w:val="white"/>
        </w:rPr>
        <w:t>第二章　磋商须知</w:t>
      </w:r>
      <w:bookmarkEnd w:id="62"/>
      <w:bookmarkEnd w:id="63"/>
      <w:bookmarkEnd w:id="64"/>
      <w:bookmarkEnd w:id="65"/>
    </w:p>
    <w:p w14:paraId="1E5A89F4">
      <w:pPr>
        <w:pStyle w:val="3"/>
        <w:rPr>
          <w:rFonts w:hint="eastAsia" w:hAnsi="宋体" w:cs="宋体"/>
          <w:b/>
          <w:bCs/>
          <w:color w:val="auto"/>
          <w:szCs w:val="28"/>
        </w:rPr>
      </w:pPr>
      <w:bookmarkStart w:id="66" w:name="_Toc220257383"/>
      <w:bookmarkStart w:id="67" w:name="_Toc18352"/>
      <w:bookmarkStart w:id="68" w:name="_Toc220403898"/>
      <w:bookmarkStart w:id="69" w:name="_Toc23595"/>
      <w:bookmarkStart w:id="70" w:name="_Toc12874"/>
      <w:bookmarkStart w:id="71" w:name="_Toc470101224"/>
      <w:r>
        <w:rPr>
          <w:rFonts w:hint="eastAsia" w:hAnsi="宋体" w:cs="宋体"/>
          <w:b/>
          <w:bCs/>
          <w:color w:val="auto"/>
          <w:szCs w:val="28"/>
          <w:highlight w:val="white"/>
        </w:rPr>
        <w:t>磋商须知前附表</w:t>
      </w:r>
      <w:bookmarkEnd w:id="66"/>
      <w:bookmarkEnd w:id="67"/>
      <w:bookmarkEnd w:id="68"/>
      <w:bookmarkEnd w:id="69"/>
      <w:bookmarkEnd w:id="70"/>
      <w:bookmarkEnd w:id="71"/>
    </w:p>
    <w:p w14:paraId="5C2F210A">
      <w:pPr>
        <w:spacing w:line="440" w:lineRule="exact"/>
        <w:ind w:left="-181" w:leftChars="-86" w:right="-107" w:rightChars="-51"/>
        <w:rPr>
          <w:rFonts w:hint="eastAsia" w:ascii="宋体" w:hAnsi="宋体" w:cs="宋体"/>
          <w:color w:val="auto"/>
          <w:sz w:val="22"/>
          <w:szCs w:val="24"/>
        </w:rPr>
      </w:pPr>
      <w:r>
        <w:rPr>
          <w:rFonts w:hint="eastAsia" w:ascii="宋体" w:hAnsi="宋体" w:cs="宋体"/>
          <w:color w:val="auto"/>
          <w:sz w:val="24"/>
          <w:szCs w:val="28"/>
          <w:highlight w:val="white"/>
        </w:rPr>
        <w:t>下述具体资料是对服务商须知的具体补充和修改，如果有矛盾的话，应以本资料表为准。</w:t>
      </w:r>
    </w:p>
    <w:tbl>
      <w:tblPr>
        <w:tblStyle w:val="21"/>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3"/>
        <w:gridCol w:w="1509"/>
        <w:gridCol w:w="7311"/>
      </w:tblGrid>
      <w:tr w14:paraId="4A979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723" w:type="dxa"/>
            <w:noWrap w:val="0"/>
            <w:vAlign w:val="center"/>
          </w:tcPr>
          <w:p w14:paraId="14FD8B0B">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序号</w:t>
            </w:r>
          </w:p>
        </w:tc>
        <w:tc>
          <w:tcPr>
            <w:tcW w:w="1509" w:type="dxa"/>
            <w:noWrap w:val="0"/>
            <w:vAlign w:val="center"/>
          </w:tcPr>
          <w:p w14:paraId="073180D6">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条款名称</w:t>
            </w:r>
          </w:p>
        </w:tc>
        <w:tc>
          <w:tcPr>
            <w:tcW w:w="7311" w:type="dxa"/>
            <w:noWrap w:val="0"/>
            <w:vAlign w:val="center"/>
          </w:tcPr>
          <w:p w14:paraId="02558298">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内容</w:t>
            </w:r>
          </w:p>
        </w:tc>
      </w:tr>
      <w:tr w14:paraId="6A907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723" w:type="dxa"/>
            <w:noWrap w:val="0"/>
            <w:vAlign w:val="center"/>
          </w:tcPr>
          <w:p w14:paraId="13661C60">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1</w:t>
            </w:r>
          </w:p>
        </w:tc>
        <w:tc>
          <w:tcPr>
            <w:tcW w:w="1509" w:type="dxa"/>
            <w:noWrap w:val="0"/>
            <w:vAlign w:val="center"/>
          </w:tcPr>
          <w:p w14:paraId="2DAA27B2">
            <w:pPr>
              <w:adjustRightInd w:val="0"/>
              <w:snapToGrid w:val="0"/>
              <w:spacing w:line="400" w:lineRule="exact"/>
              <w:jc w:val="center"/>
              <w:rPr>
                <w:rFonts w:hint="eastAsia" w:ascii="宋体" w:hAnsi="宋体" w:cs="宋体"/>
                <w:color w:val="auto"/>
                <w:sz w:val="24"/>
                <w:szCs w:val="24"/>
              </w:rPr>
            </w:pPr>
            <w:r>
              <w:rPr>
                <w:rFonts w:hint="eastAsia" w:ascii="宋体" w:hAnsi="宋体" w:eastAsia="宋体" w:cs="宋体"/>
                <w:color w:val="auto"/>
                <w:spacing w:val="-10"/>
                <w:sz w:val="24"/>
                <w:szCs w:val="24"/>
                <w:highlight w:val="none"/>
              </w:rPr>
              <w:t>项目名称及项目编号</w:t>
            </w:r>
          </w:p>
        </w:tc>
        <w:tc>
          <w:tcPr>
            <w:tcW w:w="7311" w:type="dxa"/>
            <w:noWrap w:val="0"/>
            <w:vAlign w:val="center"/>
          </w:tcPr>
          <w:p w14:paraId="68F05EEE">
            <w:pPr>
              <w:adjustRightInd w:val="0"/>
              <w:snapToGrid w:val="0"/>
              <w:spacing w:line="400" w:lineRule="exact"/>
              <w:rPr>
                <w:rFonts w:hint="default" w:ascii="宋体" w:hAnsi="宋体" w:eastAsia="宋体" w:cs="宋体"/>
                <w:color w:val="auto"/>
                <w:sz w:val="24"/>
                <w:szCs w:val="24"/>
                <w:lang w:val="en-US"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bookmarkEnd w:id="12"/>
      <w:tr w14:paraId="268AA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723" w:type="dxa"/>
            <w:noWrap w:val="0"/>
            <w:vAlign w:val="center"/>
          </w:tcPr>
          <w:p w14:paraId="4DF5BB2F">
            <w:pPr>
              <w:pStyle w:val="11"/>
              <w:spacing w:line="400" w:lineRule="exact"/>
              <w:jc w:val="center"/>
              <w:rPr>
                <w:rFonts w:hint="eastAsia" w:ascii="宋体" w:hAnsi="宋体" w:eastAsia="宋体" w:cs="宋体"/>
                <w:color w:val="auto"/>
                <w:szCs w:val="24"/>
              </w:rPr>
            </w:pPr>
            <w:r>
              <w:rPr>
                <w:rFonts w:hint="eastAsia" w:ascii="宋体" w:hAnsi="宋体" w:eastAsia="宋体" w:cs="宋体"/>
                <w:color w:val="auto"/>
                <w:szCs w:val="24"/>
                <w:highlight w:val="white"/>
              </w:rPr>
              <w:t>2</w:t>
            </w:r>
          </w:p>
        </w:tc>
        <w:tc>
          <w:tcPr>
            <w:tcW w:w="1509" w:type="dxa"/>
            <w:noWrap w:val="0"/>
            <w:vAlign w:val="center"/>
          </w:tcPr>
          <w:p w14:paraId="4DEB31C8">
            <w:pPr>
              <w:pStyle w:val="11"/>
              <w:spacing w:line="400" w:lineRule="exact"/>
              <w:jc w:val="center"/>
              <w:rPr>
                <w:rFonts w:hint="eastAsia" w:ascii="宋体" w:hAnsi="宋体" w:eastAsia="宋体" w:cs="宋体"/>
                <w:color w:val="auto"/>
                <w:szCs w:val="24"/>
              </w:rPr>
            </w:pPr>
            <w:r>
              <w:rPr>
                <w:rFonts w:hint="eastAsia" w:ascii="宋体" w:hAnsi="宋体" w:eastAsia="宋体" w:cs="宋体"/>
                <w:color w:val="auto"/>
                <w:szCs w:val="24"/>
                <w:highlight w:val="white"/>
              </w:rPr>
              <w:t>采购人</w:t>
            </w:r>
          </w:p>
        </w:tc>
        <w:tc>
          <w:tcPr>
            <w:tcW w:w="7311" w:type="dxa"/>
            <w:noWrap w:val="0"/>
            <w:vAlign w:val="center"/>
          </w:tcPr>
          <w:p w14:paraId="673238ED">
            <w:pPr>
              <w:adjustRightInd w:val="0"/>
              <w:snapToGrid w:val="0"/>
              <w:spacing w:line="400" w:lineRule="exact"/>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31D0E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723" w:type="dxa"/>
            <w:noWrap w:val="0"/>
            <w:vAlign w:val="center"/>
          </w:tcPr>
          <w:p w14:paraId="7E1831B6">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3</w:t>
            </w:r>
          </w:p>
        </w:tc>
        <w:tc>
          <w:tcPr>
            <w:tcW w:w="1509" w:type="dxa"/>
            <w:noWrap w:val="0"/>
            <w:vAlign w:val="center"/>
          </w:tcPr>
          <w:p w14:paraId="001C1E7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采购</w:t>
            </w:r>
          </w:p>
          <w:p w14:paraId="40F5E55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代理机构</w:t>
            </w:r>
          </w:p>
        </w:tc>
        <w:tc>
          <w:tcPr>
            <w:tcW w:w="7311" w:type="dxa"/>
            <w:noWrap w:val="0"/>
            <w:vAlign w:val="center"/>
          </w:tcPr>
          <w:p w14:paraId="29412782">
            <w:pPr>
              <w:spacing w:line="400" w:lineRule="exact"/>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1A19B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723" w:type="dxa"/>
            <w:noWrap w:val="0"/>
            <w:vAlign w:val="center"/>
          </w:tcPr>
          <w:p w14:paraId="5BA9E38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4</w:t>
            </w:r>
          </w:p>
        </w:tc>
        <w:tc>
          <w:tcPr>
            <w:tcW w:w="1509" w:type="dxa"/>
            <w:noWrap w:val="0"/>
            <w:vAlign w:val="center"/>
          </w:tcPr>
          <w:p w14:paraId="059243A5">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是否接受联合体</w:t>
            </w:r>
            <w:r>
              <w:rPr>
                <w:rFonts w:hint="eastAsia" w:ascii="宋体" w:hAnsi="宋体" w:eastAsia="宋体" w:cs="宋体"/>
                <w:color w:val="auto"/>
                <w:spacing w:val="3"/>
                <w:sz w:val="24"/>
                <w:szCs w:val="24"/>
                <w:highlight w:val="none"/>
                <w:lang w:eastAsia="zh-CN"/>
              </w:rPr>
              <w:t>磋商</w:t>
            </w:r>
          </w:p>
        </w:tc>
        <w:tc>
          <w:tcPr>
            <w:tcW w:w="7311" w:type="dxa"/>
            <w:noWrap w:val="0"/>
            <w:vAlign w:val="center"/>
          </w:tcPr>
          <w:p w14:paraId="4DDFA602">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本项目是否接受联合体</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2"/>
                <w:sz w:val="24"/>
                <w:szCs w:val="24"/>
                <w:highlight w:val="none"/>
                <w:lang w:eastAsia="zh-CN"/>
              </w:rPr>
              <w:t>”</w:t>
            </w:r>
          </w:p>
          <w:p w14:paraId="3912DD10">
            <w:pPr>
              <w:adjustRightInd w:val="0"/>
              <w:snapToGrid w:val="0"/>
              <w:spacing w:line="400" w:lineRule="exact"/>
              <w:jc w:val="center"/>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(接受联合体的，除联</w:t>
            </w:r>
            <w:r>
              <w:rPr>
                <w:rFonts w:ascii="宋体" w:hAnsi="宋体" w:eastAsia="宋体" w:cs="宋体"/>
                <w:color w:val="auto"/>
                <w:sz w:val="24"/>
                <w:szCs w:val="24"/>
                <w:highlight w:val="none"/>
                <w:lang w:eastAsia="zh-CN"/>
              </w:rPr>
              <w:t>合体协议和</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特殊要求外，</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中要求盖章或签字处仅需联合</w:t>
            </w:r>
            <w:r>
              <w:rPr>
                <w:rFonts w:ascii="宋体" w:hAnsi="宋体" w:eastAsia="宋体" w:cs="宋体"/>
                <w:color w:val="auto"/>
                <w:spacing w:val="-1"/>
                <w:sz w:val="24"/>
                <w:szCs w:val="24"/>
                <w:highlight w:val="none"/>
                <w:lang w:eastAsia="zh-CN"/>
              </w:rPr>
              <w:t>体牵</w:t>
            </w:r>
            <w:r>
              <w:rPr>
                <w:rFonts w:ascii="宋体" w:hAnsi="宋体" w:eastAsia="宋体" w:cs="宋体"/>
                <w:color w:val="auto"/>
                <w:spacing w:val="-2"/>
                <w:sz w:val="24"/>
                <w:szCs w:val="24"/>
                <w:highlight w:val="none"/>
                <w:lang w:eastAsia="zh-CN"/>
              </w:rPr>
              <w:t>头单位盖章或签字。）</w:t>
            </w:r>
          </w:p>
        </w:tc>
      </w:tr>
      <w:tr w14:paraId="580D2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723" w:type="dxa"/>
            <w:noWrap w:val="0"/>
            <w:vAlign w:val="center"/>
          </w:tcPr>
          <w:p w14:paraId="0EBACFF8">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5</w:t>
            </w:r>
          </w:p>
        </w:tc>
        <w:tc>
          <w:tcPr>
            <w:tcW w:w="1509" w:type="dxa"/>
            <w:noWrap w:val="0"/>
            <w:vAlign w:val="center"/>
          </w:tcPr>
          <w:p w14:paraId="39E4BA48">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z w:val="24"/>
                <w:szCs w:val="24"/>
                <w:highlight w:val="none"/>
                <w:lang w:eastAsia="zh-CN"/>
              </w:rPr>
            </w:pPr>
          </w:p>
          <w:p w14:paraId="2F872F32">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0FDE6043">
            <w:pPr>
              <w:pStyle w:val="5"/>
              <w:spacing w:line="440" w:lineRule="exact"/>
              <w:ind w:firstLine="0" w:firstLineChars="0"/>
              <w:jc w:val="center"/>
              <w:rPr>
                <w:rFonts w:hint="eastAsia" w:ascii="宋体" w:hAnsi="宋体" w:cs="宋体"/>
                <w:color w:val="auto"/>
                <w:sz w:val="24"/>
              </w:rPr>
            </w:pPr>
          </w:p>
        </w:tc>
        <w:tc>
          <w:tcPr>
            <w:tcW w:w="7311" w:type="dxa"/>
            <w:noWrap w:val="0"/>
            <w:vAlign w:val="center"/>
          </w:tcPr>
          <w:p w14:paraId="473AEC97">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101" w:firstLineChars="42"/>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服务商应当提交的资格、资信证明文件</w:t>
            </w:r>
          </w:p>
          <w:p w14:paraId="1ABD9EFC">
            <w:pPr>
              <w:keepNext w:val="0"/>
              <w:keepLines w:val="0"/>
              <w:pageBreakBefore w:val="0"/>
              <w:widowControl w:val="0"/>
              <w:kinsoku/>
              <w:wordWrap/>
              <w:overflowPunct/>
              <w:topLinePunct/>
              <w:autoSpaceDE w:val="0"/>
              <w:autoSpaceDN w:val="0"/>
              <w:bidi w:val="0"/>
              <w:adjustRightInd w:val="0"/>
              <w:snapToGrid w:val="0"/>
              <w:spacing w:line="360" w:lineRule="auto"/>
              <w:ind w:left="240" w:leftChars="0" w:right="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（1）合格的</w:t>
            </w:r>
            <w:r>
              <w:rPr>
                <w:rFonts w:hint="eastAsia" w:ascii="宋体" w:hAnsi="宋体" w:eastAsia="宋体" w:cs="宋体"/>
                <w:bCs/>
                <w:color w:val="auto"/>
                <w:sz w:val="24"/>
                <w:szCs w:val="24"/>
                <w:highlight w:val="none"/>
                <w:lang w:eastAsia="zh-CN"/>
              </w:rPr>
              <w:t>服务商</w:t>
            </w:r>
            <w:r>
              <w:rPr>
                <w:rFonts w:hint="eastAsia" w:ascii="宋体" w:hAnsi="宋体" w:eastAsia="宋体" w:cs="宋体"/>
                <w:bCs/>
                <w:color w:val="auto"/>
                <w:sz w:val="24"/>
                <w:szCs w:val="24"/>
                <w:highlight w:val="none"/>
              </w:rPr>
              <w:t xml:space="preserve">资格证明文件：详见第四章 </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w:t>
            </w:r>
          </w:p>
          <w:p w14:paraId="74F09A77">
            <w:pPr>
              <w:keepNext w:val="0"/>
              <w:keepLines w:val="0"/>
              <w:pageBreakBefore w:val="0"/>
              <w:widowControl w:val="0"/>
              <w:kinsoku/>
              <w:wordWrap/>
              <w:overflowPunct/>
              <w:topLinePunct/>
              <w:autoSpaceDE w:val="0"/>
              <w:autoSpaceDN w:val="0"/>
              <w:bidi w:val="0"/>
              <w:adjustRightInd w:val="0"/>
              <w:snapToGrid w:val="0"/>
              <w:spacing w:line="360" w:lineRule="auto"/>
              <w:ind w:left="240" w:leftChars="0" w:right="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信用查询：采购人或者采购代理机构在资格审查结束前，对服务商进行信用查询。</w:t>
            </w:r>
          </w:p>
          <w:p w14:paraId="029C5FC8">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①查询渠道：通过“信用中国”网站（</w:t>
            </w:r>
            <w:r>
              <w:rPr>
                <w:rFonts w:hint="eastAsia" w:ascii="宋体" w:hAnsi="宋体" w:eastAsia="宋体" w:cs="宋体"/>
                <w:color w:val="auto"/>
                <w:sz w:val="24"/>
                <w:szCs w:val="24"/>
                <w:highlight w:val="none"/>
                <w:u w:val="single"/>
                <w:lang w:val="en-US" w:eastAsia="zh-CN"/>
              </w:rPr>
              <w:t>www.creditchina.gov.cn</w:t>
            </w:r>
            <w:r>
              <w:rPr>
                <w:rFonts w:hint="eastAsia" w:ascii="宋体" w:hAnsi="宋体" w:eastAsia="宋体" w:cs="宋体"/>
                <w:color w:val="auto"/>
                <w:sz w:val="24"/>
                <w:szCs w:val="24"/>
                <w:highlight w:val="none"/>
                <w:lang w:val="en-US" w:eastAsia="zh-CN"/>
              </w:rPr>
              <w:t>）、中国政府采购网（</w:t>
            </w:r>
            <w:r>
              <w:rPr>
                <w:rFonts w:hint="eastAsia" w:ascii="宋体" w:hAnsi="宋体" w:eastAsia="宋体" w:cs="宋体"/>
                <w:color w:val="auto"/>
                <w:sz w:val="24"/>
                <w:szCs w:val="24"/>
                <w:highlight w:val="none"/>
                <w:u w:val="single"/>
                <w:lang w:val="en-US" w:eastAsia="zh-CN"/>
              </w:rPr>
              <w:t>www.ccgp.gov.cn</w:t>
            </w:r>
            <w:r>
              <w:rPr>
                <w:rFonts w:hint="eastAsia" w:ascii="宋体" w:hAnsi="宋体" w:eastAsia="宋体" w:cs="宋体"/>
                <w:color w:val="auto"/>
                <w:sz w:val="24"/>
                <w:szCs w:val="24"/>
                <w:highlight w:val="none"/>
                <w:lang w:val="en-US" w:eastAsia="zh-CN"/>
              </w:rPr>
              <w:t>）进行查询；</w:t>
            </w:r>
          </w:p>
          <w:p w14:paraId="5725CD2C">
            <w:pPr>
              <w:keepNext w:val="0"/>
              <w:keepLines w:val="0"/>
              <w:pageBreakBefore w:val="0"/>
              <w:widowControl w:val="0"/>
              <w:kinsoku/>
              <w:wordWrap/>
              <w:overflowPunct/>
              <w:topLinePunct/>
              <w:autoSpaceDE w:val="0"/>
              <w:autoSpaceDN w:val="0"/>
              <w:bidi w:val="0"/>
              <w:adjustRightInd w:val="0"/>
              <w:snapToGrid w:val="0"/>
              <w:spacing w:line="360" w:lineRule="auto"/>
              <w:ind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②查询截止时点：资格审查结束前；</w:t>
            </w:r>
          </w:p>
          <w:p w14:paraId="3036B748">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③查询记录和证据留存方式：在查询网站中直接打印查询记录，截图另存为电子文档作为评审资料保存；</w:t>
            </w:r>
          </w:p>
          <w:p w14:paraId="58069FA0">
            <w:pPr>
              <w:spacing w:line="440" w:lineRule="exact"/>
              <w:rPr>
                <w:rFonts w:hint="eastAsia" w:ascii="宋体" w:hAnsi="宋体" w:cs="宋体"/>
                <w:color w:val="auto"/>
                <w:sz w:val="24"/>
                <w:szCs w:val="24"/>
              </w:rPr>
            </w:pPr>
            <w:r>
              <w:rPr>
                <w:rFonts w:hint="eastAsia" w:ascii="宋体" w:hAnsi="宋体" w:eastAsia="宋体" w:cs="宋体"/>
                <w:bCs/>
                <w:snapToGrid w:val="0"/>
                <w:color w:val="auto"/>
                <w:sz w:val="24"/>
                <w:szCs w:val="24"/>
                <w:highlight w:val="none"/>
                <w:lang w:val="en-US" w:eastAsia="zh-CN" w:bidi="ar-SA"/>
              </w:rPr>
              <w:t>④信用信息的使用规则：对被列入失信被执行人、重大税收违法失信主体、政府采购严重违法失信行为记录名单及其他不符合《中华人民共和国政府采购法》第二十二条规定条件的服务商，拒绝其参与政府采购活动。两个以上的自然人、法人或者其他组织组成一个联合体，以一个服务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服务商）的，视同联合体存在不良信用记录。（如在上述网站查询结果均显示没有相关记录，视为不存在上述不良信用记录）</w:t>
            </w:r>
          </w:p>
        </w:tc>
      </w:tr>
      <w:tr w14:paraId="1637D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67D376D3">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6</w:t>
            </w:r>
          </w:p>
        </w:tc>
        <w:tc>
          <w:tcPr>
            <w:tcW w:w="1509" w:type="dxa"/>
            <w:noWrap w:val="0"/>
            <w:vAlign w:val="center"/>
          </w:tcPr>
          <w:p w14:paraId="2F950DA7">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kern w:val="0"/>
                <w:sz w:val="24"/>
                <w:szCs w:val="24"/>
                <w:highlight w:val="white"/>
                <w:lang w:bidi="ar"/>
              </w:rPr>
              <w:t>磋商时间与地址</w:t>
            </w:r>
          </w:p>
        </w:tc>
        <w:tc>
          <w:tcPr>
            <w:tcW w:w="7311" w:type="dxa"/>
            <w:noWrap w:val="0"/>
            <w:vAlign w:val="center"/>
          </w:tcPr>
          <w:p w14:paraId="632F8AF6">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kern w:val="0"/>
                <w:sz w:val="24"/>
                <w:szCs w:val="24"/>
                <w:lang w:bidi="ar"/>
              </w:rPr>
            </w:pPr>
            <w:r>
              <w:rPr>
                <w:rFonts w:hint="eastAsia" w:ascii="宋体" w:hAnsi="宋体" w:cs="宋体"/>
                <w:color w:val="auto"/>
                <w:kern w:val="0"/>
                <w:sz w:val="24"/>
                <w:szCs w:val="24"/>
                <w:highlight w:val="white"/>
                <w:lang w:bidi="ar"/>
              </w:rPr>
              <w:t>磋商响应文件递交截止/开始磋商时间：</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p w14:paraId="39FC5E89">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sz w:val="24"/>
                <w:szCs w:val="24"/>
              </w:rPr>
            </w:pPr>
            <w:r>
              <w:rPr>
                <w:rFonts w:hint="eastAsia" w:ascii="宋体" w:hAnsi="宋体" w:cs="宋体"/>
                <w:color w:val="auto"/>
                <w:kern w:val="0"/>
                <w:sz w:val="24"/>
                <w:szCs w:val="24"/>
                <w:highlight w:val="white"/>
                <w:lang w:bidi="ar"/>
              </w:rPr>
              <w:t>磋商地址:</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701DC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5C74E7B6">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7</w:t>
            </w:r>
          </w:p>
        </w:tc>
        <w:tc>
          <w:tcPr>
            <w:tcW w:w="1509" w:type="dxa"/>
            <w:noWrap w:val="0"/>
            <w:vAlign w:val="center"/>
          </w:tcPr>
          <w:p w14:paraId="070ADCB9">
            <w:pPr>
              <w:adjustRightInd w:val="0"/>
              <w:snapToGrid w:val="0"/>
              <w:spacing w:line="400" w:lineRule="exact"/>
              <w:jc w:val="center"/>
              <w:rPr>
                <w:rFonts w:hint="eastAsia" w:ascii="宋体" w:hAnsi="宋体" w:cs="宋体"/>
                <w:color w:val="auto"/>
                <w:kern w:val="0"/>
                <w:sz w:val="24"/>
                <w:szCs w:val="24"/>
                <w:highlight w:val="white"/>
                <w:lang w:bidi="ar"/>
              </w:rPr>
            </w:pPr>
            <w:r>
              <w:rPr>
                <w:rFonts w:hint="eastAsia" w:ascii="宋体" w:hAnsi="宋体" w:eastAsia="宋体" w:cs="宋体"/>
                <w:color w:val="auto"/>
                <w:spacing w:val="3"/>
                <w:sz w:val="24"/>
                <w:szCs w:val="24"/>
                <w:highlight w:val="none"/>
                <w:lang w:val="en-US" w:eastAsia="zh-CN"/>
              </w:rPr>
              <w:t>原件及演示</w:t>
            </w:r>
          </w:p>
        </w:tc>
        <w:tc>
          <w:tcPr>
            <w:tcW w:w="7311" w:type="dxa"/>
            <w:noWrap w:val="0"/>
            <w:vAlign w:val="center"/>
          </w:tcPr>
          <w:p w14:paraId="35DD8625">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val="en-US" w:eastAsia="zh-CN"/>
              </w:rPr>
              <w:t>否</w:t>
            </w:r>
          </w:p>
          <w:p w14:paraId="49E44581">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kern w:val="0"/>
                <w:sz w:val="24"/>
                <w:szCs w:val="24"/>
                <w:highlight w:val="white"/>
                <w:lang w:bidi="ar"/>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val="en-US" w:eastAsia="zh-CN"/>
              </w:rPr>
              <w:t>否</w:t>
            </w:r>
          </w:p>
        </w:tc>
      </w:tr>
      <w:tr w14:paraId="348F1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512E28BB">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8</w:t>
            </w:r>
          </w:p>
        </w:tc>
        <w:tc>
          <w:tcPr>
            <w:tcW w:w="1509" w:type="dxa"/>
            <w:noWrap w:val="0"/>
            <w:vAlign w:val="center"/>
          </w:tcPr>
          <w:p w14:paraId="7CD1B92E">
            <w:pPr>
              <w:adjustRightInd w:val="0"/>
              <w:snapToGrid w:val="0"/>
              <w:spacing w:line="400" w:lineRule="exact"/>
              <w:jc w:val="center"/>
              <w:rPr>
                <w:rFonts w:hint="eastAsia" w:ascii="宋体" w:hAnsi="宋体" w:cs="宋体"/>
                <w:color w:val="auto"/>
                <w:kern w:val="0"/>
                <w:sz w:val="24"/>
                <w:szCs w:val="24"/>
                <w:highlight w:val="white"/>
                <w:lang w:bidi="ar"/>
              </w:rPr>
            </w:pPr>
            <w:r>
              <w:rPr>
                <w:rFonts w:hint="eastAsia" w:ascii="宋体" w:hAnsi="宋体" w:eastAsia="宋体" w:cs="宋体"/>
                <w:color w:val="auto"/>
                <w:spacing w:val="-14"/>
                <w:sz w:val="24"/>
                <w:szCs w:val="24"/>
                <w:highlight w:val="none"/>
                <w:lang w:val="en-US" w:eastAsia="zh-CN"/>
              </w:rPr>
              <w:t>分包</w:t>
            </w:r>
          </w:p>
        </w:tc>
        <w:tc>
          <w:tcPr>
            <w:tcW w:w="7311" w:type="dxa"/>
            <w:noWrap w:val="0"/>
            <w:vAlign w:val="center"/>
          </w:tcPr>
          <w:p w14:paraId="641CFA17">
            <w:pPr>
              <w:adjustRightInd w:val="0"/>
              <w:snapToGrid w:val="0"/>
              <w:spacing w:line="400" w:lineRule="exact"/>
              <w:jc w:val="left"/>
              <w:rPr>
                <w:rFonts w:hint="default" w:ascii="宋体" w:hAnsi="宋体" w:cs="宋体"/>
                <w:color w:val="auto"/>
                <w:kern w:val="0"/>
                <w:sz w:val="24"/>
                <w:szCs w:val="24"/>
                <w:highlight w:val="white"/>
                <w:lang w:val="en-US" w:bidi="ar"/>
              </w:rPr>
            </w:pPr>
            <w:r>
              <w:rPr>
                <w:rFonts w:hint="eastAsia" w:ascii="宋体" w:hAnsi="宋体" w:eastAsia="宋体" w:cs="宋体"/>
                <w:color w:val="auto"/>
                <w:spacing w:val="-14"/>
                <w:sz w:val="24"/>
                <w:szCs w:val="24"/>
                <w:highlight w:val="none"/>
                <w:lang w:val="en-US" w:eastAsia="zh-CN"/>
              </w:rPr>
              <w:t>本项目是否允许分包：不允许</w:t>
            </w:r>
          </w:p>
        </w:tc>
      </w:tr>
      <w:tr w14:paraId="24ED3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23" w:type="dxa"/>
            <w:noWrap w:val="0"/>
            <w:vAlign w:val="center"/>
          </w:tcPr>
          <w:p w14:paraId="4C84DB14">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9</w:t>
            </w:r>
          </w:p>
        </w:tc>
        <w:tc>
          <w:tcPr>
            <w:tcW w:w="1509" w:type="dxa"/>
            <w:noWrap w:val="0"/>
            <w:vAlign w:val="center"/>
          </w:tcPr>
          <w:p w14:paraId="56058B5D">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投标</w:t>
            </w:r>
          </w:p>
          <w:p w14:paraId="4BF6AC3E">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保证金</w:t>
            </w:r>
          </w:p>
        </w:tc>
        <w:tc>
          <w:tcPr>
            <w:tcW w:w="7311" w:type="dxa"/>
            <w:noWrap w:val="0"/>
            <w:vAlign w:val="center"/>
          </w:tcPr>
          <w:p w14:paraId="720B3FA6">
            <w:pPr>
              <w:pStyle w:val="5"/>
              <w:numPr>
                <w:ilvl w:val="0"/>
                <w:numId w:val="0"/>
              </w:numPr>
              <w:spacing w:line="380" w:lineRule="exact"/>
              <w:ind w:firstLine="240" w:firstLineChars="100"/>
              <w:rPr>
                <w:rFonts w:hint="eastAsia" w:ascii="宋体" w:hAnsi="宋体"/>
                <w:color w:val="auto"/>
                <w:sz w:val="24"/>
                <w:highlight w:val="white"/>
              </w:rPr>
            </w:pPr>
            <w:r>
              <w:rPr>
                <w:rFonts w:hint="eastAsia" w:ascii="宋体" w:hAnsi="宋体" w:eastAsia="宋体"/>
                <w:color w:val="auto"/>
                <w:sz w:val="24"/>
                <w:highlight w:val="white"/>
                <w:lang w:val="en-US" w:eastAsia="zh-CN"/>
              </w:rPr>
              <w:t>1、</w:t>
            </w:r>
            <w:r>
              <w:rPr>
                <w:rFonts w:hint="eastAsia" w:ascii="宋体" w:hAnsi="宋体"/>
                <w:color w:val="auto"/>
                <w:sz w:val="24"/>
                <w:highlight w:val="white"/>
              </w:rPr>
              <w:t>本项目投标保证金人民币</w:t>
            </w:r>
            <w:r>
              <w:rPr>
                <w:rFonts w:hint="eastAsia" w:ascii="宋体" w:hAnsi="Times New Roman" w:eastAsia="宋体" w:cs="Times New Roman"/>
                <w:b/>
                <w:bCs/>
                <w:color w:val="auto"/>
                <w:sz w:val="24"/>
                <w:szCs w:val="24"/>
                <w:highlight w:val="white"/>
                <w:u w:val="none"/>
                <w:lang w:val="en-US" w:eastAsia="zh-CN"/>
              </w:rPr>
              <w:t>壹万元整</w:t>
            </w:r>
            <w:r>
              <w:rPr>
                <w:rFonts w:hint="eastAsia"/>
                <w:b/>
                <w:bCs/>
                <w:color w:val="auto"/>
                <w:sz w:val="24"/>
                <w:szCs w:val="24"/>
                <w:highlight w:val="white"/>
                <w:u w:val="none"/>
              </w:rPr>
              <w:t>（￥</w:t>
            </w:r>
            <w:r>
              <w:rPr>
                <w:rFonts w:hint="eastAsia"/>
                <w:b/>
                <w:bCs/>
                <w:color w:val="auto"/>
                <w:sz w:val="24"/>
                <w:szCs w:val="24"/>
                <w:highlight w:val="white"/>
                <w:u w:val="none"/>
                <w:lang w:val="en-US" w:eastAsia="zh-CN"/>
              </w:rPr>
              <w:t>10000</w:t>
            </w:r>
            <w:r>
              <w:rPr>
                <w:rFonts w:hint="eastAsia"/>
                <w:b/>
                <w:bCs/>
                <w:color w:val="auto"/>
                <w:sz w:val="24"/>
                <w:szCs w:val="24"/>
                <w:highlight w:val="white"/>
                <w:u w:val="none"/>
              </w:rPr>
              <w:t>.00元）</w:t>
            </w:r>
            <w:r>
              <w:rPr>
                <w:rFonts w:hint="eastAsia"/>
                <w:b/>
                <w:bCs/>
                <w:color w:val="auto"/>
                <w:sz w:val="24"/>
                <w:szCs w:val="24"/>
              </w:rPr>
              <w:t>，</w:t>
            </w:r>
            <w:r>
              <w:rPr>
                <w:rFonts w:hint="eastAsia"/>
                <w:color w:val="auto"/>
                <w:sz w:val="24"/>
                <w:szCs w:val="24"/>
              </w:rPr>
              <w:t>投标保证金必须在开标时间前一天17：00前从投标人营业执照所在地本单位基本账户一次性足额缴纳至招标人指定账户，单据上须注明</w:t>
            </w:r>
            <w:r>
              <w:rPr>
                <w:rFonts w:hint="eastAsia" w:ascii="宋体" w:hAnsi="宋体"/>
                <w:b/>
                <w:color w:val="auto"/>
                <w:sz w:val="24"/>
                <w:highlight w:val="white"/>
              </w:rPr>
              <w:t>“</w:t>
            </w:r>
            <w:r>
              <w:rPr>
                <w:rFonts w:hint="eastAsia"/>
                <w:b/>
                <w:bCs/>
                <w:color w:val="auto"/>
                <w:sz w:val="24"/>
                <w:szCs w:val="24"/>
                <w:highlight w:val="white"/>
              </w:rPr>
              <w:t>仁远采字SC-【202</w:t>
            </w:r>
            <w:r>
              <w:rPr>
                <w:rFonts w:hint="eastAsia" w:eastAsia="宋体"/>
                <w:b/>
                <w:bCs/>
                <w:color w:val="auto"/>
                <w:sz w:val="24"/>
                <w:szCs w:val="24"/>
                <w:highlight w:val="white"/>
                <w:lang w:val="en-US" w:eastAsia="zh-CN"/>
              </w:rPr>
              <w:t>6</w:t>
            </w:r>
            <w:r>
              <w:rPr>
                <w:rFonts w:hint="eastAsia"/>
                <w:b/>
                <w:bCs/>
                <w:color w:val="auto"/>
                <w:sz w:val="24"/>
                <w:szCs w:val="24"/>
                <w:highlight w:val="white"/>
              </w:rPr>
              <w:t>】</w:t>
            </w:r>
            <w:r>
              <w:rPr>
                <w:rFonts w:hint="eastAsia"/>
                <w:b/>
                <w:bCs/>
                <w:color w:val="auto"/>
                <w:sz w:val="24"/>
                <w:szCs w:val="24"/>
                <w:highlight w:val="white"/>
                <w:lang w:val="en-US" w:eastAsia="zh-CN"/>
              </w:rPr>
              <w:t>003</w:t>
            </w:r>
            <w:r>
              <w:rPr>
                <w:rFonts w:hint="eastAsia"/>
                <w:b/>
                <w:bCs/>
                <w:color w:val="auto"/>
                <w:sz w:val="24"/>
                <w:szCs w:val="24"/>
                <w:highlight w:val="white"/>
              </w:rPr>
              <w:t>号</w:t>
            </w:r>
            <w:r>
              <w:rPr>
                <w:rFonts w:hint="eastAsia" w:ascii="宋体" w:hAnsi="宋体"/>
                <w:b/>
                <w:color w:val="auto"/>
                <w:sz w:val="24"/>
                <w:highlight w:val="white"/>
              </w:rPr>
              <w:t>”</w:t>
            </w:r>
            <w:r>
              <w:rPr>
                <w:rFonts w:hint="eastAsia" w:ascii="宋体" w:hAnsi="宋体"/>
                <w:color w:val="auto"/>
                <w:sz w:val="24"/>
                <w:highlight w:val="white"/>
              </w:rPr>
              <w:t>字样，投标保证金递交的开户银行及账号如下：</w:t>
            </w:r>
          </w:p>
          <w:p w14:paraId="530E0361">
            <w:pPr>
              <w:pStyle w:val="5"/>
              <w:numPr>
                <w:ilvl w:val="0"/>
                <w:numId w:val="0"/>
              </w:numPr>
              <w:spacing w:line="380" w:lineRule="exact"/>
              <w:ind w:firstLine="480" w:firstLineChars="200"/>
              <w:rPr>
                <w:rFonts w:hint="eastAsia" w:ascii="宋体" w:hAnsi="Times New Roman" w:eastAsia="宋体" w:cs="Times New Roman"/>
                <w:color w:val="auto"/>
                <w:sz w:val="24"/>
                <w:szCs w:val="24"/>
                <w:lang w:val="en-US" w:eastAsia="zh-CN"/>
              </w:rPr>
            </w:pPr>
            <w:r>
              <w:rPr>
                <w:rFonts w:hint="eastAsia"/>
                <w:color w:val="auto"/>
                <w:sz w:val="24"/>
                <w:szCs w:val="24"/>
              </w:rPr>
              <w:t>转账银行户名：</w:t>
            </w:r>
            <w:r>
              <w:rPr>
                <w:rFonts w:hint="eastAsia" w:ascii="宋体" w:hAnsi="Times New Roman" w:eastAsia="宋体" w:cs="Times New Roman"/>
                <w:color w:val="auto"/>
                <w:sz w:val="24"/>
                <w:szCs w:val="24"/>
                <w:lang w:val="en-US" w:eastAsia="zh-CN"/>
              </w:rPr>
              <w:t xml:space="preserve"> 遂川县仁远建设事务发展有限公司</w:t>
            </w:r>
          </w:p>
          <w:p w14:paraId="0D5973F5">
            <w:pPr>
              <w:pStyle w:val="5"/>
              <w:numPr>
                <w:ilvl w:val="0"/>
                <w:numId w:val="0"/>
              </w:numPr>
              <w:spacing w:line="380" w:lineRule="exact"/>
              <w:ind w:firstLine="480" w:firstLineChars="200"/>
              <w:rPr>
                <w:rFonts w:hint="eastAsia"/>
                <w:color w:val="auto"/>
                <w:sz w:val="24"/>
                <w:szCs w:val="24"/>
                <w:lang w:val="en-US" w:eastAsia="zh-CN"/>
              </w:rPr>
            </w:pPr>
            <w:r>
              <w:rPr>
                <w:rFonts w:hint="eastAsia"/>
                <w:color w:val="auto"/>
                <w:sz w:val="24"/>
                <w:szCs w:val="24"/>
              </w:rPr>
              <w:t>开户行：江西遂川农村商业银行股份有限公司</w:t>
            </w:r>
            <w:r>
              <w:rPr>
                <w:rFonts w:hint="eastAsia"/>
                <w:color w:val="auto"/>
                <w:sz w:val="24"/>
                <w:szCs w:val="24"/>
                <w:lang w:val="en-US" w:eastAsia="zh-CN"/>
              </w:rPr>
              <w:t xml:space="preserve"> </w:t>
            </w:r>
          </w:p>
          <w:p w14:paraId="04C4DC47">
            <w:pPr>
              <w:pStyle w:val="5"/>
              <w:numPr>
                <w:ilvl w:val="0"/>
                <w:numId w:val="0"/>
              </w:numPr>
              <w:spacing w:line="380" w:lineRule="exact"/>
              <w:ind w:firstLine="480" w:firstLineChars="200"/>
              <w:rPr>
                <w:rFonts w:hint="default" w:eastAsia="宋体"/>
                <w:color w:val="auto"/>
                <w:sz w:val="24"/>
                <w:szCs w:val="24"/>
                <w:lang w:val="en-US" w:eastAsia="zh-CN"/>
              </w:rPr>
            </w:pPr>
            <w:r>
              <w:rPr>
                <w:rFonts w:hint="eastAsia"/>
                <w:color w:val="auto"/>
                <w:sz w:val="24"/>
                <w:szCs w:val="24"/>
              </w:rPr>
              <w:t>账号：1780 4775 0000 0019 62</w:t>
            </w:r>
          </w:p>
          <w:p w14:paraId="2AC544D6">
            <w:pPr>
              <w:pStyle w:val="5"/>
              <w:numPr>
                <w:ilvl w:val="0"/>
                <w:numId w:val="0"/>
              </w:numPr>
              <w:spacing w:line="380" w:lineRule="exact"/>
              <w:rPr>
                <w:rFonts w:hint="eastAsia" w:ascii="宋体" w:hAnsi="宋体"/>
                <w:b/>
                <w:color w:val="auto"/>
                <w:sz w:val="24"/>
                <w:highlight w:val="white"/>
              </w:rPr>
            </w:pPr>
            <w:r>
              <w:rPr>
                <w:rFonts w:hint="eastAsia" w:ascii="宋体" w:hAnsi="宋体"/>
                <w:b/>
                <w:color w:val="auto"/>
                <w:sz w:val="24"/>
                <w:highlight w:val="white"/>
              </w:rPr>
              <w:t>注：（1）投标人必须在规定的到账时间之前一次性足额转账到达招标文件规定的账号中，并打印缴纳凭条。投标资格以投标保证金截止时间前受理保证金账户到账时间为准，未按上述约定要求缴纳投标保证金的，投标无效。</w:t>
            </w:r>
          </w:p>
          <w:p w14:paraId="03B76B5A">
            <w:pPr>
              <w:pStyle w:val="5"/>
              <w:numPr>
                <w:ilvl w:val="0"/>
                <w:numId w:val="0"/>
              </w:numPr>
              <w:spacing w:line="380" w:lineRule="exact"/>
              <w:rPr>
                <w:rFonts w:hint="eastAsia" w:ascii="宋体" w:hAnsi="宋体"/>
                <w:b/>
                <w:color w:val="auto"/>
                <w:sz w:val="24"/>
                <w:highlight w:val="white"/>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2</w:t>
            </w:r>
            <w:r>
              <w:rPr>
                <w:rFonts w:hint="eastAsia" w:ascii="宋体" w:hAnsi="宋体" w:eastAsia="宋体"/>
                <w:b/>
                <w:color w:val="auto"/>
                <w:sz w:val="24"/>
                <w:highlight w:val="white"/>
                <w:lang w:eastAsia="zh-CN"/>
              </w:rPr>
              <w:t>）</w:t>
            </w:r>
            <w:r>
              <w:rPr>
                <w:rFonts w:hint="eastAsia" w:ascii="宋体" w:hAnsi="宋体"/>
                <w:b/>
                <w:color w:val="auto"/>
                <w:sz w:val="24"/>
                <w:highlight w:val="white"/>
              </w:rPr>
              <w:t>未中标单位的保证金在中标通知书发出之日起五个工作日内不计息退还；</w:t>
            </w:r>
          </w:p>
          <w:p w14:paraId="63AF8F19">
            <w:pPr>
              <w:pStyle w:val="5"/>
              <w:numPr>
                <w:ilvl w:val="0"/>
                <w:numId w:val="0"/>
              </w:numPr>
              <w:spacing w:line="380" w:lineRule="exact"/>
              <w:jc w:val="left"/>
              <w:rPr>
                <w:rFonts w:hint="eastAsia" w:ascii="宋体" w:hAnsi="宋体" w:cs="宋体"/>
                <w:color w:val="auto"/>
                <w:sz w:val="24"/>
                <w:szCs w:val="24"/>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3</w:t>
            </w:r>
            <w:r>
              <w:rPr>
                <w:rFonts w:hint="eastAsia" w:ascii="宋体" w:hAnsi="宋体" w:eastAsia="宋体"/>
                <w:b/>
                <w:color w:val="auto"/>
                <w:sz w:val="24"/>
                <w:highlight w:val="white"/>
                <w:lang w:eastAsia="zh-CN"/>
              </w:rPr>
              <w:t>）</w:t>
            </w:r>
            <w:r>
              <w:rPr>
                <w:rFonts w:hint="eastAsia" w:ascii="宋体" w:hAnsi="宋体"/>
                <w:b/>
                <w:color w:val="auto"/>
                <w:sz w:val="24"/>
                <w:highlight w:val="white"/>
              </w:rPr>
              <w:t>中标单位的保证金，在采购合同签订后,须凭采购单位同意退还保证金的函，到遂川县仁远建设事务发展有限公司办理相关退款手续后五个工作日内不计息退还</w:t>
            </w:r>
            <w:r>
              <w:rPr>
                <w:rFonts w:hint="eastAsia" w:ascii="宋体" w:hAnsi="宋体"/>
                <w:color w:val="auto"/>
                <w:sz w:val="24"/>
                <w:highlight w:val="white"/>
              </w:rPr>
              <w:t>。</w:t>
            </w:r>
          </w:p>
        </w:tc>
      </w:tr>
      <w:tr w14:paraId="629C5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723" w:type="dxa"/>
            <w:noWrap w:val="0"/>
            <w:vAlign w:val="center"/>
          </w:tcPr>
          <w:p w14:paraId="270AC7CE">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10</w:t>
            </w:r>
          </w:p>
        </w:tc>
        <w:tc>
          <w:tcPr>
            <w:tcW w:w="1509" w:type="dxa"/>
            <w:noWrap w:val="0"/>
            <w:vAlign w:val="center"/>
          </w:tcPr>
          <w:p w14:paraId="605DC66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w:t>
            </w:r>
          </w:p>
          <w:p w14:paraId="36DD8E8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有效期</w:t>
            </w:r>
          </w:p>
        </w:tc>
        <w:tc>
          <w:tcPr>
            <w:tcW w:w="7311" w:type="dxa"/>
            <w:noWrap w:val="0"/>
            <w:vAlign w:val="center"/>
          </w:tcPr>
          <w:p w14:paraId="2AFB1E1B">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highlight w:val="white"/>
              </w:rPr>
              <w:t>磋商有效期：90 天</w:t>
            </w:r>
          </w:p>
        </w:tc>
      </w:tr>
      <w:tr w14:paraId="6C5C7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723" w:type="dxa"/>
            <w:noWrap w:val="0"/>
            <w:vAlign w:val="center"/>
          </w:tcPr>
          <w:p w14:paraId="41818AE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11</w:t>
            </w:r>
          </w:p>
        </w:tc>
        <w:tc>
          <w:tcPr>
            <w:tcW w:w="1509" w:type="dxa"/>
            <w:noWrap w:val="0"/>
            <w:vAlign w:val="center"/>
          </w:tcPr>
          <w:p w14:paraId="39183D0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磋商响应</w:t>
            </w:r>
          </w:p>
          <w:p w14:paraId="53C9FB2B">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white"/>
              </w:rPr>
              <w:t>文件</w:t>
            </w:r>
            <w:r>
              <w:rPr>
                <w:rFonts w:hint="eastAsia" w:ascii="宋体" w:hAnsi="宋体" w:cs="宋体"/>
                <w:color w:val="auto"/>
                <w:sz w:val="24"/>
                <w:szCs w:val="24"/>
                <w:highlight w:val="white"/>
                <w:lang w:val="en-US" w:eastAsia="zh-CN"/>
              </w:rPr>
              <w:t>份数</w:t>
            </w:r>
          </w:p>
        </w:tc>
        <w:tc>
          <w:tcPr>
            <w:tcW w:w="7311" w:type="dxa"/>
            <w:noWrap w:val="0"/>
            <w:vAlign w:val="center"/>
          </w:tcPr>
          <w:p w14:paraId="575EF7BC">
            <w:pPr>
              <w:adjustRightInd w:val="0"/>
              <w:snapToGrid w:val="0"/>
              <w:spacing w:line="400" w:lineRule="exact"/>
              <w:rPr>
                <w:rFonts w:hint="eastAsia" w:ascii="宋体" w:hAnsi="宋体" w:cs="宋体"/>
                <w:b/>
                <w:color w:val="auto"/>
                <w:sz w:val="24"/>
                <w:szCs w:val="24"/>
              </w:rPr>
            </w:pPr>
            <w:r>
              <w:rPr>
                <w:rFonts w:hint="eastAsia" w:ascii="宋体" w:hAnsi="宋体" w:cs="宋体"/>
                <w:bCs/>
                <w:color w:val="auto"/>
                <w:sz w:val="24"/>
              </w:rPr>
              <w:t>各服务商</w:t>
            </w:r>
            <w:r>
              <w:rPr>
                <w:rFonts w:hint="eastAsia" w:ascii="宋体" w:hAnsi="宋体" w:eastAsia="宋体" w:cs="宋体"/>
                <w:bCs/>
                <w:color w:val="auto"/>
                <w:sz w:val="24"/>
              </w:rPr>
              <w:t>在投标时应准备</w:t>
            </w:r>
            <w:r>
              <w:rPr>
                <w:rFonts w:hint="eastAsia" w:ascii="宋体" w:hAnsi="宋体" w:eastAsia="宋体" w:cs="宋体"/>
                <w:bCs/>
                <w:color w:val="auto"/>
                <w:sz w:val="24"/>
                <w:lang w:val="en-US" w:eastAsia="zh-CN"/>
              </w:rPr>
              <w:t>三</w:t>
            </w:r>
            <w:r>
              <w:rPr>
                <w:rFonts w:hint="eastAsia" w:ascii="宋体" w:hAnsi="宋体" w:eastAsia="宋体" w:cs="宋体"/>
                <w:bCs/>
                <w:color w:val="auto"/>
                <w:sz w:val="24"/>
              </w:rPr>
              <w:t>份纸质</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文件（1份正本、</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份副本）</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文件的正本与副本如有不一致之处，以正本为准。</w:t>
            </w:r>
          </w:p>
        </w:tc>
      </w:tr>
      <w:tr w14:paraId="0979A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723" w:type="dxa"/>
            <w:noWrap w:val="0"/>
            <w:vAlign w:val="center"/>
          </w:tcPr>
          <w:p w14:paraId="08ED2D93">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12</w:t>
            </w:r>
          </w:p>
        </w:tc>
        <w:tc>
          <w:tcPr>
            <w:tcW w:w="1509" w:type="dxa"/>
            <w:noWrap w:val="0"/>
            <w:vAlign w:val="center"/>
          </w:tcPr>
          <w:p w14:paraId="599142DF">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磋商文件的澄清和修改</w:t>
            </w:r>
          </w:p>
        </w:tc>
        <w:tc>
          <w:tcPr>
            <w:tcW w:w="7311" w:type="dxa"/>
            <w:noWrap w:val="0"/>
            <w:vAlign w:val="center"/>
          </w:tcPr>
          <w:p w14:paraId="5EEBE939">
            <w:pPr>
              <w:spacing w:line="440" w:lineRule="exact"/>
              <w:ind w:firstLine="240" w:firstLineChars="100"/>
              <w:rPr>
                <w:rFonts w:hint="eastAsia" w:ascii="宋体" w:hAnsi="宋体" w:eastAsia="宋体" w:cs="宋体"/>
                <w:b/>
                <w:color w:val="auto"/>
                <w:sz w:val="24"/>
                <w:szCs w:val="24"/>
                <w:lang w:eastAsia="zh-CN"/>
              </w:rPr>
            </w:pPr>
            <w:r>
              <w:rPr>
                <w:rFonts w:hint="eastAsia" w:ascii="宋体" w:hAnsi="宋体" w:cs="宋体"/>
                <w:color w:val="auto"/>
                <w:sz w:val="24"/>
                <w:szCs w:val="24"/>
              </w:rPr>
              <w:t>磋商文件的澄清和修改内容详见</w:t>
            </w:r>
            <w:r>
              <w:rPr>
                <w:rFonts w:hint="eastAsia" w:ascii="宋体" w:hAnsi="宋体" w:cs="宋体"/>
                <w:bCs/>
                <w:color w:val="auto"/>
                <w:sz w:val="24"/>
                <w:szCs w:val="24"/>
                <w:highlight w:val="white"/>
                <w:lang w:val="en-US" w:eastAsia="zh-CN"/>
              </w:rPr>
              <w:t>中国招标投标公共服务平台官网、</w:t>
            </w:r>
            <w:r>
              <w:rPr>
                <w:rFonts w:hint="eastAsia"/>
                <w:color w:val="auto"/>
                <w:sz w:val="24"/>
                <w:szCs w:val="24"/>
                <w:highlight w:val="white"/>
                <w:u w:val="none"/>
                <w:lang w:val="en-US" w:eastAsia="zh-CN"/>
              </w:rPr>
              <w:t>江西省招标投标网</w:t>
            </w:r>
            <w:r>
              <w:rPr>
                <w:rFonts w:hint="eastAsia" w:ascii="宋体" w:hAnsi="宋体" w:cs="宋体"/>
                <w:color w:val="auto"/>
                <w:sz w:val="24"/>
                <w:szCs w:val="24"/>
              </w:rPr>
              <w:t>，服务商密切关注网站的最新澄清消息，澄清和修改一经发布，视为</w:t>
            </w:r>
            <w:r>
              <w:rPr>
                <w:rFonts w:hint="eastAsia" w:ascii="宋体" w:hAnsi="宋体" w:cs="宋体"/>
                <w:color w:val="auto"/>
                <w:sz w:val="24"/>
                <w:szCs w:val="24"/>
                <w:lang w:val="en-US" w:eastAsia="zh-CN"/>
              </w:rPr>
              <w:t>服</w:t>
            </w:r>
            <w:r>
              <w:rPr>
                <w:rFonts w:hint="eastAsia" w:ascii="宋体" w:hAnsi="宋体" w:cs="宋体"/>
                <w:color w:val="auto"/>
                <w:sz w:val="24"/>
                <w:szCs w:val="24"/>
              </w:rPr>
              <w:t>务商已收到</w:t>
            </w:r>
            <w:r>
              <w:rPr>
                <w:rFonts w:hint="eastAsia" w:ascii="宋体" w:hAnsi="宋体" w:eastAsia="宋体" w:cs="宋体"/>
                <w:color w:val="auto"/>
                <w:sz w:val="24"/>
                <w:szCs w:val="24"/>
                <w:lang w:eastAsia="zh-CN"/>
              </w:rPr>
              <w:t>。</w:t>
            </w:r>
          </w:p>
        </w:tc>
      </w:tr>
      <w:tr w14:paraId="6A641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23" w:type="dxa"/>
            <w:noWrap w:val="0"/>
            <w:vAlign w:val="center"/>
          </w:tcPr>
          <w:p w14:paraId="5FBFD2FD">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13</w:t>
            </w:r>
          </w:p>
        </w:tc>
        <w:tc>
          <w:tcPr>
            <w:tcW w:w="1509" w:type="dxa"/>
            <w:noWrap w:val="0"/>
            <w:vAlign w:val="center"/>
          </w:tcPr>
          <w:p w14:paraId="1F33985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代理服务费</w:t>
            </w:r>
          </w:p>
        </w:tc>
        <w:tc>
          <w:tcPr>
            <w:tcW w:w="7311" w:type="dxa"/>
            <w:noWrap w:val="0"/>
            <w:vAlign w:val="center"/>
          </w:tcPr>
          <w:p w14:paraId="6D59F5BE">
            <w:pPr>
              <w:widowControl/>
              <w:spacing w:line="400" w:lineRule="exact"/>
              <w:ind w:left="240" w:hanging="240" w:hangingChars="1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采购代理服务费：向中标供应商收取采购代理服务费，</w:t>
            </w:r>
            <w:r>
              <w:rPr>
                <w:rFonts w:hint="eastAsia" w:ascii="宋体" w:hAnsi="宋体" w:eastAsia="宋体" w:cs="宋体"/>
                <w:b/>
                <w:bCs/>
                <w:color w:val="auto"/>
                <w:sz w:val="24"/>
                <w:szCs w:val="24"/>
                <w:highlight w:val="white"/>
                <w:u w:val="single"/>
                <w:lang w:val="en-US" w:eastAsia="zh-CN"/>
              </w:rPr>
              <w:t>壹万元整</w:t>
            </w:r>
            <w:r>
              <w:rPr>
                <w:rFonts w:hint="eastAsia" w:ascii="宋体" w:hAnsi="宋体" w:cs="宋体"/>
                <w:color w:val="auto"/>
                <w:sz w:val="24"/>
                <w:szCs w:val="24"/>
                <w:highlight w:val="white"/>
              </w:rPr>
              <w:t>，请各投标供应商充分考虑这一因素</w:t>
            </w:r>
            <w:r>
              <w:rPr>
                <w:rFonts w:hint="eastAsia" w:ascii="宋体" w:hAnsi="宋体" w:eastAsia="宋体" w:cs="宋体"/>
                <w:color w:val="auto"/>
                <w:sz w:val="24"/>
                <w:szCs w:val="24"/>
                <w:highlight w:val="white"/>
                <w:lang w:eastAsia="zh-CN"/>
              </w:rPr>
              <w:t>，</w:t>
            </w:r>
            <w:r>
              <w:rPr>
                <w:rFonts w:hint="eastAsia" w:ascii="宋体" w:hAnsi="宋体" w:eastAsia="宋体" w:cs="宋体"/>
                <w:i w:val="0"/>
                <w:iCs w:val="0"/>
                <w:color w:val="auto"/>
                <w:sz w:val="24"/>
                <w:szCs w:val="24"/>
                <w:highlight w:val="none"/>
                <w:lang w:val="en-US" w:eastAsia="zh-CN"/>
              </w:rPr>
              <w:t>成交服务商</w:t>
            </w:r>
            <w:r>
              <w:rPr>
                <w:rFonts w:hint="eastAsia" w:ascii="宋体" w:hAnsi="宋体" w:eastAsia="宋体" w:cs="宋体"/>
                <w:i w:val="0"/>
                <w:iCs w:val="0"/>
                <w:color w:val="auto"/>
                <w:sz w:val="24"/>
                <w:szCs w:val="24"/>
                <w:highlight w:val="none"/>
                <w:lang w:val="zh-CN" w:eastAsia="zh-CN"/>
              </w:rPr>
              <w:t>在领取《</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eastAsia="zh-CN"/>
              </w:rPr>
              <w:t>通知书》时支付</w:t>
            </w:r>
          </w:p>
        </w:tc>
      </w:tr>
      <w:tr w14:paraId="0740E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74D8738B">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14</w:t>
            </w:r>
          </w:p>
        </w:tc>
        <w:tc>
          <w:tcPr>
            <w:tcW w:w="1509" w:type="dxa"/>
            <w:noWrap w:val="0"/>
            <w:vAlign w:val="center"/>
          </w:tcPr>
          <w:p w14:paraId="724D377C">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评标标准和方法</w:t>
            </w:r>
          </w:p>
        </w:tc>
        <w:tc>
          <w:tcPr>
            <w:tcW w:w="7311" w:type="dxa"/>
            <w:noWrap w:val="0"/>
            <w:vAlign w:val="center"/>
          </w:tcPr>
          <w:p w14:paraId="45E80238">
            <w:pPr>
              <w:widowControl/>
              <w:spacing w:line="400" w:lineRule="exact"/>
              <w:rPr>
                <w:rFonts w:hint="eastAsia"/>
                <w:color w:val="auto"/>
              </w:rPr>
            </w:pPr>
            <w:r>
              <w:rPr>
                <w:rFonts w:hint="eastAsia" w:ascii="宋体" w:hAnsi="宋体" w:cs="宋体"/>
                <w:color w:val="auto"/>
                <w:sz w:val="24"/>
                <w:szCs w:val="24"/>
              </w:rPr>
              <w:t>本项目采用综合评分法（详见评审办法）</w:t>
            </w:r>
          </w:p>
        </w:tc>
      </w:tr>
      <w:tr w14:paraId="39CBB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18CF104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15</w:t>
            </w:r>
          </w:p>
        </w:tc>
        <w:tc>
          <w:tcPr>
            <w:tcW w:w="1509" w:type="dxa"/>
            <w:noWrap w:val="0"/>
            <w:vAlign w:val="center"/>
          </w:tcPr>
          <w:p w14:paraId="5E4BF539">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履约保证金</w:t>
            </w:r>
          </w:p>
        </w:tc>
        <w:tc>
          <w:tcPr>
            <w:tcW w:w="7311" w:type="dxa"/>
            <w:noWrap w:val="0"/>
            <w:vAlign w:val="center"/>
          </w:tcPr>
          <w:p w14:paraId="195D8795">
            <w:pPr>
              <w:keepNext w:val="0"/>
              <w:keepLines w:val="0"/>
              <w:pageBreakBefore w:val="0"/>
              <w:widowControl w:val="0"/>
              <w:kinsoku/>
              <w:wordWrap/>
              <w:overflowPunct/>
              <w:topLinePunct/>
              <w:autoSpaceDE w:val="0"/>
              <w:autoSpaceDN w:val="0"/>
              <w:bidi w:val="0"/>
              <w:adjustRightInd w:val="0"/>
              <w:snapToGrid w:val="0"/>
              <w:spacing w:line="360" w:lineRule="auto"/>
              <w:ind w:right="0"/>
              <w:jc w:val="both"/>
              <w:rPr>
                <w:rFonts w:hint="default" w:ascii="宋体" w:hAnsi="宋体" w:eastAsia="宋体" w:cs="宋体"/>
                <w:color w:val="auto"/>
                <w:spacing w:val="-6"/>
                <w:sz w:val="24"/>
                <w:szCs w:val="24"/>
                <w:highlight w:val="none"/>
                <w:lang w:val="en-US" w:eastAsia="zh-CN"/>
                <w14:textOutline w14:w="4356" w14:cap="sq" w14:cmpd="sng" w14:algn="ctr">
                  <w14:solidFill>
                    <w14:srgbClr w14:val="000000"/>
                  </w14:solidFill>
                  <w14:prstDash w14:val="solid"/>
                  <w14:bevel/>
                </w14:textOutline>
              </w:rPr>
            </w:pPr>
            <w:r>
              <w:rPr>
                <w:rFonts w:ascii="宋体" w:hAnsi="宋体" w:eastAsia="宋体" w:cs="宋体"/>
                <w:color w:val="auto"/>
                <w:spacing w:val="0"/>
                <w:sz w:val="24"/>
                <w:szCs w:val="24"/>
                <w:highlight w:val="none"/>
                <w:lang w:eastAsia="zh-CN"/>
              </w:rPr>
              <w:t>履约保证金金额：</w:t>
            </w:r>
            <w:r>
              <w:rPr>
                <w:rFonts w:hint="eastAsia" w:ascii="宋体" w:hAnsi="宋体" w:eastAsia="宋体" w:cs="宋体"/>
                <w:b/>
                <w:bCs/>
                <w:color w:val="auto"/>
                <w:spacing w:val="0"/>
                <w:sz w:val="24"/>
                <w:szCs w:val="24"/>
                <w:highlight w:val="none"/>
                <w:u w:val="single"/>
                <w:lang w:val="en-US" w:eastAsia="zh-CN"/>
              </w:rPr>
              <w:t>肆万元整</w:t>
            </w:r>
          </w:p>
          <w:p w14:paraId="0184D589">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本项目履约保证金应当以支票、汇票、本票或者金融机构、担保机构出具的保函等非现金形式提交。</w:t>
            </w:r>
          </w:p>
          <w:p w14:paraId="25007EA6">
            <w:pPr>
              <w:keepNext w:val="0"/>
              <w:keepLines w:val="0"/>
              <w:pageBreakBefore w:val="0"/>
              <w:kinsoku w:val="0"/>
              <w:wordWrap/>
              <w:overflowPunct/>
              <w:topLinePunct/>
              <w:autoSpaceDE w:val="0"/>
              <w:autoSpaceDN w:val="0"/>
              <w:bidi w:val="0"/>
              <w:adjustRightInd w:val="0"/>
              <w:snapToGrid w:val="0"/>
              <w:spacing w:before="68" w:beforeLines="20" w:line="360" w:lineRule="auto"/>
              <w:ind w:left="105" w:leftChars="50" w:right="105" w:rightChars="50"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 xml:space="preserve"> 履约完成后</w:t>
            </w:r>
            <w:r>
              <w:rPr>
                <w:rFonts w:hint="default" w:ascii="宋体" w:hAnsi="宋体" w:eastAsia="宋体" w:cs="宋体"/>
                <w:color w:val="auto"/>
                <w:spacing w:val="0"/>
                <w:position w:val="0"/>
                <w:sz w:val="24"/>
                <w:szCs w:val="24"/>
                <w:highlight w:val="none"/>
                <w:u w:val="single"/>
                <w:lang w:val="en-US" w:eastAsia="zh-CN"/>
              </w:rPr>
              <w:t>5个工作日内</w:t>
            </w:r>
            <w:r>
              <w:rPr>
                <w:rFonts w:hint="eastAsia" w:ascii="宋体" w:hAnsi="宋体" w:eastAsia="宋体" w:cs="宋体"/>
                <w:color w:val="auto"/>
                <w:spacing w:val="0"/>
                <w:position w:val="0"/>
                <w:sz w:val="24"/>
                <w:szCs w:val="24"/>
                <w:highlight w:val="none"/>
                <w:u w:val="single"/>
                <w:lang w:val="en-US" w:eastAsia="zh-CN"/>
              </w:rPr>
              <w:t>无息退还。</w:t>
            </w:r>
          </w:p>
          <w:p w14:paraId="449105E1">
            <w:pPr>
              <w:keepNext w:val="0"/>
              <w:keepLines w:val="0"/>
              <w:pageBreakBefore w:val="0"/>
              <w:kinsoku w:val="0"/>
              <w:wordWrap/>
              <w:overflowPunct/>
              <w:topLinePunct/>
              <w:autoSpaceDE w:val="0"/>
              <w:autoSpaceDN w:val="0"/>
              <w:bidi w:val="0"/>
              <w:adjustRightInd w:val="0"/>
              <w:snapToGrid w:val="0"/>
              <w:spacing w:before="68" w:beforeLines="20" w:line="360" w:lineRule="auto"/>
              <w:ind w:left="105" w:leftChars="50" w:right="105" w:rightChars="50" w:firstLine="0" w:firstLineChars="0"/>
              <w:textAlignment w:val="baseline"/>
              <w:rPr>
                <w:rFonts w:hint="eastAsia"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 xml:space="preserve"> 签订合同后，如成交服务商不按双方签订的合同规定履约，则没收其全部履约保证金，履约保证金不足以赔偿损失的，按实际损失赔偿。</w:t>
            </w:r>
          </w:p>
          <w:p w14:paraId="184958D6">
            <w:pPr>
              <w:widowControl/>
              <w:spacing w:line="400" w:lineRule="exact"/>
              <w:rPr>
                <w:rFonts w:hint="eastAsia" w:ascii="宋体" w:hAnsi="宋体" w:cs="宋体"/>
                <w:color w:val="auto"/>
                <w:sz w:val="24"/>
                <w:szCs w:val="24"/>
              </w:rPr>
            </w:pPr>
            <w:r>
              <w:rPr>
                <w:rFonts w:hint="eastAsia" w:ascii="宋体" w:hAnsi="宋体" w:eastAsia="宋体" w:cs="宋体"/>
                <w:color w:val="auto"/>
                <w:spacing w:val="0"/>
                <w:position w:val="0"/>
                <w:sz w:val="24"/>
                <w:szCs w:val="24"/>
                <w:highlight w:val="none"/>
                <w:lang w:val="en-US" w:eastAsia="zh-CN"/>
              </w:rPr>
              <w:t>逾期退还履约保证金违约责任：</w:t>
            </w:r>
            <w:r>
              <w:rPr>
                <w:rFonts w:hint="eastAsia" w:ascii="宋体" w:hAnsi="宋体" w:eastAsia="宋体" w:cs="宋体"/>
                <w:color w:val="auto"/>
                <w:spacing w:val="0"/>
                <w:position w:val="0"/>
                <w:sz w:val="24"/>
                <w:szCs w:val="24"/>
                <w:highlight w:val="none"/>
                <w:u w:val="single"/>
                <w:lang w:val="en-US" w:eastAsia="zh-CN"/>
              </w:rPr>
              <w:t xml:space="preserve"> 采购人逾期退还履约保证金的，应按银行同期货款利率支付逾期利息，但因成交服务商原因造成除外。</w:t>
            </w:r>
          </w:p>
        </w:tc>
      </w:tr>
      <w:tr w14:paraId="5FA95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62F84A3F">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16</w:t>
            </w:r>
          </w:p>
        </w:tc>
        <w:tc>
          <w:tcPr>
            <w:tcW w:w="1509" w:type="dxa"/>
            <w:noWrap w:val="0"/>
            <w:vAlign w:val="center"/>
          </w:tcPr>
          <w:p w14:paraId="1B800EDD">
            <w:pPr>
              <w:adjustRightInd w:val="0"/>
              <w:snapToGrid w:val="0"/>
              <w:spacing w:line="400" w:lineRule="exact"/>
              <w:jc w:val="center"/>
              <w:rPr>
                <w:rFonts w:hint="eastAsia" w:ascii="宋体" w:hAnsi="宋体" w:cs="宋体"/>
                <w:color w:val="auto"/>
                <w:sz w:val="24"/>
                <w:szCs w:val="24"/>
                <w:highlight w:val="white"/>
              </w:rPr>
            </w:pPr>
            <w:r>
              <w:rPr>
                <w:rFonts w:hint="eastAsia" w:ascii="宋体" w:hAnsi="宋体" w:cs="宋体"/>
                <w:color w:val="auto"/>
                <w:sz w:val="24"/>
                <w:szCs w:val="24"/>
                <w:highlight w:val="white"/>
              </w:rPr>
              <w:t xml:space="preserve">采购合同 </w:t>
            </w:r>
          </w:p>
        </w:tc>
        <w:tc>
          <w:tcPr>
            <w:tcW w:w="7311" w:type="dxa"/>
            <w:noWrap w:val="0"/>
            <w:vAlign w:val="center"/>
          </w:tcPr>
          <w:p w14:paraId="6A391288">
            <w:pPr>
              <w:widowControl/>
              <w:spacing w:line="400" w:lineRule="exact"/>
              <w:rPr>
                <w:rFonts w:hint="eastAsia" w:ascii="宋体" w:hAnsi="宋体" w:cs="宋体"/>
                <w:color w:val="auto"/>
                <w:sz w:val="24"/>
                <w:szCs w:val="24"/>
                <w:highlight w:val="white"/>
              </w:rPr>
            </w:pPr>
            <w:r>
              <w:rPr>
                <w:rFonts w:hint="eastAsia" w:ascii="宋体" w:hAnsi="宋体" w:cs="宋体"/>
                <w:color w:val="auto"/>
                <w:sz w:val="24"/>
                <w:szCs w:val="24"/>
                <w:highlight w:val="white"/>
              </w:rPr>
              <w:t>中标供应商须在签订采购合同后两个工作日内，向采购代理机构提供两份完整的采购合同。</w:t>
            </w:r>
          </w:p>
        </w:tc>
      </w:tr>
    </w:tbl>
    <w:p w14:paraId="4702EEEB">
      <w:pPr>
        <w:rPr>
          <w:rFonts w:hint="eastAsia" w:ascii="宋体" w:hAnsi="宋体" w:cs="宋体"/>
          <w:color w:val="auto"/>
        </w:rPr>
      </w:pPr>
    </w:p>
    <w:p w14:paraId="5D5104C1">
      <w:pPr>
        <w:pStyle w:val="8"/>
        <w:rPr>
          <w:rFonts w:hint="eastAsia" w:ascii="宋体" w:hAnsi="宋体" w:cs="宋体"/>
          <w:color w:val="auto"/>
        </w:rPr>
      </w:pPr>
    </w:p>
    <w:p w14:paraId="7294D46F">
      <w:pPr>
        <w:pStyle w:val="20"/>
        <w:rPr>
          <w:rFonts w:hint="eastAsia" w:ascii="宋体" w:hAnsi="宋体" w:cs="宋体"/>
          <w:color w:val="auto"/>
        </w:rPr>
      </w:pPr>
    </w:p>
    <w:p w14:paraId="14FDFD36">
      <w:pPr>
        <w:pStyle w:val="20"/>
        <w:rPr>
          <w:rFonts w:hint="eastAsia" w:ascii="宋体" w:hAnsi="宋体" w:cs="宋体"/>
          <w:color w:val="auto"/>
        </w:rPr>
      </w:pPr>
    </w:p>
    <w:p w14:paraId="40BBDA51">
      <w:pPr>
        <w:pStyle w:val="20"/>
        <w:rPr>
          <w:rFonts w:hint="eastAsia" w:ascii="宋体" w:hAnsi="宋体" w:cs="宋体"/>
          <w:color w:val="auto"/>
        </w:rPr>
      </w:pPr>
    </w:p>
    <w:p w14:paraId="36869A83">
      <w:pPr>
        <w:pStyle w:val="20"/>
        <w:rPr>
          <w:rFonts w:hint="eastAsia" w:ascii="宋体" w:hAnsi="宋体" w:cs="宋体"/>
          <w:color w:val="auto"/>
        </w:rPr>
      </w:pPr>
    </w:p>
    <w:p w14:paraId="5B7A3974">
      <w:pPr>
        <w:pStyle w:val="20"/>
        <w:rPr>
          <w:rFonts w:hint="eastAsia" w:ascii="宋体" w:hAnsi="宋体" w:cs="宋体"/>
          <w:color w:val="auto"/>
        </w:rPr>
      </w:pPr>
    </w:p>
    <w:p w14:paraId="0348EFAF">
      <w:pPr>
        <w:pStyle w:val="20"/>
        <w:rPr>
          <w:rFonts w:hint="eastAsia" w:ascii="宋体" w:hAnsi="宋体" w:cs="宋体"/>
          <w:color w:val="auto"/>
        </w:rPr>
      </w:pPr>
    </w:p>
    <w:p w14:paraId="452F4E93">
      <w:pPr>
        <w:pStyle w:val="20"/>
        <w:rPr>
          <w:rFonts w:hint="eastAsia" w:ascii="宋体" w:hAnsi="宋体" w:cs="宋体"/>
          <w:color w:val="auto"/>
        </w:rPr>
      </w:pPr>
    </w:p>
    <w:p w14:paraId="798C7725">
      <w:pPr>
        <w:pStyle w:val="20"/>
        <w:rPr>
          <w:rFonts w:hint="eastAsia" w:ascii="宋体" w:hAnsi="宋体" w:cs="宋体"/>
          <w:color w:val="auto"/>
        </w:rPr>
      </w:pPr>
    </w:p>
    <w:p w14:paraId="6B183272">
      <w:pPr>
        <w:pStyle w:val="20"/>
        <w:rPr>
          <w:rFonts w:hint="eastAsia" w:ascii="宋体" w:hAnsi="宋体" w:cs="宋体"/>
          <w:color w:val="auto"/>
        </w:rPr>
      </w:pPr>
    </w:p>
    <w:p w14:paraId="5670A1F4">
      <w:pPr>
        <w:pStyle w:val="20"/>
        <w:rPr>
          <w:rFonts w:hint="eastAsia" w:ascii="宋体" w:hAnsi="宋体" w:cs="宋体"/>
          <w:color w:val="auto"/>
        </w:rPr>
      </w:pPr>
    </w:p>
    <w:p w14:paraId="59C96055">
      <w:pPr>
        <w:pStyle w:val="20"/>
        <w:rPr>
          <w:rFonts w:hint="eastAsia" w:ascii="宋体" w:hAnsi="宋体" w:cs="宋体"/>
          <w:color w:val="auto"/>
        </w:rPr>
      </w:pPr>
    </w:p>
    <w:p w14:paraId="0C9F774C">
      <w:pPr>
        <w:pStyle w:val="20"/>
        <w:rPr>
          <w:rFonts w:hint="eastAsia" w:ascii="宋体" w:hAnsi="宋体" w:cs="宋体"/>
          <w:color w:val="auto"/>
        </w:rPr>
      </w:pPr>
    </w:p>
    <w:p w14:paraId="159A94C1">
      <w:pPr>
        <w:pStyle w:val="20"/>
        <w:rPr>
          <w:rFonts w:hint="eastAsia" w:ascii="宋体" w:hAnsi="宋体" w:cs="宋体"/>
          <w:color w:val="auto"/>
        </w:rPr>
      </w:pPr>
    </w:p>
    <w:p w14:paraId="68FEE015">
      <w:pPr>
        <w:pStyle w:val="20"/>
        <w:rPr>
          <w:rFonts w:hint="eastAsia" w:ascii="宋体" w:hAnsi="宋体" w:cs="宋体"/>
          <w:color w:val="auto"/>
        </w:rPr>
      </w:pPr>
    </w:p>
    <w:p w14:paraId="2A8768A6">
      <w:pPr>
        <w:pStyle w:val="20"/>
        <w:rPr>
          <w:rFonts w:hint="eastAsia" w:ascii="宋体" w:hAnsi="宋体" w:cs="宋体"/>
          <w:color w:val="auto"/>
        </w:rPr>
      </w:pPr>
    </w:p>
    <w:p w14:paraId="149FBF6B">
      <w:pPr>
        <w:pStyle w:val="20"/>
        <w:rPr>
          <w:rFonts w:hint="eastAsia" w:ascii="宋体" w:hAnsi="宋体" w:cs="宋体"/>
          <w:color w:val="auto"/>
        </w:rPr>
      </w:pPr>
    </w:p>
    <w:p w14:paraId="2EE150D0">
      <w:pPr>
        <w:pStyle w:val="3"/>
        <w:rPr>
          <w:rFonts w:hint="eastAsia" w:hAnsi="宋体" w:cs="宋体"/>
          <w:b/>
          <w:bCs/>
          <w:color w:val="auto"/>
          <w:sz w:val="24"/>
          <w:szCs w:val="24"/>
        </w:rPr>
      </w:pPr>
      <w:bookmarkStart w:id="72" w:name="_Toc24951"/>
      <w:bookmarkStart w:id="73" w:name="_Toc2419_WPSOffice_Level2"/>
      <w:bookmarkStart w:id="74" w:name="_Toc19437"/>
      <w:bookmarkStart w:id="75" w:name="_Toc470101225"/>
      <w:bookmarkStart w:id="76" w:name="_Toc2212"/>
      <w:r>
        <w:rPr>
          <w:rFonts w:hint="eastAsia" w:hAnsi="宋体" w:cs="宋体"/>
          <w:b/>
          <w:bCs/>
          <w:color w:val="auto"/>
          <w:sz w:val="24"/>
          <w:szCs w:val="24"/>
          <w:highlight w:val="white"/>
        </w:rPr>
        <w:t>一、总则</w:t>
      </w:r>
      <w:bookmarkEnd w:id="72"/>
      <w:bookmarkEnd w:id="73"/>
      <w:bookmarkEnd w:id="74"/>
      <w:bookmarkEnd w:id="75"/>
      <w:bookmarkEnd w:id="76"/>
    </w:p>
    <w:p w14:paraId="794F634E">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1.适用范围</w:t>
      </w:r>
    </w:p>
    <w:p w14:paraId="28EFFBFE">
      <w:pPr>
        <w:spacing w:line="440" w:lineRule="exact"/>
        <w:rPr>
          <w:rFonts w:hint="eastAsia" w:ascii="宋体" w:hAnsi="宋体" w:cs="宋体"/>
          <w:color w:val="auto"/>
          <w:sz w:val="24"/>
          <w:szCs w:val="28"/>
        </w:rPr>
      </w:pPr>
      <w:r>
        <w:rPr>
          <w:rFonts w:hint="eastAsia" w:ascii="宋体" w:hAnsi="宋体" w:cs="宋体"/>
          <w:color w:val="auto"/>
          <w:sz w:val="24"/>
          <w:szCs w:val="28"/>
          <w:highlight w:val="white"/>
        </w:rPr>
        <w:t>1.1本次采购采用竞争性磋商方式（以下简称磋商），本竞争性磋商文件仅适用于竞争性磋商公告中所述项目。</w:t>
      </w:r>
    </w:p>
    <w:p w14:paraId="21E0733C">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2.定义</w:t>
      </w:r>
    </w:p>
    <w:p w14:paraId="128F4856">
      <w:pPr>
        <w:spacing w:line="440" w:lineRule="exact"/>
        <w:ind w:left="510" w:hanging="510"/>
        <w:rPr>
          <w:rFonts w:hint="eastAsia" w:ascii="宋体" w:hAnsi="宋体" w:cs="宋体"/>
          <w:color w:val="auto"/>
          <w:sz w:val="24"/>
          <w:szCs w:val="28"/>
          <w:highlight w:val="white"/>
        </w:rPr>
      </w:pPr>
      <w:r>
        <w:rPr>
          <w:rFonts w:hint="eastAsia" w:ascii="宋体" w:hAnsi="宋体" w:cs="宋体"/>
          <w:color w:val="auto"/>
          <w:sz w:val="24"/>
          <w:szCs w:val="28"/>
          <w:highlight w:val="white"/>
        </w:rPr>
        <w:t>2.1采购人</w:t>
      </w:r>
      <w:r>
        <w:rPr>
          <w:rFonts w:hint="eastAsia" w:ascii="宋体" w:hAnsi="宋体" w:eastAsia="宋体" w:cs="宋体"/>
          <w:color w:val="auto"/>
          <w:sz w:val="24"/>
          <w:szCs w:val="28"/>
          <w:highlight w:val="white"/>
          <w:lang w:eastAsia="zh-CN"/>
        </w:rPr>
        <w:t>：</w:t>
      </w:r>
      <w:r>
        <w:rPr>
          <w:rFonts w:ascii="宋体" w:hAnsi="宋体" w:eastAsia="宋体" w:cs="宋体"/>
          <w:color w:val="auto"/>
          <w:spacing w:val="0"/>
          <w:position w:val="0"/>
          <w:sz w:val="24"/>
          <w:szCs w:val="24"/>
          <w:highlight w:val="none"/>
          <w:lang w:eastAsia="zh-CN"/>
        </w:rPr>
        <w:t>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cs="宋体"/>
          <w:color w:val="auto"/>
          <w:sz w:val="24"/>
          <w:szCs w:val="28"/>
          <w:highlight w:val="white"/>
        </w:rPr>
        <w:t>。</w:t>
      </w:r>
    </w:p>
    <w:p w14:paraId="274721EE">
      <w:pPr>
        <w:spacing w:line="440" w:lineRule="exact"/>
        <w:ind w:left="510" w:hanging="510"/>
        <w:rPr>
          <w:rFonts w:hint="eastAsia" w:ascii="宋体" w:hAnsi="宋体" w:cs="宋体"/>
          <w:color w:val="auto"/>
          <w:sz w:val="24"/>
          <w:szCs w:val="28"/>
        </w:rPr>
      </w:pPr>
      <w:r>
        <w:rPr>
          <w:rFonts w:hint="eastAsia" w:ascii="宋体" w:hAnsi="宋体" w:cs="宋体"/>
          <w:color w:val="auto"/>
          <w:sz w:val="24"/>
          <w:szCs w:val="28"/>
          <w:highlight w:val="white"/>
        </w:rPr>
        <w:t>2.2采购代理机构</w:t>
      </w:r>
      <w:r>
        <w:rPr>
          <w:rFonts w:hint="eastAsia" w:ascii="宋体" w:hAnsi="宋体" w:eastAsia="宋体" w:cs="宋体"/>
          <w:color w:val="auto"/>
          <w:sz w:val="24"/>
          <w:szCs w:val="28"/>
          <w:highlight w:val="white"/>
          <w:lang w:eastAsia="zh-CN"/>
        </w:rPr>
        <w:t>：</w:t>
      </w:r>
      <w:r>
        <w:rPr>
          <w:rFonts w:ascii="宋体" w:hAnsi="宋体" w:eastAsia="宋体" w:cs="宋体"/>
          <w:color w:val="auto"/>
          <w:spacing w:val="0"/>
          <w:position w:val="0"/>
          <w:sz w:val="24"/>
          <w:szCs w:val="24"/>
          <w:highlight w:val="none"/>
          <w:lang w:eastAsia="zh-CN"/>
        </w:rPr>
        <w:t>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cs="宋体"/>
          <w:color w:val="auto"/>
          <w:sz w:val="24"/>
          <w:szCs w:val="28"/>
          <w:highlight w:val="white"/>
        </w:rPr>
        <w:t>。</w:t>
      </w:r>
    </w:p>
    <w:p w14:paraId="677BAB7C">
      <w:pPr>
        <w:keepNext/>
        <w:keepLines/>
        <w:spacing w:line="460" w:lineRule="exact"/>
        <w:ind w:left="510" w:hanging="510"/>
        <w:rPr>
          <w:rFonts w:hint="eastAsia" w:ascii="宋体" w:hAnsi="宋体" w:cs="宋体"/>
          <w:color w:val="auto"/>
          <w:sz w:val="24"/>
          <w:szCs w:val="28"/>
        </w:rPr>
      </w:pPr>
      <w:r>
        <w:rPr>
          <w:rFonts w:hint="eastAsia" w:ascii="宋体" w:hAnsi="宋体" w:cs="宋体"/>
          <w:color w:val="auto"/>
          <w:sz w:val="24"/>
          <w:szCs w:val="28"/>
          <w:highlight w:val="white"/>
        </w:rPr>
        <w:t>2.3</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：是指</w:t>
      </w:r>
      <w:r>
        <w:rPr>
          <w:rFonts w:hint="eastAsia" w:ascii="宋体" w:hAnsi="宋体" w:eastAsia="宋体" w:cs="宋体"/>
          <w:color w:val="auto"/>
          <w:spacing w:val="0"/>
          <w:position w:val="0"/>
          <w:sz w:val="24"/>
          <w:szCs w:val="24"/>
          <w:highlight w:val="none"/>
          <w:lang w:val="en-US" w:eastAsia="zh-CN"/>
        </w:rPr>
        <w:t>向采购人提供</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邀请”中采购内容</w:t>
      </w:r>
      <w:r>
        <w:rPr>
          <w:rFonts w:ascii="宋体" w:hAnsi="宋体" w:eastAsia="宋体" w:cs="宋体"/>
          <w:color w:val="auto"/>
          <w:spacing w:val="0"/>
          <w:position w:val="0"/>
          <w:sz w:val="24"/>
          <w:szCs w:val="24"/>
          <w:highlight w:val="none"/>
          <w:lang w:eastAsia="zh-CN"/>
        </w:rPr>
        <w:t>的法人、其他组织或者自然人。</w:t>
      </w:r>
    </w:p>
    <w:p w14:paraId="166F18CD">
      <w:pPr>
        <w:spacing w:line="440" w:lineRule="exact"/>
        <w:rPr>
          <w:rFonts w:hint="eastAsia" w:ascii="宋体" w:hAnsi="宋体" w:cs="宋体"/>
          <w:b/>
          <w:color w:val="auto"/>
          <w:sz w:val="24"/>
          <w:szCs w:val="28"/>
          <w:highlight w:val="white"/>
          <w:lang w:eastAsia="zh-CN"/>
        </w:rPr>
      </w:pPr>
      <w:bookmarkStart w:id="77" w:name="_Toc10289"/>
      <w:bookmarkStart w:id="78" w:name="_Toc14494"/>
      <w:r>
        <w:rPr>
          <w:rFonts w:hint="eastAsia" w:ascii="宋体" w:hAnsi="宋体" w:cs="宋体"/>
          <w:b/>
          <w:color w:val="auto"/>
          <w:sz w:val="24"/>
          <w:szCs w:val="28"/>
          <w:highlight w:val="white"/>
          <w:lang w:eastAsia="zh-CN"/>
        </w:rPr>
        <w:t>3.合格</w:t>
      </w:r>
      <w:bookmarkEnd w:id="77"/>
      <w:bookmarkEnd w:id="78"/>
      <w:r>
        <w:rPr>
          <w:rFonts w:hint="eastAsia" w:ascii="宋体" w:hAnsi="宋体" w:cs="宋体"/>
          <w:b/>
          <w:color w:val="auto"/>
          <w:sz w:val="24"/>
          <w:szCs w:val="28"/>
          <w:highlight w:val="white"/>
          <w:lang w:eastAsia="zh-CN"/>
        </w:rPr>
        <w:t>服务商</w:t>
      </w:r>
    </w:p>
    <w:p w14:paraId="42B50136">
      <w:pPr>
        <w:spacing w:line="440" w:lineRule="exact"/>
        <w:ind w:left="510" w:hanging="510"/>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3.1 服务商的资格条件：详见“第一章 磋商邀请”。</w:t>
      </w:r>
    </w:p>
    <w:p w14:paraId="4A6137BF">
      <w:pPr>
        <w:spacing w:line="440" w:lineRule="exact"/>
        <w:ind w:left="510" w:hanging="510"/>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3.2 联合体</w:t>
      </w:r>
      <w:r>
        <w:rPr>
          <w:rFonts w:hint="eastAsia" w:ascii="宋体" w:hAnsi="宋体" w:cs="宋体"/>
          <w:color w:val="auto"/>
          <w:spacing w:val="0"/>
          <w:position w:val="0"/>
          <w:sz w:val="24"/>
          <w:szCs w:val="24"/>
          <w:highlight w:val="none"/>
          <w:lang w:val="en-US" w:eastAsia="zh-CN"/>
        </w:rPr>
        <w:t>参加磋商。</w:t>
      </w:r>
    </w:p>
    <w:p w14:paraId="5642AA27">
      <w:pPr>
        <w:pStyle w:val="3"/>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3.2.1 是否接受联合体</w:t>
      </w:r>
      <w:r>
        <w:rPr>
          <w:rFonts w:hint="eastAsia" w:ascii="宋体" w:hAnsi="宋体" w:cs="宋体"/>
          <w:color w:val="auto"/>
          <w:spacing w:val="0"/>
          <w:position w:val="0"/>
          <w:sz w:val="24"/>
          <w:szCs w:val="24"/>
          <w:highlight w:val="none"/>
          <w:lang w:val="en-US" w:eastAsia="zh-CN"/>
        </w:rPr>
        <w:t>参加磋商</w:t>
      </w:r>
      <w:r>
        <w:rPr>
          <w:rFonts w:hint="eastAsia" w:ascii="宋体" w:hAnsi="宋体" w:cs="宋体"/>
          <w:color w:val="auto"/>
          <w:spacing w:val="0"/>
          <w:position w:val="0"/>
          <w:sz w:val="24"/>
          <w:szCs w:val="24"/>
          <w:highlight w:val="none"/>
          <w:lang w:eastAsia="zh-CN"/>
        </w:rPr>
        <w:t>：详见“磋商须知前附表 ”。</w:t>
      </w:r>
    </w:p>
    <w:p w14:paraId="6A6EA4CE">
      <w:pPr>
        <w:spacing w:line="440" w:lineRule="exact"/>
        <w:ind w:left="510" w:hanging="510"/>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lang w:eastAsia="zh-CN"/>
        </w:rPr>
        <w:t>3.2.2 两个以上的自然人、法人或者其他组织可以组成一个联合体，以一个服务商的身份共同参加政府采购。以联合体形式进行政府采购的，参加联合体的服务商均应当具备服务商的资格条件，并应当向采购人提交联合协议，载明联</w:t>
      </w:r>
      <w:r>
        <w:rPr>
          <w:rFonts w:ascii="宋体" w:hAnsi="宋体" w:eastAsia="宋体" w:cs="宋体"/>
          <w:color w:val="auto"/>
          <w:spacing w:val="0"/>
          <w:position w:val="0"/>
          <w:sz w:val="24"/>
          <w:szCs w:val="24"/>
          <w:highlight w:val="none"/>
          <w:lang w:eastAsia="zh-CN"/>
        </w:rPr>
        <w:t>合体各方承担的工作和义务。联合体各方应当共同与采购人签订采购合同，就采购合同约定的事项对采购人承担连带责任。否则，将导致其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6FB1697">
      <w:pPr>
        <w:spacing w:line="440" w:lineRule="exact"/>
        <w:ind w:left="510" w:hanging="510"/>
        <w:rPr>
          <w:rFonts w:hint="eastAsia" w:ascii="宋体" w:hAnsi="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cs="宋体"/>
          <w:color w:val="auto"/>
          <w:spacing w:val="0"/>
          <w:position w:val="0"/>
          <w:sz w:val="24"/>
          <w:szCs w:val="24"/>
          <w:highlight w:val="none"/>
          <w:lang w:eastAsia="zh-CN"/>
        </w:rPr>
        <w:t>.2.3 联合体各方均应当满足相应的资格条件，项目中有特定资质要求的，联合体当中承担此项工作的服务商必须具备相应的资质。联合体</w:t>
      </w:r>
      <w:r>
        <w:rPr>
          <w:rFonts w:hint="eastAsia" w:ascii="宋体" w:hAnsi="宋体" w:cs="宋体"/>
          <w:color w:val="auto"/>
          <w:spacing w:val="0"/>
          <w:position w:val="0"/>
          <w:sz w:val="24"/>
          <w:szCs w:val="24"/>
          <w:highlight w:val="none"/>
          <w:lang w:val="en-US" w:eastAsia="zh-CN"/>
        </w:rPr>
        <w:t>成交</w:t>
      </w:r>
      <w:r>
        <w:rPr>
          <w:rFonts w:hint="eastAsia" w:ascii="宋体" w:hAnsi="宋体" w:cs="宋体"/>
          <w:color w:val="auto"/>
          <w:spacing w:val="0"/>
          <w:position w:val="0"/>
          <w:sz w:val="24"/>
          <w:szCs w:val="24"/>
          <w:highlight w:val="none"/>
          <w:lang w:eastAsia="zh-CN"/>
        </w:rPr>
        <w:t>后，必须由联合体中具备“相应 ”资质的服务商承担，否则将承担违约责任，并赔偿因违约给采购人造成的一切损失。</w:t>
      </w:r>
    </w:p>
    <w:p w14:paraId="4F08D780">
      <w:pPr>
        <w:spacing w:line="440" w:lineRule="exact"/>
        <w:ind w:left="510" w:hanging="510"/>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rPr>
        <w:t>3.2.</w:t>
      </w:r>
      <w:r>
        <w:rPr>
          <w:rFonts w:hint="eastAsia" w:ascii="宋体" w:hAnsi="宋体" w:cs="宋体"/>
          <w:color w:val="auto"/>
          <w:spacing w:val="0"/>
          <w:position w:val="0"/>
          <w:sz w:val="24"/>
          <w:szCs w:val="24"/>
          <w:highlight w:val="none"/>
          <w:lang w:val="en-US" w:eastAsia="zh-CN"/>
        </w:rPr>
        <w:t>4</w:t>
      </w:r>
      <w:r>
        <w:rPr>
          <w:rFonts w:hint="eastAsia" w:ascii="宋体" w:hAnsi="宋体" w:cs="宋体"/>
          <w:color w:val="auto"/>
          <w:spacing w:val="0"/>
          <w:position w:val="0"/>
          <w:sz w:val="24"/>
          <w:szCs w:val="24"/>
          <w:highlight w:val="none"/>
        </w:rPr>
        <w:t>以联合体参加</w:t>
      </w:r>
      <w:r>
        <w:rPr>
          <w:rFonts w:hint="eastAsia" w:ascii="宋体" w:hAnsi="宋体" w:cs="宋体"/>
          <w:color w:val="auto"/>
          <w:spacing w:val="0"/>
          <w:position w:val="0"/>
          <w:sz w:val="24"/>
          <w:szCs w:val="24"/>
          <w:highlight w:val="none"/>
          <w:lang w:val="en-US" w:eastAsia="zh-CN"/>
        </w:rPr>
        <w:t>磋商</w:t>
      </w:r>
      <w:r>
        <w:rPr>
          <w:rFonts w:hint="eastAsia" w:ascii="宋体" w:hAnsi="宋体" w:cs="宋体"/>
          <w:color w:val="auto"/>
          <w:spacing w:val="0"/>
          <w:position w:val="0"/>
          <w:sz w:val="24"/>
          <w:szCs w:val="24"/>
          <w:highlight w:val="none"/>
        </w:rPr>
        <w:t>的，联合体中有同类资质的</w:t>
      </w:r>
      <w:r>
        <w:rPr>
          <w:rFonts w:hint="eastAsia" w:ascii="宋体" w:hAnsi="宋体" w:cs="宋体"/>
          <w:color w:val="auto"/>
          <w:spacing w:val="0"/>
          <w:position w:val="0"/>
          <w:sz w:val="24"/>
          <w:szCs w:val="24"/>
          <w:highlight w:val="none"/>
          <w:lang w:eastAsia="zh-CN"/>
        </w:rPr>
        <w:t>服务商</w:t>
      </w:r>
      <w:r>
        <w:rPr>
          <w:rFonts w:hint="eastAsia" w:ascii="宋体" w:hAnsi="宋体" w:cs="宋体"/>
          <w:color w:val="auto"/>
          <w:spacing w:val="0"/>
          <w:position w:val="0"/>
          <w:sz w:val="24"/>
          <w:szCs w:val="24"/>
          <w:highlight w:val="none"/>
        </w:rPr>
        <w:t>按联合体分工承担相同工作的，应当按照资质等级较低的</w:t>
      </w:r>
      <w:r>
        <w:rPr>
          <w:rFonts w:hint="eastAsia" w:ascii="宋体" w:hAnsi="宋体" w:cs="宋体"/>
          <w:color w:val="auto"/>
          <w:spacing w:val="0"/>
          <w:position w:val="0"/>
          <w:sz w:val="24"/>
          <w:szCs w:val="24"/>
          <w:highlight w:val="none"/>
          <w:lang w:eastAsia="zh-CN"/>
        </w:rPr>
        <w:t>服务商</w:t>
      </w:r>
      <w:r>
        <w:rPr>
          <w:rFonts w:hint="eastAsia" w:ascii="宋体" w:hAnsi="宋体" w:cs="宋体"/>
          <w:color w:val="auto"/>
          <w:spacing w:val="0"/>
          <w:position w:val="0"/>
          <w:sz w:val="24"/>
          <w:szCs w:val="24"/>
          <w:highlight w:val="none"/>
        </w:rPr>
        <w:t>确定资质等级。</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0070C80">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5</w:t>
      </w:r>
      <w:r>
        <w:rPr>
          <w:rFonts w:hint="eastAsia" w:cs="仿宋" w:asciiTheme="minorEastAsia" w:hAnsiTheme="minorEastAsia" w:eastAsiaTheme="minorEastAsia"/>
          <w:color w:val="auto"/>
          <w:spacing w:val="0"/>
          <w:position w:val="0"/>
          <w:sz w:val="24"/>
          <w:szCs w:val="24"/>
          <w:highlight w:val="none"/>
        </w:rPr>
        <w:t>联合体各方不得再单独参加或者与其他</w:t>
      </w:r>
      <w:r>
        <w:rPr>
          <w:rFonts w:hint="eastAsia" w:cs="仿宋" w:asciiTheme="minorEastAsia" w:hAnsiTheme="minorEastAsia" w:eastAsiaTheme="minorEastAsia"/>
          <w:color w:val="auto"/>
          <w:spacing w:val="0"/>
          <w:position w:val="0"/>
          <w:sz w:val="24"/>
          <w:szCs w:val="24"/>
          <w:highlight w:val="none"/>
          <w:lang w:eastAsia="zh-CN"/>
        </w:rPr>
        <w:t>服务商</w:t>
      </w:r>
      <w:r>
        <w:rPr>
          <w:rFonts w:hint="eastAsia" w:cs="仿宋" w:asciiTheme="minorEastAsia" w:hAnsiTheme="minorEastAsia" w:eastAsiaTheme="minorEastAsia"/>
          <w:color w:val="auto"/>
          <w:spacing w:val="0"/>
          <w:position w:val="0"/>
          <w:sz w:val="24"/>
          <w:szCs w:val="24"/>
          <w:highlight w:val="none"/>
        </w:rPr>
        <w:t>另外组成联合体参加同一合同项下的政府采购活动。</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DD49C1D">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4.磋商费用</w:t>
      </w:r>
    </w:p>
    <w:p w14:paraId="3540FA54">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4.1不论磋商的结果如何，响应服务商应自行承担所有与准备和参加磋商有关的全部费用。采购代理机构和采购人在任何情况下均无义务和责任承担这些费用。</w:t>
      </w:r>
    </w:p>
    <w:p w14:paraId="4DBA29AF">
      <w:pPr>
        <w:pStyle w:val="3"/>
        <w:spacing w:line="440" w:lineRule="exact"/>
        <w:rPr>
          <w:rFonts w:hint="eastAsia" w:hAnsi="宋体" w:cs="宋体"/>
          <w:b/>
          <w:bCs/>
          <w:color w:val="auto"/>
          <w:sz w:val="24"/>
          <w:szCs w:val="24"/>
        </w:rPr>
      </w:pPr>
      <w:bookmarkStart w:id="79" w:name="_Toc23681"/>
      <w:bookmarkStart w:id="80" w:name="_Toc470101226"/>
      <w:bookmarkStart w:id="81" w:name="_Toc330498816"/>
      <w:bookmarkStart w:id="82" w:name="_Toc11759"/>
      <w:bookmarkStart w:id="83" w:name="_Toc14487_WPSOffice_Level2"/>
      <w:bookmarkStart w:id="84" w:name="_Toc27963"/>
      <w:bookmarkStart w:id="85" w:name="_Toc329166814"/>
      <w:r>
        <w:rPr>
          <w:rFonts w:hint="eastAsia" w:hAnsi="宋体" w:cs="宋体"/>
          <w:b/>
          <w:bCs/>
          <w:color w:val="auto"/>
          <w:sz w:val="24"/>
          <w:szCs w:val="24"/>
          <w:highlight w:val="white"/>
        </w:rPr>
        <w:t>二、 磋商文件</w:t>
      </w:r>
      <w:bookmarkEnd w:id="79"/>
      <w:bookmarkEnd w:id="80"/>
      <w:bookmarkEnd w:id="81"/>
      <w:bookmarkEnd w:id="82"/>
      <w:bookmarkEnd w:id="83"/>
      <w:bookmarkEnd w:id="84"/>
      <w:bookmarkEnd w:id="85"/>
    </w:p>
    <w:p w14:paraId="2A380BDA">
      <w:pPr>
        <w:spacing w:line="440" w:lineRule="exact"/>
        <w:ind w:left="454" w:hanging="454"/>
        <w:rPr>
          <w:rFonts w:hint="eastAsia" w:ascii="宋体" w:hAnsi="宋体" w:cs="宋体"/>
          <w:b/>
          <w:color w:val="auto"/>
          <w:sz w:val="24"/>
          <w:szCs w:val="28"/>
        </w:rPr>
      </w:pPr>
      <w:bookmarkStart w:id="86" w:name="_Toc329166815"/>
      <w:bookmarkStart w:id="87" w:name="_Toc330498817"/>
      <w:r>
        <w:rPr>
          <w:rFonts w:hint="eastAsia" w:ascii="宋体" w:hAnsi="宋体" w:cs="宋体"/>
          <w:b/>
          <w:color w:val="auto"/>
          <w:sz w:val="24"/>
          <w:szCs w:val="28"/>
          <w:highlight w:val="white"/>
        </w:rPr>
        <w:t xml:space="preserve">5、磋商事项说明 </w:t>
      </w:r>
    </w:p>
    <w:p w14:paraId="2FC964AE">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5.1响应服务商应认真阅读磋商文件中所有的事项、格式、条件、条款和规范等要求。如果没有按照磋商文件的要求提交全部资料，或没有对磋商文件做出实质性响应，其风险由响应服务商自行承担。根据有关条款规定，其响应有可能被拒绝。</w:t>
      </w:r>
    </w:p>
    <w:p w14:paraId="3F872DEA">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5.2 除非有特殊要求，磋商文件不单独提供采购服务使用地的自然环境、气候条件、公用设施等情况，响应服务商被视为熟悉上述与履行合同有关的一切情况。</w:t>
      </w:r>
    </w:p>
    <w:p w14:paraId="44A6F9DD">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6、澄清与答疑</w:t>
      </w:r>
    </w:p>
    <w:bookmarkEnd w:id="86"/>
    <w:bookmarkEnd w:id="87"/>
    <w:p w14:paraId="4A60B0B4">
      <w:pPr>
        <w:spacing w:line="440" w:lineRule="exact"/>
        <w:ind w:left="454" w:hanging="454"/>
        <w:rPr>
          <w:rFonts w:hint="eastAsia" w:ascii="宋体" w:hAnsi="宋体" w:cs="宋体"/>
          <w:color w:val="auto"/>
          <w:sz w:val="24"/>
          <w:szCs w:val="24"/>
        </w:rPr>
      </w:pPr>
      <w:r>
        <w:rPr>
          <w:rFonts w:hint="eastAsia" w:ascii="宋体" w:hAnsi="宋体" w:cs="宋体"/>
          <w:color w:val="auto"/>
          <w:sz w:val="24"/>
          <w:szCs w:val="28"/>
          <w:highlight w:val="white"/>
        </w:rPr>
        <w:t>6.1</w:t>
      </w:r>
      <w:r>
        <w:rPr>
          <w:rFonts w:hint="eastAsia" w:ascii="宋体" w:hAnsi="宋体" w:cs="宋体"/>
          <w:color w:val="auto"/>
          <w:sz w:val="24"/>
          <w:szCs w:val="24"/>
          <w:highlight w:val="white"/>
        </w:rPr>
        <w:t>任何要求对磋商文件进行澄清的服务商，应在磋商截止日期3天前以书面形式（加盖响应服务商公章并注明单位名称、联系人及电话）送达采购代理机构。采购代理机构将在</w:t>
      </w:r>
      <w:r>
        <w:rPr>
          <w:rFonts w:hint="eastAsia" w:ascii="宋体" w:hAnsi="宋体" w:cs="宋体"/>
          <w:bCs/>
          <w:color w:val="auto"/>
          <w:sz w:val="24"/>
          <w:szCs w:val="24"/>
          <w:highlight w:val="white"/>
          <w:lang w:val="en-US" w:eastAsia="zh-CN"/>
        </w:rPr>
        <w:t>中国招标投标公共服务平台官网上</w:t>
      </w:r>
      <w:r>
        <w:rPr>
          <w:rFonts w:hint="eastAsia" w:ascii="宋体" w:hAnsi="宋体" w:cs="宋体"/>
          <w:color w:val="auto"/>
          <w:sz w:val="24"/>
          <w:szCs w:val="24"/>
          <w:highlight w:val="white"/>
        </w:rPr>
        <w:t>发布澄清公告。</w:t>
      </w:r>
    </w:p>
    <w:p w14:paraId="71157990">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6.2</w:t>
      </w:r>
      <w:r>
        <w:rPr>
          <w:rFonts w:hint="eastAsia" w:ascii="宋体" w:hAnsi="宋体" w:cs="宋体"/>
          <w:color w:val="auto"/>
          <w:sz w:val="24"/>
          <w:szCs w:val="24"/>
          <w:highlight w:val="white"/>
        </w:rPr>
        <w:t>响应服务商在规定的时间内未对磋商文件要求澄清或提出疑问的，采购代理机构将视其为同意。</w:t>
      </w:r>
    </w:p>
    <w:p w14:paraId="4E8CF852">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7、磋商文件的修改</w:t>
      </w:r>
    </w:p>
    <w:p w14:paraId="3DB49AC9">
      <w:pPr>
        <w:spacing w:line="440" w:lineRule="exact"/>
        <w:ind w:left="454" w:hanging="454"/>
        <w:rPr>
          <w:rFonts w:hint="eastAsia" w:ascii="宋体" w:hAnsi="宋体" w:cs="宋体"/>
          <w:color w:val="auto"/>
          <w:sz w:val="24"/>
          <w:szCs w:val="24"/>
        </w:rPr>
      </w:pPr>
      <w:r>
        <w:rPr>
          <w:rFonts w:hint="eastAsia" w:ascii="宋体" w:hAnsi="宋体" w:cs="宋体"/>
          <w:color w:val="auto"/>
          <w:sz w:val="24"/>
          <w:szCs w:val="24"/>
          <w:highlight w:val="white"/>
        </w:rPr>
        <w:t>7.1 在法律规定期限内，无论出于何种原因，政府采购代理机构均可主动地或在解答响应服务商提出的澄清问题时，以补充（变更）公告的方式对磋商文件进行修改。</w:t>
      </w:r>
    </w:p>
    <w:p w14:paraId="37F5DE54">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4"/>
          <w:highlight w:val="white"/>
        </w:rPr>
        <w:t>7.2 补充（变更）公告将在</w:t>
      </w:r>
      <w:r>
        <w:rPr>
          <w:rFonts w:hint="eastAsia" w:ascii="宋体" w:hAnsi="宋体" w:cs="宋体"/>
          <w:bCs/>
          <w:color w:val="auto"/>
          <w:sz w:val="24"/>
          <w:szCs w:val="24"/>
          <w:highlight w:val="white"/>
          <w:lang w:val="en-US" w:eastAsia="zh-CN"/>
        </w:rPr>
        <w:t>中国招标投标公共服务平台官网</w:t>
      </w:r>
      <w:r>
        <w:rPr>
          <w:rFonts w:hint="eastAsia" w:ascii="宋体" w:hAnsi="宋体" w:cs="宋体"/>
          <w:color w:val="auto"/>
          <w:sz w:val="24"/>
          <w:szCs w:val="24"/>
          <w:highlight w:val="white"/>
        </w:rPr>
        <w:t>。响应服务商有义务在采购活动期间浏览</w:t>
      </w:r>
      <w:r>
        <w:rPr>
          <w:rFonts w:hint="eastAsia" w:ascii="宋体" w:hAnsi="宋体" w:cs="宋体"/>
          <w:bCs/>
          <w:color w:val="auto"/>
          <w:sz w:val="24"/>
          <w:szCs w:val="24"/>
          <w:highlight w:val="white"/>
          <w:lang w:val="en-US" w:eastAsia="zh-CN"/>
        </w:rPr>
        <w:t>中国招标投标公共服务平台官网</w:t>
      </w:r>
      <w:r>
        <w:rPr>
          <w:rFonts w:hint="eastAsia" w:ascii="宋体" w:hAnsi="宋体" w:cs="宋体"/>
          <w:color w:val="auto"/>
          <w:sz w:val="24"/>
          <w:szCs w:val="24"/>
          <w:highlight w:val="white"/>
        </w:rPr>
        <w:t>，政府采购代理机构在网上公布的与本次磋商项目有关的信息视为已送达各响应服务商。修改</w:t>
      </w:r>
      <w:r>
        <w:rPr>
          <w:rFonts w:hint="eastAsia" w:ascii="宋体" w:hAnsi="宋体" w:cs="宋体"/>
          <w:color w:val="auto"/>
          <w:sz w:val="24"/>
          <w:szCs w:val="28"/>
          <w:highlight w:val="white"/>
        </w:rPr>
        <w:t>后的内容是磋商文件的组成部分，并对潜在响应服务商具有约束力。</w:t>
      </w:r>
    </w:p>
    <w:p w14:paraId="6AC135D7">
      <w:pPr>
        <w:pStyle w:val="3"/>
        <w:spacing w:line="360" w:lineRule="auto"/>
        <w:rPr>
          <w:rFonts w:hint="eastAsia" w:hAnsi="宋体" w:cs="宋体"/>
          <w:b/>
          <w:bCs/>
          <w:color w:val="auto"/>
          <w:sz w:val="24"/>
          <w:szCs w:val="24"/>
        </w:rPr>
      </w:pPr>
      <w:bookmarkStart w:id="88" w:name="_Toc22013"/>
      <w:bookmarkStart w:id="89" w:name="_Toc28312_WPSOffice_Level2"/>
      <w:bookmarkStart w:id="90" w:name="_Toc13400"/>
      <w:bookmarkStart w:id="91" w:name="_Toc5838_WPSOffice_Level2"/>
      <w:bookmarkStart w:id="92" w:name="_Toc17566"/>
      <w:bookmarkStart w:id="93" w:name="_Toc470101227"/>
      <w:r>
        <w:rPr>
          <w:rFonts w:hint="eastAsia" w:hAnsi="宋体" w:cs="宋体"/>
          <w:b/>
          <w:bCs/>
          <w:color w:val="auto"/>
          <w:sz w:val="24"/>
          <w:szCs w:val="24"/>
          <w:highlight w:val="white"/>
        </w:rPr>
        <w:t>三、 磋商文件的编制</w:t>
      </w:r>
      <w:bookmarkEnd w:id="88"/>
      <w:bookmarkEnd w:id="89"/>
      <w:bookmarkEnd w:id="90"/>
      <w:bookmarkEnd w:id="91"/>
      <w:bookmarkEnd w:id="92"/>
      <w:bookmarkEnd w:id="93"/>
      <w:r>
        <w:rPr>
          <w:rFonts w:hint="eastAsia" w:hAnsi="宋体" w:cs="宋体"/>
          <w:b/>
          <w:bCs/>
          <w:color w:val="auto"/>
          <w:sz w:val="24"/>
          <w:szCs w:val="24"/>
          <w:highlight w:val="white"/>
        </w:rPr>
        <w:t xml:space="preserve"> </w:t>
      </w:r>
    </w:p>
    <w:p w14:paraId="0876E40A">
      <w:pPr>
        <w:spacing w:line="360" w:lineRule="auto"/>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8、响应语言及度量衡单位</w:t>
      </w:r>
    </w:p>
    <w:p w14:paraId="7A478B3A">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8.1响应服务商的磋商响应文件以及响应服务商就响应的所有来往函中均应使用中文。</w:t>
      </w:r>
    </w:p>
    <w:p w14:paraId="1F3FF156">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8.2磋商响应文件中所使用的计量单位，除磋商响应文件中有特殊规定外，一律使用法定计量单位。</w:t>
      </w:r>
    </w:p>
    <w:p w14:paraId="6F2B190C">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9、磋商响应文件的编制</w:t>
      </w:r>
    </w:p>
    <w:p w14:paraId="710EA980">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9.1 响应服务商应认真阅读并充分理解本文件的全部内容（包括所有的补充、修改内容），承诺并履行本文件中各项条款规定及要求。</w:t>
      </w:r>
    </w:p>
    <w:p w14:paraId="350E09C9">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9.2磋商响应文件必须按本文件的全部内容，包括所有的补充（变更）公告及答疑进行编制。响应服务商提供的磋商响应文件不完整，导致的结果和责任由响应服务商承担。</w:t>
      </w:r>
    </w:p>
    <w:p w14:paraId="12998E75">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10、磋商响应文件的组成</w:t>
      </w:r>
    </w:p>
    <w:p w14:paraId="75A564D6">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 xml:space="preserve">10.1应包括但不少于磋商响应文件统一格式 </w:t>
      </w:r>
    </w:p>
    <w:p w14:paraId="7B772AB3">
      <w:pPr>
        <w:spacing w:line="440" w:lineRule="exact"/>
        <w:ind w:left="454" w:hanging="454"/>
        <w:rPr>
          <w:rFonts w:hint="eastAsia" w:ascii="宋体" w:hAnsi="宋体" w:cs="宋体"/>
          <w:color w:val="auto"/>
          <w:sz w:val="24"/>
          <w:szCs w:val="28"/>
          <w:highlight w:val="white"/>
        </w:rPr>
      </w:pPr>
      <w:r>
        <w:rPr>
          <w:rFonts w:hint="eastAsia" w:ascii="宋体" w:hAnsi="宋体" w:cs="宋体"/>
          <w:color w:val="auto"/>
          <w:sz w:val="24"/>
          <w:szCs w:val="28"/>
          <w:highlight w:val="white"/>
        </w:rPr>
        <w:t>10.2磋商响应文件应使用磋商文件提供的格式，且可以按同样格式扩展。</w:t>
      </w:r>
    </w:p>
    <w:p w14:paraId="2368774E">
      <w:pPr>
        <w:spacing w:line="440" w:lineRule="exact"/>
        <w:rPr>
          <w:rFonts w:hint="eastAsia"/>
          <w:color w:val="auto"/>
        </w:rPr>
      </w:pPr>
      <w:r>
        <w:rPr>
          <w:rFonts w:hint="eastAsia" w:ascii="宋体" w:hAnsi="宋体" w:cs="宋体"/>
          <w:color w:val="auto"/>
          <w:sz w:val="24"/>
          <w:szCs w:val="28"/>
        </w:rPr>
        <w:t>10.3响应服务商应将磋商文件装订成册，并编写“磋商文件目录”。</w:t>
      </w:r>
    </w:p>
    <w:p w14:paraId="46938D69">
      <w:pPr>
        <w:numPr>
          <w:ilvl w:val="0"/>
          <w:numId w:val="4"/>
        </w:numPr>
        <w:spacing w:line="440" w:lineRule="exact"/>
        <w:ind w:left="454" w:hanging="454"/>
        <w:rPr>
          <w:rFonts w:hint="eastAsia" w:ascii="宋体" w:hAnsi="宋体" w:cs="宋体"/>
          <w:b/>
          <w:color w:val="auto"/>
          <w:sz w:val="24"/>
          <w:szCs w:val="28"/>
          <w:highlight w:val="white"/>
        </w:rPr>
      </w:pPr>
      <w:r>
        <w:rPr>
          <w:rFonts w:hint="eastAsia" w:ascii="宋体" w:hAnsi="宋体" w:cs="宋体"/>
          <w:b/>
          <w:color w:val="auto"/>
          <w:sz w:val="24"/>
          <w:szCs w:val="28"/>
          <w:highlight w:val="white"/>
        </w:rPr>
        <w:t>报价</w:t>
      </w:r>
    </w:p>
    <w:p w14:paraId="4B4F1CA9">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均以人民币报价，报价内容包含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规定的服</w:t>
      </w:r>
      <w:r>
        <w:rPr>
          <w:rFonts w:hint="eastAsia" w:ascii="宋体" w:hAnsi="宋体" w:eastAsia="宋体" w:cs="宋体"/>
          <w:color w:val="auto"/>
          <w:spacing w:val="0"/>
          <w:position w:val="0"/>
          <w:sz w:val="24"/>
          <w:szCs w:val="24"/>
          <w:highlight w:val="none"/>
          <w:lang w:eastAsia="zh-CN"/>
        </w:rPr>
        <w:t>务所需的设备、人员、培训、技术支持、税费等一切相关费用</w:t>
      </w:r>
    </w:p>
    <w:p w14:paraId="1AF8AE23">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b/>
          <w:bCs/>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要按</w:t>
      </w:r>
      <w:r>
        <w:rPr>
          <w:rFonts w:hint="eastAsia" w:ascii="宋体" w:hAnsi="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val="en-US" w:eastAsia="zh-CN"/>
        </w:rPr>
        <w:t>一览</w:t>
      </w:r>
      <w:r>
        <w:rPr>
          <w:rFonts w:hint="eastAsia" w:ascii="宋体" w:hAnsi="宋体" w:cs="宋体"/>
          <w:color w:val="auto"/>
          <w:spacing w:val="0"/>
          <w:position w:val="0"/>
          <w:sz w:val="24"/>
          <w:szCs w:val="24"/>
          <w:highlight w:val="none"/>
        </w:rPr>
        <w:t>表</w:t>
      </w:r>
      <w:r>
        <w:rPr>
          <w:rFonts w:ascii="宋体" w:hAnsi="宋体" w:eastAsia="宋体" w:cs="宋体"/>
          <w:color w:val="auto"/>
          <w:spacing w:val="0"/>
          <w:position w:val="0"/>
          <w:sz w:val="24"/>
          <w:szCs w:val="24"/>
          <w:highlight w:val="none"/>
          <w:lang w:eastAsia="zh-CN"/>
        </w:rPr>
        <w:t>的内容填写。</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中不得包含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要求以外的内容，否则，在</w:t>
      </w:r>
      <w:r>
        <w:rPr>
          <w:rFonts w:hint="eastAsia" w:ascii="宋体" w:hAnsi="宋体" w:eastAsia="宋体" w:cs="宋体"/>
          <w:color w:val="auto"/>
          <w:spacing w:val="0"/>
          <w:position w:val="0"/>
          <w:sz w:val="24"/>
          <w:szCs w:val="24"/>
          <w:highlight w:val="none"/>
          <w:lang w:val="en-US" w:eastAsia="zh-CN"/>
        </w:rPr>
        <w:t>评审</w:t>
      </w:r>
      <w:r>
        <w:rPr>
          <w:rFonts w:ascii="宋体" w:hAnsi="宋体" w:eastAsia="宋体" w:cs="宋体"/>
          <w:color w:val="auto"/>
          <w:spacing w:val="0"/>
          <w:position w:val="0"/>
          <w:sz w:val="24"/>
          <w:szCs w:val="24"/>
          <w:highlight w:val="none"/>
          <w:lang w:eastAsia="zh-CN"/>
        </w:rPr>
        <w:t>时不予核减。若</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6F33ED80">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中如缺漏</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所要求的内容，</w:t>
      </w:r>
      <w:r>
        <w:rPr>
          <w:rFonts w:hint="eastAsia" w:ascii="宋体" w:hAnsi="宋体" w:eastAsia="宋体" w:cs="宋体"/>
          <w:color w:val="auto"/>
          <w:spacing w:val="0"/>
          <w:position w:val="0"/>
          <w:sz w:val="24"/>
          <w:szCs w:val="24"/>
          <w:highlight w:val="none"/>
          <w:lang w:eastAsia="zh-CN"/>
        </w:rPr>
        <w:t>服务商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后须提供，且</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价以</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报价为准。若</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FFF12AE">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.4 </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val="en-US" w:eastAsia="zh-CN"/>
        </w:rPr>
        <w:t>磋商报</w:t>
      </w:r>
      <w:r>
        <w:rPr>
          <w:rFonts w:ascii="宋体" w:hAnsi="宋体" w:eastAsia="宋体" w:cs="宋体"/>
          <w:color w:val="auto"/>
          <w:spacing w:val="0"/>
          <w:position w:val="0"/>
          <w:sz w:val="24"/>
          <w:szCs w:val="24"/>
          <w:highlight w:val="none"/>
          <w:lang w:eastAsia="zh-CN"/>
        </w:rPr>
        <w:t>价在合同执行过程中是固定不变的</w:t>
      </w:r>
      <w:r>
        <w:rPr>
          <w:rFonts w:hint="eastAsia" w:ascii="宋体" w:hAnsi="宋体" w:eastAsia="宋体" w:cs="宋体"/>
          <w:color w:val="auto"/>
          <w:spacing w:val="0"/>
          <w:position w:val="0"/>
          <w:sz w:val="24"/>
          <w:szCs w:val="24"/>
          <w:highlight w:val="none"/>
          <w:lang w:val="en-US" w:eastAsia="zh-CN"/>
        </w:rPr>
        <w:t>,</w:t>
      </w:r>
      <w:r>
        <w:rPr>
          <w:rFonts w:ascii="宋体" w:hAnsi="宋体" w:eastAsia="宋体" w:cs="宋体"/>
          <w:color w:val="auto"/>
          <w:spacing w:val="0"/>
          <w:position w:val="0"/>
          <w:sz w:val="24"/>
          <w:szCs w:val="24"/>
          <w:highlight w:val="none"/>
          <w:lang w:eastAsia="zh-CN"/>
        </w:rPr>
        <w:t>不得以任何理由予以变更。</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应对所有</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内容进行</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，且只提供最优方案一套，</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提交任何包含价格调整要求的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将按非实质性响应，</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424BB8D">
      <w:pPr>
        <w:numPr>
          <w:ilvl w:val="0"/>
          <w:numId w:val="5"/>
        </w:numPr>
        <w:spacing w:line="360" w:lineRule="auto"/>
        <w:ind w:left="454" w:hanging="454"/>
        <w:rPr>
          <w:rFonts w:hint="eastAsia" w:ascii="宋体" w:hAnsi="宋体" w:cs="宋体"/>
          <w:b/>
          <w:color w:val="auto"/>
          <w:sz w:val="24"/>
          <w:szCs w:val="28"/>
          <w:highlight w:val="white"/>
        </w:rPr>
      </w:pPr>
      <w:r>
        <w:rPr>
          <w:rFonts w:hint="eastAsia" w:ascii="宋体" w:hAnsi="宋体" w:cs="宋体"/>
          <w:b/>
          <w:color w:val="auto"/>
          <w:sz w:val="24"/>
          <w:szCs w:val="28"/>
          <w:highlight w:val="white"/>
        </w:rPr>
        <w:t>响应保证金</w:t>
      </w:r>
    </w:p>
    <w:p w14:paraId="586A0F80">
      <w:pPr>
        <w:numPr>
          <w:ilvl w:val="0"/>
          <w:numId w:val="0"/>
        </w:numPr>
        <w:spacing w:line="360" w:lineRule="auto"/>
        <w:ind w:leftChars="0"/>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.1投标人须在投标文件递交截止时间之前向招标文件指定账户提交投标保证金，并作为其投标文件的一部分，</w:t>
      </w:r>
      <w:r>
        <w:rPr>
          <w:rFonts w:hint="eastAsia" w:ascii="宋体" w:hAnsi="宋体" w:cs="宋体"/>
          <w:bCs/>
          <w:color w:val="auto"/>
          <w:sz w:val="24"/>
          <w:szCs w:val="24"/>
          <w:highlight w:val="white"/>
        </w:rPr>
        <w:t>详见</w:t>
      </w:r>
      <w:r>
        <w:rPr>
          <w:rFonts w:hint="eastAsia" w:ascii="宋体" w:hAnsi="宋体" w:cs="宋体"/>
          <w:color w:val="auto"/>
          <w:sz w:val="24"/>
          <w:szCs w:val="24"/>
          <w:highlight w:val="white"/>
        </w:rPr>
        <w:t>“</w:t>
      </w:r>
      <w:r>
        <w:rPr>
          <w:rFonts w:hint="eastAsia" w:ascii="宋体" w:hAnsi="宋体" w:eastAsia="宋体" w:cs="宋体"/>
          <w:bCs/>
          <w:color w:val="auto"/>
          <w:sz w:val="24"/>
          <w:szCs w:val="24"/>
          <w:highlight w:val="white"/>
          <w:lang w:eastAsia="zh-CN"/>
        </w:rPr>
        <w:t>磋商</w:t>
      </w:r>
      <w:r>
        <w:rPr>
          <w:rFonts w:hint="eastAsia" w:ascii="宋体" w:hAnsi="宋体" w:cs="宋体"/>
          <w:bCs/>
          <w:color w:val="auto"/>
          <w:sz w:val="24"/>
          <w:szCs w:val="24"/>
          <w:highlight w:val="white"/>
        </w:rPr>
        <w:t>须知前附表”</w:t>
      </w:r>
      <w:r>
        <w:rPr>
          <w:rFonts w:hint="eastAsia" w:ascii="宋体" w:hAnsi="宋体" w:cs="宋体"/>
          <w:color w:val="auto"/>
          <w:sz w:val="24"/>
          <w:szCs w:val="24"/>
          <w:highlight w:val="white"/>
        </w:rPr>
        <w:t>。</w:t>
      </w:r>
    </w:p>
    <w:p w14:paraId="341866AF">
      <w:pPr>
        <w:numPr>
          <w:ilvl w:val="0"/>
          <w:numId w:val="0"/>
        </w:numPr>
        <w:spacing w:line="360" w:lineRule="auto"/>
        <w:ind w:firstLine="480" w:firstLineChars="200"/>
        <w:rPr>
          <w:rFonts w:hint="eastAsia" w:ascii="宋体" w:hAnsi="宋体" w:cs="宋体"/>
          <w:b/>
          <w:i/>
          <w:color w:val="auto"/>
          <w:sz w:val="24"/>
          <w:szCs w:val="24"/>
          <w:highlight w:val="white"/>
        </w:rPr>
      </w:pPr>
      <w:r>
        <w:rPr>
          <w:rFonts w:hint="eastAsia" w:ascii="宋体" w:hAnsi="宋体" w:cs="宋体"/>
          <w:color w:val="auto"/>
          <w:sz w:val="24"/>
          <w:szCs w:val="24"/>
          <w:highlight w:val="white"/>
        </w:rPr>
        <w:t>联合体投标的，可以由联合体中的一方或者共同提交投标保证金，以一方名义提交投标保证金的，对联合体各方均具有约束力。</w:t>
      </w:r>
      <w:r>
        <w:rPr>
          <w:rFonts w:hint="eastAsia" w:ascii="宋体" w:hAnsi="宋体" w:cs="宋体"/>
          <w:b/>
          <w:i/>
          <w:color w:val="auto"/>
          <w:sz w:val="24"/>
          <w:szCs w:val="24"/>
          <w:highlight w:val="white"/>
        </w:rPr>
        <w:t>（适用联合体投标）</w:t>
      </w:r>
    </w:p>
    <w:p w14:paraId="3748D25D">
      <w:pPr>
        <w:numPr>
          <w:ilvl w:val="0"/>
          <w:numId w:val="0"/>
        </w:numPr>
        <w:spacing w:line="360" w:lineRule="auto"/>
        <w:rPr>
          <w:rFonts w:hint="eastAsia" w:ascii="宋体" w:hAnsi="宋体" w:cs="宋体"/>
          <w:b/>
          <w:color w:val="auto"/>
          <w:sz w:val="24"/>
          <w:szCs w:val="24"/>
          <w:highlight w:val="white"/>
        </w:rPr>
      </w:pPr>
      <w:r>
        <w:rPr>
          <w:rFonts w:hint="eastAsia" w:ascii="宋体" w:hAnsi="宋体" w:cs="宋体"/>
          <w:color w:val="auto"/>
          <w:sz w:val="24"/>
          <w:szCs w:val="24"/>
          <w:highlight w:val="white"/>
        </w:rPr>
        <w:t xml:space="preserve"> </w:t>
      </w:r>
      <w:r>
        <w:rPr>
          <w:rFonts w:hint="eastAsia" w:ascii="宋体" w:hAnsi="宋体" w:eastAsia="宋体" w:cs="宋体"/>
          <w:color w:val="auto"/>
          <w:sz w:val="24"/>
          <w:szCs w:val="24"/>
          <w:highlight w:val="white"/>
          <w:lang w:val="en-US" w:eastAsia="zh-CN"/>
        </w:rPr>
        <w:t xml:space="preserve">   </w:t>
      </w:r>
      <w:r>
        <w:rPr>
          <w:rFonts w:hint="eastAsia" w:ascii="宋体" w:hAnsi="宋体" w:cs="宋体"/>
          <w:b/>
          <w:color w:val="auto"/>
          <w:sz w:val="24"/>
          <w:szCs w:val="24"/>
          <w:highlight w:val="white"/>
        </w:rPr>
        <w:t>注：可凭银行进账单复印件作为投标凭据。</w:t>
      </w:r>
    </w:p>
    <w:p w14:paraId="55F4AABB">
      <w:pPr>
        <w:spacing w:line="360" w:lineRule="auto"/>
        <w:ind w:left="480" w:hanging="480" w:hangingChars="200"/>
        <w:rPr>
          <w:rFonts w:hint="eastAsia" w:ascii="宋体" w:hAnsi="宋体" w:cs="宋体"/>
          <w:color w:val="auto"/>
          <w:sz w:val="24"/>
          <w:szCs w:val="28"/>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w:t>
      </w:r>
      <w:r>
        <w:rPr>
          <w:rFonts w:hint="eastAsia" w:ascii="宋体" w:hAnsi="宋体" w:cs="宋体"/>
          <w:color w:val="auto"/>
          <w:sz w:val="24"/>
          <w:szCs w:val="28"/>
          <w:highlight w:val="white"/>
        </w:rPr>
        <w:t>2任何未按“投标人须知第</w:t>
      </w: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条”要求提交投标保证金的投标文件，投标无效</w:t>
      </w:r>
    </w:p>
    <w:p w14:paraId="687850EC">
      <w:pPr>
        <w:spacing w:line="360" w:lineRule="auto"/>
        <w:ind w:left="480" w:hanging="480" w:hangingChars="200"/>
        <w:rPr>
          <w:rFonts w:hint="eastAsia" w:ascii="宋体" w:hAnsi="宋体" w:cs="宋体"/>
          <w:color w:val="auto"/>
          <w:sz w:val="24"/>
          <w:szCs w:val="28"/>
          <w:highlight w:val="white"/>
        </w:rPr>
      </w:pP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.3未中标单位的保证金在中标通知书发出之日起五个工作日内不计息退还，中标单位的保证金，在采购合同签订后,同时须凭采购单位同意退还保证金的函，到</w:t>
      </w:r>
      <w:r>
        <w:rPr>
          <w:rFonts w:hint="eastAsia" w:ascii="宋体" w:hAnsi="宋体"/>
          <w:b w:val="0"/>
          <w:bCs/>
          <w:color w:val="auto"/>
          <w:sz w:val="24"/>
          <w:highlight w:val="white"/>
        </w:rPr>
        <w:t>遂川县仁远建设事务发展有限公司</w:t>
      </w:r>
      <w:r>
        <w:rPr>
          <w:rFonts w:hint="eastAsia" w:ascii="宋体" w:hAnsi="宋体" w:cs="宋体"/>
          <w:color w:val="auto"/>
          <w:sz w:val="24"/>
          <w:szCs w:val="28"/>
          <w:highlight w:val="white"/>
        </w:rPr>
        <w:t>办理相关退款手续后五个工作日内不计息退还。</w:t>
      </w:r>
    </w:p>
    <w:p w14:paraId="316C62A0">
      <w:pPr>
        <w:spacing w:line="360" w:lineRule="auto"/>
        <w:ind w:left="480" w:hanging="480" w:hangingChars="200"/>
        <w:rPr>
          <w:rFonts w:hint="eastAsia" w:ascii="宋体" w:hAnsi="宋体" w:cs="宋体"/>
          <w:color w:val="auto"/>
          <w:sz w:val="24"/>
          <w:szCs w:val="28"/>
          <w:highlight w:val="white"/>
        </w:rPr>
      </w:pP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.4投标人在投标截止时间前撤回已提交的投标文件的，采购代理机构应当自投标截止之日起5个工作日内，退还已收取的投标保证金，但因投标人自身原因导致无法及时退还的除外。</w:t>
      </w:r>
    </w:p>
    <w:p w14:paraId="75A89A0D">
      <w:pPr>
        <w:numPr>
          <w:ilvl w:val="0"/>
          <w:numId w:val="0"/>
        </w:numPr>
        <w:spacing w:line="360" w:lineRule="auto"/>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.5下列任何情况发生时，不予退还其交纳的投标保证金</w:t>
      </w:r>
    </w:p>
    <w:p w14:paraId="622F0DC9">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lang w:val="en-US" w:eastAsia="zh-CN"/>
        </w:rPr>
        <w:t>1）</w:t>
      </w:r>
      <w:r>
        <w:rPr>
          <w:rFonts w:hint="eastAsia" w:ascii="宋体" w:hAnsi="宋体" w:cs="宋体"/>
          <w:color w:val="auto"/>
          <w:sz w:val="24"/>
          <w:szCs w:val="24"/>
          <w:highlight w:val="white"/>
        </w:rPr>
        <w:t>投标人在投标有效期内撤回其投标；</w:t>
      </w:r>
    </w:p>
    <w:p w14:paraId="162A48B3">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cs="宋体"/>
          <w:color w:val="auto"/>
          <w:sz w:val="24"/>
          <w:szCs w:val="24"/>
          <w:highlight w:val="white"/>
        </w:rPr>
        <w:t>（2)中标人未按招标文件所述规定签订合同；</w:t>
      </w:r>
    </w:p>
    <w:p w14:paraId="04459AF3">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cs="宋体"/>
          <w:color w:val="auto"/>
          <w:sz w:val="24"/>
          <w:szCs w:val="24"/>
          <w:highlight w:val="white"/>
        </w:rPr>
        <w:t>（3)中标人未按规定缴付采购代理服务费；</w:t>
      </w:r>
    </w:p>
    <w:p w14:paraId="79421331">
      <w:pPr>
        <w:numPr>
          <w:ilvl w:val="0"/>
          <w:numId w:val="0"/>
        </w:numPr>
        <w:spacing w:line="360" w:lineRule="auto"/>
        <w:ind w:firstLine="240" w:firstLineChars="100"/>
        <w:rPr>
          <w:rFonts w:hint="eastAsia" w:ascii="宋体" w:hAnsi="宋体" w:cs="宋体"/>
          <w:b/>
          <w:color w:val="auto"/>
          <w:sz w:val="24"/>
          <w:szCs w:val="24"/>
          <w:highlight w:val="white"/>
        </w:rPr>
      </w:pPr>
      <w:r>
        <w:rPr>
          <w:rFonts w:hint="eastAsia" w:ascii="宋体" w:hAnsi="宋体" w:cs="宋体"/>
          <w:color w:val="auto"/>
          <w:sz w:val="24"/>
          <w:szCs w:val="24"/>
          <w:highlight w:val="white"/>
        </w:rPr>
        <w:t>（4)中标人未按规定提交履约保证金；</w:t>
      </w:r>
      <w:r>
        <w:rPr>
          <w:rFonts w:hint="eastAsia" w:ascii="宋体" w:hAnsi="宋体" w:cs="宋体"/>
          <w:b/>
          <w:color w:val="auto"/>
          <w:sz w:val="24"/>
          <w:szCs w:val="24"/>
          <w:highlight w:val="white"/>
        </w:rPr>
        <w:t>（如招标文件要求提交履约保证金）</w:t>
      </w:r>
    </w:p>
    <w:p w14:paraId="79203A64">
      <w:pPr>
        <w:numPr>
          <w:ilvl w:val="0"/>
          <w:numId w:val="0"/>
        </w:numPr>
        <w:spacing w:line="360" w:lineRule="auto"/>
        <w:ind w:firstLine="240" w:firstLineChars="1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（5)中标人提供虚假材料和文件意图骗取中标。</w:t>
      </w:r>
    </w:p>
    <w:p w14:paraId="1FB7AF8E">
      <w:pPr>
        <w:spacing w:line="360" w:lineRule="auto"/>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13、响应有效期</w:t>
      </w:r>
    </w:p>
    <w:p w14:paraId="513FF9D7">
      <w:pPr>
        <w:spacing w:line="360" w:lineRule="auto"/>
        <w:rPr>
          <w:ins w:id="0" w:author="USER" w:date="2015-03-15T18:38:00Z"/>
          <w:rFonts w:hint="eastAsia" w:ascii="宋体" w:hAnsi="宋体" w:cs="宋体"/>
          <w:b/>
          <w:color w:val="auto"/>
          <w:sz w:val="24"/>
          <w:szCs w:val="28"/>
        </w:rPr>
      </w:pPr>
      <w:r>
        <w:rPr>
          <w:rFonts w:hint="eastAsia" w:ascii="宋体" w:hAnsi="宋体" w:cs="宋体"/>
          <w:color w:val="auto"/>
          <w:sz w:val="24"/>
          <w:szCs w:val="28"/>
          <w:highlight w:val="white"/>
        </w:rPr>
        <w:t>13.1响应有效期为政府采购代理机构规定的磋商之日后90天。</w:t>
      </w:r>
    </w:p>
    <w:p w14:paraId="2D41A7A6">
      <w:pPr>
        <w:spacing w:line="360" w:lineRule="auto"/>
        <w:ind w:left="480" w:hanging="480" w:hangingChars="200"/>
        <w:rPr>
          <w:rFonts w:hint="eastAsia" w:ascii="宋体" w:hAnsi="宋体" w:cs="宋体"/>
          <w:color w:val="auto"/>
          <w:sz w:val="24"/>
          <w:szCs w:val="28"/>
        </w:rPr>
      </w:pPr>
      <w:r>
        <w:rPr>
          <w:rFonts w:hint="eastAsia" w:ascii="宋体" w:hAnsi="宋体" w:cs="宋体"/>
          <w:color w:val="auto"/>
          <w:sz w:val="24"/>
          <w:szCs w:val="28"/>
          <w:highlight w:val="white"/>
        </w:rPr>
        <w:t>13.2特殊情况下，在原定响应有效期截止之前，政府采购代理机构可以要求响应服务商延长响应有效期。这种要求与答复均应以书面形式提交。响应服务商可以拒绝政府采购代理机构的这种要求，其响应保证金将不会被没收。但其响应在原响应有效期期满后将不再有效。同意延长响应有效期的响应服务商将不会被要求和允许修正其磋商响应文件，而只会被要求相应地延长响应保证金的有效期。在这种情况下，有关响应保证金的退还和没收的规定将在延长了的有效期内继续有效。</w:t>
      </w:r>
    </w:p>
    <w:p w14:paraId="7EB4423D">
      <w:pPr>
        <w:spacing w:line="360" w:lineRule="auto"/>
        <w:ind w:left="454" w:hanging="454"/>
        <w:rPr>
          <w:rFonts w:hint="eastAsia" w:ascii="宋体" w:hAnsi="宋体" w:cs="宋体"/>
          <w:b/>
          <w:color w:val="auto"/>
          <w:sz w:val="24"/>
          <w:szCs w:val="28"/>
        </w:rPr>
      </w:pPr>
      <w:bookmarkStart w:id="94" w:name="_Toc470101228"/>
      <w:bookmarkStart w:id="95" w:name="_Toc8690_WPSOffice_Level2"/>
      <w:bookmarkStart w:id="96" w:name="_Toc21129_WPSOffice_Level2"/>
      <w:bookmarkStart w:id="97" w:name="_Toc329166816"/>
      <w:bookmarkStart w:id="98" w:name="_Toc31567"/>
      <w:bookmarkStart w:id="99" w:name="_Toc330498818"/>
      <w:r>
        <w:rPr>
          <w:rFonts w:hint="eastAsia" w:ascii="宋体" w:hAnsi="宋体" w:cs="宋体"/>
          <w:b/>
          <w:color w:val="auto"/>
          <w:sz w:val="24"/>
          <w:szCs w:val="28"/>
        </w:rPr>
        <w:t>14.磋商响应文件份数、签署和规定</w:t>
      </w:r>
    </w:p>
    <w:p w14:paraId="005FF958">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14.1供应商</w:t>
      </w:r>
      <w:r>
        <w:rPr>
          <w:rFonts w:hint="eastAsia" w:ascii="宋体" w:hAnsi="宋体" w:eastAsia="宋体" w:cs="宋体"/>
          <w:bCs/>
          <w:color w:val="auto"/>
          <w:sz w:val="24"/>
        </w:rPr>
        <w:t>在投标时应准备</w:t>
      </w:r>
      <w:r>
        <w:rPr>
          <w:rFonts w:hint="eastAsia" w:ascii="宋体" w:hAnsi="宋体" w:eastAsia="宋体" w:cs="宋体"/>
          <w:bCs/>
          <w:color w:val="auto"/>
          <w:sz w:val="24"/>
          <w:lang w:val="en-US" w:eastAsia="zh-CN"/>
        </w:rPr>
        <w:t>三</w:t>
      </w:r>
      <w:r>
        <w:rPr>
          <w:rFonts w:hint="eastAsia" w:ascii="宋体" w:hAnsi="宋体" w:eastAsia="宋体" w:cs="宋体"/>
          <w:bCs/>
          <w:color w:val="auto"/>
          <w:sz w:val="24"/>
        </w:rPr>
        <w:t>份纸质</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文件（1份正本、</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份副本）</w:t>
      </w:r>
      <w:r>
        <w:rPr>
          <w:rFonts w:hint="eastAsia" w:ascii="宋体" w:hAnsi="宋体" w:cs="宋体"/>
          <w:color w:val="auto"/>
          <w:sz w:val="24"/>
          <w:szCs w:val="28"/>
        </w:rPr>
        <w:t>，并按磋商文件的要求签字、盖章（或按印）。纸质响应文件均须胶装。</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文件的正本与副本如有不一致之处，以正本为准</w:t>
      </w:r>
      <w:r>
        <w:rPr>
          <w:rFonts w:hint="eastAsia" w:ascii="宋体" w:hAnsi="宋体" w:cs="宋体"/>
          <w:color w:val="auto"/>
          <w:sz w:val="24"/>
          <w:szCs w:val="28"/>
        </w:rPr>
        <w:t>。</w:t>
      </w:r>
    </w:p>
    <w:p w14:paraId="374CE273">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14.3响应文件不得涂改和增删，如有修改，必须由响应文件签字人签字或盖章（或按印）。</w:t>
      </w:r>
    </w:p>
    <w:p w14:paraId="4E565222">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14.4响应文件因字迹潦草或表达不清所引起的后果由供应商负责。</w:t>
      </w:r>
    </w:p>
    <w:p w14:paraId="56DED4FA">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14.5电报、电传、传真形式的响应文件概不接受。</w:t>
      </w:r>
    </w:p>
    <w:bookmarkEnd w:id="94"/>
    <w:bookmarkEnd w:id="95"/>
    <w:bookmarkEnd w:id="96"/>
    <w:bookmarkEnd w:id="97"/>
    <w:bookmarkEnd w:id="98"/>
    <w:bookmarkEnd w:id="99"/>
    <w:p w14:paraId="539F6597">
      <w:pPr>
        <w:spacing w:line="360" w:lineRule="auto"/>
        <w:ind w:left="454" w:hanging="454"/>
        <w:outlineLvl w:val="1"/>
        <w:rPr>
          <w:rFonts w:hint="eastAsia" w:ascii="宋体" w:hAnsi="宋体" w:cs="宋体"/>
          <w:b/>
          <w:bCs/>
          <w:color w:val="auto"/>
          <w:sz w:val="24"/>
          <w:szCs w:val="24"/>
        </w:rPr>
      </w:pPr>
      <w:bookmarkStart w:id="100" w:name="_Toc18825"/>
      <w:r>
        <w:rPr>
          <w:rFonts w:hint="eastAsia" w:ascii="宋体" w:hAnsi="宋体" w:cs="宋体"/>
          <w:b/>
          <w:bCs/>
          <w:color w:val="auto"/>
          <w:sz w:val="24"/>
          <w:szCs w:val="24"/>
        </w:rPr>
        <w:t>四、磋商文件递交</w:t>
      </w:r>
      <w:bookmarkEnd w:id="100"/>
    </w:p>
    <w:p w14:paraId="32FB9DB7">
      <w:pPr>
        <w:widowControl/>
        <w:spacing w:line="360" w:lineRule="auto"/>
        <w:jc w:val="left"/>
        <w:rPr>
          <w:rFonts w:hint="eastAsia" w:ascii="宋体" w:hAnsi="宋体" w:cs="宋体"/>
          <w:color w:val="auto"/>
          <w:sz w:val="24"/>
          <w:szCs w:val="28"/>
        </w:rPr>
      </w:pPr>
      <w:r>
        <w:rPr>
          <w:rFonts w:hint="eastAsia" w:ascii="宋体" w:hAnsi="宋体" w:cs="宋体"/>
          <w:b/>
          <w:bCs/>
          <w:color w:val="auto"/>
          <w:sz w:val="24"/>
          <w:szCs w:val="24"/>
        </w:rPr>
        <w:t>15、磋商响应文件递交、密封和标志</w:t>
      </w:r>
    </w:p>
    <w:p w14:paraId="3AC15941">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15.1</w:t>
      </w:r>
      <w:r>
        <w:rPr>
          <w:rFonts w:hint="eastAsia" w:ascii="宋体" w:hAnsi="宋体" w:cs="宋体"/>
          <w:color w:val="auto"/>
          <w:sz w:val="24"/>
          <w:szCs w:val="24"/>
          <w:highlight w:val="white"/>
        </w:rPr>
        <w:t>加盖</w:t>
      </w:r>
      <w:r>
        <w:rPr>
          <w:rFonts w:hint="eastAsia" w:ascii="宋体" w:hAnsi="宋体" w:cs="宋体"/>
          <w:color w:val="auto"/>
          <w:sz w:val="24"/>
          <w:szCs w:val="24"/>
          <w:highlight w:val="white"/>
          <w:lang w:val="en-US" w:eastAsia="zh-CN"/>
        </w:rPr>
        <w:t>投标人公</w:t>
      </w:r>
      <w:r>
        <w:rPr>
          <w:rFonts w:hint="eastAsia" w:ascii="宋体" w:hAnsi="宋体" w:cs="宋体"/>
          <w:color w:val="auto"/>
          <w:sz w:val="24"/>
          <w:szCs w:val="24"/>
          <w:highlight w:val="white"/>
        </w:rPr>
        <w:t>章的</w:t>
      </w:r>
      <w:r>
        <w:rPr>
          <w:rFonts w:hint="eastAsia" w:ascii="宋体" w:hAnsi="宋体" w:cs="宋体"/>
          <w:color w:val="auto"/>
          <w:sz w:val="24"/>
          <w:szCs w:val="24"/>
          <w:highlight w:val="white"/>
          <w:lang w:val="en-US" w:eastAsia="zh-CN"/>
        </w:rPr>
        <w:t>纸质</w:t>
      </w:r>
      <w:r>
        <w:rPr>
          <w:rFonts w:hint="eastAsia" w:ascii="宋体" w:hAnsi="宋体" w:cs="宋体"/>
          <w:color w:val="auto"/>
          <w:sz w:val="24"/>
          <w:szCs w:val="24"/>
          <w:highlight w:val="white"/>
        </w:rPr>
        <w:t>版投标文件必须在投标截止时间前</w:t>
      </w:r>
      <w:r>
        <w:rPr>
          <w:rFonts w:hint="eastAsia" w:ascii="宋体" w:hAnsi="宋体" w:cs="宋体"/>
          <w:color w:val="auto"/>
          <w:sz w:val="24"/>
          <w:szCs w:val="24"/>
          <w:highlight w:val="white"/>
          <w:lang w:val="en-US" w:eastAsia="zh-CN"/>
        </w:rPr>
        <w:t>送达</w:t>
      </w:r>
      <w:r>
        <w:rPr>
          <w:rFonts w:hint="eastAsia" w:ascii="宋体" w:hAnsi="宋体" w:cs="宋体"/>
          <w:color w:val="auto"/>
          <w:sz w:val="24"/>
          <w:szCs w:val="24"/>
          <w:highlight w:val="white"/>
        </w:rPr>
        <w:t>到指定的开标地点，</w:t>
      </w:r>
      <w:r>
        <w:rPr>
          <w:rFonts w:hint="eastAsia" w:ascii="宋体" w:hAnsi="宋体" w:cs="宋体"/>
          <w:b/>
          <w:color w:val="auto"/>
          <w:sz w:val="24"/>
          <w:szCs w:val="24"/>
          <w:highlight w:val="white"/>
        </w:rPr>
        <w:t>否则投标无效</w:t>
      </w:r>
      <w:r>
        <w:rPr>
          <w:rFonts w:hint="eastAsia" w:ascii="宋体" w:hAnsi="宋体" w:cs="宋体"/>
          <w:color w:val="auto"/>
          <w:sz w:val="24"/>
          <w:szCs w:val="28"/>
        </w:rPr>
        <w:t>。</w:t>
      </w:r>
    </w:p>
    <w:p w14:paraId="40788CD4">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15．2服务商应将</w:t>
      </w:r>
      <w:r>
        <w:rPr>
          <w:rFonts w:hint="eastAsia" w:ascii="宋体" w:hAnsi="宋体" w:eastAsia="宋体" w:cs="宋体"/>
          <w:color w:val="auto"/>
          <w:sz w:val="24"/>
          <w:szCs w:val="28"/>
          <w:lang w:val="en-US" w:eastAsia="zh-CN"/>
        </w:rPr>
        <w:t>3</w:t>
      </w:r>
      <w:r>
        <w:rPr>
          <w:rFonts w:hint="eastAsia" w:ascii="宋体" w:hAnsi="宋体" w:cs="宋体"/>
          <w:color w:val="auto"/>
          <w:sz w:val="24"/>
          <w:szCs w:val="28"/>
        </w:rPr>
        <w:t>份相同的纸质响应文件密封装在一个文件袋中。</w:t>
      </w:r>
    </w:p>
    <w:p w14:paraId="562E41B3">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15.3纸投投标文件封口处有磋商全权代表的签字或单位公章（或自然人手印）。封皮上 注明磋商项目名称、项目编号、供应商名称、地址、邮政编码、电话、联系人， 并注明 “磋商时启封”字样。</w:t>
      </w:r>
    </w:p>
    <w:p w14:paraId="6EB5908F">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15.4如果服务商未按上述要求密封及加写标记纸投投标文件，采购代理机构对响应文件的误投和提前启封概不负责。</w:t>
      </w:r>
    </w:p>
    <w:p w14:paraId="13330A43">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16、响应截止期</w:t>
      </w:r>
    </w:p>
    <w:p w14:paraId="16BC0DA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16．1磋商截至时间详见“第一章 磋商邀请”。</w:t>
      </w:r>
    </w:p>
    <w:p w14:paraId="2079096C">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16．2响应文件必须在磋商文件规定的开启地点和磋商截止时间前送达，否则响应无效。 </w:t>
      </w:r>
    </w:p>
    <w:p w14:paraId="0EAABC2D">
      <w:pPr>
        <w:widowControl/>
        <w:spacing w:line="360" w:lineRule="auto"/>
        <w:ind w:left="480" w:hanging="480" w:hangingChars="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16．</w:t>
      </w:r>
      <w:r>
        <w:rPr>
          <w:rFonts w:hint="eastAsia" w:ascii="宋体" w:hAnsi="宋体" w:cs="宋体"/>
          <w:color w:val="auto"/>
          <w:kern w:val="0"/>
          <w:sz w:val="24"/>
          <w:szCs w:val="24"/>
          <w:lang w:val="en-US" w:eastAsia="zh-CN"/>
        </w:rPr>
        <w:t>3</w:t>
      </w:r>
      <w:r>
        <w:rPr>
          <w:rFonts w:ascii="宋体" w:hAnsi="宋体" w:cs="宋体"/>
          <w:color w:val="auto"/>
          <w:kern w:val="0"/>
          <w:sz w:val="24"/>
          <w:szCs w:val="24"/>
        </w:rPr>
        <w:t>在响应截止</w:t>
      </w:r>
      <w:r>
        <w:rPr>
          <w:rFonts w:hint="eastAsia" w:ascii="宋体" w:hAnsi="宋体" w:cs="宋体"/>
          <w:color w:val="auto"/>
          <w:kern w:val="0"/>
          <w:sz w:val="24"/>
          <w:szCs w:val="24"/>
        </w:rPr>
        <w:t>时间</w:t>
      </w:r>
      <w:r>
        <w:rPr>
          <w:rFonts w:ascii="宋体" w:hAnsi="宋体" w:cs="宋体"/>
          <w:color w:val="auto"/>
          <w:kern w:val="0"/>
          <w:sz w:val="24"/>
          <w:szCs w:val="24"/>
        </w:rPr>
        <w:t>后</w:t>
      </w:r>
      <w:r>
        <w:rPr>
          <w:rFonts w:hint="eastAsia" w:ascii="宋体" w:hAnsi="宋体" w:cs="宋体"/>
          <w:color w:val="auto"/>
          <w:kern w:val="0"/>
          <w:sz w:val="24"/>
          <w:szCs w:val="24"/>
        </w:rPr>
        <w:t>递交</w:t>
      </w:r>
      <w:r>
        <w:rPr>
          <w:rFonts w:ascii="宋体" w:hAnsi="宋体" w:cs="宋体"/>
          <w:color w:val="auto"/>
          <w:kern w:val="0"/>
          <w:sz w:val="24"/>
          <w:szCs w:val="24"/>
        </w:rPr>
        <w:t>的</w:t>
      </w:r>
      <w:r>
        <w:rPr>
          <w:rFonts w:hint="eastAsia" w:ascii="宋体" w:hAnsi="宋体" w:cs="宋体"/>
          <w:color w:val="auto"/>
          <w:kern w:val="0"/>
          <w:sz w:val="24"/>
          <w:szCs w:val="24"/>
        </w:rPr>
        <w:t>磋商</w:t>
      </w:r>
      <w:r>
        <w:rPr>
          <w:rFonts w:ascii="宋体" w:hAnsi="宋体" w:cs="宋体"/>
          <w:color w:val="auto"/>
          <w:kern w:val="0"/>
          <w:sz w:val="24"/>
          <w:szCs w:val="24"/>
        </w:rPr>
        <w:t>响应文件</w:t>
      </w:r>
      <w:r>
        <w:rPr>
          <w:rFonts w:hint="eastAsia" w:ascii="宋体" w:hAnsi="宋体" w:cs="宋体"/>
          <w:color w:val="auto"/>
          <w:kern w:val="0"/>
          <w:sz w:val="24"/>
          <w:szCs w:val="24"/>
        </w:rPr>
        <w:t>，</w:t>
      </w:r>
      <w:r>
        <w:rPr>
          <w:rFonts w:hint="eastAsia" w:ascii="宋体" w:hAnsi="宋体"/>
          <w:color w:val="auto"/>
          <w:sz w:val="24"/>
          <w:szCs w:val="24"/>
        </w:rPr>
        <w:t>政府采购</w:t>
      </w:r>
      <w:r>
        <w:rPr>
          <w:rFonts w:hint="eastAsia" w:ascii="宋体" w:hAnsi="宋体" w:cs="宋体"/>
          <w:color w:val="auto"/>
          <w:kern w:val="0"/>
          <w:sz w:val="24"/>
          <w:szCs w:val="24"/>
        </w:rPr>
        <w:t>代理机构将拒绝接收</w:t>
      </w:r>
      <w:r>
        <w:rPr>
          <w:rFonts w:hint="eastAsia" w:ascii="宋体" w:hAnsi="宋体" w:cs="宋体"/>
          <w:color w:val="auto"/>
          <w:kern w:val="0"/>
          <w:sz w:val="24"/>
          <w:szCs w:val="24"/>
          <w:lang w:eastAsia="zh-CN"/>
        </w:rPr>
        <w:t>。</w:t>
      </w:r>
    </w:p>
    <w:p w14:paraId="2478E346">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17、磋商响应文件的补充、修改和撤回</w:t>
      </w:r>
    </w:p>
    <w:p w14:paraId="48FF7D8F">
      <w:pPr>
        <w:widowControl/>
        <w:spacing w:line="360" w:lineRule="auto"/>
        <w:ind w:left="480" w:hanging="480" w:hangingChars="200"/>
        <w:jc w:val="left"/>
        <w:rPr>
          <w:rFonts w:hint="eastAsia"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.1</w:t>
      </w:r>
      <w:r>
        <w:rPr>
          <w:rFonts w:hint="eastAsia" w:ascii="宋体" w:hAnsi="宋体" w:cs="宋体"/>
          <w:color w:val="auto"/>
          <w:kern w:val="0"/>
          <w:sz w:val="24"/>
          <w:szCs w:val="24"/>
        </w:rPr>
        <w:t>在规定的响应截止期前</w:t>
      </w:r>
      <w:r>
        <w:rPr>
          <w:rFonts w:ascii="宋体" w:hAnsi="宋体" w:cs="宋体"/>
          <w:color w:val="auto"/>
          <w:kern w:val="0"/>
          <w:sz w:val="24"/>
          <w:szCs w:val="24"/>
        </w:rPr>
        <w:t>，</w:t>
      </w:r>
      <w:r>
        <w:rPr>
          <w:rFonts w:hint="eastAsia" w:ascii="宋体" w:hAnsi="宋体" w:cs="宋体"/>
          <w:color w:val="auto"/>
          <w:kern w:val="0"/>
          <w:sz w:val="24"/>
          <w:szCs w:val="24"/>
        </w:rPr>
        <w:t>响应服务商可</w:t>
      </w:r>
      <w:r>
        <w:rPr>
          <w:rFonts w:ascii="宋体" w:hAnsi="宋体" w:cs="宋体"/>
          <w:color w:val="auto"/>
          <w:kern w:val="0"/>
          <w:sz w:val="24"/>
          <w:szCs w:val="24"/>
        </w:rPr>
        <w:t>以书面形式</w:t>
      </w:r>
      <w:r>
        <w:rPr>
          <w:rFonts w:hint="eastAsia" w:ascii="宋体" w:hAnsi="宋体" w:cs="宋体"/>
          <w:color w:val="auto"/>
          <w:kern w:val="0"/>
          <w:sz w:val="24"/>
          <w:szCs w:val="24"/>
        </w:rPr>
        <w:t>提出</w:t>
      </w:r>
      <w:r>
        <w:rPr>
          <w:rFonts w:hint="eastAsia" w:ascii="宋体" w:hAnsi="宋体" w:cs="宋体"/>
          <w:bCs/>
          <w:color w:val="auto"/>
          <w:kern w:val="0"/>
          <w:sz w:val="24"/>
          <w:szCs w:val="24"/>
        </w:rPr>
        <w:t>补充、</w:t>
      </w:r>
      <w:r>
        <w:rPr>
          <w:rFonts w:hint="eastAsia" w:ascii="宋体" w:hAnsi="宋体" w:cs="宋体"/>
          <w:color w:val="auto"/>
          <w:kern w:val="0"/>
          <w:sz w:val="24"/>
          <w:szCs w:val="24"/>
        </w:rPr>
        <w:t>修改或撤回其递交的磋商响应文件</w:t>
      </w:r>
      <w:r>
        <w:rPr>
          <w:rFonts w:ascii="宋体" w:hAnsi="宋体" w:cs="宋体"/>
          <w:color w:val="auto"/>
          <w:kern w:val="0"/>
          <w:sz w:val="24"/>
          <w:szCs w:val="24"/>
        </w:rPr>
        <w:t>。</w:t>
      </w:r>
    </w:p>
    <w:p w14:paraId="48C868DE">
      <w:pPr>
        <w:widowControl/>
        <w:spacing w:line="360" w:lineRule="auto"/>
        <w:ind w:left="480" w:hanging="480" w:hangingChars="200"/>
        <w:jc w:val="left"/>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.2响应服务商的</w:t>
      </w:r>
      <w:r>
        <w:rPr>
          <w:rFonts w:hint="eastAsia" w:ascii="宋体" w:hAnsi="宋体" w:cs="宋体"/>
          <w:bCs/>
          <w:color w:val="auto"/>
          <w:kern w:val="0"/>
          <w:sz w:val="24"/>
          <w:szCs w:val="24"/>
        </w:rPr>
        <w:t>补充、</w:t>
      </w:r>
      <w:r>
        <w:rPr>
          <w:rFonts w:ascii="宋体" w:hAnsi="宋体" w:cs="宋体"/>
          <w:color w:val="auto"/>
          <w:kern w:val="0"/>
          <w:sz w:val="24"/>
          <w:szCs w:val="24"/>
        </w:rPr>
        <w:t>修改</w:t>
      </w:r>
      <w:r>
        <w:rPr>
          <w:rFonts w:hint="eastAsia" w:ascii="宋体" w:hAnsi="宋体" w:cs="宋体"/>
          <w:color w:val="auto"/>
          <w:kern w:val="0"/>
          <w:sz w:val="24"/>
          <w:szCs w:val="24"/>
        </w:rPr>
        <w:t>材料</w:t>
      </w:r>
      <w:r>
        <w:rPr>
          <w:rFonts w:ascii="宋体" w:hAnsi="宋体" w:cs="宋体"/>
          <w:color w:val="auto"/>
          <w:kern w:val="0"/>
          <w:sz w:val="24"/>
          <w:szCs w:val="24"/>
        </w:rPr>
        <w:t>或撤回通知，应按</w:t>
      </w:r>
      <w:r>
        <w:rPr>
          <w:rFonts w:hint="eastAsia" w:ascii="宋体" w:hAnsi="宋体" w:cs="宋体"/>
          <w:color w:val="auto"/>
          <w:kern w:val="0"/>
          <w:sz w:val="24"/>
          <w:szCs w:val="24"/>
        </w:rPr>
        <w:t>规定</w:t>
      </w:r>
      <w:r>
        <w:rPr>
          <w:rFonts w:ascii="宋体" w:hAnsi="宋体" w:cs="宋体"/>
          <w:color w:val="auto"/>
          <w:kern w:val="0"/>
          <w:sz w:val="24"/>
          <w:szCs w:val="24"/>
        </w:rPr>
        <w:t>进行编制、密封、标记和递交，且在</w:t>
      </w:r>
      <w:r>
        <w:rPr>
          <w:rFonts w:hint="eastAsia" w:ascii="宋体" w:hAnsi="宋体" w:cs="宋体"/>
          <w:color w:val="auto"/>
          <w:kern w:val="0"/>
          <w:sz w:val="24"/>
          <w:szCs w:val="24"/>
        </w:rPr>
        <w:t>密封袋</w:t>
      </w:r>
      <w:r>
        <w:rPr>
          <w:rFonts w:ascii="宋体" w:hAnsi="宋体" w:cs="宋体"/>
          <w:color w:val="auto"/>
          <w:kern w:val="0"/>
          <w:sz w:val="24"/>
          <w:szCs w:val="24"/>
        </w:rPr>
        <w:t>上标明“</w:t>
      </w:r>
      <w:r>
        <w:rPr>
          <w:rFonts w:hint="eastAsia" w:ascii="宋体" w:hAnsi="宋体" w:cs="宋体"/>
          <w:color w:val="auto"/>
          <w:kern w:val="0"/>
          <w:sz w:val="24"/>
          <w:szCs w:val="24"/>
        </w:rPr>
        <w:t>磋商响应文件</w:t>
      </w:r>
      <w:r>
        <w:rPr>
          <w:rFonts w:hint="eastAsia" w:ascii="宋体" w:hAnsi="宋体" w:cs="宋体"/>
          <w:bCs/>
          <w:color w:val="auto"/>
          <w:kern w:val="0"/>
          <w:sz w:val="24"/>
          <w:szCs w:val="24"/>
        </w:rPr>
        <w:t>补充</w:t>
      </w:r>
      <w:r>
        <w:rPr>
          <w:rFonts w:ascii="宋体" w:hAnsi="宋体" w:cs="宋体"/>
          <w:color w:val="auto"/>
          <w:kern w:val="0"/>
          <w:sz w:val="24"/>
          <w:szCs w:val="24"/>
        </w:rPr>
        <w:t>”</w:t>
      </w:r>
      <w:r>
        <w:rPr>
          <w:rFonts w:hint="eastAsia" w:ascii="宋体" w:hAnsi="宋体" w:cs="宋体"/>
          <w:color w:val="auto"/>
          <w:kern w:val="0"/>
          <w:sz w:val="24"/>
          <w:szCs w:val="24"/>
        </w:rPr>
        <w:t>、</w:t>
      </w:r>
      <w:r>
        <w:rPr>
          <w:rFonts w:ascii="宋体" w:hAnsi="宋体" w:cs="宋体"/>
          <w:color w:val="auto"/>
          <w:kern w:val="0"/>
          <w:sz w:val="24"/>
          <w:szCs w:val="24"/>
        </w:rPr>
        <w:t>“</w:t>
      </w:r>
      <w:r>
        <w:rPr>
          <w:rFonts w:hint="eastAsia" w:ascii="宋体" w:hAnsi="宋体" w:cs="宋体"/>
          <w:color w:val="auto"/>
          <w:kern w:val="0"/>
          <w:sz w:val="24"/>
          <w:szCs w:val="24"/>
        </w:rPr>
        <w:t>磋商响应文件</w:t>
      </w:r>
      <w:r>
        <w:rPr>
          <w:rFonts w:ascii="宋体" w:hAnsi="宋体" w:cs="宋体"/>
          <w:color w:val="auto"/>
          <w:kern w:val="0"/>
          <w:sz w:val="24"/>
          <w:szCs w:val="24"/>
        </w:rPr>
        <w:t>修改”或“</w:t>
      </w:r>
      <w:r>
        <w:rPr>
          <w:rFonts w:hint="eastAsia" w:ascii="宋体" w:hAnsi="宋体" w:cs="宋体"/>
          <w:color w:val="auto"/>
          <w:kern w:val="0"/>
          <w:sz w:val="24"/>
          <w:szCs w:val="24"/>
        </w:rPr>
        <w:t>磋商响应文件</w:t>
      </w:r>
      <w:r>
        <w:rPr>
          <w:rFonts w:ascii="宋体" w:hAnsi="宋体" w:cs="宋体"/>
          <w:color w:val="auto"/>
          <w:kern w:val="0"/>
          <w:sz w:val="24"/>
          <w:szCs w:val="24"/>
        </w:rPr>
        <w:t>撤回</w:t>
      </w:r>
      <w:r>
        <w:rPr>
          <w:rFonts w:hint="eastAsia" w:ascii="宋体" w:hAnsi="宋体" w:cs="宋体"/>
          <w:color w:val="auto"/>
          <w:kern w:val="0"/>
          <w:sz w:val="24"/>
          <w:szCs w:val="24"/>
        </w:rPr>
        <w:t>通知</w:t>
      </w:r>
      <w:r>
        <w:rPr>
          <w:rFonts w:ascii="宋体" w:hAnsi="宋体" w:cs="宋体"/>
          <w:color w:val="auto"/>
          <w:kern w:val="0"/>
          <w:sz w:val="24"/>
          <w:szCs w:val="24"/>
        </w:rPr>
        <w:t>”字样。</w:t>
      </w:r>
    </w:p>
    <w:p w14:paraId="35854CBB">
      <w:pPr>
        <w:widowControl/>
        <w:spacing w:line="360" w:lineRule="auto"/>
        <w:ind w:left="480" w:hanging="480" w:hangingChars="200"/>
        <w:jc w:val="left"/>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.3在响应截止期</w:t>
      </w:r>
      <w:r>
        <w:rPr>
          <w:rFonts w:hint="eastAsia" w:ascii="宋体" w:hAnsi="宋体" w:cs="宋体"/>
          <w:color w:val="auto"/>
          <w:kern w:val="0"/>
          <w:sz w:val="24"/>
          <w:szCs w:val="24"/>
        </w:rPr>
        <w:t>至磋商响应</w:t>
      </w:r>
      <w:r>
        <w:rPr>
          <w:rFonts w:ascii="宋体" w:hAnsi="宋体" w:cs="宋体"/>
          <w:color w:val="auto"/>
          <w:kern w:val="0"/>
          <w:sz w:val="24"/>
          <w:szCs w:val="24"/>
        </w:rPr>
        <w:t>文件规定的响应有效期终止日之间的这段时间内，响应服务商不能撤回</w:t>
      </w:r>
      <w:r>
        <w:rPr>
          <w:rFonts w:hint="eastAsia" w:ascii="宋体" w:hAnsi="宋体" w:cs="宋体"/>
          <w:color w:val="auto"/>
          <w:kern w:val="0"/>
          <w:sz w:val="24"/>
          <w:szCs w:val="24"/>
        </w:rPr>
        <w:t>磋商</w:t>
      </w:r>
      <w:r>
        <w:rPr>
          <w:rFonts w:ascii="宋体" w:hAnsi="宋体" w:cs="宋体"/>
          <w:color w:val="auto"/>
          <w:kern w:val="0"/>
          <w:sz w:val="24"/>
          <w:szCs w:val="24"/>
        </w:rPr>
        <w:t>响应文件，否则其响应保证金将</w:t>
      </w:r>
      <w:r>
        <w:rPr>
          <w:rFonts w:hint="eastAsia" w:ascii="宋体" w:hAnsi="宋体" w:cs="宋体"/>
          <w:color w:val="auto"/>
          <w:kern w:val="0"/>
          <w:sz w:val="24"/>
          <w:szCs w:val="24"/>
        </w:rPr>
        <w:t>不予退还</w:t>
      </w:r>
      <w:r>
        <w:rPr>
          <w:rFonts w:ascii="宋体" w:hAnsi="宋体" w:cs="宋体"/>
          <w:color w:val="auto"/>
          <w:kern w:val="0"/>
          <w:sz w:val="24"/>
          <w:szCs w:val="24"/>
        </w:rPr>
        <w:t>。</w:t>
      </w:r>
    </w:p>
    <w:p w14:paraId="11CEB68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17.4补充、修改的内容与磋商响应文件不一致的，以补充、修改的内容为准。</w:t>
      </w:r>
    </w:p>
    <w:p w14:paraId="3F5D3EB4">
      <w:pPr>
        <w:pStyle w:val="3"/>
        <w:spacing w:line="360" w:lineRule="auto"/>
        <w:rPr>
          <w:rFonts w:hint="eastAsia" w:hAnsi="宋体" w:cs="宋体"/>
          <w:b/>
          <w:bCs/>
          <w:color w:val="auto"/>
          <w:sz w:val="24"/>
          <w:szCs w:val="24"/>
        </w:rPr>
      </w:pPr>
      <w:bookmarkStart w:id="101" w:name="_Toc329166817"/>
      <w:bookmarkStart w:id="102" w:name="_Toc330498819"/>
      <w:bookmarkStart w:id="103" w:name="_Toc470101229"/>
      <w:bookmarkStart w:id="104" w:name="_Toc5405_WPSOffice_Level2"/>
      <w:bookmarkStart w:id="105" w:name="_Toc31668"/>
      <w:bookmarkStart w:id="106" w:name="_Toc27520"/>
      <w:bookmarkStart w:id="107" w:name="_Toc18489_WPSOffice_Level2"/>
      <w:bookmarkStart w:id="108" w:name="_Toc32094"/>
      <w:r>
        <w:rPr>
          <w:rFonts w:hint="eastAsia" w:hAnsi="宋体" w:cs="宋体"/>
          <w:b/>
          <w:bCs/>
          <w:color w:val="auto"/>
          <w:sz w:val="24"/>
          <w:szCs w:val="24"/>
          <w:highlight w:val="white"/>
        </w:rPr>
        <w:t>五、</w:t>
      </w:r>
      <w:bookmarkEnd w:id="101"/>
      <w:bookmarkEnd w:id="102"/>
      <w:r>
        <w:rPr>
          <w:rFonts w:hint="eastAsia" w:hAnsi="宋体" w:cs="宋体"/>
          <w:b/>
          <w:bCs/>
          <w:color w:val="auto"/>
          <w:sz w:val="24"/>
          <w:szCs w:val="24"/>
          <w:highlight w:val="white"/>
        </w:rPr>
        <w:t>磋商与评审</w:t>
      </w:r>
      <w:bookmarkEnd w:id="103"/>
      <w:bookmarkEnd w:id="104"/>
      <w:bookmarkEnd w:id="105"/>
      <w:bookmarkEnd w:id="106"/>
      <w:bookmarkEnd w:id="107"/>
      <w:bookmarkEnd w:id="108"/>
    </w:p>
    <w:p w14:paraId="3ADFBD9E">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highlight w:val="white"/>
        </w:rPr>
        <w:t>18、磋商小组的组成</w:t>
      </w:r>
    </w:p>
    <w:p w14:paraId="21A719C3">
      <w:pPr>
        <w:widowControl/>
        <w:spacing w:line="360" w:lineRule="auto"/>
        <w:ind w:left="480" w:hanging="480" w:hangingChars="200"/>
        <w:jc w:val="left"/>
        <w:rPr>
          <w:rFonts w:hint="eastAsia" w:ascii="宋体" w:hAnsi="宋体" w:cs="宋体"/>
          <w:bCs/>
          <w:color w:val="auto"/>
          <w:kern w:val="0"/>
          <w:sz w:val="24"/>
          <w:szCs w:val="24"/>
        </w:rPr>
      </w:pPr>
      <w:r>
        <w:rPr>
          <w:rFonts w:hint="eastAsia" w:ascii="宋体" w:hAnsi="宋体" w:cs="宋体"/>
          <w:bCs/>
          <w:color w:val="auto"/>
          <w:kern w:val="0"/>
          <w:sz w:val="24"/>
          <w:szCs w:val="24"/>
          <w:highlight w:val="white"/>
        </w:rPr>
        <w:t>18.1</w:t>
      </w:r>
      <w:r>
        <w:rPr>
          <w:rFonts w:hint="eastAsia" w:ascii="宋体" w:hAnsi="宋体" w:cs="宋体"/>
          <w:bCs/>
          <w:color w:val="auto"/>
          <w:kern w:val="0"/>
          <w:sz w:val="24"/>
          <w:szCs w:val="24"/>
          <w:highlight w:val="white"/>
          <w:lang w:val="en-US" w:eastAsia="zh-CN"/>
        </w:rPr>
        <w:t>业主单位</w:t>
      </w:r>
      <w:r>
        <w:rPr>
          <w:rFonts w:hint="eastAsia" w:ascii="宋体" w:hAnsi="宋体" w:cs="宋体"/>
          <w:bCs/>
          <w:color w:val="auto"/>
          <w:kern w:val="0"/>
          <w:sz w:val="24"/>
          <w:szCs w:val="24"/>
          <w:highlight w:val="white"/>
        </w:rPr>
        <w:t>随机方式从专家库中抽取评审专家，依法组建磋商小组。</w:t>
      </w:r>
    </w:p>
    <w:p w14:paraId="3F36A6AB">
      <w:pPr>
        <w:widowControl/>
        <w:spacing w:line="360" w:lineRule="auto"/>
        <w:jc w:val="left"/>
        <w:rPr>
          <w:rFonts w:hint="eastAsia" w:ascii="宋体" w:hAnsi="宋体" w:cs="宋体"/>
          <w:b/>
          <w:color w:val="auto"/>
          <w:kern w:val="0"/>
          <w:sz w:val="24"/>
        </w:rPr>
      </w:pPr>
      <w:r>
        <w:rPr>
          <w:rFonts w:hint="eastAsia" w:ascii="宋体" w:hAnsi="宋体" w:cs="宋体"/>
          <w:b/>
          <w:bCs/>
          <w:color w:val="auto"/>
          <w:sz w:val="24"/>
          <w:szCs w:val="24"/>
          <w:highlight w:val="white"/>
        </w:rPr>
        <w:t>19、磋商</w:t>
      </w:r>
    </w:p>
    <w:p w14:paraId="7A85884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19.1</w:t>
      </w:r>
      <w:r>
        <w:rPr>
          <w:rFonts w:hint="eastAsia" w:ascii="宋体" w:hAnsi="宋体" w:cs="宋体"/>
          <w:color w:val="auto"/>
          <w:sz w:val="24"/>
          <w:szCs w:val="24"/>
        </w:rPr>
        <w:t>政府采购</w:t>
      </w:r>
      <w:r>
        <w:rPr>
          <w:rFonts w:hint="eastAsia" w:ascii="宋体" w:hAnsi="宋体" w:cs="宋体"/>
          <w:color w:val="auto"/>
          <w:kern w:val="0"/>
          <w:sz w:val="24"/>
          <w:szCs w:val="24"/>
        </w:rPr>
        <w:t>代理机构将在规定的时间和地点组织磋商。响应服务商应派法定代表人（经营者）或授权代表参加，参加磋商的代表应签名报到以证明其出席。</w:t>
      </w:r>
    </w:p>
    <w:p w14:paraId="68AE7A66">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19.2磋商由政府采购代理机构主持，磋商时，由采购人及响应服务商代表共同检查磋商响应文件的密封情况，</w:t>
      </w:r>
      <w:r>
        <w:rPr>
          <w:rFonts w:hint="eastAsia" w:ascii="宋体" w:hAnsi="宋体" w:cs="宋体"/>
          <w:color w:val="auto"/>
          <w:sz w:val="24"/>
          <w:szCs w:val="24"/>
        </w:rPr>
        <w:t>政府采购监督管理部门及有关部门可以视情况到场监督</w:t>
      </w:r>
      <w:r>
        <w:rPr>
          <w:rFonts w:hint="eastAsia" w:ascii="宋体" w:hAnsi="宋体" w:cs="宋体"/>
          <w:color w:val="auto"/>
          <w:kern w:val="0"/>
          <w:sz w:val="24"/>
          <w:szCs w:val="24"/>
        </w:rPr>
        <w:t>磋商</w:t>
      </w:r>
      <w:r>
        <w:rPr>
          <w:rFonts w:hint="eastAsia" w:ascii="宋体" w:hAnsi="宋体" w:cs="宋体"/>
          <w:color w:val="auto"/>
          <w:sz w:val="24"/>
          <w:szCs w:val="24"/>
        </w:rPr>
        <w:t>情况，</w:t>
      </w:r>
      <w:r>
        <w:rPr>
          <w:rFonts w:hint="eastAsia" w:ascii="宋体" w:hAnsi="宋体" w:cs="宋体"/>
          <w:color w:val="auto"/>
          <w:kern w:val="0"/>
          <w:sz w:val="24"/>
          <w:szCs w:val="24"/>
        </w:rPr>
        <w:t>经当场确认无误后当众开启。</w:t>
      </w:r>
    </w:p>
    <w:p w14:paraId="2AA9B38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19.3磋商时，</w:t>
      </w:r>
      <w:r>
        <w:rPr>
          <w:rFonts w:hint="eastAsia" w:ascii="宋体" w:hAnsi="宋体" w:cs="宋体"/>
          <w:color w:val="auto"/>
          <w:sz w:val="24"/>
          <w:szCs w:val="24"/>
        </w:rPr>
        <w:t>政府采购</w:t>
      </w:r>
      <w:r>
        <w:rPr>
          <w:rFonts w:hint="eastAsia" w:ascii="宋体" w:hAnsi="宋体" w:cs="宋体"/>
          <w:color w:val="auto"/>
          <w:kern w:val="0"/>
          <w:sz w:val="24"/>
          <w:szCs w:val="24"/>
        </w:rPr>
        <w:t>代理机构工作人员当众宣读响应服务商名称及</w:t>
      </w:r>
      <w:r>
        <w:rPr>
          <w:rFonts w:hint="eastAsia" w:ascii="宋体" w:hAnsi="宋体" w:cs="宋体"/>
          <w:color w:val="auto"/>
          <w:sz w:val="24"/>
          <w:szCs w:val="24"/>
        </w:rPr>
        <w:t>政府采购</w:t>
      </w:r>
      <w:r>
        <w:rPr>
          <w:rFonts w:hint="eastAsia" w:ascii="宋体" w:hAnsi="宋体" w:cs="宋体"/>
          <w:color w:val="auto"/>
          <w:kern w:val="0"/>
          <w:sz w:val="24"/>
          <w:szCs w:val="24"/>
        </w:rPr>
        <w:t>代理机构认为合适的其它内容，并做好磋商记录。</w:t>
      </w:r>
    </w:p>
    <w:p w14:paraId="76FFEF4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sz w:val="24"/>
        </w:rPr>
        <w:t>19.4</w:t>
      </w:r>
      <w:r>
        <w:rPr>
          <w:rFonts w:hint="eastAsia" w:ascii="宋体" w:hAnsi="宋体" w:cs="宋体"/>
          <w:color w:val="auto"/>
          <w:sz w:val="24"/>
          <w:szCs w:val="24"/>
        </w:rPr>
        <w:t>政府采购</w:t>
      </w:r>
      <w:r>
        <w:rPr>
          <w:rFonts w:hint="eastAsia" w:ascii="宋体" w:hAnsi="宋体" w:cs="宋体"/>
          <w:color w:val="auto"/>
          <w:kern w:val="0"/>
          <w:sz w:val="24"/>
          <w:szCs w:val="24"/>
        </w:rPr>
        <w:t>代理机构将在开、评标期间查询投标人的信用记录并告知评标委员会，经评标委员会评审确定投标人存在不良信用记录的，其投标无效。查询到的不良信用记录随采购文件存档。</w:t>
      </w:r>
    </w:p>
    <w:p w14:paraId="3178577D">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（1）根据《财政部关于在政府采购活动中查询及使用信用记录有关问题的通知》（财库[2016]125 号），不良信用记录指：投标人在“信用中国”网站（www.creditchina.gov.cn）被列入失信被执行人和重大税收违法案件当事人名单或在中国政府采购网（www.ccgp.gov.cn）被列入政府采购严重违法失信行为记录名单。</w:t>
      </w:r>
    </w:p>
    <w:p w14:paraId="4F0C9F0B">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（2）联合体投标的，联合体成员存在以上不良信用记录的，视同联合体存在不良信用记录。（本项目是否允许联合体投标，详见“投标人须知前附表”）</w:t>
      </w:r>
    </w:p>
    <w:p w14:paraId="015C8C09">
      <w:pPr>
        <w:widowControl/>
        <w:spacing w:line="360" w:lineRule="auto"/>
        <w:ind w:left="480" w:hanging="480" w:hangingChars="200"/>
        <w:jc w:val="left"/>
        <w:rPr>
          <w:rFonts w:hint="eastAsia" w:ascii="宋体" w:hAnsi="宋体" w:cs="宋体"/>
          <w:color w:val="auto"/>
        </w:rPr>
      </w:pPr>
      <w:r>
        <w:rPr>
          <w:rFonts w:hint="eastAsia" w:ascii="宋体" w:hAnsi="宋体" w:cs="宋体"/>
          <w:color w:val="auto"/>
          <w:kern w:val="0"/>
          <w:sz w:val="24"/>
          <w:szCs w:val="24"/>
        </w:rPr>
        <w:t>（3）投标人不良信用记录以招标代理机构查询结果为准，招标代理机构查询之后，网站信息发生的任何变更均不再作为评标依据，投标人自行提供的与网站信息不一致的其他证明材料亦不作为评标依据。</w:t>
      </w:r>
    </w:p>
    <w:p w14:paraId="63FB0BE0">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20、响应的评价和比较</w:t>
      </w:r>
    </w:p>
    <w:p w14:paraId="05D62B3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20.1磋商小组将按照磋商文件规定的评审办法进行评审。</w:t>
      </w:r>
    </w:p>
    <w:p w14:paraId="1533671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20.2评审专家独立进行评审，不得向任何人透露评审信息。</w:t>
      </w:r>
    </w:p>
    <w:p w14:paraId="45D8ADA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20.3</w:t>
      </w:r>
      <w:r>
        <w:rPr>
          <w:rFonts w:hint="eastAsia" w:ascii="宋体" w:hAnsi="宋体" w:cs="宋体"/>
          <w:color w:val="auto"/>
          <w:sz w:val="24"/>
          <w:szCs w:val="24"/>
        </w:rPr>
        <w:t>政府采购</w:t>
      </w:r>
      <w:r>
        <w:rPr>
          <w:rFonts w:hint="eastAsia" w:ascii="宋体" w:hAnsi="宋体" w:cs="宋体"/>
          <w:color w:val="auto"/>
          <w:kern w:val="0"/>
          <w:sz w:val="24"/>
          <w:szCs w:val="24"/>
        </w:rPr>
        <w:t>代理机构不向未成交服务商解释未成交原因，不退还响应文件。</w:t>
      </w:r>
    </w:p>
    <w:p w14:paraId="18D887DB">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20.4本次采购采购人授权由磋商小组直接确定成交服务商。</w:t>
      </w:r>
    </w:p>
    <w:p w14:paraId="3A6AC61E">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21、磋商响应文件的初审：初审分为资格性检查和符合性检查。</w:t>
      </w:r>
    </w:p>
    <w:p w14:paraId="27AFCCA2">
      <w:pPr>
        <w:spacing w:line="360" w:lineRule="auto"/>
        <w:ind w:left="480" w:hanging="480" w:hangingChars="200"/>
        <w:rPr>
          <w:rFonts w:hint="eastAsia" w:ascii="宋体" w:hAnsi="宋体" w:cs="宋体"/>
          <w:color w:val="auto"/>
          <w:sz w:val="24"/>
          <w:szCs w:val="24"/>
        </w:rPr>
      </w:pPr>
      <w:r>
        <w:rPr>
          <w:rFonts w:hint="eastAsia" w:ascii="宋体" w:hAnsi="宋体" w:cs="宋体"/>
          <w:color w:val="auto"/>
          <w:kern w:val="0"/>
          <w:sz w:val="24"/>
          <w:szCs w:val="24"/>
        </w:rPr>
        <w:t>21.1</w:t>
      </w:r>
      <w:r>
        <w:rPr>
          <w:rFonts w:hint="eastAsia" w:ascii="宋体" w:hAnsi="宋体" w:cs="宋体"/>
          <w:color w:val="auto"/>
          <w:sz w:val="24"/>
          <w:szCs w:val="24"/>
        </w:rPr>
        <w:t>资格性检查。依据法律法规和磋商文件的规定，对</w:t>
      </w:r>
      <w:r>
        <w:rPr>
          <w:rFonts w:hint="eastAsia" w:ascii="宋体" w:hAnsi="宋体" w:cs="宋体"/>
          <w:color w:val="auto"/>
          <w:kern w:val="0"/>
          <w:sz w:val="24"/>
          <w:szCs w:val="24"/>
        </w:rPr>
        <w:t>磋商</w:t>
      </w:r>
      <w:r>
        <w:rPr>
          <w:rFonts w:hint="eastAsia" w:ascii="宋体" w:hAnsi="宋体" w:cs="宋体"/>
          <w:color w:val="auto"/>
          <w:sz w:val="24"/>
          <w:szCs w:val="24"/>
        </w:rPr>
        <w:t>响应文件中的资格证明、响应保证金等进行审查，以确定响应服务商是否具备响应资格。</w:t>
      </w:r>
    </w:p>
    <w:p w14:paraId="082FD98E">
      <w:pPr>
        <w:spacing w:line="360" w:lineRule="auto"/>
        <w:ind w:left="480" w:hanging="480" w:hangingChars="200"/>
        <w:rPr>
          <w:rFonts w:hint="eastAsia" w:ascii="宋体" w:hAnsi="宋体" w:cs="宋体"/>
          <w:color w:val="auto"/>
          <w:sz w:val="24"/>
          <w:szCs w:val="24"/>
        </w:rPr>
      </w:pPr>
      <w:r>
        <w:rPr>
          <w:rFonts w:hint="eastAsia" w:ascii="宋体" w:hAnsi="宋体" w:cs="宋体"/>
          <w:color w:val="auto"/>
          <w:sz w:val="24"/>
          <w:szCs w:val="24"/>
        </w:rPr>
        <w:t>21.2符合性检查。依据磋商文件的规定，从响应文件的有效性、完整性和对磋商文件的响应程度、有无计算错误进行审查，以确定是否对磋商文件的实质性要求作出响应。</w:t>
      </w:r>
    </w:p>
    <w:p w14:paraId="261F85C8">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21.3算术错误将按以下方法更正：</w:t>
      </w:r>
      <w:r>
        <w:rPr>
          <w:rFonts w:hint="eastAsia" w:ascii="宋体" w:hAnsi="宋体" w:cs="宋体"/>
          <w:color w:val="auto"/>
          <w:sz w:val="24"/>
          <w:szCs w:val="24"/>
        </w:rPr>
        <w:t>响应文件的大写金额和小写金额不一致的，以大写金额为准；总价金额与按单价汇总金额不一致的，以单价金额计算结果为准；单价金额小数点有明显错位的，应以总价为准，并修改单价；对不同文字文本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s="宋体"/>
          <w:color w:val="auto"/>
          <w:kern w:val="0"/>
          <w:sz w:val="24"/>
          <w:szCs w:val="24"/>
        </w:rPr>
        <w:t>磋商</w:t>
      </w:r>
      <w:r>
        <w:rPr>
          <w:rFonts w:hint="eastAsia" w:ascii="宋体" w:hAnsi="宋体" w:cs="宋体"/>
          <w:color w:val="auto"/>
          <w:sz w:val="24"/>
          <w:szCs w:val="24"/>
        </w:rPr>
        <w:t>响应文件的解释发生异议的，以中文文本为准。</w:t>
      </w:r>
      <w:r>
        <w:rPr>
          <w:rFonts w:hint="eastAsia" w:ascii="宋体" w:hAnsi="宋体" w:cs="宋体"/>
          <w:color w:val="auto"/>
          <w:kern w:val="0"/>
          <w:sz w:val="24"/>
          <w:szCs w:val="24"/>
        </w:rPr>
        <w:t>如果</w:t>
      </w:r>
      <w:r>
        <w:rPr>
          <w:rFonts w:hint="eastAsia" w:ascii="宋体" w:hAnsi="宋体" w:cs="宋体"/>
          <w:color w:val="auto"/>
          <w:sz w:val="24"/>
          <w:szCs w:val="24"/>
        </w:rPr>
        <w:t>响应</w:t>
      </w:r>
      <w:r>
        <w:rPr>
          <w:rFonts w:hint="eastAsia" w:ascii="宋体" w:hAnsi="宋体" w:cs="宋体"/>
          <w:color w:val="auto"/>
          <w:kern w:val="0"/>
          <w:sz w:val="24"/>
          <w:szCs w:val="24"/>
        </w:rPr>
        <w:t>服务商不接受对其错误的更正，其</w:t>
      </w:r>
      <w:r>
        <w:rPr>
          <w:rFonts w:hint="eastAsia" w:ascii="宋体" w:hAnsi="宋体" w:cs="宋体"/>
          <w:color w:val="auto"/>
          <w:sz w:val="24"/>
          <w:szCs w:val="24"/>
        </w:rPr>
        <w:t>响应</w:t>
      </w:r>
      <w:r>
        <w:rPr>
          <w:rFonts w:hint="eastAsia" w:ascii="宋体" w:hAnsi="宋体" w:cs="宋体"/>
          <w:color w:val="auto"/>
          <w:kern w:val="0"/>
          <w:sz w:val="24"/>
          <w:szCs w:val="24"/>
        </w:rPr>
        <w:t>将被视为无效</w:t>
      </w:r>
      <w:r>
        <w:rPr>
          <w:rFonts w:hint="eastAsia" w:ascii="宋体" w:hAnsi="宋体" w:cs="宋体"/>
          <w:color w:val="auto"/>
          <w:sz w:val="24"/>
          <w:szCs w:val="24"/>
        </w:rPr>
        <w:t>响应</w:t>
      </w:r>
      <w:r>
        <w:rPr>
          <w:rFonts w:hint="eastAsia" w:ascii="宋体" w:hAnsi="宋体" w:cs="宋体"/>
          <w:color w:val="auto"/>
          <w:kern w:val="0"/>
          <w:sz w:val="24"/>
          <w:szCs w:val="24"/>
        </w:rPr>
        <w:t>。</w:t>
      </w:r>
    </w:p>
    <w:p w14:paraId="4B4F1548">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21.4在详细评审之前，磋商小组要审查每份磋商响应文件是否实质上响应了磋商文件的要求。实质上响应的磋商响应文件应该是与磋商文件要求的关键条款、条件和规格没有重大偏离的磋商响应文件。 </w:t>
      </w:r>
    </w:p>
    <w:p w14:paraId="31F3834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21.5实质上没有响应磋商文件要求的响应将被视为无效响应。响应服务商不得通过修正或撤销不合要求的偏离从而使其磋商响应文件成为实质上响应的响应。</w:t>
      </w:r>
    </w:p>
    <w:p w14:paraId="79104F2D">
      <w:pPr>
        <w:widowControl/>
        <w:spacing w:line="360" w:lineRule="auto"/>
        <w:ind w:left="480" w:hanging="480" w:hangingChars="200"/>
        <w:jc w:val="left"/>
        <w:rPr>
          <w:rFonts w:hint="eastAsia" w:ascii="宋体" w:hAnsi="宋体" w:cs="宋体"/>
          <w:bCs/>
          <w:color w:val="auto"/>
          <w:kern w:val="0"/>
          <w:sz w:val="24"/>
          <w:szCs w:val="24"/>
        </w:rPr>
      </w:pPr>
      <w:r>
        <w:rPr>
          <w:rFonts w:hint="eastAsia" w:ascii="宋体" w:hAnsi="宋体" w:cs="宋体"/>
          <w:color w:val="auto"/>
          <w:kern w:val="0"/>
          <w:sz w:val="24"/>
          <w:szCs w:val="24"/>
        </w:rPr>
        <w:t>21.6在初审时响应服务商有下列情形之一的，属于实质上没有响应磋商文件要求的响应，其响应将被视为无效响应：</w:t>
      </w:r>
    </w:p>
    <w:p w14:paraId="38F20B02">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21.6.1磋商响应文件数量不足或磋商响应文件没有正本的或磋商响应文件有两本及以上正本的；</w:t>
      </w:r>
    </w:p>
    <w:p w14:paraId="0FBC4699">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21.6.2响应服务商未提交响应保证金或金额不足、响应保证金提交形式不符合磋商文件要求的；</w:t>
      </w:r>
    </w:p>
    <w:p w14:paraId="47621F55">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21.6.3响应服务商的磋商响应文件或资格证明文件未提供或不符合磋商文件要求；</w:t>
      </w:r>
    </w:p>
    <w:p w14:paraId="6A71DD6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21.6.4超出经营范围响应的；</w:t>
      </w:r>
    </w:p>
    <w:p w14:paraId="03FAD1A5">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21.6.5磋商响应文件无法定代表人（经营者）签字的；</w:t>
      </w:r>
    </w:p>
    <w:p w14:paraId="0D15134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21.6.6响应有效期不足的；</w:t>
      </w:r>
    </w:p>
    <w:p w14:paraId="7CE7210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21.6.7未按磋商文件规定的格式填写的；</w:t>
      </w:r>
    </w:p>
    <w:p w14:paraId="13FAA99D">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21.6.8字迹模糊，辨认不清的；</w:t>
      </w:r>
    </w:p>
    <w:p w14:paraId="606CEFD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21.6.9法定代表人为同一人的两个及两个以上响应服务商；</w:t>
      </w:r>
    </w:p>
    <w:p w14:paraId="6352333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21.6.10响应服务商相互之间存在直接控股、管理关系的；</w:t>
      </w:r>
    </w:p>
    <w:p w14:paraId="7BFA1AE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21.6.11属于磋商文件中规定被视为无效响应其它条款的。</w:t>
      </w:r>
    </w:p>
    <w:p w14:paraId="14E1A0D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21.7磋商小组磋商后，服务商仍存在下列情况之一的，属于实质上没有响应磋商磋商文件要求的响应，其响应将被视为无效响应：</w:t>
      </w:r>
    </w:p>
    <w:p w14:paraId="25069AAB">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21.7.1经磋商小组磋商服务要求不符合磋商文件要求的；</w:t>
      </w:r>
    </w:p>
    <w:p w14:paraId="681910F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21.7.2提交成果时限不能满足磋商文件要求的；</w:t>
      </w:r>
    </w:p>
    <w:p w14:paraId="299B9A1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21.7.3磋商响应文件服务要求中的响应与事实不符或虚假响应的；</w:t>
      </w:r>
    </w:p>
    <w:p w14:paraId="16F53DD7">
      <w:pPr>
        <w:widowControl/>
        <w:spacing w:line="360" w:lineRule="auto"/>
        <w:jc w:val="left"/>
        <w:rPr>
          <w:rFonts w:hint="eastAsia" w:ascii="宋体" w:hAnsi="宋体" w:cs="宋体"/>
          <w:b/>
          <w:color w:val="auto"/>
          <w:kern w:val="0"/>
          <w:sz w:val="24"/>
          <w:szCs w:val="24"/>
        </w:rPr>
      </w:pPr>
      <w:bookmarkStart w:id="109" w:name="_Toc519068571"/>
      <w:bookmarkEnd w:id="109"/>
      <w:r>
        <w:rPr>
          <w:rFonts w:hint="eastAsia" w:ascii="宋体" w:hAnsi="宋体" w:cs="宋体"/>
          <w:b/>
          <w:color w:val="auto"/>
          <w:kern w:val="0"/>
          <w:sz w:val="24"/>
          <w:szCs w:val="24"/>
        </w:rPr>
        <w:t>22、在竞争性磋商中，出现下列情形之一的，应予废标：</w:t>
      </w:r>
    </w:p>
    <w:p w14:paraId="63C640C1">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22.1属于专业条件的供应商或对磋商文件实质性响应不足2家的；</w:t>
      </w:r>
    </w:p>
    <w:p w14:paraId="46A3B62F">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22.2出现影响采购公正的违法、违规行为的；</w:t>
      </w:r>
    </w:p>
    <w:p w14:paraId="59F9F2DE">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22.3</w:t>
      </w:r>
      <w:r>
        <w:rPr>
          <w:rFonts w:hint="eastAsia" w:ascii="宋体" w:hAnsi="宋体" w:cs="宋体"/>
          <w:color w:val="auto"/>
          <w:kern w:val="0"/>
          <w:sz w:val="24"/>
          <w:szCs w:val="24"/>
        </w:rPr>
        <w:t>响应</w:t>
      </w:r>
      <w:r>
        <w:rPr>
          <w:rFonts w:hint="eastAsia" w:ascii="宋体" w:hAnsi="宋体" w:cs="宋体"/>
          <w:bCs/>
          <w:color w:val="auto"/>
          <w:kern w:val="0"/>
          <w:sz w:val="24"/>
          <w:szCs w:val="24"/>
        </w:rPr>
        <w:t>服务商的最终磋商报价均超过采购预算，采购人不能支付的；</w:t>
      </w:r>
    </w:p>
    <w:p w14:paraId="5B4F8E11">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22.4因重大变故，采购任务取消的；</w:t>
      </w:r>
    </w:p>
    <w:p w14:paraId="39E0774D">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22.5法律、法规规定其他满足废标情况的。</w:t>
      </w:r>
    </w:p>
    <w:p w14:paraId="3D73D352">
      <w:pPr>
        <w:widowControl/>
        <w:spacing w:line="360" w:lineRule="auto"/>
        <w:jc w:val="left"/>
        <w:rPr>
          <w:rFonts w:hint="eastAsia" w:ascii="宋体" w:hAnsi="宋体" w:cs="宋体"/>
          <w:b/>
          <w:color w:val="auto"/>
          <w:kern w:val="0"/>
          <w:sz w:val="24"/>
          <w:szCs w:val="24"/>
        </w:rPr>
      </w:pPr>
      <w:r>
        <w:rPr>
          <w:rFonts w:hint="eastAsia" w:ascii="宋体" w:hAnsi="宋体" w:cs="宋体"/>
          <w:b/>
          <w:bCs/>
          <w:color w:val="auto"/>
          <w:kern w:val="0"/>
          <w:sz w:val="24"/>
          <w:szCs w:val="24"/>
        </w:rPr>
        <w:t>23、磋商响应文件的评审及澄清</w:t>
      </w:r>
    </w:p>
    <w:p w14:paraId="0008BD8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23.1在磋商响应文件的审查、澄清、评价和比较以及授予合同的过程中，响应服务商对</w:t>
      </w:r>
      <w:r>
        <w:rPr>
          <w:rFonts w:hint="eastAsia" w:ascii="宋体" w:hAnsi="宋体" w:cs="宋体"/>
          <w:color w:val="auto"/>
          <w:sz w:val="24"/>
          <w:szCs w:val="24"/>
        </w:rPr>
        <w:t>政府采购</w:t>
      </w:r>
      <w:r>
        <w:rPr>
          <w:rFonts w:hint="eastAsia" w:ascii="宋体" w:hAnsi="宋体" w:cs="宋体"/>
          <w:color w:val="auto"/>
          <w:kern w:val="0"/>
          <w:sz w:val="24"/>
          <w:szCs w:val="24"/>
        </w:rPr>
        <w:t>代理机构和磋商小组施加影响的任何行为，都将取消其响应资格</w:t>
      </w:r>
    </w:p>
    <w:p w14:paraId="783F97C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23.2评审的审查、评价和比较，响应服务商可应磋商小组的提问对其提供服务范围、服务要求等进行简要说明和澄清。有关澄清的要求和答复原则上应采用书面形式，但响应价格（校核时发现的算术错误除外）和其它实质性的内容不得更改。</w:t>
      </w:r>
    </w:p>
    <w:p w14:paraId="7FF7FFA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bCs/>
          <w:color w:val="auto"/>
          <w:kern w:val="0"/>
          <w:sz w:val="24"/>
          <w:szCs w:val="24"/>
        </w:rPr>
        <w:t>23.3响应服务商必须保证磋商响应文件所提供的全部资料真实可靠，并接受磋商小组对其</w:t>
      </w:r>
      <w:r>
        <w:rPr>
          <w:rFonts w:hint="eastAsia" w:ascii="宋体" w:hAnsi="宋体" w:cs="宋体"/>
          <w:color w:val="auto"/>
          <w:kern w:val="0"/>
          <w:sz w:val="24"/>
          <w:szCs w:val="24"/>
        </w:rPr>
        <w:t>中任何资料进一步核实的要求。</w:t>
      </w:r>
    </w:p>
    <w:p w14:paraId="7820BCC4">
      <w:pPr>
        <w:widowControl/>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24、磋商的步骤</w:t>
      </w:r>
    </w:p>
    <w:p w14:paraId="410E230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（一）第一轮磋商</w:t>
      </w:r>
    </w:p>
    <w:p w14:paraId="79806A41">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磋商小组按已确定的磋商顺序，与单一服务商分别就符合采购需求、质量和服务等进行磋商，并了解其报价组成情况。</w:t>
      </w:r>
    </w:p>
    <w:p w14:paraId="2F5116AA">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磋商中，磋商的任何一方不得透露与磋商有关的其他服务商的技术资料、价格和其他信息。</w:t>
      </w:r>
    </w:p>
    <w:p w14:paraId="5458DDC4">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政府采购代理机构对磋商过程和重要磋商内容进行记录，磋商小组召集人和响应服务商在记录上签字确认。</w:t>
      </w:r>
    </w:p>
    <w:p w14:paraId="6C8F275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（二）磋商文件修正</w:t>
      </w:r>
    </w:p>
    <w:p w14:paraId="42FA61E0">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第一轮磋商结束后，磋商小组进行合议。根据第一轮磋商掌握的情况，磋商小组可以根据磋商文件和磋商情况实质性变动采购需求的技术、服务要求以及合同草案条款，确定采购内容的具体要求，优化采购方案，并经磋商小组签字。</w:t>
      </w:r>
    </w:p>
    <w:p w14:paraId="349E53A5">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政府采购代理机构通知响应服务商集中，磋商小组强调调整后的采购要求，将磋商文件的修改结果以书面形式通知响应服务商，给响应服务商提供较充分的修正时间。</w:t>
      </w:r>
    </w:p>
    <w:p w14:paraId="3AB64B5C">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响应服务商根据第一轮磋商情况和磋商文件修改书面通知，对原磋商响应文件进行修正，并在规定时间内将修正文件由服务商或其授权委托人签字或盖章后密封送交磋商小组。逾时不交的，视同放弃磋商。修正文件与磋商响应文件同具法律效力。</w:t>
      </w:r>
    </w:p>
    <w:p w14:paraId="20D832C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（三）第二轮磋商</w:t>
      </w:r>
    </w:p>
    <w:p w14:paraId="05CA9A5A">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小组就修正后的磋商响应文件与响应服务商分别进行磋商。政府采购代理机构对磋商过程和磋商内容进行记录，磋商小组召集人和响应服务商在记录上签字确认。并按（四）最终报价的要求，进行最终报价，磋商小组按磋商文件设定的方法和标准确定成交服务商。</w:t>
      </w:r>
    </w:p>
    <w:p w14:paraId="7716EBA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第二轮磋商磋商小组未能确定成交服务商的，按（二）磋商文件修正的要求，对磋商文件修正后进行第三轮磋商。第三轮磋商为最终的磋商。</w:t>
      </w:r>
    </w:p>
    <w:p w14:paraId="16509FE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（四）最终磋商（二次响应）</w:t>
      </w:r>
    </w:p>
    <w:p w14:paraId="23B6E75E">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最终的磋商结束后，磋商文件能够详细列明采购项目的服务要求的，所有响应服务商在规定时间内作最终响应（二次响应）递交磋商小组；磋商文件不能详细列明采购项目的服务要求，需经磋商由服务商提供最终</w:t>
      </w:r>
      <w:r>
        <w:rPr>
          <w:rFonts w:hint="eastAsia" w:ascii="宋体" w:hAnsi="宋体" w:cs="宋体"/>
          <w:color w:val="auto"/>
          <w:sz w:val="24"/>
        </w:rPr>
        <w:t>规划编制方案</w:t>
      </w:r>
      <w:r>
        <w:rPr>
          <w:rFonts w:hint="eastAsia" w:ascii="宋体" w:hAnsi="宋体" w:cs="宋体"/>
          <w:color w:val="auto"/>
          <w:kern w:val="0"/>
          <w:sz w:val="24"/>
          <w:szCs w:val="24"/>
        </w:rPr>
        <w:t>或解决方案的，磋商结束后，磋商小组应当按照少数服从多数的原则投票推荐3家以上服务商的</w:t>
      </w:r>
      <w:r>
        <w:rPr>
          <w:rFonts w:hint="eastAsia" w:ascii="宋体" w:hAnsi="宋体" w:cs="宋体"/>
          <w:color w:val="auto"/>
          <w:sz w:val="24"/>
        </w:rPr>
        <w:t>规划编制方案</w:t>
      </w:r>
      <w:r>
        <w:rPr>
          <w:rFonts w:hint="eastAsia" w:ascii="宋体" w:hAnsi="宋体" w:cs="宋体"/>
          <w:color w:val="auto"/>
          <w:kern w:val="0"/>
          <w:sz w:val="24"/>
          <w:szCs w:val="24"/>
        </w:rPr>
        <w:t>或者解决方案；所有响应服务商在规定时间内作最终响应（二次响应）递交磋商小组。在提交最终响应（二次响应）前，响应服务商可以根据磋商情况退出磋商。磋商小组按评审标准，得分从高到低排序，推荐成交服务商顺序，形成评审报告。</w:t>
      </w:r>
    </w:p>
    <w:p w14:paraId="5D49E097">
      <w:pPr>
        <w:spacing w:line="360" w:lineRule="auto"/>
        <w:ind w:firstLine="360" w:firstLineChars="150"/>
        <w:rPr>
          <w:rFonts w:hint="eastAsia" w:ascii="宋体" w:hAnsi="宋体" w:cs="宋体"/>
          <w:color w:val="auto"/>
          <w:kern w:val="0"/>
          <w:sz w:val="27"/>
          <w:szCs w:val="27"/>
        </w:rPr>
      </w:pPr>
      <w:r>
        <w:rPr>
          <w:rFonts w:hint="eastAsia" w:ascii="宋体" w:hAnsi="宋体" w:cs="宋体"/>
          <w:color w:val="auto"/>
          <w:kern w:val="0"/>
          <w:sz w:val="24"/>
          <w:szCs w:val="24"/>
        </w:rPr>
        <w:t>所有响应服务商的最终响应未超过政府采购预算不足3家（采用竞争性磋商采购方式采购的政府购买服务项目（含政府和社会以资本合作项目，在采购过程中符合要求的供应商（社会资本）只有2家的活动可以继续进行。采购过程中符合要求的供应商（社会资本）只有1家的，采购人或者采购代理机构应当终止竞争性磋商采购活动，发布项目终止公告并说明原因，重新开展采购活动。）磋商活动终止；终止后，采购人调整项目需求后重新组织采购。或采购人调整采购预算采取其他采购方式采购的应当在再次采购活动开始前经采购人的同级财政部门批准。磋商过程由政府采购代理机构指定专人负责记录，并存档备查。</w:t>
      </w:r>
    </w:p>
    <w:p w14:paraId="348B531B">
      <w:pPr>
        <w:widowControl/>
        <w:spacing w:line="360" w:lineRule="auto"/>
        <w:jc w:val="left"/>
        <w:rPr>
          <w:rFonts w:hint="eastAsia" w:ascii="宋体" w:hAnsi="宋体" w:cs="宋体"/>
          <w:b/>
          <w:color w:val="auto"/>
          <w:kern w:val="0"/>
          <w:sz w:val="24"/>
          <w:szCs w:val="24"/>
        </w:rPr>
      </w:pPr>
      <w:r>
        <w:rPr>
          <w:rFonts w:hint="eastAsia" w:ascii="宋体" w:hAnsi="宋体" w:cs="宋体"/>
          <w:b/>
          <w:bCs/>
          <w:color w:val="auto"/>
          <w:kern w:val="0"/>
          <w:sz w:val="24"/>
          <w:szCs w:val="24"/>
        </w:rPr>
        <w:t>25、评审办法</w:t>
      </w:r>
    </w:p>
    <w:p w14:paraId="05494A9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25.1</w:t>
      </w:r>
      <w:r>
        <w:rPr>
          <w:rFonts w:hint="eastAsia" w:ascii="宋体" w:hAnsi="宋体" w:cs="宋体"/>
          <w:color w:val="auto"/>
          <w:sz w:val="24"/>
          <w:szCs w:val="24"/>
        </w:rPr>
        <w:t>本次磋商采用综合评分法，在满足磋商文件实质性要求前提下，按照磋商文件中规定的各项因素进行综合评审后，以最终评审总得分最高的磋商响应服务商作为成交服务商的评审方法。</w:t>
      </w:r>
    </w:p>
    <w:p w14:paraId="4511025E">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rPr>
        <w:t>25.2磋商小组认为，排在前面的成交候选服务商的最终响应（二次响应）或者最终响应（二次响应）某些分项报价明显不合理或者低于成本，有可能影响服务质量和不能诚信履约的，应当要求其在规定的期限内提供书面文件予以解释说明，并提交相关证明材料。</w:t>
      </w:r>
    </w:p>
    <w:p w14:paraId="5AB23ACC">
      <w:pPr>
        <w:spacing w:line="440" w:lineRule="exact"/>
        <w:jc w:val="left"/>
        <w:rPr>
          <w:rFonts w:hint="eastAsia" w:ascii="宋体" w:hAnsi="宋体" w:cs="宋体"/>
          <w:b/>
          <w:color w:val="auto"/>
          <w:sz w:val="24"/>
        </w:rPr>
      </w:pPr>
      <w:r>
        <w:rPr>
          <w:rFonts w:hint="eastAsia" w:ascii="宋体" w:hAnsi="宋体" w:cs="宋体"/>
          <w:color w:val="auto"/>
          <w:sz w:val="24"/>
          <w:szCs w:val="24"/>
          <w:highlight w:val="white"/>
        </w:rPr>
        <w:t>2</w:t>
      </w:r>
      <w:r>
        <w:rPr>
          <w:rFonts w:hint="eastAsia" w:ascii="宋体" w:hAnsi="宋体" w:eastAsia="宋体" w:cs="宋体"/>
          <w:color w:val="auto"/>
          <w:sz w:val="24"/>
          <w:szCs w:val="24"/>
          <w:highlight w:val="white"/>
          <w:lang w:val="en-US" w:eastAsia="zh-CN"/>
        </w:rPr>
        <w:t>6</w:t>
      </w:r>
      <w:r>
        <w:rPr>
          <w:rFonts w:hint="eastAsia" w:ascii="宋体" w:hAnsi="宋体" w:cs="宋体"/>
          <w:color w:val="auto"/>
          <w:sz w:val="24"/>
          <w:szCs w:val="24"/>
          <w:highlight w:val="white"/>
        </w:rPr>
        <w:t>.1磋商小组从质量和服务均能满足采购文件实质性响应要求的供应商中，按照</w:t>
      </w:r>
      <w:r>
        <w:rPr>
          <w:rFonts w:hint="eastAsia" w:ascii="宋体" w:hAnsi="宋体" w:cs="宋体"/>
          <w:bCs/>
          <w:color w:val="auto"/>
          <w:sz w:val="24"/>
          <w:szCs w:val="24"/>
          <w:highlight w:val="white"/>
        </w:rPr>
        <w:t>最后得分由高到低的顺序提出3名以上成交候选人，并编写评审报告。</w:t>
      </w:r>
    </w:p>
    <w:p w14:paraId="1F06FC64">
      <w:pPr>
        <w:widowControl/>
        <w:snapToGrid w:val="0"/>
        <w:spacing w:line="440" w:lineRule="exact"/>
        <w:ind w:left="480" w:hanging="480" w:hangingChars="200"/>
        <w:jc w:val="left"/>
        <w:rPr>
          <w:rFonts w:hint="eastAsia" w:ascii="宋体" w:hAnsi="宋体" w:cs="宋体"/>
          <w:bCs/>
          <w:color w:val="auto"/>
          <w:sz w:val="24"/>
          <w:szCs w:val="24"/>
        </w:rPr>
      </w:pPr>
      <w:r>
        <w:rPr>
          <w:rFonts w:hint="eastAsia" w:ascii="宋体" w:hAnsi="宋体" w:cs="宋体"/>
          <w:bCs/>
          <w:color w:val="auto"/>
          <w:sz w:val="24"/>
          <w:szCs w:val="24"/>
          <w:highlight w:val="white"/>
        </w:rPr>
        <w:t>2</w:t>
      </w:r>
      <w:r>
        <w:rPr>
          <w:rFonts w:hint="eastAsia" w:ascii="宋体" w:hAnsi="宋体" w:eastAsia="宋体" w:cs="宋体"/>
          <w:bCs/>
          <w:color w:val="auto"/>
          <w:sz w:val="24"/>
          <w:szCs w:val="24"/>
          <w:highlight w:val="white"/>
          <w:lang w:val="en-US" w:eastAsia="zh-CN"/>
        </w:rPr>
        <w:t>6</w:t>
      </w:r>
      <w:r>
        <w:rPr>
          <w:rFonts w:hint="eastAsia" w:ascii="宋体" w:hAnsi="宋体" w:cs="宋体"/>
          <w:bCs/>
          <w:color w:val="auto"/>
          <w:sz w:val="24"/>
          <w:szCs w:val="24"/>
          <w:highlight w:val="white"/>
        </w:rPr>
        <w:t>.2</w:t>
      </w:r>
      <w:r>
        <w:rPr>
          <w:rFonts w:hint="eastAsia" w:ascii="宋体" w:hAnsi="宋体" w:cs="宋体"/>
          <w:color w:val="auto"/>
          <w:sz w:val="24"/>
          <w:szCs w:val="24"/>
          <w:highlight w:val="white"/>
        </w:rPr>
        <w:t>最终得分相同且技术、服务指标优劣均相同的，由</w:t>
      </w:r>
      <w:r>
        <w:rPr>
          <w:rFonts w:hint="eastAsia" w:ascii="宋体" w:hAnsi="宋体" w:cs="宋体"/>
          <w:bCs/>
          <w:color w:val="auto"/>
          <w:sz w:val="24"/>
          <w:szCs w:val="24"/>
          <w:highlight w:val="white"/>
        </w:rPr>
        <w:t>磋商</w:t>
      </w:r>
      <w:r>
        <w:rPr>
          <w:rFonts w:hint="eastAsia" w:ascii="宋体" w:hAnsi="宋体" w:cs="宋体"/>
          <w:color w:val="auto"/>
          <w:sz w:val="24"/>
          <w:szCs w:val="24"/>
          <w:highlight w:val="white"/>
        </w:rPr>
        <w:t>小组随机抽取确定排序</w:t>
      </w:r>
    </w:p>
    <w:p w14:paraId="28884D2A">
      <w:pPr>
        <w:numPr>
          <w:ilvl w:val="0"/>
          <w:numId w:val="0"/>
        </w:numPr>
        <w:spacing w:line="440" w:lineRule="exact"/>
        <w:ind w:leftChars="-200" w:firstLine="482" w:firstLineChars="200"/>
        <w:rPr>
          <w:rFonts w:hint="eastAsia" w:ascii="宋体" w:hAnsi="宋体" w:cs="宋体"/>
          <w:b/>
          <w:color w:val="auto"/>
          <w:sz w:val="24"/>
        </w:rPr>
      </w:pPr>
      <w:r>
        <w:rPr>
          <w:rFonts w:hint="eastAsia" w:ascii="宋体" w:hAnsi="宋体" w:eastAsia="宋体" w:cs="宋体"/>
          <w:b/>
          <w:color w:val="auto"/>
          <w:sz w:val="24"/>
          <w:highlight w:val="white"/>
          <w:lang w:val="en-US" w:eastAsia="zh-CN"/>
        </w:rPr>
        <w:t>27.</w:t>
      </w:r>
      <w:r>
        <w:rPr>
          <w:rFonts w:hint="eastAsia" w:ascii="宋体" w:hAnsi="宋体" w:cs="宋体"/>
          <w:b/>
          <w:color w:val="auto"/>
          <w:sz w:val="24"/>
          <w:highlight w:val="white"/>
        </w:rPr>
        <w:t>确定成交供应商</w:t>
      </w:r>
    </w:p>
    <w:p w14:paraId="55741E22">
      <w:pPr>
        <w:spacing w:line="440" w:lineRule="exact"/>
        <w:ind w:left="-420" w:leftChars="-200"/>
        <w:rPr>
          <w:rFonts w:hint="eastAsia" w:ascii="宋体" w:hAnsi="宋体" w:cs="宋体"/>
          <w:bCs/>
          <w:color w:val="auto"/>
          <w:sz w:val="24"/>
          <w:szCs w:val="24"/>
        </w:rPr>
      </w:pPr>
      <w:r>
        <w:rPr>
          <w:rFonts w:hint="eastAsia" w:ascii="宋体" w:hAnsi="宋体" w:cs="宋体"/>
          <w:b/>
          <w:color w:val="auto"/>
          <w:sz w:val="24"/>
          <w:highlight w:val="white"/>
        </w:rPr>
        <w:t xml:space="preserve">    </w:t>
      </w:r>
      <w:r>
        <w:rPr>
          <w:rFonts w:hint="eastAsia" w:ascii="宋体" w:hAnsi="宋体" w:cs="宋体"/>
          <w:bCs/>
          <w:color w:val="auto"/>
          <w:sz w:val="24"/>
          <w:szCs w:val="24"/>
          <w:highlight w:val="white"/>
        </w:rPr>
        <w:t>2</w:t>
      </w:r>
      <w:r>
        <w:rPr>
          <w:rFonts w:hint="eastAsia" w:ascii="宋体" w:hAnsi="宋体" w:eastAsia="宋体" w:cs="宋体"/>
          <w:bCs/>
          <w:color w:val="auto"/>
          <w:sz w:val="24"/>
          <w:szCs w:val="24"/>
          <w:highlight w:val="white"/>
          <w:lang w:val="en-US" w:eastAsia="zh-CN"/>
        </w:rPr>
        <w:t>7</w:t>
      </w:r>
      <w:r>
        <w:rPr>
          <w:rFonts w:hint="eastAsia" w:ascii="宋体" w:hAnsi="宋体" w:cs="宋体"/>
          <w:bCs/>
          <w:color w:val="auto"/>
          <w:sz w:val="24"/>
          <w:szCs w:val="24"/>
          <w:highlight w:val="white"/>
        </w:rPr>
        <w:t>.1 采购代理机构在磋商结束后将评审报告送采购人。</w:t>
      </w:r>
    </w:p>
    <w:p w14:paraId="4471AD46">
      <w:pPr>
        <w:spacing w:line="440" w:lineRule="exact"/>
        <w:ind w:leftChars="-103" w:hanging="216" w:hangingChars="90"/>
        <w:rPr>
          <w:rFonts w:hint="eastAsia" w:ascii="宋体" w:hAnsi="宋体" w:cs="宋体"/>
          <w:color w:val="auto"/>
          <w:sz w:val="23"/>
          <w:szCs w:val="23"/>
        </w:rPr>
      </w:pPr>
      <w:r>
        <w:rPr>
          <w:rFonts w:hint="eastAsia" w:ascii="宋体" w:hAnsi="宋体" w:cs="宋体"/>
          <w:bCs/>
          <w:color w:val="auto"/>
          <w:sz w:val="24"/>
          <w:szCs w:val="24"/>
          <w:highlight w:val="white"/>
        </w:rPr>
        <w:t xml:space="preserve">  2</w:t>
      </w:r>
      <w:r>
        <w:rPr>
          <w:rFonts w:hint="eastAsia" w:ascii="宋体" w:hAnsi="宋体" w:eastAsia="宋体" w:cs="宋体"/>
          <w:bCs/>
          <w:color w:val="auto"/>
          <w:sz w:val="24"/>
          <w:szCs w:val="24"/>
          <w:highlight w:val="white"/>
          <w:lang w:val="en-US" w:eastAsia="zh-CN"/>
        </w:rPr>
        <w:t>7</w:t>
      </w:r>
      <w:r>
        <w:rPr>
          <w:rFonts w:hint="eastAsia" w:ascii="宋体" w:hAnsi="宋体" w:cs="宋体"/>
          <w:bCs/>
          <w:color w:val="auto"/>
          <w:sz w:val="24"/>
          <w:szCs w:val="24"/>
          <w:highlight w:val="white"/>
        </w:rPr>
        <w:t>.2 采购人收到评审报告后，按照评审报告推荐的成交候选人顺序确定成交供应商。也可以事先授权磋商小组直接确定成交供应商</w:t>
      </w:r>
      <w:r>
        <w:rPr>
          <w:rFonts w:hint="eastAsia" w:ascii="宋体" w:hAnsi="宋体" w:cs="宋体"/>
          <w:color w:val="auto"/>
          <w:sz w:val="23"/>
          <w:szCs w:val="23"/>
          <w:highlight w:val="white"/>
        </w:rPr>
        <w:t>。</w:t>
      </w:r>
    </w:p>
    <w:p w14:paraId="77AFBB0C">
      <w:pPr>
        <w:spacing w:line="440" w:lineRule="exact"/>
        <w:rPr>
          <w:rFonts w:hint="eastAsia" w:ascii="宋体" w:hAnsi="宋体" w:cs="宋体"/>
          <w:b/>
          <w:color w:val="auto"/>
          <w:sz w:val="24"/>
        </w:rPr>
      </w:pPr>
      <w:r>
        <w:rPr>
          <w:rFonts w:hint="eastAsia" w:ascii="宋体" w:hAnsi="宋体" w:cs="宋体"/>
          <w:b/>
          <w:color w:val="auto"/>
          <w:sz w:val="24"/>
          <w:highlight w:val="white"/>
        </w:rPr>
        <w:t>2</w:t>
      </w:r>
      <w:r>
        <w:rPr>
          <w:rFonts w:hint="eastAsia" w:ascii="宋体" w:hAnsi="宋体" w:eastAsia="宋体" w:cs="宋体"/>
          <w:b/>
          <w:color w:val="auto"/>
          <w:sz w:val="24"/>
          <w:highlight w:val="white"/>
          <w:lang w:val="en-US" w:eastAsia="zh-CN"/>
        </w:rPr>
        <w:t>8</w:t>
      </w:r>
      <w:r>
        <w:rPr>
          <w:rFonts w:hint="eastAsia" w:ascii="宋体" w:hAnsi="宋体" w:cs="宋体"/>
          <w:b/>
          <w:color w:val="auto"/>
          <w:sz w:val="24"/>
          <w:highlight w:val="white"/>
        </w:rPr>
        <w:t>.公示</w:t>
      </w:r>
    </w:p>
    <w:p w14:paraId="23EEC936">
      <w:pPr>
        <w:spacing w:line="440" w:lineRule="exact"/>
        <w:rPr>
          <w:rFonts w:hint="eastAsia" w:ascii="宋体" w:hAnsi="宋体" w:cs="宋体"/>
          <w:color w:val="auto"/>
          <w:sz w:val="24"/>
          <w:szCs w:val="24"/>
        </w:rPr>
      </w:pPr>
      <w:bookmarkStart w:id="110" w:name="_Toc224097229"/>
      <w:r>
        <w:rPr>
          <w:rFonts w:hint="eastAsia" w:ascii="宋体" w:hAnsi="宋体" w:cs="宋体"/>
          <w:color w:val="auto"/>
          <w:sz w:val="24"/>
          <w:szCs w:val="24"/>
          <w:highlight w:val="white"/>
        </w:rPr>
        <w:t>2</w:t>
      </w:r>
      <w:r>
        <w:rPr>
          <w:rFonts w:hint="eastAsia" w:ascii="宋体" w:hAnsi="宋体" w:eastAsia="宋体" w:cs="宋体"/>
          <w:color w:val="auto"/>
          <w:sz w:val="24"/>
          <w:szCs w:val="24"/>
          <w:highlight w:val="white"/>
          <w:lang w:val="en-US" w:eastAsia="zh-CN"/>
        </w:rPr>
        <w:t>8</w:t>
      </w:r>
      <w:r>
        <w:rPr>
          <w:rFonts w:hint="eastAsia" w:ascii="宋体" w:hAnsi="宋体" w:cs="宋体"/>
          <w:color w:val="auto"/>
          <w:sz w:val="24"/>
          <w:szCs w:val="24"/>
          <w:highlight w:val="white"/>
        </w:rPr>
        <w:t>.1 成交供应商确定后，</w:t>
      </w:r>
      <w:r>
        <w:rPr>
          <w:rFonts w:hint="eastAsia" w:ascii="宋体" w:hAnsi="宋体" w:cs="宋体"/>
          <w:color w:val="auto"/>
          <w:sz w:val="24"/>
          <w:szCs w:val="24"/>
          <w:highlight w:val="white"/>
          <w:lang w:val="en-GB"/>
        </w:rPr>
        <w:t>招标代理机构</w:t>
      </w:r>
      <w:r>
        <w:rPr>
          <w:rFonts w:hint="eastAsia" w:ascii="宋体" w:hAnsi="宋体" w:cs="宋体"/>
          <w:color w:val="auto"/>
          <w:sz w:val="24"/>
          <w:szCs w:val="24"/>
          <w:highlight w:val="white"/>
        </w:rPr>
        <w:t>将按相关规定在政府采购信息发布媒体上进行公告，公告期为1个工作日。</w:t>
      </w:r>
      <w:bookmarkEnd w:id="110"/>
    </w:p>
    <w:p w14:paraId="509C0D19">
      <w:pPr>
        <w:spacing w:line="440" w:lineRule="exact"/>
        <w:rPr>
          <w:rFonts w:hint="eastAsia" w:ascii="宋体" w:hAnsi="宋体" w:cs="宋体"/>
          <w:b/>
          <w:color w:val="auto"/>
          <w:sz w:val="24"/>
        </w:rPr>
      </w:pPr>
      <w:r>
        <w:rPr>
          <w:rFonts w:hint="eastAsia" w:ascii="宋体" w:hAnsi="宋体" w:eastAsia="宋体" w:cs="宋体"/>
          <w:b/>
          <w:color w:val="auto"/>
          <w:sz w:val="24"/>
          <w:highlight w:val="white"/>
          <w:lang w:val="en-US" w:eastAsia="zh-CN"/>
        </w:rPr>
        <w:t>29</w:t>
      </w:r>
      <w:r>
        <w:rPr>
          <w:rFonts w:hint="eastAsia" w:ascii="宋体" w:hAnsi="宋体" w:cs="宋体"/>
          <w:b/>
          <w:color w:val="auto"/>
          <w:sz w:val="24"/>
          <w:highlight w:val="white"/>
        </w:rPr>
        <w:t>. 成交通知书</w:t>
      </w:r>
    </w:p>
    <w:p w14:paraId="6F56DF58">
      <w:pPr>
        <w:spacing w:line="440" w:lineRule="exact"/>
        <w:ind w:left="510" w:hanging="510"/>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29</w:t>
      </w:r>
      <w:r>
        <w:rPr>
          <w:rFonts w:hint="eastAsia" w:ascii="宋体" w:hAnsi="宋体" w:cs="宋体"/>
          <w:color w:val="auto"/>
          <w:sz w:val="24"/>
          <w:szCs w:val="24"/>
          <w:highlight w:val="white"/>
        </w:rPr>
        <w:t>.1 公示期结束后，招标代理机构将向成交供应商发出成交通知书。</w:t>
      </w:r>
    </w:p>
    <w:p w14:paraId="38539EF2">
      <w:pPr>
        <w:spacing w:line="440" w:lineRule="exact"/>
        <w:ind w:left="510" w:hanging="510"/>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29</w:t>
      </w:r>
      <w:r>
        <w:rPr>
          <w:rFonts w:hint="eastAsia" w:ascii="宋体" w:hAnsi="宋体" w:cs="宋体"/>
          <w:color w:val="auto"/>
          <w:sz w:val="24"/>
          <w:szCs w:val="24"/>
          <w:highlight w:val="white"/>
        </w:rPr>
        <w:t>.2 成交通知书是合同的一个组成部分。</w:t>
      </w:r>
    </w:p>
    <w:p w14:paraId="6C1FEB3C">
      <w:pPr>
        <w:spacing w:line="440" w:lineRule="exact"/>
        <w:ind w:left="510" w:hanging="510"/>
        <w:rPr>
          <w:rFonts w:hint="eastAsia" w:ascii="宋体" w:hAnsi="宋体" w:cs="宋体"/>
          <w:color w:val="auto"/>
          <w:sz w:val="24"/>
          <w:szCs w:val="24"/>
          <w:highlight w:val="white"/>
        </w:rPr>
      </w:pPr>
      <w:r>
        <w:rPr>
          <w:rFonts w:hint="eastAsia" w:ascii="宋体" w:hAnsi="宋体" w:cs="宋体"/>
          <w:color w:val="auto"/>
          <w:sz w:val="24"/>
          <w:szCs w:val="24"/>
          <w:highlight w:val="white"/>
          <w:lang w:val="en-US" w:eastAsia="zh-CN"/>
        </w:rPr>
        <w:t>29</w:t>
      </w:r>
      <w:r>
        <w:rPr>
          <w:rFonts w:hint="eastAsia" w:ascii="宋体" w:hAnsi="宋体" w:cs="宋体"/>
          <w:color w:val="auto"/>
          <w:sz w:val="24"/>
          <w:szCs w:val="24"/>
          <w:highlight w:val="white"/>
        </w:rPr>
        <w:t>.3 当成交通知书发出后，招标代理机构将通知所有未成交的供应商，同时按照本须知第</w:t>
      </w:r>
      <w:r>
        <w:rPr>
          <w:rFonts w:hint="eastAsia" w:ascii="宋体" w:hAnsi="宋体" w:cs="宋体"/>
          <w:color w:val="auto"/>
          <w:sz w:val="24"/>
          <w:szCs w:val="24"/>
          <w:highlight w:val="white"/>
          <w:lang w:val="en-US" w:eastAsia="zh-CN"/>
        </w:rPr>
        <w:t>12.5</w:t>
      </w:r>
      <w:r>
        <w:rPr>
          <w:rFonts w:hint="eastAsia" w:ascii="宋体" w:hAnsi="宋体" w:cs="宋体"/>
          <w:color w:val="auto"/>
          <w:sz w:val="24"/>
          <w:szCs w:val="24"/>
          <w:highlight w:val="white"/>
        </w:rPr>
        <w:t>条的规定退还所有投标保证金。</w:t>
      </w:r>
    </w:p>
    <w:p w14:paraId="63F3C84B">
      <w:pPr>
        <w:widowControl/>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highlight w:val="white"/>
        </w:rPr>
        <w:t>3</w:t>
      </w:r>
      <w:r>
        <w:rPr>
          <w:rFonts w:hint="eastAsia" w:ascii="宋体" w:hAnsi="宋体" w:eastAsia="宋体" w:cs="宋体"/>
          <w:b/>
          <w:bCs/>
          <w:color w:val="auto"/>
          <w:kern w:val="0"/>
          <w:sz w:val="24"/>
          <w:szCs w:val="24"/>
          <w:highlight w:val="white"/>
          <w:lang w:val="en-US" w:eastAsia="zh-CN"/>
        </w:rPr>
        <w:t>0</w:t>
      </w:r>
      <w:r>
        <w:rPr>
          <w:rFonts w:hint="eastAsia" w:ascii="宋体" w:hAnsi="宋体" w:cs="宋体"/>
          <w:b/>
          <w:bCs/>
          <w:color w:val="auto"/>
          <w:kern w:val="0"/>
          <w:sz w:val="24"/>
          <w:szCs w:val="24"/>
          <w:highlight w:val="white"/>
        </w:rPr>
        <w:t>、响应服务商询问和质疑</w:t>
      </w:r>
    </w:p>
    <w:p w14:paraId="5B7F307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.1响应服务商对竞争性磋商文件有异议的，应当在收到竞争性磋商文件之日起七个工作日内以书面送达形式向政府采购代理机构提出质疑，逾期不再受理。</w:t>
      </w:r>
    </w:p>
    <w:p w14:paraId="45BE106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.2响应服务商对采购过程提出质疑的，为各采购程序环节结束之日起七个工作日内以书面送达形式向政府采购代理机构提出询问，逾期不再受理。</w:t>
      </w:r>
    </w:p>
    <w:p w14:paraId="58723DF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．3响应服务商对成交结果有异议的，应当在成交结果公告发布之日起七个工作日内以书面送达形式向政府采购代理机构提出质疑，逾期不再受理。</w:t>
      </w:r>
    </w:p>
    <w:p w14:paraId="5CF4D0C7">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.3响应服务商质疑应当有明确的请求和必要的证明材料。</w:t>
      </w:r>
    </w:p>
    <w:p w14:paraId="1EB80F9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.4政府采购代理机构在收到询问函之日起三个工作日内进行回复。质疑服务商对政府采购代理机构答复不满意或未按规定时间进行答复，质疑服务商可在答复期满的十五个工作日内按规定</w:t>
      </w:r>
      <w:r>
        <w:rPr>
          <w:rFonts w:hint="eastAsia" w:ascii="宋体" w:hAnsi="宋体" w:eastAsia="宋体" w:cs="宋体"/>
          <w:color w:val="auto"/>
          <w:kern w:val="0"/>
          <w:sz w:val="24"/>
          <w:szCs w:val="24"/>
          <w:highlight w:val="white"/>
        </w:rPr>
        <w:t>向</w:t>
      </w:r>
      <w:r>
        <w:rPr>
          <w:rFonts w:hint="eastAsia" w:ascii="宋体" w:hAnsi="宋体" w:eastAsia="宋体" w:cs="宋体"/>
          <w:color w:val="auto"/>
          <w:kern w:val="0"/>
          <w:sz w:val="24"/>
          <w:szCs w:val="24"/>
          <w:highlight w:val="white"/>
          <w:lang w:val="en-US" w:eastAsia="zh-CN"/>
        </w:rPr>
        <w:t>采购监督管理部门</w:t>
      </w:r>
      <w:r>
        <w:rPr>
          <w:rFonts w:hint="eastAsia" w:ascii="宋体" w:hAnsi="宋体" w:eastAsia="宋体" w:cs="宋体"/>
          <w:color w:val="auto"/>
          <w:kern w:val="0"/>
          <w:sz w:val="24"/>
          <w:szCs w:val="24"/>
          <w:highlight w:val="white"/>
        </w:rPr>
        <w:t>投诉。</w:t>
      </w:r>
    </w:p>
    <w:p w14:paraId="1101F8A7">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.5质疑书应当署名，由法定代表人或者响应服务商代表签字或盖章，并加盖响应服务商单位公章。质疑书应当包括下列主要内容： </w:t>
      </w:r>
    </w:p>
    <w:p w14:paraId="459A6EC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.5.1质疑人和被质疑人的名称，质疑人的地址、电话等；</w:t>
      </w:r>
    </w:p>
    <w:p w14:paraId="07A065B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.5.2具体的质疑事项、事实依据及相关证明材料；</w:t>
      </w:r>
    </w:p>
    <w:p w14:paraId="4DF8F52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.5.3提起质疑的日期</w:t>
      </w:r>
    </w:p>
    <w:p w14:paraId="141FB20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w:t>
      </w:r>
      <w:r>
        <w:rPr>
          <w:rFonts w:hint="eastAsia" w:ascii="宋体" w:hAnsi="宋体" w:eastAsia="宋体" w:cs="宋体"/>
          <w:color w:val="auto"/>
          <w:kern w:val="0"/>
          <w:sz w:val="24"/>
          <w:szCs w:val="24"/>
          <w:highlight w:val="white"/>
          <w:lang w:val="en-US" w:eastAsia="zh-CN"/>
        </w:rPr>
        <w:t>6</w:t>
      </w:r>
      <w:r>
        <w:rPr>
          <w:rFonts w:hint="eastAsia" w:ascii="宋体" w:hAnsi="宋体" w:cs="宋体"/>
          <w:color w:val="auto"/>
          <w:kern w:val="0"/>
          <w:sz w:val="24"/>
          <w:szCs w:val="24"/>
          <w:highlight w:val="white"/>
        </w:rPr>
        <w:t>响应服务商的质疑将依据《中华人民共和国政府采购法》、《中华人民共和国政府采购法实施条例》、《政府采购竞争性磋商采购方式管理暂行办法》及有关法律、法规进行答复。</w:t>
      </w:r>
    </w:p>
    <w:p w14:paraId="3E8E8216">
      <w:pPr>
        <w:pStyle w:val="3"/>
        <w:spacing w:line="360" w:lineRule="auto"/>
        <w:rPr>
          <w:rFonts w:hint="eastAsia" w:hAnsi="宋体" w:cs="宋体"/>
          <w:b/>
          <w:bCs/>
          <w:color w:val="auto"/>
          <w:sz w:val="24"/>
          <w:szCs w:val="24"/>
        </w:rPr>
      </w:pPr>
      <w:bookmarkStart w:id="111" w:name="_Toc769"/>
      <w:bookmarkStart w:id="112" w:name="_Toc470101230"/>
      <w:bookmarkStart w:id="113" w:name="_Toc3853"/>
      <w:bookmarkStart w:id="114" w:name="_Toc11275_WPSOffice_Level2"/>
      <w:bookmarkStart w:id="115" w:name="_Toc19460"/>
      <w:r>
        <w:rPr>
          <w:rFonts w:hint="eastAsia" w:hAnsi="宋体" w:cs="宋体"/>
          <w:b/>
          <w:bCs/>
          <w:color w:val="auto"/>
          <w:sz w:val="24"/>
          <w:szCs w:val="24"/>
          <w:highlight w:val="white"/>
        </w:rPr>
        <w:t>六、合同授予</w:t>
      </w:r>
      <w:bookmarkEnd w:id="111"/>
      <w:bookmarkEnd w:id="112"/>
      <w:bookmarkEnd w:id="113"/>
      <w:bookmarkEnd w:id="114"/>
      <w:bookmarkEnd w:id="115"/>
    </w:p>
    <w:p w14:paraId="32038049">
      <w:pPr>
        <w:widowControl/>
        <w:spacing w:line="360" w:lineRule="auto"/>
        <w:jc w:val="left"/>
        <w:rPr>
          <w:rFonts w:hint="eastAsia" w:ascii="宋体" w:hAnsi="宋体" w:cs="宋体"/>
          <w:b/>
          <w:bCs/>
          <w:color w:val="auto"/>
          <w:kern w:val="0"/>
          <w:sz w:val="24"/>
          <w:szCs w:val="24"/>
        </w:rPr>
      </w:pPr>
      <w:bookmarkStart w:id="116" w:name="_Toc256242295"/>
      <w:r>
        <w:rPr>
          <w:rFonts w:hint="eastAsia" w:ascii="宋体" w:hAnsi="宋体" w:cs="宋体"/>
          <w:b/>
          <w:bCs/>
          <w:color w:val="auto"/>
          <w:kern w:val="0"/>
          <w:sz w:val="24"/>
          <w:szCs w:val="24"/>
          <w:highlight w:val="white"/>
        </w:rPr>
        <w:t>3</w:t>
      </w:r>
      <w:r>
        <w:rPr>
          <w:rFonts w:hint="eastAsia" w:ascii="宋体" w:hAnsi="宋体" w:eastAsia="宋体" w:cs="宋体"/>
          <w:b/>
          <w:bCs/>
          <w:color w:val="auto"/>
          <w:kern w:val="0"/>
          <w:sz w:val="24"/>
          <w:szCs w:val="24"/>
          <w:highlight w:val="white"/>
          <w:lang w:val="en-US" w:eastAsia="zh-CN"/>
        </w:rPr>
        <w:t>1</w:t>
      </w:r>
      <w:r>
        <w:rPr>
          <w:rFonts w:hint="eastAsia" w:ascii="宋体" w:hAnsi="宋体" w:cs="宋体"/>
          <w:b/>
          <w:bCs/>
          <w:color w:val="auto"/>
          <w:kern w:val="0"/>
          <w:sz w:val="24"/>
          <w:szCs w:val="24"/>
          <w:highlight w:val="white"/>
        </w:rPr>
        <w:t>、签订合同</w:t>
      </w:r>
      <w:bookmarkEnd w:id="116"/>
    </w:p>
    <w:p w14:paraId="532AFFA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1</w:t>
      </w:r>
      <w:r>
        <w:rPr>
          <w:rFonts w:hint="eastAsia" w:ascii="宋体" w:hAnsi="宋体" w:cs="宋体"/>
          <w:color w:val="auto"/>
          <w:kern w:val="0"/>
          <w:sz w:val="24"/>
          <w:szCs w:val="24"/>
          <w:highlight w:val="white"/>
        </w:rPr>
        <w:t>.1成交服务商应在《成交通知书》发放之日起2日内与采购人签订合同，否则按磋商有效期内撤回其响应处理。</w:t>
      </w:r>
    </w:p>
    <w:p w14:paraId="6076573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1</w:t>
      </w:r>
      <w:r>
        <w:rPr>
          <w:rFonts w:hint="eastAsia" w:ascii="宋体" w:hAnsi="宋体" w:cs="宋体"/>
          <w:color w:val="auto"/>
          <w:kern w:val="0"/>
          <w:sz w:val="24"/>
          <w:szCs w:val="24"/>
          <w:highlight w:val="white"/>
        </w:rPr>
        <w:t>.2 磋商文件、成交服务商的磋商响应文件及磋商过程中有关澄清文件均应作为合同附件。</w:t>
      </w:r>
    </w:p>
    <w:p w14:paraId="04BA3520">
      <w:pPr>
        <w:spacing w:line="460" w:lineRule="exact"/>
        <w:rPr>
          <w:rFonts w:hint="eastAsia" w:ascii="宋体" w:hAnsi="宋体" w:cs="宋体"/>
          <w:color w:val="auto"/>
          <w:sz w:val="24"/>
          <w:szCs w:val="24"/>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1</w:t>
      </w:r>
      <w:r>
        <w:rPr>
          <w:rFonts w:hint="eastAsia" w:ascii="宋体" w:hAnsi="宋体" w:cs="宋体"/>
          <w:color w:val="auto"/>
          <w:sz w:val="24"/>
          <w:szCs w:val="24"/>
          <w:highlight w:val="white"/>
        </w:rPr>
        <w:t>.3 合同履行中，采购人需追加与合同相同的货物、工程或者服务的，在不改变合同其他条款的前提下，可以与供应商协商签订补充合同，但所有补充合同的采购金额不得超过原合同采购金额的百分之十。</w:t>
      </w:r>
    </w:p>
    <w:p w14:paraId="6C00329E">
      <w:pPr>
        <w:spacing w:line="440" w:lineRule="exact"/>
        <w:rPr>
          <w:rFonts w:hint="eastAsia" w:ascii="宋体" w:hAnsi="宋体" w:cs="宋体"/>
          <w:b/>
          <w:color w:val="auto"/>
          <w:sz w:val="24"/>
        </w:rPr>
      </w:pPr>
      <w:r>
        <w:rPr>
          <w:rFonts w:hint="eastAsia" w:ascii="宋体" w:hAnsi="宋体" w:cs="宋体"/>
          <w:b/>
          <w:color w:val="auto"/>
          <w:sz w:val="24"/>
          <w:highlight w:val="white"/>
        </w:rPr>
        <w:t>3</w:t>
      </w:r>
      <w:r>
        <w:rPr>
          <w:rFonts w:hint="eastAsia" w:ascii="宋体" w:hAnsi="宋体" w:eastAsia="宋体" w:cs="宋体"/>
          <w:b/>
          <w:color w:val="auto"/>
          <w:sz w:val="24"/>
          <w:highlight w:val="white"/>
          <w:lang w:val="en-US" w:eastAsia="zh-CN"/>
        </w:rPr>
        <w:t>2</w:t>
      </w:r>
      <w:r>
        <w:rPr>
          <w:rFonts w:hint="eastAsia" w:ascii="宋体" w:hAnsi="宋体" w:cs="宋体"/>
          <w:b/>
          <w:color w:val="auto"/>
          <w:sz w:val="24"/>
          <w:highlight w:val="white"/>
        </w:rPr>
        <w:t>. 成交服务费</w:t>
      </w:r>
    </w:p>
    <w:p w14:paraId="0FC6F7B3">
      <w:pPr>
        <w:spacing w:line="440" w:lineRule="exact"/>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32</w:t>
      </w:r>
      <w:r>
        <w:rPr>
          <w:rFonts w:hint="eastAsia" w:ascii="宋体" w:hAnsi="宋体" w:cs="宋体"/>
          <w:color w:val="auto"/>
          <w:sz w:val="24"/>
          <w:szCs w:val="24"/>
          <w:highlight w:val="white"/>
        </w:rPr>
        <w:t>.1详见</w:t>
      </w:r>
      <w:r>
        <w:rPr>
          <w:rFonts w:hint="eastAsia" w:ascii="宋体" w:hAnsi="宋体" w:eastAsia="宋体" w:cs="宋体"/>
          <w:color w:val="auto"/>
          <w:sz w:val="24"/>
          <w:szCs w:val="24"/>
          <w:highlight w:val="white"/>
          <w:lang w:eastAsia="zh-CN"/>
        </w:rPr>
        <w:t>磋</w:t>
      </w:r>
      <w:r>
        <w:rPr>
          <w:rFonts w:hint="eastAsia" w:ascii="宋体" w:hAnsi="宋体" w:cs="宋体"/>
          <w:color w:val="auto"/>
          <w:sz w:val="24"/>
          <w:szCs w:val="24"/>
          <w:highlight w:val="white"/>
        </w:rPr>
        <w:t>商须知前附表</w:t>
      </w:r>
    </w:p>
    <w:p w14:paraId="30BFABCF">
      <w:pPr>
        <w:spacing w:line="440" w:lineRule="exact"/>
        <w:rPr>
          <w:rFonts w:hint="eastAsia" w:ascii="宋体" w:hAnsi="宋体" w:cs="宋体"/>
          <w:b/>
          <w:color w:val="auto"/>
          <w:sz w:val="24"/>
          <w:szCs w:val="24"/>
        </w:rPr>
      </w:pPr>
      <w:r>
        <w:rPr>
          <w:rFonts w:hint="eastAsia" w:ascii="宋体" w:hAnsi="宋体" w:cs="宋体"/>
          <w:b/>
          <w:color w:val="auto"/>
          <w:sz w:val="24"/>
          <w:szCs w:val="24"/>
          <w:highlight w:val="white"/>
        </w:rPr>
        <w:t>3</w:t>
      </w:r>
      <w:r>
        <w:rPr>
          <w:rFonts w:hint="eastAsia" w:ascii="宋体" w:hAnsi="宋体" w:eastAsia="宋体" w:cs="宋体"/>
          <w:b/>
          <w:color w:val="auto"/>
          <w:sz w:val="24"/>
          <w:szCs w:val="24"/>
          <w:highlight w:val="white"/>
          <w:lang w:val="en-US" w:eastAsia="zh-CN"/>
        </w:rPr>
        <w:t>3</w:t>
      </w:r>
      <w:r>
        <w:rPr>
          <w:rFonts w:hint="eastAsia" w:ascii="宋体" w:hAnsi="宋体" w:cs="宋体"/>
          <w:b/>
          <w:color w:val="auto"/>
          <w:sz w:val="24"/>
          <w:szCs w:val="24"/>
          <w:highlight w:val="white"/>
        </w:rPr>
        <w:t>.</w:t>
      </w:r>
      <w:r>
        <w:rPr>
          <w:rFonts w:hint="eastAsia" w:ascii="宋体" w:hAnsi="宋体" w:cs="宋体"/>
          <w:color w:val="auto"/>
          <w:highlight w:val="white"/>
        </w:rPr>
        <w:t xml:space="preserve"> </w:t>
      </w:r>
      <w:r>
        <w:rPr>
          <w:rFonts w:hint="eastAsia" w:ascii="宋体" w:hAnsi="宋体" w:cs="宋体"/>
          <w:b/>
          <w:color w:val="auto"/>
          <w:sz w:val="24"/>
          <w:szCs w:val="24"/>
          <w:highlight w:val="white"/>
        </w:rPr>
        <w:t>履约保证金</w:t>
      </w:r>
    </w:p>
    <w:p w14:paraId="2C1233B6">
      <w:pPr>
        <w:spacing w:line="440" w:lineRule="exact"/>
        <w:rPr>
          <w:rFonts w:hint="eastAsia" w:ascii="宋体" w:hAnsi="宋体" w:cs="宋体"/>
          <w:color w:val="auto"/>
          <w:sz w:val="24"/>
          <w:szCs w:val="24"/>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3</w:t>
      </w:r>
      <w:r>
        <w:rPr>
          <w:rFonts w:hint="eastAsia" w:ascii="宋体" w:hAnsi="宋体" w:cs="宋体"/>
          <w:color w:val="auto"/>
          <w:sz w:val="24"/>
          <w:szCs w:val="24"/>
          <w:highlight w:val="white"/>
        </w:rPr>
        <w:t>.1 详见</w:t>
      </w:r>
      <w:r>
        <w:rPr>
          <w:rFonts w:hint="eastAsia" w:ascii="宋体" w:hAnsi="宋体" w:eastAsia="宋体" w:cs="宋体"/>
          <w:color w:val="auto"/>
          <w:sz w:val="24"/>
          <w:szCs w:val="24"/>
          <w:highlight w:val="white"/>
          <w:lang w:eastAsia="zh-CN"/>
        </w:rPr>
        <w:t>磋</w:t>
      </w:r>
      <w:r>
        <w:rPr>
          <w:rFonts w:hint="eastAsia" w:ascii="宋体" w:hAnsi="宋体" w:cs="宋体"/>
          <w:color w:val="auto"/>
          <w:sz w:val="24"/>
          <w:szCs w:val="24"/>
          <w:highlight w:val="white"/>
        </w:rPr>
        <w:t>商须知前附表。</w:t>
      </w:r>
    </w:p>
    <w:p w14:paraId="2EAF037F">
      <w:pPr>
        <w:spacing w:line="460" w:lineRule="exact"/>
        <w:rPr>
          <w:rFonts w:hint="eastAsia" w:ascii="宋体" w:hAnsi="宋体" w:cs="宋体"/>
          <w:b/>
          <w:color w:val="auto"/>
          <w:sz w:val="24"/>
          <w:szCs w:val="24"/>
        </w:rPr>
      </w:pPr>
      <w:r>
        <w:rPr>
          <w:rFonts w:hint="eastAsia" w:ascii="宋体" w:hAnsi="宋体" w:cs="宋体"/>
          <w:b/>
          <w:color w:val="auto"/>
          <w:sz w:val="24"/>
          <w:szCs w:val="24"/>
          <w:highlight w:val="white"/>
        </w:rPr>
        <w:t>35.解释权</w:t>
      </w:r>
    </w:p>
    <w:p w14:paraId="1BB2DD23">
      <w:pPr>
        <w:rPr>
          <w:rFonts w:hint="eastAsia"/>
          <w:color w:val="auto"/>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4</w:t>
      </w:r>
      <w:r>
        <w:rPr>
          <w:rFonts w:hint="eastAsia" w:ascii="宋体" w:hAnsi="宋体" w:cs="宋体"/>
          <w:color w:val="auto"/>
          <w:sz w:val="24"/>
          <w:szCs w:val="24"/>
          <w:highlight w:val="white"/>
        </w:rPr>
        <w:t>.1</w:t>
      </w:r>
      <w:r>
        <w:rPr>
          <w:rFonts w:hint="eastAsia" w:ascii="宋体" w:hAnsi="宋体" w:cs="宋体"/>
          <w:color w:val="auto"/>
          <w:sz w:val="24"/>
          <w:highlight w:val="white"/>
        </w:rPr>
        <w:t>本竞争性磋商文件是根据国家有关法律、法规以及政府采购管理有关规定编制，解释权属本采购代理机构。</w:t>
      </w:r>
    </w:p>
    <w:p w14:paraId="0794BB60">
      <w:pPr>
        <w:rPr>
          <w:rFonts w:hint="eastAsia" w:ascii="宋体" w:hAnsi="宋体" w:cs="宋体"/>
          <w:color w:val="auto"/>
          <w:sz w:val="24"/>
        </w:rPr>
      </w:pPr>
    </w:p>
    <w:p w14:paraId="4B61600F">
      <w:pPr>
        <w:rPr>
          <w:rFonts w:hint="eastAsia" w:ascii="宋体" w:hAnsi="宋体" w:cs="宋体"/>
          <w:color w:val="auto"/>
          <w:sz w:val="24"/>
        </w:rPr>
      </w:pPr>
    </w:p>
    <w:p w14:paraId="3F17FCCC">
      <w:pPr>
        <w:rPr>
          <w:rFonts w:hint="eastAsia" w:ascii="宋体" w:hAnsi="宋体" w:cs="宋体"/>
          <w:color w:val="auto"/>
          <w:sz w:val="24"/>
        </w:rPr>
      </w:pPr>
    </w:p>
    <w:p w14:paraId="5719FCBF">
      <w:pPr>
        <w:pStyle w:val="4"/>
        <w:rPr>
          <w:rFonts w:hint="eastAsia" w:ascii="宋体" w:hAnsi="宋体" w:cs="宋体"/>
          <w:color w:val="auto"/>
          <w:sz w:val="24"/>
        </w:rPr>
      </w:pPr>
    </w:p>
    <w:p w14:paraId="006C939A">
      <w:pPr>
        <w:pStyle w:val="5"/>
        <w:rPr>
          <w:rFonts w:hint="eastAsia" w:ascii="宋体" w:hAnsi="宋体" w:cs="宋体"/>
          <w:color w:val="auto"/>
          <w:sz w:val="24"/>
        </w:rPr>
      </w:pPr>
    </w:p>
    <w:p w14:paraId="3FA22DCA">
      <w:pPr>
        <w:pStyle w:val="5"/>
        <w:rPr>
          <w:rFonts w:hint="eastAsia" w:ascii="宋体" w:hAnsi="宋体" w:cs="宋体"/>
          <w:color w:val="auto"/>
          <w:sz w:val="24"/>
        </w:rPr>
      </w:pPr>
    </w:p>
    <w:p w14:paraId="207943F2">
      <w:pPr>
        <w:pStyle w:val="5"/>
        <w:rPr>
          <w:rFonts w:hint="eastAsia" w:ascii="宋体" w:hAnsi="宋体" w:cs="宋体"/>
          <w:color w:val="auto"/>
          <w:sz w:val="24"/>
        </w:rPr>
      </w:pPr>
    </w:p>
    <w:p w14:paraId="26C9A12D">
      <w:pPr>
        <w:pStyle w:val="5"/>
        <w:rPr>
          <w:rFonts w:hint="eastAsia" w:ascii="宋体" w:hAnsi="宋体" w:cs="宋体"/>
          <w:color w:val="auto"/>
          <w:sz w:val="24"/>
        </w:rPr>
      </w:pPr>
    </w:p>
    <w:p w14:paraId="7DBEBAB6">
      <w:pPr>
        <w:pStyle w:val="5"/>
        <w:rPr>
          <w:rFonts w:hint="eastAsia" w:ascii="宋体" w:hAnsi="宋体" w:cs="宋体"/>
          <w:color w:val="auto"/>
          <w:sz w:val="24"/>
        </w:rPr>
      </w:pPr>
    </w:p>
    <w:p w14:paraId="19023627">
      <w:pPr>
        <w:pStyle w:val="5"/>
        <w:rPr>
          <w:rFonts w:hint="eastAsia" w:ascii="宋体" w:hAnsi="宋体" w:cs="宋体"/>
          <w:color w:val="auto"/>
          <w:sz w:val="24"/>
        </w:rPr>
      </w:pPr>
    </w:p>
    <w:p w14:paraId="20071CDA">
      <w:pPr>
        <w:pStyle w:val="5"/>
        <w:rPr>
          <w:rFonts w:hint="eastAsia" w:ascii="宋体" w:hAnsi="宋体" w:cs="宋体"/>
          <w:color w:val="auto"/>
          <w:sz w:val="24"/>
        </w:rPr>
      </w:pPr>
    </w:p>
    <w:p w14:paraId="7042BF42">
      <w:pPr>
        <w:pStyle w:val="5"/>
        <w:rPr>
          <w:rFonts w:hint="eastAsia" w:ascii="宋体" w:hAnsi="宋体" w:cs="宋体"/>
          <w:color w:val="auto"/>
          <w:sz w:val="24"/>
        </w:rPr>
      </w:pPr>
    </w:p>
    <w:p w14:paraId="36A7B9F8">
      <w:pPr>
        <w:pStyle w:val="5"/>
        <w:rPr>
          <w:rFonts w:hint="eastAsia" w:ascii="宋体" w:hAnsi="宋体" w:cs="宋体"/>
          <w:color w:val="auto"/>
          <w:sz w:val="24"/>
        </w:rPr>
      </w:pPr>
    </w:p>
    <w:p w14:paraId="56F8DD41">
      <w:pPr>
        <w:pStyle w:val="5"/>
        <w:rPr>
          <w:rFonts w:hint="eastAsia" w:ascii="宋体" w:hAnsi="宋体" w:cs="宋体"/>
          <w:color w:val="auto"/>
          <w:sz w:val="24"/>
        </w:rPr>
      </w:pPr>
    </w:p>
    <w:p w14:paraId="2F5822F6">
      <w:pPr>
        <w:pStyle w:val="5"/>
        <w:rPr>
          <w:rFonts w:hint="eastAsia" w:ascii="宋体" w:hAnsi="宋体" w:cs="宋体"/>
          <w:color w:val="auto"/>
          <w:sz w:val="24"/>
        </w:rPr>
      </w:pPr>
    </w:p>
    <w:p w14:paraId="4F7446ED">
      <w:pPr>
        <w:rPr>
          <w:rFonts w:hint="eastAsia" w:ascii="宋体" w:hAnsi="宋体" w:cs="宋体"/>
          <w:color w:val="auto"/>
          <w:sz w:val="24"/>
        </w:rPr>
      </w:pPr>
    </w:p>
    <w:p w14:paraId="553CE469">
      <w:pPr>
        <w:rPr>
          <w:rFonts w:hint="eastAsia" w:ascii="宋体" w:hAnsi="宋体" w:cs="宋体"/>
          <w:color w:val="auto"/>
          <w:sz w:val="24"/>
        </w:rPr>
      </w:pPr>
    </w:p>
    <w:p w14:paraId="066977DF">
      <w:pPr>
        <w:rPr>
          <w:rFonts w:hint="eastAsia" w:ascii="宋体" w:hAnsi="宋体" w:cs="宋体"/>
          <w:color w:val="auto"/>
          <w:sz w:val="24"/>
        </w:rPr>
      </w:pPr>
    </w:p>
    <w:p w14:paraId="29F2B843">
      <w:pPr>
        <w:rPr>
          <w:rFonts w:hint="eastAsia" w:ascii="宋体" w:hAnsi="宋体" w:cs="宋体"/>
          <w:color w:val="auto"/>
          <w:sz w:val="24"/>
        </w:rPr>
      </w:pPr>
    </w:p>
    <w:p w14:paraId="47AB530A">
      <w:pPr>
        <w:pageBreakBefore w:val="0"/>
        <w:widowControl w:val="0"/>
        <w:numPr>
          <w:ilvl w:val="0"/>
          <w:numId w:val="6"/>
        </w:numPr>
        <w:wordWrap/>
        <w:overflowPunct/>
        <w:topLinePunct w:val="0"/>
        <w:bidi w:val="0"/>
        <w:spacing w:before="83" w:line="224" w:lineRule="auto"/>
        <w:jc w:val="center"/>
        <w:outlineLvl w:val="0"/>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9"/>
          <w:sz w:val="31"/>
          <w:szCs w:val="31"/>
          <w:highlight w:val="none"/>
          <w:lang w:eastAsia="zh-CN"/>
        </w:rPr>
        <w:t xml:space="preserve"> </w:t>
      </w:r>
      <w:bookmarkStart w:id="117" w:name="_Toc2635"/>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9"/>
          <w:sz w:val="31"/>
          <w:szCs w:val="31"/>
          <w:highlight w:val="none"/>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w:t>
      </w:r>
      <w:bookmarkEnd w:id="117"/>
    </w:p>
    <w:p w14:paraId="61DE85AF">
      <w:pPr>
        <w:widowControl/>
        <w:spacing w:line="360" w:lineRule="auto"/>
        <w:ind w:firstLine="480" w:firstLineChars="200"/>
        <w:jc w:val="left"/>
        <w:rPr>
          <w:rFonts w:hint="eastAsia" w:ascii="宋体" w:hAnsi="宋体" w:cs="宋体"/>
          <w:color w:val="auto"/>
          <w:kern w:val="0"/>
          <w:sz w:val="24"/>
          <w:szCs w:val="24"/>
        </w:rPr>
      </w:pPr>
    </w:p>
    <w:p w14:paraId="38BB5826">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甲方：________ </w:t>
      </w:r>
    </w:p>
    <w:p w14:paraId="7CC4C70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乙方：________ </w:t>
      </w:r>
    </w:p>
    <w:p w14:paraId="48BAA5A3">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default" w:ascii="宋体" w:hAnsi="宋体" w:eastAsia="宋体" w:cs="宋体"/>
          <w:color w:val="auto"/>
          <w:sz w:val="24"/>
          <w:szCs w:val="24"/>
          <w:lang w:val="en-US" w:eastAsia="zh-CN"/>
        </w:rPr>
      </w:pPr>
      <w:r>
        <w:rPr>
          <w:rFonts w:hint="eastAsia" w:ascii="宋体" w:hAnsi="宋体" w:cs="宋体"/>
          <w:color w:val="auto"/>
          <w:kern w:val="0"/>
          <w:sz w:val="24"/>
          <w:szCs w:val="24"/>
        </w:rPr>
        <w:t>签订地点：</w:t>
      </w:r>
      <w:r>
        <w:rPr>
          <w:rFonts w:hint="eastAsia" w:ascii="宋体" w:hAnsi="宋体" w:eastAsia="宋体" w:cs="宋体"/>
          <w:color w:val="auto"/>
          <w:kern w:val="0"/>
          <w:sz w:val="24"/>
          <w:szCs w:val="24"/>
          <w:u w:val="single"/>
          <w:lang w:val="en-US" w:eastAsia="zh-CN"/>
        </w:rPr>
        <w:t>遂川县泉江小学</w:t>
      </w:r>
    </w:p>
    <w:p w14:paraId="10270178">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cs="宋体"/>
          <w:color w:val="auto"/>
          <w:kern w:val="0"/>
          <w:sz w:val="24"/>
          <w:szCs w:val="24"/>
        </w:rPr>
      </w:pPr>
    </w:p>
    <w:p w14:paraId="5087E792">
      <w:pPr>
        <w:pageBreakBefore w:val="0"/>
        <w:wordWrap/>
        <w:overflowPunct/>
        <w:topLinePunct w:val="0"/>
        <w:autoSpaceDE w:val="0"/>
        <w:autoSpaceDN w:val="0"/>
        <w:bidi w:val="0"/>
        <w:adjustRightInd w:val="0"/>
        <w:spacing w:line="400" w:lineRule="exact"/>
        <w:ind w:firstLine="480" w:firstLineChars="200"/>
        <w:jc w:val="both"/>
        <w:textAlignment w:val="baseline"/>
        <w:outlineLvl w:val="0"/>
        <w:rPr>
          <w:rFonts w:hint="eastAsia" w:ascii="宋体" w:hAnsi="宋体" w:cs="宋体"/>
          <w:color w:val="auto"/>
          <w:kern w:val="0"/>
          <w:sz w:val="24"/>
          <w:szCs w:val="24"/>
        </w:rPr>
      </w:pPr>
      <w:r>
        <w:rPr>
          <w:rFonts w:hint="eastAsia" w:ascii="宋体" w:hAnsi="宋体" w:cs="宋体"/>
          <w:color w:val="auto"/>
          <w:kern w:val="0"/>
          <w:sz w:val="24"/>
          <w:szCs w:val="24"/>
        </w:rPr>
        <w:t>根据《中华人民共和国民法典》及_____年____月____日关于《</w:t>
      </w:r>
      <w:r>
        <w:rPr>
          <w:rFonts w:hint="eastAsia" w:ascii="宋体" w:hAnsi="宋体" w:cs="宋体"/>
          <w:color w:val="auto"/>
          <w:sz w:val="24"/>
          <w:szCs w:val="24"/>
          <w:highlight w:val="white"/>
          <w:lang w:val="en-US" w:eastAsia="zh-CN"/>
        </w:rPr>
        <w:t>遂川县泉江小学（含八角楼校区）学生安心午餐配餐服务项目</w:t>
      </w:r>
      <w:r>
        <w:rPr>
          <w:rFonts w:hint="eastAsia" w:ascii="宋体" w:hAnsi="宋体" w:cs="宋体"/>
          <w:color w:val="auto"/>
          <w:kern w:val="0"/>
          <w:sz w:val="24"/>
          <w:szCs w:val="24"/>
        </w:rPr>
        <w:t>》的招标结果和</w:t>
      </w:r>
      <w:r>
        <w:rPr>
          <w:rFonts w:hint="eastAsia" w:ascii="宋体" w:hAnsi="宋体" w:eastAsia="宋体" w:cs="宋体"/>
          <w:color w:val="auto"/>
          <w:kern w:val="0"/>
          <w:sz w:val="24"/>
          <w:szCs w:val="24"/>
          <w:lang w:val="en-US" w:eastAsia="zh-CN"/>
        </w:rPr>
        <w:t>磋商</w:t>
      </w:r>
      <w:r>
        <w:rPr>
          <w:rFonts w:hint="eastAsia" w:ascii="宋体" w:hAnsi="宋体" w:cs="宋体"/>
          <w:color w:val="auto"/>
          <w:kern w:val="0"/>
          <w:sz w:val="24"/>
          <w:szCs w:val="24"/>
        </w:rPr>
        <w:t>文件（采购项目编号：</w:t>
      </w:r>
      <w:r>
        <w:rPr>
          <w:rFonts w:hint="eastAsia" w:ascii="宋体" w:hAnsi="宋体" w:cs="宋体"/>
          <w:color w:val="auto"/>
          <w:sz w:val="24"/>
          <w:szCs w:val="24"/>
          <w:highlight w:val="white"/>
          <w:lang w:eastAsia="zh-CN"/>
        </w:rPr>
        <w:t>仁远</w:t>
      </w:r>
      <w:r>
        <w:rPr>
          <w:rFonts w:hint="eastAsia" w:ascii="宋体" w:hAnsi="宋体" w:cs="宋体"/>
          <w:color w:val="auto"/>
          <w:kern w:val="0"/>
          <w:sz w:val="24"/>
          <w:szCs w:val="24"/>
          <w:lang w:val="en-US" w:eastAsia="zh-CN"/>
        </w:rPr>
        <w:t>采字SC-【2026】003号</w:t>
      </w:r>
      <w:r>
        <w:rPr>
          <w:rFonts w:hint="eastAsia" w:ascii="宋体" w:hAnsi="宋体" w:cs="宋体"/>
          <w:color w:val="auto"/>
          <w:kern w:val="0"/>
          <w:sz w:val="24"/>
          <w:szCs w:val="24"/>
        </w:rPr>
        <w:t>）的要求，经双方协商一致，签订本合同。</w:t>
      </w:r>
    </w:p>
    <w:p w14:paraId="7C211E08">
      <w:pPr>
        <w:keepNext w:val="0"/>
        <w:keepLines w:val="0"/>
        <w:pageBreakBefore w:val="0"/>
        <w:widowControl/>
        <w:kinsoku/>
        <w:wordWrap/>
        <w:overflowPunct/>
        <w:topLinePunct w:val="0"/>
        <w:autoSpaceDE w:val="0"/>
        <w:autoSpaceDN w:val="0"/>
        <w:bidi w:val="0"/>
        <w:adjustRightInd w:val="0"/>
        <w:snapToGrid w:val="0"/>
        <w:spacing w:line="400" w:lineRule="exact"/>
        <w:ind w:right="0" w:rightChars="0" w:firstLine="482" w:firstLineChars="200"/>
        <w:jc w:val="both"/>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一、政府采购合同文件</w:t>
      </w:r>
    </w:p>
    <w:p w14:paraId="2E2F976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本政府采购合同所附下列文件是构成本政府采购合同不可分割的部分：</w:t>
      </w:r>
    </w:p>
    <w:p w14:paraId="54F7F67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0C5D6FA3">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文件的更正公告、变更公告；</w:t>
      </w:r>
    </w:p>
    <w:p w14:paraId="25918E11">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成交服务商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6FD24A08">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4.政府采购合同条款；</w:t>
      </w:r>
    </w:p>
    <w:p w14:paraId="7A867F00">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6F0D143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6.政府采购合同的其它附件。</w:t>
      </w:r>
    </w:p>
    <w:p w14:paraId="68AC4416">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2" w:firstLineChars="200"/>
        <w:jc w:val="both"/>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二、政府采购合同范围和条件</w:t>
      </w:r>
    </w:p>
    <w:p w14:paraId="79968928">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本政府采购合同的范围和条件与上述政府采购合同文件的规定相一致。</w:t>
      </w:r>
    </w:p>
    <w:p w14:paraId="191ECEB6">
      <w:pPr>
        <w:pageBreakBefore w:val="0"/>
        <w:wordWrap/>
        <w:overflowPunct/>
        <w:topLinePunct w:val="0"/>
        <w:autoSpaceDE w:val="0"/>
        <w:autoSpaceDN w:val="0"/>
        <w:bidi w:val="0"/>
        <w:adjustRightInd w:val="0"/>
        <w:spacing w:before="119" w:line="400" w:lineRule="exact"/>
        <w:ind w:firstLine="496" w:firstLineChars="200"/>
        <w:textAlignment w:val="baseline"/>
        <w:rPr>
          <w:rFonts w:hint="eastAsia" w:ascii="宋体" w:hAnsi="宋体" w:cs="宋体"/>
          <w:color w:val="auto"/>
          <w:spacing w:val="4"/>
          <w:sz w:val="24"/>
          <w:szCs w:val="24"/>
        </w:rPr>
      </w:pPr>
      <w:r>
        <w:rPr>
          <w:rFonts w:hint="eastAsia" w:ascii="宋体" w:hAnsi="宋体" w:eastAsia="宋体" w:cs="宋体"/>
          <w:color w:val="auto"/>
          <w:spacing w:val="4"/>
          <w:sz w:val="24"/>
          <w:szCs w:val="24"/>
          <w:lang w:val="en-US" w:eastAsia="zh-CN"/>
        </w:rPr>
        <w:t>三</w:t>
      </w:r>
      <w:r>
        <w:rPr>
          <w:rFonts w:hint="eastAsia" w:ascii="宋体" w:hAnsi="宋体" w:cs="宋体"/>
          <w:color w:val="auto"/>
          <w:spacing w:val="4"/>
          <w:sz w:val="24"/>
          <w:szCs w:val="24"/>
        </w:rPr>
        <w:t>、</w:t>
      </w:r>
      <w:r>
        <w:rPr>
          <w:rFonts w:hint="eastAsia" w:ascii="宋体" w:hAnsi="宋体" w:cs="宋体"/>
          <w:b/>
          <w:bCs/>
          <w:color w:val="auto"/>
          <w:spacing w:val="4"/>
          <w:sz w:val="24"/>
          <w:szCs w:val="24"/>
        </w:rPr>
        <w:t>合同标的与期限：</w:t>
      </w:r>
      <w:r>
        <w:rPr>
          <w:rFonts w:hint="eastAsia" w:ascii="宋体" w:hAnsi="宋体" w:cs="宋体"/>
          <w:color w:val="auto"/>
          <w:spacing w:val="4"/>
          <w:sz w:val="24"/>
          <w:szCs w:val="24"/>
        </w:rPr>
        <w:t>乙方负责供应</w:t>
      </w:r>
      <w:r>
        <w:rPr>
          <w:rFonts w:hint="eastAsia" w:ascii="宋体" w:hAnsi="宋体" w:cs="宋体"/>
          <w:color w:val="auto"/>
          <w:sz w:val="24"/>
          <w:szCs w:val="24"/>
          <w:highlight w:val="white"/>
          <w:lang w:val="en-US" w:eastAsia="zh-CN"/>
        </w:rPr>
        <w:t>遂川县泉江小学（含八角楼校区）学生安心午餐配餐服务项目</w:t>
      </w:r>
      <w:r>
        <w:rPr>
          <w:rFonts w:hint="eastAsia" w:ascii="宋体" w:hAnsi="宋体" w:cs="宋体"/>
          <w:color w:val="auto"/>
          <w:spacing w:val="4"/>
          <w:sz w:val="24"/>
          <w:szCs w:val="24"/>
        </w:rPr>
        <w:t>；</w:t>
      </w:r>
      <w:r>
        <w:rPr>
          <w:rFonts w:hint="eastAsia" w:ascii="宋体" w:hAnsi="宋体" w:cs="宋体"/>
          <w:color w:val="auto"/>
          <w:spacing w:val="4"/>
          <w:sz w:val="24"/>
          <w:szCs w:val="24"/>
          <w:lang w:val="en-US" w:eastAsia="zh-CN"/>
        </w:rPr>
        <w:t>配送</w:t>
      </w:r>
      <w:r>
        <w:rPr>
          <w:rFonts w:hint="eastAsia" w:ascii="宋体" w:hAnsi="宋体" w:cs="宋体"/>
          <w:color w:val="auto"/>
          <w:spacing w:val="4"/>
          <w:sz w:val="24"/>
          <w:szCs w:val="24"/>
        </w:rPr>
        <w:t>期限</w:t>
      </w:r>
      <w:r>
        <w:rPr>
          <w:rFonts w:hint="eastAsia" w:ascii="宋体" w:hAnsi="宋体" w:cs="宋体"/>
          <w:color w:val="auto"/>
          <w:sz w:val="24"/>
          <w:szCs w:val="24"/>
          <w:highlight w:val="white"/>
          <w:u w:val="single"/>
          <w:lang w:val="en-US" w:eastAsia="zh-CN"/>
        </w:rPr>
        <w:t>壹年，具体起始时间以签订合同为准。</w:t>
      </w:r>
    </w:p>
    <w:p w14:paraId="3D097E79">
      <w:pPr>
        <w:keepNext w:val="0"/>
        <w:keepLines w:val="0"/>
        <w:pageBreakBefore w:val="0"/>
        <w:wordWrap/>
        <w:overflowPunct/>
        <w:topLinePunct w:val="0"/>
        <w:autoSpaceDE w:val="0"/>
        <w:autoSpaceDN w:val="0"/>
        <w:bidi w:val="0"/>
        <w:adjustRightInd w:val="0"/>
        <w:snapToGrid/>
        <w:spacing w:line="400" w:lineRule="exact"/>
        <w:ind w:left="0" w:right="0" w:firstLine="496"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四</w:t>
      </w:r>
      <w:r>
        <w:rPr>
          <w:rFonts w:hint="eastAsia" w:ascii="宋体" w:hAnsi="宋体" w:cs="宋体"/>
          <w:color w:val="auto"/>
          <w:spacing w:val="4"/>
          <w:sz w:val="24"/>
          <w:szCs w:val="24"/>
        </w:rPr>
        <w:t>、</w:t>
      </w:r>
      <w:r>
        <w:rPr>
          <w:rFonts w:hint="eastAsia" w:ascii="宋体" w:hAnsi="宋体" w:cs="宋体"/>
          <w:b/>
          <w:bCs/>
          <w:color w:val="auto"/>
          <w:spacing w:val="4"/>
          <w:sz w:val="24"/>
          <w:szCs w:val="24"/>
        </w:rPr>
        <w:t>服务范围、对象与配送标准：</w:t>
      </w:r>
      <w:r>
        <w:rPr>
          <w:rFonts w:hint="eastAsia" w:ascii="宋体" w:hAnsi="宋体" w:cs="宋体"/>
          <w:color w:val="0000FF"/>
          <w:kern w:val="0"/>
          <w:sz w:val="24"/>
          <w:szCs w:val="24"/>
          <w:lang w:val="en-US" w:eastAsia="zh-CN"/>
        </w:rPr>
        <w:t>遂川县泉江小学</w:t>
      </w:r>
      <w:r>
        <w:rPr>
          <w:rFonts w:hint="eastAsia" w:ascii="宋体" w:hAnsi="宋体" w:cs="宋体"/>
          <w:color w:val="0000FF"/>
          <w:spacing w:val="4"/>
          <w:sz w:val="24"/>
          <w:szCs w:val="24"/>
        </w:rPr>
        <w:t>学生 (约</w:t>
      </w:r>
      <w:r>
        <w:rPr>
          <w:rFonts w:hint="eastAsia" w:ascii="宋体" w:hAnsi="宋体" w:cs="宋体"/>
          <w:color w:val="0000FF"/>
          <w:spacing w:val="4"/>
          <w:sz w:val="24"/>
          <w:szCs w:val="24"/>
          <w:lang w:val="en-US" w:eastAsia="zh-CN"/>
        </w:rPr>
        <w:t>150</w:t>
      </w:r>
      <w:r>
        <w:rPr>
          <w:rFonts w:hint="eastAsia" w:ascii="宋体" w:hAnsi="宋体" w:cs="宋体"/>
          <w:color w:val="0000FF"/>
          <w:spacing w:val="4"/>
          <w:sz w:val="24"/>
          <w:szCs w:val="24"/>
        </w:rPr>
        <w:t xml:space="preserve">人) </w:t>
      </w:r>
      <w:r>
        <w:rPr>
          <w:rFonts w:hint="eastAsia" w:ascii="宋体" w:hAnsi="宋体" w:eastAsia="宋体" w:cs="宋体"/>
          <w:color w:val="0000FF"/>
          <w:spacing w:val="4"/>
          <w:sz w:val="24"/>
          <w:szCs w:val="24"/>
          <w:lang w:eastAsia="zh-CN"/>
        </w:rPr>
        <w:t>、</w:t>
      </w:r>
      <w:r>
        <w:rPr>
          <w:rFonts w:hint="eastAsia" w:ascii="宋体" w:hAnsi="宋体" w:cs="宋体"/>
          <w:color w:val="0000FF"/>
          <w:kern w:val="0"/>
          <w:sz w:val="24"/>
          <w:szCs w:val="24"/>
          <w:lang w:val="en-US" w:eastAsia="zh-CN"/>
        </w:rPr>
        <w:t>八角楼小学学生（约150人）</w:t>
      </w:r>
      <w:r>
        <w:rPr>
          <w:rFonts w:hint="eastAsia" w:ascii="宋体" w:hAnsi="宋体" w:cs="宋体"/>
          <w:color w:val="auto"/>
          <w:spacing w:val="4"/>
          <w:sz w:val="24"/>
          <w:szCs w:val="24"/>
        </w:rPr>
        <w:t>，按每人每餐</w:t>
      </w:r>
      <w:r>
        <w:rPr>
          <w:rFonts w:hint="eastAsia" w:ascii="宋体" w:hAnsi="宋体" w:cs="宋体"/>
          <w:color w:val="auto"/>
          <w:spacing w:val="4"/>
          <w:sz w:val="24"/>
          <w:szCs w:val="24"/>
          <w:lang w:val="en-US" w:eastAsia="zh-CN"/>
        </w:rPr>
        <w:t>10</w:t>
      </w:r>
      <w:r>
        <w:rPr>
          <w:rFonts w:hint="eastAsia" w:ascii="宋体" w:hAnsi="宋体" w:cs="宋体"/>
          <w:color w:val="auto"/>
          <w:spacing w:val="4"/>
          <w:sz w:val="24"/>
          <w:szCs w:val="24"/>
        </w:rPr>
        <w:t>元配送。</w:t>
      </w:r>
      <w:r>
        <w:rPr>
          <w:rFonts w:hint="default" w:ascii="Arial" w:hAnsi="Arial" w:eastAsia="宋体" w:cs="Arial"/>
          <w:color w:val="auto"/>
          <w:sz w:val="24"/>
          <w:szCs w:val="24"/>
        </w:rPr>
        <w:t>按照学生自愿</w:t>
      </w:r>
      <w:r>
        <w:rPr>
          <w:rFonts w:hint="default" w:ascii="Arial" w:hAnsi="Arial" w:eastAsia="宋体" w:cs="Arial"/>
          <w:b w:val="0"/>
          <w:bCs w:val="0"/>
          <w:color w:val="auto"/>
          <w:sz w:val="24"/>
          <w:szCs w:val="24"/>
        </w:rPr>
        <w:t>原则，由学生家长自愿订餐</w:t>
      </w:r>
      <w:r>
        <w:rPr>
          <w:rFonts w:hint="default" w:ascii="Arial" w:hAnsi="Arial" w:eastAsia="宋体" w:cs="Arial"/>
          <w:b w:val="0"/>
          <w:bCs w:val="0"/>
          <w:color w:val="auto"/>
          <w:sz w:val="24"/>
          <w:szCs w:val="24"/>
          <w:lang w:eastAsia="zh-CN"/>
        </w:rPr>
        <w:t>，</w:t>
      </w:r>
      <w:r>
        <w:rPr>
          <w:rFonts w:hint="default" w:ascii="Arial" w:hAnsi="Arial" w:eastAsia="宋体" w:cs="Arial"/>
          <w:b w:val="0"/>
          <w:bCs w:val="0"/>
          <w:color w:val="auto"/>
          <w:sz w:val="24"/>
          <w:szCs w:val="24"/>
        </w:rPr>
        <w:t>以参与学生实际数量进行结算。</w:t>
      </w:r>
    </w:p>
    <w:p w14:paraId="72DB23BB">
      <w:pPr>
        <w:pageBreakBefore w:val="0"/>
        <w:wordWrap/>
        <w:overflowPunct/>
        <w:topLinePunct w:val="0"/>
        <w:autoSpaceDE w:val="0"/>
        <w:autoSpaceDN w:val="0"/>
        <w:bidi w:val="0"/>
        <w:adjustRightInd w:val="0"/>
        <w:spacing w:before="119" w:line="400" w:lineRule="exact"/>
        <w:ind w:left="2" w:firstLine="498" w:firstLineChars="200"/>
        <w:textAlignment w:val="baseline"/>
        <w:rPr>
          <w:rFonts w:ascii="宋体" w:hAnsi="宋体" w:cs="宋体"/>
          <w:color w:val="auto"/>
          <w:sz w:val="24"/>
          <w:szCs w:val="24"/>
        </w:rPr>
      </w:pPr>
      <w:r>
        <w:rPr>
          <w:rFonts w:hint="eastAsia" w:ascii="宋体" w:hAnsi="宋体" w:eastAsia="宋体" w:cs="宋体"/>
          <w:b/>
          <w:bCs/>
          <w:color w:val="auto"/>
          <w:spacing w:val="4"/>
          <w:sz w:val="24"/>
          <w:szCs w:val="24"/>
          <w:lang w:val="en-US" w:eastAsia="zh-CN"/>
        </w:rPr>
        <w:t>五</w:t>
      </w:r>
      <w:r>
        <w:rPr>
          <w:rFonts w:hint="eastAsia" w:ascii="宋体" w:hAnsi="宋体" w:cs="宋体"/>
          <w:b/>
          <w:bCs/>
          <w:color w:val="auto"/>
          <w:spacing w:val="4"/>
          <w:sz w:val="24"/>
          <w:szCs w:val="24"/>
        </w:rPr>
        <w:t>、甲方的权利与义务</w:t>
      </w:r>
      <w:r>
        <w:rPr>
          <w:rFonts w:hint="eastAsia" w:ascii="宋体" w:hAnsi="宋体" w:cs="宋体"/>
          <w:color w:val="auto"/>
          <w:spacing w:val="4"/>
          <w:sz w:val="24"/>
          <w:szCs w:val="24"/>
        </w:rPr>
        <w:t xml:space="preserve"> (以</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4"/>
          <w:sz w:val="24"/>
          <w:szCs w:val="24"/>
        </w:rPr>
        <w:t>文件第</w:t>
      </w:r>
      <w:r>
        <w:rPr>
          <w:rFonts w:hint="eastAsia" w:ascii="宋体" w:hAnsi="宋体" w:eastAsia="宋体" w:cs="宋体"/>
          <w:color w:val="auto"/>
          <w:spacing w:val="4"/>
          <w:sz w:val="24"/>
          <w:szCs w:val="24"/>
          <w:lang w:val="en-US" w:eastAsia="zh-CN"/>
        </w:rPr>
        <w:t>五</w:t>
      </w:r>
      <w:r>
        <w:rPr>
          <w:rFonts w:hint="eastAsia" w:ascii="宋体" w:hAnsi="宋体" w:cs="宋体"/>
          <w:color w:val="auto"/>
          <w:spacing w:val="4"/>
          <w:sz w:val="24"/>
          <w:szCs w:val="24"/>
        </w:rPr>
        <w:t>章为基本标准与要求设定相关条款)</w:t>
      </w:r>
    </w:p>
    <w:p w14:paraId="2F84C565">
      <w:pPr>
        <w:pageBreakBefore w:val="0"/>
        <w:wordWrap/>
        <w:overflowPunct/>
        <w:topLinePunct w:val="0"/>
        <w:autoSpaceDE w:val="0"/>
        <w:autoSpaceDN w:val="0"/>
        <w:bidi w:val="0"/>
        <w:adjustRightInd w:val="0"/>
        <w:spacing w:before="113" w:line="400" w:lineRule="exact"/>
        <w:ind w:left="513" w:right="452"/>
        <w:textAlignment w:val="baseline"/>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7"/>
          <w:sz w:val="24"/>
          <w:szCs w:val="24"/>
        </w:rPr>
        <w:t>.根据实际选用食谱并提出配餐计划；</w:t>
      </w:r>
    </w:p>
    <w:p w14:paraId="238FA1B8">
      <w:pPr>
        <w:pageBreakBefore w:val="0"/>
        <w:wordWrap/>
        <w:overflowPunct/>
        <w:topLinePunct w:val="0"/>
        <w:autoSpaceDE w:val="0"/>
        <w:autoSpaceDN w:val="0"/>
        <w:bidi w:val="0"/>
        <w:adjustRightInd w:val="0"/>
        <w:spacing w:before="85" w:line="400" w:lineRule="exact"/>
        <w:ind w:left="481" w:right="38" w:hanging="1"/>
        <w:textAlignment w:val="baseline"/>
        <w:rPr>
          <w:rFonts w:ascii="宋体" w:hAnsi="宋体" w:cs="宋体"/>
          <w:color w:val="auto"/>
          <w:sz w:val="24"/>
          <w:szCs w:val="24"/>
        </w:rPr>
      </w:pPr>
      <w:r>
        <w:rPr>
          <w:rFonts w:hint="eastAsia" w:ascii="宋体" w:hAnsi="宋体" w:cs="宋体"/>
          <w:color w:val="auto"/>
          <w:spacing w:val="14"/>
          <w:sz w:val="24"/>
          <w:szCs w:val="24"/>
        </w:rPr>
        <w:t>2</w:t>
      </w:r>
      <w:r>
        <w:rPr>
          <w:rFonts w:hint="eastAsia" w:ascii="宋体" w:hAnsi="宋体" w:cs="宋体"/>
          <w:color w:val="auto"/>
          <w:spacing w:val="12"/>
          <w:sz w:val="24"/>
          <w:szCs w:val="24"/>
        </w:rPr>
        <w:t>.</w:t>
      </w:r>
      <w:r>
        <w:rPr>
          <w:rFonts w:hint="eastAsia" w:ascii="宋体" w:hAnsi="宋体" w:cs="宋体"/>
          <w:color w:val="auto"/>
          <w:spacing w:val="7"/>
          <w:sz w:val="24"/>
          <w:szCs w:val="24"/>
        </w:rPr>
        <w:t>对乙方配送的配餐及时组织验收，有权根据配送实际情况提出调整、改进意见；</w:t>
      </w:r>
    </w:p>
    <w:p w14:paraId="787201AF">
      <w:pPr>
        <w:pageBreakBefore w:val="0"/>
        <w:wordWrap/>
        <w:overflowPunct/>
        <w:topLinePunct w:val="0"/>
        <w:autoSpaceDE w:val="0"/>
        <w:autoSpaceDN w:val="0"/>
        <w:bidi w:val="0"/>
        <w:adjustRightInd w:val="0"/>
        <w:spacing w:before="85" w:line="400" w:lineRule="exact"/>
        <w:ind w:left="481" w:right="38" w:hanging="1"/>
        <w:textAlignment w:val="baseline"/>
        <w:rPr>
          <w:rFonts w:ascii="宋体" w:hAnsi="宋体" w:cs="宋体"/>
          <w:color w:val="auto"/>
          <w:sz w:val="24"/>
          <w:szCs w:val="24"/>
        </w:rPr>
      </w:pPr>
      <w:r>
        <w:rPr>
          <w:rFonts w:hint="eastAsia" w:ascii="宋体" w:hAnsi="宋体" w:cs="宋体"/>
          <w:color w:val="auto"/>
          <w:spacing w:val="9"/>
          <w:sz w:val="24"/>
          <w:szCs w:val="24"/>
        </w:rPr>
        <w:t>3.根据招标文件制定监督与考核具体办法，落实监督考核要求</w:t>
      </w:r>
      <w:r>
        <w:rPr>
          <w:rFonts w:hint="eastAsia" w:ascii="宋体" w:hAnsi="宋体" w:cs="宋体"/>
          <w:color w:val="auto"/>
          <w:spacing w:val="4"/>
          <w:sz w:val="24"/>
          <w:szCs w:val="24"/>
        </w:rPr>
        <w:t>；</w:t>
      </w:r>
    </w:p>
    <w:p w14:paraId="287AEECA">
      <w:pPr>
        <w:pageBreakBefore w:val="0"/>
        <w:wordWrap/>
        <w:overflowPunct/>
        <w:topLinePunct w:val="0"/>
        <w:autoSpaceDE w:val="0"/>
        <w:autoSpaceDN w:val="0"/>
        <w:bidi w:val="0"/>
        <w:adjustRightInd w:val="0"/>
        <w:spacing w:line="400" w:lineRule="exact"/>
        <w:ind w:left="477"/>
        <w:textAlignment w:val="baseline"/>
        <w:rPr>
          <w:rFonts w:ascii="宋体" w:hAnsi="宋体" w:cs="宋体"/>
          <w:color w:val="auto"/>
          <w:sz w:val="24"/>
          <w:szCs w:val="24"/>
        </w:rPr>
      </w:pPr>
      <w:r>
        <w:rPr>
          <w:rFonts w:hint="eastAsia" w:ascii="宋体" w:hAnsi="宋体" w:cs="宋体"/>
          <w:color w:val="auto"/>
          <w:spacing w:val="5"/>
          <w:position w:val="2"/>
          <w:sz w:val="24"/>
          <w:szCs w:val="24"/>
        </w:rPr>
        <w:t>4</w:t>
      </w:r>
      <w:r>
        <w:rPr>
          <w:rFonts w:hint="eastAsia" w:ascii="宋体" w:hAnsi="宋体" w:cs="宋体"/>
          <w:color w:val="auto"/>
          <w:spacing w:val="4"/>
          <w:position w:val="2"/>
          <w:sz w:val="24"/>
          <w:szCs w:val="24"/>
        </w:rPr>
        <w:t>……。</w:t>
      </w:r>
    </w:p>
    <w:p w14:paraId="62E0ECF9">
      <w:pPr>
        <w:pageBreakBefore w:val="0"/>
        <w:numPr>
          <w:ilvl w:val="0"/>
          <w:numId w:val="0"/>
        </w:numPr>
        <w:wordWrap/>
        <w:overflowPunct/>
        <w:topLinePunct w:val="0"/>
        <w:autoSpaceDE w:val="0"/>
        <w:autoSpaceDN w:val="0"/>
        <w:bidi w:val="0"/>
        <w:adjustRightInd w:val="0"/>
        <w:spacing w:before="86" w:line="400" w:lineRule="exact"/>
        <w:ind w:left="249" w:leftChars="0" w:right="692" w:rightChars="0"/>
        <w:textAlignment w:val="baseline"/>
        <w:rPr>
          <w:rFonts w:ascii="宋体" w:hAnsi="宋体" w:cs="宋体"/>
          <w:color w:val="auto"/>
          <w:sz w:val="24"/>
          <w:szCs w:val="24"/>
        </w:rPr>
      </w:pPr>
      <w:r>
        <w:rPr>
          <w:rFonts w:hint="eastAsia" w:ascii="宋体" w:hAnsi="宋体" w:eastAsia="宋体" w:cs="宋体"/>
          <w:b/>
          <w:bCs/>
          <w:color w:val="auto"/>
          <w:spacing w:val="9"/>
          <w:sz w:val="24"/>
          <w:szCs w:val="24"/>
          <w:lang w:val="en-US" w:eastAsia="zh-CN"/>
        </w:rPr>
        <w:t>六、</w:t>
      </w:r>
      <w:r>
        <w:rPr>
          <w:rFonts w:hint="eastAsia" w:ascii="宋体" w:hAnsi="宋体" w:cs="宋体"/>
          <w:b/>
          <w:bCs/>
          <w:color w:val="auto"/>
          <w:spacing w:val="9"/>
          <w:sz w:val="24"/>
          <w:szCs w:val="24"/>
        </w:rPr>
        <w:t>乙方的权利与义务</w:t>
      </w:r>
      <w:r>
        <w:rPr>
          <w:rFonts w:hint="eastAsia" w:ascii="宋体" w:hAnsi="宋体" w:cs="宋体"/>
          <w:color w:val="auto"/>
          <w:spacing w:val="9"/>
          <w:sz w:val="24"/>
          <w:szCs w:val="24"/>
        </w:rPr>
        <w:t xml:space="preserve"> </w:t>
      </w:r>
      <w:r>
        <w:rPr>
          <w:rFonts w:hint="eastAsia" w:ascii="宋体" w:hAnsi="宋体" w:cs="宋体"/>
          <w:color w:val="auto"/>
          <w:spacing w:val="4"/>
          <w:sz w:val="24"/>
          <w:szCs w:val="24"/>
        </w:rPr>
        <w:t>(以</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4"/>
          <w:sz w:val="24"/>
          <w:szCs w:val="24"/>
        </w:rPr>
        <w:t>文件第</w:t>
      </w:r>
      <w:r>
        <w:rPr>
          <w:rFonts w:hint="eastAsia" w:ascii="宋体" w:hAnsi="宋体" w:eastAsia="宋体" w:cs="宋体"/>
          <w:color w:val="auto"/>
          <w:spacing w:val="4"/>
          <w:sz w:val="24"/>
          <w:szCs w:val="24"/>
          <w:lang w:val="en-US" w:eastAsia="zh-CN"/>
        </w:rPr>
        <w:t>五</w:t>
      </w:r>
      <w:r>
        <w:rPr>
          <w:rFonts w:hint="eastAsia" w:ascii="宋体" w:hAnsi="宋体" w:cs="宋体"/>
          <w:color w:val="auto"/>
          <w:spacing w:val="4"/>
          <w:sz w:val="24"/>
          <w:szCs w:val="24"/>
        </w:rPr>
        <w:t>章为基本标准与要求设定相关条款)</w:t>
      </w:r>
    </w:p>
    <w:p w14:paraId="3E766DFD">
      <w:pPr>
        <w:pageBreakBefore w:val="0"/>
        <w:wordWrap/>
        <w:overflowPunct/>
        <w:topLinePunct w:val="0"/>
        <w:autoSpaceDE w:val="0"/>
        <w:autoSpaceDN w:val="0"/>
        <w:bidi w:val="0"/>
        <w:adjustRightInd w:val="0"/>
        <w:spacing w:before="86" w:line="400" w:lineRule="exact"/>
        <w:ind w:left="249" w:right="692" w:firstLine="254" w:firstLineChars="100"/>
        <w:textAlignment w:val="baseline"/>
        <w:rPr>
          <w:rFonts w:ascii="宋体" w:hAnsi="宋体" w:cs="宋体"/>
          <w:color w:val="auto"/>
          <w:sz w:val="24"/>
          <w:szCs w:val="24"/>
        </w:rPr>
      </w:pPr>
      <w:r>
        <w:rPr>
          <w:rFonts w:hint="eastAsia" w:ascii="宋体" w:hAnsi="宋体" w:cs="宋体"/>
          <w:color w:val="auto"/>
          <w:spacing w:val="7"/>
          <w:sz w:val="24"/>
          <w:szCs w:val="24"/>
        </w:rPr>
        <w:t>1.根据招标文件规定按时结算合同价款；</w:t>
      </w:r>
    </w:p>
    <w:p w14:paraId="320FFD67">
      <w:pPr>
        <w:pageBreakBefore w:val="0"/>
        <w:wordWrap/>
        <w:overflowPunct/>
        <w:topLinePunct w:val="0"/>
        <w:autoSpaceDE w:val="0"/>
        <w:autoSpaceDN w:val="0"/>
        <w:bidi w:val="0"/>
        <w:adjustRightInd w:val="0"/>
        <w:spacing w:before="89" w:line="400" w:lineRule="exact"/>
        <w:ind w:firstLine="532" w:firstLineChars="200"/>
        <w:textAlignment w:val="baseline"/>
        <w:rPr>
          <w:rFonts w:ascii="宋体" w:hAnsi="宋体" w:cs="宋体"/>
          <w:color w:val="auto"/>
          <w:sz w:val="24"/>
          <w:szCs w:val="24"/>
        </w:rPr>
      </w:pPr>
      <w:r>
        <w:rPr>
          <w:rFonts w:hint="eastAsia" w:ascii="宋体" w:hAnsi="宋体" w:cs="宋体"/>
          <w:color w:val="auto"/>
          <w:spacing w:val="13"/>
          <w:position w:val="2"/>
          <w:sz w:val="24"/>
          <w:szCs w:val="24"/>
        </w:rPr>
        <w:t>2</w:t>
      </w:r>
      <w:r>
        <w:rPr>
          <w:rFonts w:hint="eastAsia" w:ascii="宋体" w:hAnsi="宋体" w:cs="宋体"/>
          <w:color w:val="auto"/>
          <w:spacing w:val="9"/>
          <w:position w:val="2"/>
          <w:sz w:val="24"/>
          <w:szCs w:val="24"/>
        </w:rPr>
        <w:t>.根据要求制定食谱供甲方选用，及时听取甲方合理化意见，加强与改进服务；</w:t>
      </w:r>
    </w:p>
    <w:p w14:paraId="4435CAB3">
      <w:pPr>
        <w:pageBreakBefore w:val="0"/>
        <w:wordWrap/>
        <w:overflowPunct/>
        <w:topLinePunct w:val="0"/>
        <w:autoSpaceDE w:val="0"/>
        <w:autoSpaceDN w:val="0"/>
        <w:bidi w:val="0"/>
        <w:adjustRightInd w:val="0"/>
        <w:spacing w:before="85" w:line="400" w:lineRule="exact"/>
        <w:ind w:left="31" w:right="125" w:firstLine="450"/>
        <w:textAlignment w:val="baseline"/>
        <w:rPr>
          <w:rFonts w:ascii="宋体" w:hAnsi="宋体" w:cs="宋体"/>
          <w:color w:val="auto"/>
          <w:sz w:val="24"/>
          <w:szCs w:val="24"/>
        </w:rPr>
      </w:pPr>
      <w:r>
        <w:rPr>
          <w:rFonts w:hint="eastAsia" w:ascii="宋体" w:hAnsi="宋体" w:cs="宋体"/>
          <w:color w:val="auto"/>
          <w:spacing w:val="16"/>
          <w:sz w:val="24"/>
          <w:szCs w:val="24"/>
        </w:rPr>
        <w:t>3</w:t>
      </w:r>
      <w:r>
        <w:rPr>
          <w:rFonts w:hint="eastAsia" w:ascii="宋体" w:hAnsi="宋体" w:cs="宋体"/>
          <w:color w:val="auto"/>
          <w:spacing w:val="10"/>
          <w:sz w:val="24"/>
          <w:szCs w:val="24"/>
        </w:rPr>
        <w:t>．</w:t>
      </w:r>
      <w:r>
        <w:rPr>
          <w:rFonts w:hint="eastAsia" w:ascii="宋体" w:hAnsi="宋体" w:cs="宋体"/>
          <w:color w:val="auto"/>
          <w:spacing w:val="8"/>
          <w:sz w:val="24"/>
          <w:szCs w:val="24"/>
        </w:rPr>
        <w:t>提供的食品必须符合国家相关法律及行业标准，落实招标文件关于食品安全、品</w:t>
      </w:r>
      <w:r>
        <w:rPr>
          <w:rFonts w:hint="eastAsia" w:ascii="宋体" w:hAnsi="宋体" w:cs="宋体"/>
          <w:color w:val="auto"/>
          <w:spacing w:val="7"/>
          <w:sz w:val="24"/>
          <w:szCs w:val="24"/>
        </w:rPr>
        <w:t>质、卫生、加工与搭配等要求与规定；</w:t>
      </w:r>
    </w:p>
    <w:p w14:paraId="514AF4E1">
      <w:pPr>
        <w:pageBreakBefore w:val="0"/>
        <w:wordWrap/>
        <w:overflowPunct/>
        <w:topLinePunct w:val="0"/>
        <w:autoSpaceDE w:val="0"/>
        <w:autoSpaceDN w:val="0"/>
        <w:bidi w:val="0"/>
        <w:adjustRightInd w:val="0"/>
        <w:spacing w:line="400" w:lineRule="exact"/>
        <w:ind w:left="477"/>
        <w:textAlignment w:val="baseline"/>
        <w:rPr>
          <w:rFonts w:ascii="宋体" w:hAnsi="宋体" w:cs="宋体"/>
          <w:color w:val="auto"/>
          <w:sz w:val="24"/>
          <w:szCs w:val="24"/>
        </w:rPr>
      </w:pPr>
      <w:r>
        <w:rPr>
          <w:rFonts w:hint="eastAsia" w:ascii="宋体" w:hAnsi="宋体" w:cs="宋体"/>
          <w:color w:val="auto"/>
          <w:spacing w:val="5"/>
          <w:position w:val="2"/>
          <w:sz w:val="24"/>
          <w:szCs w:val="24"/>
        </w:rPr>
        <w:t>4</w:t>
      </w:r>
      <w:r>
        <w:rPr>
          <w:rFonts w:hint="eastAsia" w:ascii="宋体" w:hAnsi="宋体" w:cs="宋体"/>
          <w:color w:val="auto"/>
          <w:spacing w:val="4"/>
          <w:position w:val="2"/>
          <w:sz w:val="24"/>
          <w:szCs w:val="24"/>
        </w:rPr>
        <w:t>……。</w:t>
      </w:r>
    </w:p>
    <w:p w14:paraId="147F9138">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七</w:t>
      </w:r>
      <w:r>
        <w:rPr>
          <w:rFonts w:hint="eastAsia" w:ascii="宋体" w:hAnsi="宋体" w:cs="宋体"/>
          <w:b/>
          <w:bCs/>
          <w:color w:val="auto"/>
          <w:spacing w:val="6"/>
          <w:sz w:val="24"/>
          <w:szCs w:val="24"/>
        </w:rPr>
        <w:t>、配送与验收</w:t>
      </w:r>
      <w:r>
        <w:rPr>
          <w:rFonts w:hint="eastAsia" w:ascii="宋体" w:hAnsi="宋体" w:cs="宋体"/>
          <w:color w:val="auto"/>
          <w:spacing w:val="4"/>
          <w:sz w:val="24"/>
          <w:szCs w:val="24"/>
        </w:rPr>
        <w:t xml:space="preserve"> (按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p>
    <w:p w14:paraId="336C9F85">
      <w:pPr>
        <w:pageBreakBefore w:val="0"/>
        <w:wordWrap/>
        <w:overflowPunct/>
        <w:topLinePunct w:val="0"/>
        <w:autoSpaceDE w:val="0"/>
        <w:autoSpaceDN w:val="0"/>
        <w:bidi w:val="0"/>
        <w:adjustRightInd w:val="0"/>
        <w:spacing w:before="113" w:line="400" w:lineRule="exact"/>
        <w:ind w:firstLine="506" w:firstLineChars="200"/>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八</w:t>
      </w:r>
      <w:r>
        <w:rPr>
          <w:rFonts w:hint="eastAsia" w:ascii="宋体" w:hAnsi="宋体" w:cs="宋体"/>
          <w:b/>
          <w:bCs/>
          <w:color w:val="auto"/>
          <w:spacing w:val="6"/>
          <w:sz w:val="24"/>
          <w:szCs w:val="24"/>
        </w:rPr>
        <w:t>、监督与考核</w:t>
      </w:r>
      <w:r>
        <w:rPr>
          <w:rFonts w:hint="eastAsia" w:ascii="宋体" w:hAnsi="宋体" w:cs="宋体"/>
          <w:color w:val="auto"/>
          <w:spacing w:val="6"/>
          <w:sz w:val="24"/>
          <w:szCs w:val="24"/>
        </w:rPr>
        <w:t xml:space="preserve"> (</w:t>
      </w:r>
      <w:r>
        <w:rPr>
          <w:rFonts w:hint="eastAsia" w:ascii="宋体" w:hAnsi="宋体" w:cs="宋体"/>
          <w:color w:val="auto"/>
          <w:spacing w:val="4"/>
          <w:sz w:val="24"/>
          <w:szCs w:val="24"/>
        </w:rPr>
        <w:t>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r>
        <w:rPr>
          <w:rFonts w:hint="eastAsia" w:ascii="宋体" w:hAnsi="宋体" w:cs="宋体"/>
          <w:color w:val="auto"/>
          <w:spacing w:val="6"/>
          <w:sz w:val="24"/>
          <w:szCs w:val="24"/>
        </w:rPr>
        <w:t>)</w:t>
      </w:r>
    </w:p>
    <w:p w14:paraId="38DFE379">
      <w:pPr>
        <w:pageBreakBefore w:val="0"/>
        <w:wordWrap/>
        <w:overflowPunct/>
        <w:topLinePunct w:val="0"/>
        <w:autoSpaceDE w:val="0"/>
        <w:autoSpaceDN w:val="0"/>
        <w:bidi w:val="0"/>
        <w:adjustRightInd w:val="0"/>
        <w:spacing w:before="113" w:line="400" w:lineRule="exact"/>
        <w:ind w:right="136" w:firstLine="506" w:firstLineChars="200"/>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九</w:t>
      </w:r>
      <w:r>
        <w:rPr>
          <w:rFonts w:hint="eastAsia" w:ascii="宋体" w:hAnsi="宋体" w:cs="宋体"/>
          <w:b/>
          <w:bCs/>
          <w:color w:val="auto"/>
          <w:spacing w:val="6"/>
          <w:sz w:val="24"/>
          <w:szCs w:val="24"/>
        </w:rPr>
        <w:t>、违约责任</w:t>
      </w:r>
      <w:r>
        <w:rPr>
          <w:rFonts w:hint="eastAsia" w:ascii="宋体" w:hAnsi="宋体" w:cs="宋体"/>
          <w:color w:val="auto"/>
          <w:spacing w:val="7"/>
          <w:sz w:val="24"/>
          <w:szCs w:val="24"/>
        </w:rPr>
        <w:t>(</w:t>
      </w:r>
      <w:r>
        <w:rPr>
          <w:rFonts w:hint="eastAsia" w:ascii="宋体" w:hAnsi="宋体" w:cs="宋体"/>
          <w:color w:val="auto"/>
          <w:spacing w:val="4"/>
          <w:sz w:val="24"/>
          <w:szCs w:val="24"/>
        </w:rPr>
        <w:t>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r>
        <w:rPr>
          <w:rFonts w:hint="eastAsia" w:ascii="宋体" w:hAnsi="宋体" w:cs="宋体"/>
          <w:color w:val="auto"/>
          <w:spacing w:val="7"/>
          <w:sz w:val="24"/>
          <w:szCs w:val="24"/>
        </w:rPr>
        <w:t>，根据需要增加甲方违约</w:t>
      </w:r>
      <w:r>
        <w:rPr>
          <w:rFonts w:hint="eastAsia" w:ascii="宋体" w:hAnsi="宋体" w:cs="宋体"/>
          <w:color w:val="auto"/>
          <w:spacing w:val="6"/>
          <w:sz w:val="24"/>
          <w:szCs w:val="24"/>
        </w:rPr>
        <w:t>责</w:t>
      </w:r>
      <w:r>
        <w:rPr>
          <w:rFonts w:hint="eastAsia" w:ascii="宋体" w:hAnsi="宋体" w:cs="宋体"/>
          <w:color w:val="auto"/>
          <w:spacing w:val="4"/>
          <w:sz w:val="24"/>
          <w:szCs w:val="24"/>
        </w:rPr>
        <w:t>任内容)。</w:t>
      </w:r>
    </w:p>
    <w:p w14:paraId="2B162690">
      <w:pPr>
        <w:pageBreakBefore w:val="0"/>
        <w:widowControl/>
        <w:wordWrap/>
        <w:overflowPunct/>
        <w:topLinePunct w:val="0"/>
        <w:autoSpaceDE w:val="0"/>
        <w:autoSpaceDN w:val="0"/>
        <w:bidi w:val="0"/>
        <w:adjustRightInd w:val="0"/>
        <w:spacing w:line="400" w:lineRule="exact"/>
        <w:ind w:firstLine="482" w:firstLineChars="200"/>
        <w:jc w:val="left"/>
        <w:textAlignment w:val="baseline"/>
        <w:rPr>
          <w:rFonts w:ascii="宋体" w:hAnsi="宋体" w:cs="宋体"/>
          <w:b/>
          <w:bCs/>
          <w:color w:val="auto"/>
          <w:kern w:val="0"/>
          <w:sz w:val="24"/>
          <w:szCs w:val="24"/>
        </w:rPr>
      </w:pPr>
      <w:r>
        <w:rPr>
          <w:rFonts w:hint="eastAsia" w:ascii="宋体" w:hAnsi="宋体" w:eastAsia="宋体" w:cs="宋体"/>
          <w:b/>
          <w:bCs/>
          <w:color w:val="auto"/>
          <w:kern w:val="0"/>
          <w:sz w:val="24"/>
          <w:szCs w:val="24"/>
          <w:lang w:val="en-US" w:eastAsia="zh-CN"/>
        </w:rPr>
        <w:t>十</w:t>
      </w:r>
      <w:r>
        <w:rPr>
          <w:rFonts w:hint="eastAsia" w:ascii="宋体" w:hAnsi="宋体" w:cs="宋体"/>
          <w:b/>
          <w:bCs/>
          <w:color w:val="auto"/>
          <w:kern w:val="0"/>
          <w:sz w:val="24"/>
          <w:szCs w:val="24"/>
        </w:rPr>
        <w:t>、结算与付款：</w:t>
      </w:r>
    </w:p>
    <w:p w14:paraId="3D907FBD">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b/>
          <w:bCs/>
          <w:color w:val="auto"/>
          <w:spacing w:val="6"/>
          <w:sz w:val="24"/>
          <w:szCs w:val="24"/>
        </w:rPr>
      </w:pPr>
      <w:r>
        <w:rPr>
          <w:rFonts w:hint="eastAsia" w:ascii="宋体" w:hAnsi="宋体" w:cs="宋体"/>
          <w:b/>
          <w:bCs/>
          <w:color w:val="auto"/>
          <w:spacing w:val="6"/>
          <w:sz w:val="24"/>
          <w:szCs w:val="24"/>
        </w:rPr>
        <w:t>十</w:t>
      </w:r>
      <w:r>
        <w:rPr>
          <w:rFonts w:hint="eastAsia" w:ascii="宋体" w:hAnsi="宋体" w:eastAsia="宋体" w:cs="宋体"/>
          <w:b/>
          <w:bCs/>
          <w:color w:val="auto"/>
          <w:spacing w:val="6"/>
          <w:sz w:val="24"/>
          <w:szCs w:val="24"/>
          <w:lang w:val="en-US" w:eastAsia="zh-CN"/>
        </w:rPr>
        <w:t>一</w:t>
      </w:r>
      <w:r>
        <w:rPr>
          <w:rFonts w:hint="eastAsia" w:ascii="宋体" w:hAnsi="宋体" w:cs="宋体"/>
          <w:b/>
          <w:bCs/>
          <w:color w:val="auto"/>
          <w:spacing w:val="6"/>
          <w:sz w:val="24"/>
          <w:szCs w:val="24"/>
        </w:rPr>
        <w:t xml:space="preserve">、不可抗力 </w:t>
      </w:r>
    </w:p>
    <w:p w14:paraId="2E5D17E2">
      <w:pPr>
        <w:pageBreakBefore w:val="0"/>
        <w:widowControl/>
        <w:wordWrap/>
        <w:overflowPunct/>
        <w:topLinePunct w:val="0"/>
        <w:autoSpaceDE w:val="0"/>
        <w:autoSpaceDN w:val="0"/>
        <w:bidi w:val="0"/>
        <w:adjustRightInd w:val="0"/>
        <w:spacing w:line="400" w:lineRule="exact"/>
        <w:ind w:firstLine="240" w:firstLineChars="1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（一）如果双方中任何一方由于战争、严重火灾、水灾、台风和地震以及其它经双方同意属于不可抗力的事故，致使合同履行受阻时，履行合同的期限应予延长，延长的期限应相当于事故所影响的时间。 </w:t>
      </w:r>
    </w:p>
    <w:p w14:paraId="07C5CA93">
      <w:pPr>
        <w:pageBreakBefore w:val="0"/>
        <w:widowControl/>
        <w:wordWrap/>
        <w:overflowPunct/>
        <w:topLinePunct w:val="0"/>
        <w:autoSpaceDE w:val="0"/>
        <w:autoSpaceDN w:val="0"/>
        <w:bidi w:val="0"/>
        <w:adjustRightInd w:val="0"/>
        <w:spacing w:line="400" w:lineRule="exact"/>
        <w:ind w:firstLine="240" w:firstLineChars="1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（二）受事故影响的一方应在不可抗力的事故发生后尽快以书面形式通知另一方，并在事故发生后14 天内，将有关部门出具的有效证明文件寄给或送给另一方。如果不可抗力影响时间持延续120天以上，双方应通过友好协商在合理的时间内达成进一步履行合同的协议。 </w:t>
      </w:r>
    </w:p>
    <w:p w14:paraId="2601F686">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b/>
          <w:bCs/>
          <w:color w:val="auto"/>
          <w:spacing w:val="6"/>
          <w:sz w:val="24"/>
          <w:szCs w:val="24"/>
        </w:rPr>
      </w:pPr>
      <w:r>
        <w:rPr>
          <w:rFonts w:hint="eastAsia" w:ascii="宋体" w:hAnsi="宋体" w:cs="宋体"/>
          <w:b/>
          <w:bCs/>
          <w:color w:val="auto"/>
          <w:spacing w:val="6"/>
          <w:sz w:val="24"/>
          <w:szCs w:val="24"/>
        </w:rPr>
        <w:t>十</w:t>
      </w:r>
      <w:r>
        <w:rPr>
          <w:rFonts w:hint="eastAsia" w:ascii="宋体" w:hAnsi="宋体" w:eastAsia="宋体" w:cs="宋体"/>
          <w:b/>
          <w:bCs/>
          <w:color w:val="auto"/>
          <w:spacing w:val="6"/>
          <w:sz w:val="24"/>
          <w:szCs w:val="24"/>
          <w:lang w:val="en-US" w:eastAsia="zh-CN"/>
        </w:rPr>
        <w:t>二</w:t>
      </w:r>
      <w:r>
        <w:rPr>
          <w:rFonts w:hint="eastAsia" w:ascii="宋体" w:hAnsi="宋体" w:cs="宋体"/>
          <w:b/>
          <w:bCs/>
          <w:color w:val="auto"/>
          <w:spacing w:val="6"/>
          <w:sz w:val="24"/>
          <w:szCs w:val="24"/>
        </w:rPr>
        <w:t xml:space="preserve">、争议的解决 </w:t>
      </w:r>
    </w:p>
    <w:p w14:paraId="0B37A5D9">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双方应通过友好协商，解决在执行本合同中所发生的或与本合同有关的一切争端，如果协商仍得不到解决，任何一方均可依法提交甲方所在地法院诉讼。</w:t>
      </w:r>
    </w:p>
    <w:p w14:paraId="65200115">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color w:val="auto"/>
          <w:spacing w:val="6"/>
          <w:sz w:val="24"/>
          <w:szCs w:val="24"/>
        </w:rPr>
      </w:pPr>
      <w:r>
        <w:rPr>
          <w:rFonts w:hint="eastAsia" w:ascii="宋体" w:hAnsi="宋体" w:cs="宋体"/>
          <w:color w:val="auto"/>
          <w:spacing w:val="6"/>
          <w:sz w:val="24"/>
          <w:szCs w:val="24"/>
        </w:rPr>
        <w:t xml:space="preserve">十二、 合同生效及其他 </w:t>
      </w:r>
    </w:p>
    <w:p w14:paraId="56AFBCB2">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（一）合同应在双方签字盖章后开始生效。 </w:t>
      </w:r>
    </w:p>
    <w:p w14:paraId="0586BC7B">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（二）本合同一式肆份，甲乙双方各执贰份，具有同等法律效力。 </w:t>
      </w:r>
    </w:p>
    <w:p w14:paraId="4196FA1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（三）本项目招标文件、投标文件及相关的补充文件均为本合同的组成部分。 </w:t>
      </w:r>
    </w:p>
    <w:p w14:paraId="70E882F1">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 xml:space="preserve">（四）如需修改或补充合同内容，经协商，双方应签署书面修改或补充协议，该协议将作为本合同的一个组成部分。 </w:t>
      </w:r>
    </w:p>
    <w:p w14:paraId="72FDCA32">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p>
    <w:p w14:paraId="4BEFAA8E">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甲方（盖章）：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乙方（盖章）：</w:t>
      </w:r>
    </w:p>
    <w:p w14:paraId="7356F4A8">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 xml:space="preserve">签约代表（签字）：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签约代表（签字）：</w:t>
      </w:r>
    </w:p>
    <w:p w14:paraId="77AB308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联系电话：</w:t>
      </w:r>
    </w:p>
    <w:p w14:paraId="5CD4FAED">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开户银行：</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开户银行：</w:t>
      </w:r>
    </w:p>
    <w:p w14:paraId="7F3652F5">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户名：</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户名：</w:t>
      </w:r>
    </w:p>
    <w:p w14:paraId="46A0EA6E">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账号：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账号：</w:t>
      </w:r>
    </w:p>
    <w:p w14:paraId="26F812E3">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地址：</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地址：                   </w:t>
      </w:r>
    </w:p>
    <w:p w14:paraId="0CC657A6">
      <w:pPr>
        <w:pageBreakBefore w:val="0"/>
        <w:widowControl/>
        <w:wordWrap/>
        <w:overflowPunct/>
        <w:topLinePunct w:val="0"/>
        <w:autoSpaceDE w:val="0"/>
        <w:autoSpaceDN w:val="0"/>
        <w:bidi w:val="0"/>
        <w:adjustRightInd w:val="0"/>
        <w:spacing w:line="400" w:lineRule="exact"/>
        <w:ind w:firstLine="480" w:firstLineChars="200"/>
        <w:jc w:val="left"/>
        <w:textAlignment w:val="baseline"/>
        <w:rPr>
          <w:color w:val="auto"/>
          <w:sz w:val="24"/>
          <w:szCs w:val="24"/>
        </w:rPr>
      </w:pPr>
      <w:r>
        <w:rPr>
          <w:rFonts w:hint="eastAsia" w:ascii="宋体" w:hAnsi="宋体" w:cs="宋体"/>
          <w:color w:val="auto"/>
          <w:kern w:val="0"/>
          <w:sz w:val="24"/>
          <w:szCs w:val="24"/>
        </w:rPr>
        <w:t xml:space="preserve">________年____月____日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________年____月____日</w:t>
      </w:r>
    </w:p>
    <w:p w14:paraId="16F9964C">
      <w:pPr>
        <w:pStyle w:val="4"/>
        <w:pageBreakBefore w:val="0"/>
        <w:wordWrap/>
        <w:overflowPunct/>
        <w:topLinePunct w:val="0"/>
        <w:autoSpaceDE w:val="0"/>
        <w:autoSpaceDN w:val="0"/>
        <w:bidi w:val="0"/>
        <w:adjustRightInd w:val="0"/>
        <w:spacing w:line="400" w:lineRule="exact"/>
        <w:textAlignment w:val="baseline"/>
        <w:rPr>
          <w:rFonts w:hint="eastAsia" w:ascii="宋体" w:hAnsi="宋体" w:eastAsia="宋体" w:cs="宋体"/>
          <w:color w:val="auto"/>
          <w:spacing w:val="9"/>
          <w:sz w:val="24"/>
          <w:szCs w:val="24"/>
          <w:highlight w:val="none"/>
          <w:lang w:eastAsia="zh-CN"/>
          <w14:textOutline w14:w="5791" w14:cap="sq" w14:cmpd="sng" w14:algn="ctr">
            <w14:solidFill>
              <w14:srgbClr w14:val="000000"/>
            </w14:solidFill>
            <w14:prstDash w14:val="solid"/>
            <w14:bevel/>
          </w14:textOutline>
        </w:rPr>
      </w:pPr>
    </w:p>
    <w:p w14:paraId="41977EBB">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4"/>
          <w:szCs w:val="24"/>
          <w:highlight w:val="none"/>
          <w:lang w:eastAsia="zh-CN"/>
        </w:rPr>
      </w:pPr>
    </w:p>
    <w:p w14:paraId="3F951EBE">
      <w:pPr>
        <w:autoSpaceDE w:val="0"/>
        <w:autoSpaceDN w:val="0"/>
        <w:adjustRightInd w:val="0"/>
        <w:spacing w:line="560" w:lineRule="exact"/>
        <w:jc w:val="center"/>
        <w:outlineLvl w:val="0"/>
        <w:rPr>
          <w:rFonts w:hint="eastAsia" w:ascii="宋体" w:hAnsi="宋体" w:cs="宋体"/>
          <w:b/>
          <w:color w:val="auto"/>
          <w:sz w:val="32"/>
        </w:rPr>
      </w:pPr>
      <w:r>
        <w:rPr>
          <w:rFonts w:hint="eastAsia" w:ascii="宋体" w:hAnsi="宋体" w:cs="宋体"/>
          <w:b/>
          <w:color w:val="auto"/>
          <w:sz w:val="32"/>
          <w:highlight w:val="white"/>
        </w:rPr>
        <w:t>第</w:t>
      </w:r>
      <w:r>
        <w:rPr>
          <w:rFonts w:hint="eastAsia" w:ascii="宋体" w:hAnsi="宋体" w:eastAsia="宋体" w:cs="宋体"/>
          <w:b/>
          <w:color w:val="auto"/>
          <w:sz w:val="32"/>
          <w:highlight w:val="white"/>
          <w:lang w:eastAsia="zh-CN"/>
        </w:rPr>
        <w:t>四</w:t>
      </w:r>
      <w:r>
        <w:rPr>
          <w:rFonts w:hint="eastAsia" w:ascii="宋体" w:hAnsi="宋体" w:cs="宋体"/>
          <w:b/>
          <w:color w:val="auto"/>
          <w:sz w:val="32"/>
          <w:highlight w:val="white"/>
        </w:rPr>
        <w:t xml:space="preserve">章   </w:t>
      </w:r>
      <w:r>
        <w:rPr>
          <w:rFonts w:hint="eastAsia" w:ascii="宋体" w:hAnsi="宋体" w:eastAsia="宋体" w:cs="宋体"/>
          <w:b/>
          <w:color w:val="auto"/>
          <w:sz w:val="32"/>
          <w:highlight w:val="white"/>
          <w:lang w:eastAsia="zh-CN"/>
        </w:rPr>
        <w:t>响应</w:t>
      </w:r>
      <w:r>
        <w:rPr>
          <w:rFonts w:hint="eastAsia" w:ascii="宋体" w:hAnsi="宋体" w:cs="宋体"/>
          <w:b/>
          <w:color w:val="auto"/>
          <w:sz w:val="32"/>
          <w:highlight w:val="white"/>
        </w:rPr>
        <w:t>文件格式</w:t>
      </w:r>
    </w:p>
    <w:p w14:paraId="505DF5AB">
      <w:pPr>
        <w:widowControl/>
        <w:spacing w:before="100" w:beforeAutospacing="1" w:after="100" w:afterAutospacing="1" w:line="360" w:lineRule="auto"/>
        <w:jc w:val="right"/>
        <w:rPr>
          <w:rFonts w:hint="eastAsia" w:ascii="宋体" w:hAnsi="宋体" w:cs="宋体"/>
          <w:color w:val="auto"/>
          <w:kern w:val="0"/>
          <w:sz w:val="36"/>
        </w:rPr>
      </w:pPr>
    </w:p>
    <w:p w14:paraId="7209F922">
      <w:pPr>
        <w:widowControl/>
        <w:spacing w:before="100" w:beforeAutospacing="1" w:after="100" w:afterAutospacing="1" w:line="360" w:lineRule="auto"/>
        <w:jc w:val="right"/>
        <w:outlineLvl w:val="1"/>
        <w:rPr>
          <w:rFonts w:hint="eastAsia" w:ascii="宋体" w:hAnsi="宋体" w:cs="宋体"/>
          <w:color w:val="auto"/>
          <w:kern w:val="0"/>
          <w:sz w:val="36"/>
        </w:rPr>
      </w:pPr>
      <w:bookmarkStart w:id="118" w:name="_Toc27955_WPSOffice_Level1"/>
      <w:bookmarkStart w:id="119" w:name="_Toc16980_WPSOffice_Level1"/>
      <w:bookmarkStart w:id="120" w:name="_Toc32536_WPSOffice_Level1"/>
      <w:bookmarkStart w:id="121" w:name="_Toc22449_WPSOffice_Level1"/>
      <w:bookmarkStart w:id="122" w:name="_Toc17676_WPSOffice_Level1"/>
      <w:bookmarkStart w:id="123" w:name="_Toc26139_WPSOffice_Level1"/>
      <w:bookmarkStart w:id="124" w:name="_Toc816_WPSOffice_Level1"/>
      <w:bookmarkStart w:id="125" w:name="_Toc30123_WPSOffice_Level1"/>
      <w:bookmarkStart w:id="126" w:name="_Toc12826_WPSOffice_Level1"/>
      <w:bookmarkStart w:id="127" w:name="_Toc25441_WPSOffice_Level1"/>
      <w:bookmarkStart w:id="128" w:name="_Toc10827_WPSOffice_Level1"/>
      <w:bookmarkStart w:id="129" w:name="_Toc10476_WPSOffice_Level1"/>
      <w:bookmarkStart w:id="130" w:name="_Toc11492_WPSOffice_Level1"/>
      <w:bookmarkStart w:id="131" w:name="_Toc5700_WPSOffice_Level1"/>
      <w:bookmarkStart w:id="132" w:name="_Toc17235_WPSOffice_Level1"/>
      <w:bookmarkStart w:id="133" w:name="_Toc25104"/>
      <w:bookmarkStart w:id="134" w:name="_Toc18906_WPSOffice_Level1"/>
      <w:bookmarkStart w:id="135" w:name="_Toc19179_WPSOffice_Level1"/>
      <w:bookmarkStart w:id="136" w:name="_Toc9286_WPSOffice_Level1"/>
      <w:bookmarkStart w:id="137" w:name="_Toc27415"/>
      <w:bookmarkStart w:id="138" w:name="_Toc29161_WPSOffice_Level1"/>
      <w:bookmarkStart w:id="139" w:name="_Toc13333_WPSOffice_Level1"/>
      <w:bookmarkStart w:id="140" w:name="_Toc28287_WPSOffice_Level1"/>
      <w:r>
        <w:rPr>
          <w:rFonts w:hint="eastAsia" w:ascii="宋体" w:hAnsi="宋体" w:cs="宋体"/>
          <w:color w:val="auto"/>
          <w:kern w:val="0"/>
          <w:sz w:val="36"/>
          <w:highlight w:val="white"/>
        </w:rPr>
        <w:t>正（副）本</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9035B57">
      <w:pPr>
        <w:autoSpaceDE w:val="0"/>
        <w:autoSpaceDN w:val="0"/>
        <w:adjustRightInd w:val="0"/>
        <w:spacing w:line="560" w:lineRule="exact"/>
        <w:jc w:val="center"/>
        <w:outlineLvl w:val="0"/>
        <w:rPr>
          <w:rFonts w:hint="eastAsia" w:ascii="宋体" w:hAnsi="宋体" w:cs="宋体"/>
          <w:b/>
          <w:color w:val="auto"/>
          <w:sz w:val="32"/>
          <w:highlight w:val="white"/>
        </w:rPr>
      </w:pPr>
      <w:bookmarkStart w:id="141" w:name="_Toc32464_WPSOffice_Level2"/>
      <w:bookmarkStart w:id="142" w:name="_Toc13025_WPSOffice_Level2"/>
      <w:bookmarkStart w:id="143" w:name="_Toc24226_WPSOffice_Level2"/>
      <w:bookmarkStart w:id="144" w:name="_Toc26917_WPSOffice_Level2"/>
      <w:bookmarkStart w:id="145" w:name="_Toc5768_WPSOffice_Level2"/>
      <w:bookmarkStart w:id="146" w:name="_Toc578_WPSOffice_Level2"/>
      <w:bookmarkStart w:id="147" w:name="_Toc12544_WPSOffice_Level2"/>
      <w:bookmarkStart w:id="148" w:name="_Toc29372_WPSOffice_Level2"/>
      <w:bookmarkStart w:id="149" w:name="_Toc16160_WPSOffice_Level2"/>
      <w:bookmarkStart w:id="150" w:name="_Toc3209_WPSOffice_Level2"/>
      <w:bookmarkStart w:id="151" w:name="_Toc878_WPSOffice_Level2"/>
      <w:bookmarkStart w:id="152" w:name="_Toc13461_WPSOffice_Level2"/>
      <w:bookmarkStart w:id="153" w:name="_Toc2163_WPSOffice_Level2"/>
      <w:bookmarkStart w:id="154" w:name="_Toc30655_WPSOffice_Level2"/>
      <w:bookmarkStart w:id="155" w:name="_Toc9958_WPSOffice_Level2"/>
      <w:bookmarkStart w:id="156" w:name="_Toc1510_WPSOffice_Level2"/>
      <w:bookmarkStart w:id="157" w:name="_Toc2146_WPSOffice_Level2"/>
      <w:bookmarkStart w:id="158" w:name="_Toc23127_WPSOffice_Level2"/>
      <w:bookmarkStart w:id="159" w:name="_Toc4917_WPSOffice_Level2"/>
      <w:bookmarkStart w:id="160" w:name="_Toc25324_WPSOffice_Level2"/>
      <w:bookmarkStart w:id="161" w:name="_Toc22676_WPSOffice_Level2"/>
      <w:bookmarkStart w:id="162" w:name="_Toc9519_WPSOffice_Level2"/>
      <w:r>
        <w:rPr>
          <w:rFonts w:hint="eastAsia" w:ascii="宋体" w:hAnsi="宋体" w:cs="宋体"/>
          <w:b/>
          <w:color w:val="auto"/>
          <w:sz w:val="32"/>
          <w:highlight w:val="white"/>
        </w:rPr>
        <w:t>磋商</w:t>
      </w:r>
      <w:r>
        <w:rPr>
          <w:rFonts w:hint="eastAsia" w:ascii="宋体" w:hAnsi="宋体" w:cs="宋体"/>
          <w:b/>
          <w:color w:val="auto"/>
          <w:sz w:val="32"/>
          <w:highlight w:val="white"/>
          <w:lang w:eastAsia="zh-CN"/>
        </w:rPr>
        <w:t>响应</w:t>
      </w:r>
      <w:r>
        <w:rPr>
          <w:rFonts w:hint="eastAsia" w:ascii="宋体" w:hAnsi="宋体" w:cs="宋体"/>
          <w:b/>
          <w:color w:val="auto"/>
          <w:sz w:val="32"/>
          <w:highlight w:val="white"/>
        </w:rPr>
        <w:t>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3CCE295">
      <w:pPr>
        <w:rPr>
          <w:rFonts w:hint="eastAsia" w:ascii="宋体" w:hAnsi="宋体" w:cs="宋体"/>
          <w:color w:val="auto"/>
          <w:sz w:val="36"/>
        </w:rPr>
      </w:pPr>
    </w:p>
    <w:p w14:paraId="1D7CBCDB">
      <w:pPr>
        <w:rPr>
          <w:rFonts w:hint="eastAsia" w:ascii="宋体" w:hAnsi="宋体" w:cs="宋体"/>
          <w:color w:val="auto"/>
          <w:sz w:val="36"/>
        </w:rPr>
      </w:pPr>
    </w:p>
    <w:p w14:paraId="00C3D80A">
      <w:pPr>
        <w:rPr>
          <w:rFonts w:hint="eastAsia" w:ascii="宋体" w:hAnsi="宋体" w:cs="宋体"/>
          <w:color w:val="auto"/>
          <w:sz w:val="36"/>
        </w:rPr>
      </w:pPr>
    </w:p>
    <w:p w14:paraId="41657DB1">
      <w:pPr>
        <w:rPr>
          <w:rFonts w:hint="eastAsia" w:ascii="宋体" w:hAnsi="宋体" w:cs="宋体"/>
          <w:color w:val="auto"/>
          <w:sz w:val="36"/>
        </w:rPr>
      </w:pPr>
    </w:p>
    <w:p w14:paraId="03F17868">
      <w:pPr>
        <w:rPr>
          <w:rFonts w:hint="eastAsia" w:ascii="宋体" w:hAnsi="宋体" w:cs="宋体"/>
          <w:color w:val="auto"/>
          <w:sz w:val="36"/>
        </w:rPr>
      </w:pPr>
    </w:p>
    <w:p w14:paraId="785C32E4">
      <w:pPr>
        <w:ind w:left="1260" w:leftChars="600"/>
        <w:outlineLvl w:val="0"/>
        <w:rPr>
          <w:rFonts w:hint="eastAsia" w:ascii="宋体" w:hAnsi="宋体" w:cs="宋体"/>
          <w:color w:val="auto"/>
          <w:sz w:val="36"/>
          <w:u w:val="single"/>
        </w:rPr>
      </w:pPr>
      <w:bookmarkStart w:id="163" w:name="_Toc2525_WPSOffice_Level1"/>
      <w:bookmarkStart w:id="164" w:name="_Toc11543_WPSOffice_Level1"/>
      <w:bookmarkStart w:id="165" w:name="_Toc13181_WPSOffice_Level1"/>
      <w:bookmarkStart w:id="166" w:name="_Toc18622"/>
      <w:bookmarkStart w:id="167" w:name="_Toc5542_WPSOffice_Level1"/>
      <w:bookmarkStart w:id="168" w:name="_Toc4314_WPSOffice_Level1"/>
      <w:bookmarkStart w:id="169" w:name="_Toc15223_WPSOffice_Level1"/>
      <w:bookmarkStart w:id="170" w:name="_Toc8169"/>
      <w:bookmarkStart w:id="171" w:name="_Toc5074_WPSOffice_Level1"/>
      <w:bookmarkStart w:id="172" w:name="_Toc1893"/>
      <w:bookmarkStart w:id="173" w:name="_Toc13948_WPSOffice_Level1"/>
      <w:bookmarkStart w:id="174" w:name="_Toc5347_WPSOffice_Level1"/>
      <w:bookmarkStart w:id="175" w:name="_Toc16591_WPSOffice_Level1"/>
      <w:bookmarkStart w:id="176" w:name="_Toc24882_WPSOffice_Level1"/>
      <w:bookmarkStart w:id="177" w:name="_Toc13913_WPSOffice_Level1"/>
      <w:bookmarkStart w:id="178" w:name="_Toc21941_WPSOffice_Level1"/>
      <w:bookmarkStart w:id="179" w:name="_Toc17790"/>
      <w:bookmarkStart w:id="180" w:name="_Toc13498_WPSOffice_Level1"/>
      <w:bookmarkStart w:id="181" w:name="_Toc19908_WPSOffice_Level1"/>
      <w:bookmarkStart w:id="182" w:name="_Toc27780_WPSOffice_Level1"/>
      <w:bookmarkStart w:id="183" w:name="_Toc9248_WPSOffice_Level1"/>
      <w:bookmarkStart w:id="184" w:name="_Toc22378_WPSOffice_Level1"/>
      <w:bookmarkStart w:id="185" w:name="_Toc27706_WPSOffice_Level1"/>
      <w:bookmarkStart w:id="186" w:name="_Toc6222_WPSOffice_Level1"/>
      <w:bookmarkStart w:id="187" w:name="_Toc28436_WPSOffice_Level1"/>
      <w:bookmarkStart w:id="188" w:name="_Toc30227_WPSOffice_Level1"/>
      <w:r>
        <w:rPr>
          <w:rFonts w:hint="eastAsia" w:ascii="宋体" w:hAnsi="宋体" w:cs="宋体"/>
          <w:color w:val="auto"/>
          <w:sz w:val="36"/>
          <w:highlight w:val="white"/>
        </w:rPr>
        <w:t>项目名称：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cs="宋体"/>
          <w:color w:val="auto"/>
          <w:sz w:val="36"/>
          <w:highlight w:val="white"/>
        </w:rPr>
        <w:t xml:space="preserve"> </w:t>
      </w:r>
      <w:r>
        <w:rPr>
          <w:rFonts w:hint="eastAsia" w:ascii="宋体" w:hAnsi="宋体" w:cs="宋体"/>
          <w:color w:val="auto"/>
          <w:sz w:val="36"/>
          <w:highlight w:val="white"/>
          <w:u w:val="single"/>
        </w:rPr>
        <w:t xml:space="preserve">                            </w:t>
      </w:r>
    </w:p>
    <w:p w14:paraId="269DF9C2">
      <w:pPr>
        <w:ind w:left="1260" w:leftChars="600"/>
        <w:rPr>
          <w:rFonts w:hint="eastAsia" w:ascii="宋体" w:hAnsi="宋体" w:cs="宋体"/>
          <w:color w:val="auto"/>
          <w:sz w:val="36"/>
          <w:u w:val="single"/>
        </w:rPr>
      </w:pPr>
    </w:p>
    <w:p w14:paraId="60AA0439">
      <w:pPr>
        <w:ind w:left="1260" w:leftChars="600"/>
        <w:rPr>
          <w:rFonts w:hint="eastAsia" w:ascii="宋体" w:hAnsi="宋体" w:cs="宋体"/>
          <w:color w:val="auto"/>
          <w:sz w:val="36"/>
          <w:u w:val="single"/>
        </w:rPr>
      </w:pPr>
    </w:p>
    <w:p w14:paraId="3DC0416B">
      <w:pPr>
        <w:ind w:left="1260" w:leftChars="600"/>
        <w:outlineLvl w:val="0"/>
        <w:rPr>
          <w:rFonts w:hint="eastAsia" w:ascii="宋体" w:hAnsi="宋体" w:cs="宋体"/>
          <w:color w:val="auto"/>
          <w:sz w:val="36"/>
          <w:u w:val="single"/>
        </w:rPr>
      </w:pPr>
      <w:bookmarkStart w:id="189" w:name="_Toc11712_WPSOffice_Level1"/>
      <w:bookmarkStart w:id="190" w:name="_Toc5820"/>
      <w:bookmarkStart w:id="191" w:name="_Toc23545_WPSOffice_Level1"/>
      <w:bookmarkStart w:id="192" w:name="_Toc24960_WPSOffice_Level1"/>
      <w:bookmarkStart w:id="193" w:name="_Toc21573_WPSOffice_Level1"/>
      <w:bookmarkStart w:id="194" w:name="_Toc30022_WPSOffice_Level1"/>
      <w:bookmarkStart w:id="195" w:name="_Toc28752_WPSOffice_Level1"/>
      <w:bookmarkStart w:id="196" w:name="_Toc27770_WPSOffice_Level1"/>
      <w:bookmarkStart w:id="197" w:name="_Toc23537_WPSOffice_Level1"/>
      <w:bookmarkStart w:id="198" w:name="_Toc8992_WPSOffice_Level1"/>
      <w:bookmarkStart w:id="199" w:name="_Toc28770_WPSOffice_Level1"/>
      <w:bookmarkStart w:id="200" w:name="_Toc26534_WPSOffice_Level1"/>
      <w:bookmarkStart w:id="201" w:name="_Toc24090_WPSOffice_Level1"/>
      <w:bookmarkStart w:id="202" w:name="_Toc6561"/>
      <w:bookmarkStart w:id="203" w:name="_Toc14412_WPSOffice_Level1"/>
      <w:bookmarkStart w:id="204" w:name="_Toc20556_WPSOffice_Level1"/>
      <w:bookmarkStart w:id="205" w:name="_Toc19721_WPSOffice_Level1"/>
      <w:bookmarkStart w:id="206" w:name="_Toc25813_WPSOffice_Level1"/>
      <w:bookmarkStart w:id="207" w:name="_Toc7785_WPSOffice_Level1"/>
      <w:bookmarkStart w:id="208" w:name="_Toc16426_WPSOffice_Level1"/>
      <w:bookmarkStart w:id="209" w:name="_Toc30324"/>
      <w:bookmarkStart w:id="210" w:name="_Toc22017_WPSOffice_Level1"/>
      <w:bookmarkStart w:id="211" w:name="_Toc18819_WPSOffice_Level1"/>
      <w:bookmarkStart w:id="212" w:name="_Toc21731_WPSOffice_Level1"/>
      <w:bookmarkStart w:id="213" w:name="_Toc11203"/>
      <w:bookmarkStart w:id="214" w:name="_Toc5295_WPSOffice_Level1"/>
      <w:r>
        <w:rPr>
          <w:rFonts w:hint="eastAsia" w:ascii="宋体" w:hAnsi="宋体" w:cs="宋体"/>
          <w:color w:val="auto"/>
          <w:sz w:val="36"/>
          <w:highlight w:val="white"/>
        </w:rPr>
        <w:t>项目编号：</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cs="宋体"/>
          <w:color w:val="auto"/>
          <w:sz w:val="36"/>
          <w:highlight w:val="white"/>
        </w:rPr>
        <w:t xml:space="preserve"> </w:t>
      </w:r>
      <w:r>
        <w:rPr>
          <w:rFonts w:hint="eastAsia" w:ascii="宋体" w:hAnsi="宋体" w:cs="宋体"/>
          <w:color w:val="auto"/>
          <w:sz w:val="36"/>
          <w:highlight w:val="white"/>
          <w:u w:val="single"/>
        </w:rPr>
        <w:t xml:space="preserve">                            </w:t>
      </w:r>
    </w:p>
    <w:p w14:paraId="42B68594">
      <w:pPr>
        <w:ind w:left="1260" w:leftChars="600"/>
        <w:rPr>
          <w:rFonts w:hint="eastAsia" w:ascii="宋体" w:hAnsi="宋体" w:cs="宋体"/>
          <w:color w:val="auto"/>
          <w:sz w:val="36"/>
          <w:u w:val="single"/>
        </w:rPr>
      </w:pPr>
    </w:p>
    <w:p w14:paraId="0525AD08">
      <w:pPr>
        <w:ind w:left="1260" w:leftChars="600"/>
        <w:rPr>
          <w:rFonts w:hint="eastAsia" w:ascii="宋体" w:hAnsi="宋体" w:cs="宋体"/>
          <w:color w:val="auto"/>
          <w:sz w:val="36"/>
          <w:u w:val="single"/>
        </w:rPr>
      </w:pPr>
    </w:p>
    <w:p w14:paraId="349A21C4">
      <w:pPr>
        <w:ind w:left="1260" w:leftChars="600"/>
        <w:rPr>
          <w:rFonts w:hint="eastAsia" w:ascii="宋体" w:hAnsi="宋体" w:cs="宋体"/>
          <w:color w:val="auto"/>
          <w:sz w:val="36"/>
          <w:u w:val="single"/>
        </w:rPr>
      </w:pPr>
    </w:p>
    <w:p w14:paraId="6BDDC4FF">
      <w:pPr>
        <w:ind w:left="1260" w:leftChars="600"/>
        <w:outlineLvl w:val="0"/>
        <w:rPr>
          <w:rFonts w:hint="eastAsia" w:ascii="宋体" w:hAnsi="宋体" w:cs="宋体"/>
          <w:color w:val="auto"/>
          <w:sz w:val="36"/>
        </w:rPr>
      </w:pPr>
      <w:bookmarkStart w:id="215" w:name="_Toc2831_WPSOffice_Level1"/>
      <w:bookmarkStart w:id="216" w:name="_Toc22540_WPSOffice_Level1"/>
      <w:bookmarkStart w:id="217" w:name="_Toc5818_WPSOffice_Level1"/>
      <w:bookmarkStart w:id="218" w:name="_Toc23666"/>
      <w:bookmarkStart w:id="219" w:name="_Toc5607_WPSOffice_Level1"/>
      <w:bookmarkStart w:id="220" w:name="_Toc12790_WPSOffice_Level1"/>
      <w:bookmarkStart w:id="221" w:name="_Toc3292_WPSOffice_Level1"/>
      <w:bookmarkStart w:id="222" w:name="_Toc27781_WPSOffice_Level1"/>
      <w:bookmarkStart w:id="223" w:name="_Toc13463_WPSOffice_Level1"/>
      <w:bookmarkStart w:id="224" w:name="_Toc12663_WPSOffice_Level1"/>
      <w:bookmarkStart w:id="225" w:name="_Toc4871_WPSOffice_Level1"/>
      <w:bookmarkStart w:id="226" w:name="_Toc2051_WPSOffice_Level1"/>
      <w:bookmarkStart w:id="227" w:name="_Toc12415_WPSOffice_Level1"/>
      <w:bookmarkStart w:id="228" w:name="_Toc18154_WPSOffice_Level1"/>
      <w:bookmarkStart w:id="229" w:name="_Toc7790_WPSOffice_Level1"/>
      <w:bookmarkStart w:id="230" w:name="_Toc25019_WPSOffice_Level1"/>
      <w:bookmarkStart w:id="231" w:name="_Toc4402_WPSOffice_Level1"/>
      <w:bookmarkStart w:id="232" w:name="_Toc14747_WPSOffice_Level1"/>
      <w:bookmarkStart w:id="233" w:name="_Toc29847_WPSOffice_Level1"/>
      <w:bookmarkStart w:id="234" w:name="_Toc18816_WPSOffice_Level1"/>
      <w:bookmarkStart w:id="235" w:name="_Toc18175"/>
      <w:bookmarkStart w:id="236" w:name="_Toc17661_WPSOffice_Level1"/>
      <w:bookmarkStart w:id="237" w:name="_Toc28613_WPSOffice_Level1"/>
      <w:bookmarkStart w:id="238" w:name="_Toc7270_WPSOffice_Level1"/>
      <w:bookmarkStart w:id="239" w:name="_Toc3129"/>
      <w:bookmarkStart w:id="240" w:name="_Toc2080"/>
      <w:r>
        <w:rPr>
          <w:rFonts w:hint="eastAsia" w:ascii="宋体" w:hAnsi="宋体" w:eastAsia="宋体" w:cs="宋体"/>
          <w:color w:val="auto"/>
          <w:sz w:val="36"/>
          <w:highlight w:val="white"/>
          <w:lang w:eastAsia="zh-CN"/>
        </w:rPr>
        <w:t>服务商</w:t>
      </w:r>
      <w:r>
        <w:rPr>
          <w:rFonts w:hint="eastAsia" w:ascii="宋体" w:hAnsi="宋体" w:cs="宋体"/>
          <w:color w:val="auto"/>
          <w:sz w:val="36"/>
          <w:highlight w:val="white"/>
        </w:rPr>
        <w:t>：</w:t>
      </w:r>
      <w:r>
        <w:rPr>
          <w:rFonts w:hint="eastAsia" w:ascii="宋体" w:hAnsi="宋体" w:cs="宋体"/>
          <w:color w:val="auto"/>
          <w:sz w:val="36"/>
          <w:highlight w:val="white"/>
          <w:u w:val="single"/>
        </w:rPr>
        <w:t xml:space="preserve">                      </w:t>
      </w:r>
      <w:r>
        <w:rPr>
          <w:rFonts w:hint="eastAsia" w:ascii="宋体" w:hAnsi="宋体" w:cs="宋体"/>
          <w:color w:val="auto"/>
          <w:sz w:val="36"/>
          <w:highlight w:val="white"/>
        </w:rPr>
        <w:t>(公章)</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FDD5F36">
      <w:pPr>
        <w:rPr>
          <w:rFonts w:hint="eastAsia" w:ascii="宋体" w:hAnsi="宋体" w:cs="宋体"/>
          <w:color w:val="auto"/>
          <w:sz w:val="36"/>
        </w:rPr>
      </w:pPr>
    </w:p>
    <w:p w14:paraId="536D3986">
      <w:pPr>
        <w:jc w:val="center"/>
        <w:outlineLvl w:val="0"/>
        <w:rPr>
          <w:rFonts w:hint="eastAsia" w:ascii="宋体" w:hAnsi="宋体" w:cs="宋体"/>
          <w:color w:val="auto"/>
          <w:w w:val="80"/>
          <w:sz w:val="36"/>
        </w:rPr>
        <w:sectPr>
          <w:footerReference r:id="rId10" w:type="default"/>
          <w:pgSz w:w="11907" w:h="16840"/>
          <w:pgMar w:top="1162" w:right="1191" w:bottom="1135" w:left="1191" w:header="720" w:footer="720" w:gutter="0"/>
          <w:cols w:space="720" w:num="1"/>
          <w:docGrid w:linePitch="285" w:charSpace="0"/>
        </w:sectPr>
      </w:pPr>
      <w:r>
        <w:rPr>
          <w:rFonts w:hint="eastAsia" w:ascii="宋体" w:hAnsi="宋体" w:cs="宋体"/>
          <w:color w:val="auto"/>
          <w:sz w:val="36"/>
          <w:highlight w:val="white"/>
        </w:rPr>
        <w:t xml:space="preserve">    </w:t>
      </w:r>
      <w:bookmarkStart w:id="241" w:name="_Toc32441_WPSOffice_Level1"/>
      <w:bookmarkStart w:id="242" w:name="_Toc2952"/>
      <w:bookmarkStart w:id="243" w:name="_Toc30565_WPSOffice_Level1"/>
      <w:bookmarkStart w:id="244" w:name="_Toc10173_WPSOffice_Level1"/>
      <w:bookmarkStart w:id="245" w:name="_Toc29517_WPSOffice_Level1"/>
      <w:bookmarkStart w:id="246" w:name="_Toc16726_WPSOffice_Level1"/>
      <w:bookmarkStart w:id="247" w:name="_Toc28461_WPSOffice_Level1"/>
      <w:bookmarkStart w:id="248" w:name="_Toc10630_WPSOffice_Level1"/>
      <w:bookmarkStart w:id="249" w:name="_Toc28721_WPSOffice_Level1"/>
      <w:bookmarkStart w:id="250" w:name="_Toc20493_WPSOffice_Level1"/>
      <w:bookmarkStart w:id="251" w:name="_Toc23377_WPSOffice_Level1"/>
      <w:bookmarkStart w:id="252" w:name="_Toc17825_WPSOffice_Level1"/>
      <w:bookmarkStart w:id="253" w:name="_Toc1278_WPSOffice_Level1"/>
      <w:bookmarkStart w:id="254" w:name="_Toc11973_WPSOffice_Level1"/>
      <w:bookmarkStart w:id="255" w:name="_Toc1878_WPSOffice_Level1"/>
      <w:bookmarkStart w:id="256" w:name="_Toc31659_WPSOffice_Level1"/>
      <w:bookmarkStart w:id="257" w:name="_Toc26478_WPSOffice_Level1"/>
      <w:bookmarkStart w:id="258" w:name="_Toc4762_WPSOffice_Level1"/>
      <w:bookmarkStart w:id="259" w:name="_Toc28504_WPSOffice_Level1"/>
      <w:bookmarkStart w:id="260" w:name="_Toc32028"/>
      <w:bookmarkStart w:id="261" w:name="_Toc27844_WPSOffice_Level1"/>
      <w:bookmarkStart w:id="262" w:name="_Toc24097_WPSOffice_Level1"/>
      <w:bookmarkStart w:id="263" w:name="_Toc30930"/>
      <w:bookmarkStart w:id="264" w:name="_Toc6299_WPSOffice_Level1"/>
      <w:bookmarkStart w:id="265" w:name="_Toc18035"/>
      <w:bookmarkStart w:id="266" w:name="_Toc22589_WPSOffice_Level1"/>
      <w:r>
        <w:rPr>
          <w:rFonts w:hint="eastAsia" w:ascii="宋体" w:hAnsi="宋体" w:cs="宋体"/>
          <w:color w:val="auto"/>
          <w:sz w:val="36"/>
          <w:highlight w:val="white"/>
        </w:rPr>
        <w:t>年   月   日</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5D7A690">
      <w:pPr>
        <w:pageBreakBefore w:val="0"/>
        <w:widowControl w:val="0"/>
        <w:wordWrap/>
        <w:overflowPunct/>
        <w:topLinePunct w:val="0"/>
        <w:bidi w:val="0"/>
        <w:spacing w:before="47" w:after="0" w:afterLines="150" w:afterAutospacing="0" w:line="219" w:lineRule="auto"/>
        <w:jc w:val="center"/>
        <w:rPr>
          <w:rFonts w:hint="eastAsia" w:ascii="宋体" w:hAnsi="宋体" w:eastAsia="宋体" w:cs="宋体"/>
          <w:b/>
          <w:bCs/>
          <w:snapToGrid w:val="0"/>
          <w:color w:val="auto"/>
          <w:kern w:val="0"/>
          <w:sz w:val="32"/>
          <w:szCs w:val="32"/>
          <w:highlight w:val="white"/>
          <w:lang w:eastAsia="zh-CN"/>
        </w:rPr>
      </w:pPr>
      <w:bookmarkStart w:id="267" w:name="_Toc470101237"/>
      <w:bookmarkStart w:id="268" w:name="_Toc437198698"/>
      <w:r>
        <w:rPr>
          <w:rFonts w:hint="eastAsia" w:ascii="宋体" w:hAnsi="宋体" w:eastAsia="宋体" w:cs="宋体"/>
          <w:b/>
          <w:bCs/>
          <w:snapToGrid w:val="0"/>
          <w:color w:val="auto"/>
          <w:kern w:val="0"/>
          <w:sz w:val="32"/>
          <w:szCs w:val="32"/>
          <w:highlight w:val="white"/>
          <w:lang w:eastAsia="zh-CN"/>
        </w:rPr>
        <w:t>格式 1．</w:t>
      </w:r>
      <w:r>
        <w:rPr>
          <w:rFonts w:hint="eastAsia" w:ascii="宋体" w:hAnsi="宋体" w:eastAsia="宋体" w:cs="宋体"/>
          <w:b/>
          <w:bCs/>
          <w:snapToGrid w:val="0"/>
          <w:color w:val="auto"/>
          <w:kern w:val="0"/>
          <w:sz w:val="32"/>
          <w:szCs w:val="32"/>
          <w:highlight w:val="white"/>
          <w:lang w:val="en-US" w:eastAsia="zh-CN"/>
        </w:rPr>
        <w:t>磋商响应</w:t>
      </w:r>
      <w:r>
        <w:rPr>
          <w:rFonts w:hint="eastAsia" w:ascii="宋体" w:hAnsi="宋体" w:eastAsia="宋体" w:cs="宋体"/>
          <w:b/>
          <w:bCs/>
          <w:snapToGrid w:val="0"/>
          <w:color w:val="auto"/>
          <w:kern w:val="0"/>
          <w:sz w:val="32"/>
          <w:szCs w:val="32"/>
          <w:highlight w:val="white"/>
          <w:lang w:eastAsia="zh-CN"/>
        </w:rPr>
        <w:t>书</w:t>
      </w:r>
    </w:p>
    <w:p w14:paraId="0358979C">
      <w:pPr>
        <w:pageBreakBefore w:val="0"/>
        <w:widowControl w:val="0"/>
        <w:wordWrap/>
        <w:overflowPunct/>
        <w:topLinePunct w:val="0"/>
        <w:bidi w:val="0"/>
        <w:spacing w:beforeAutospacing="0" w:line="220" w:lineRule="auto"/>
        <w:ind w:left="1"/>
        <w:rPr>
          <w:rFonts w:hint="eastAsia" w:ascii="宋体" w:hAnsi="宋体" w:eastAsia="宋体" w:cs="宋体"/>
          <w:b/>
          <w:bCs/>
          <w:i w:val="0"/>
          <w:iCs w:val="0"/>
          <w:color w:val="auto"/>
          <w:spacing w:val="-1"/>
          <w:sz w:val="24"/>
          <w:szCs w:val="24"/>
          <w:highlight w:val="none"/>
          <w:u w:val="single"/>
          <w:lang w:val="en-US" w:eastAsia="zh-CN"/>
        </w:rPr>
      </w:pPr>
      <w:r>
        <w:rPr>
          <w:rFonts w:ascii="宋体" w:hAnsi="宋体" w:eastAsia="宋体" w:cs="宋体"/>
          <w:b w:val="0"/>
          <w:bCs w:val="0"/>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69"/>
          <w:sz w:val="24"/>
          <w:szCs w:val="24"/>
          <w:highlight w:val="none"/>
          <w:lang w:eastAsia="zh-CN"/>
        </w:rPr>
        <w:t xml:space="preserve"> </w:t>
      </w:r>
      <w:r>
        <w:rPr>
          <w:rFonts w:hint="eastAsia" w:ascii="宋体" w:hAnsi="宋体" w:eastAsia="宋体" w:cs="宋体"/>
          <w:b/>
          <w:bCs/>
          <w:i w:val="0"/>
          <w:iCs w:val="0"/>
          <w:color w:val="auto"/>
          <w:spacing w:val="-1"/>
          <w:sz w:val="24"/>
          <w:szCs w:val="24"/>
          <w:highlight w:val="none"/>
          <w:u w:val="single"/>
          <w:lang w:val="en-US" w:eastAsia="zh-CN"/>
        </w:rPr>
        <w:t xml:space="preserve">遂川县仁远建设事务发展有限公司 </w:t>
      </w:r>
    </w:p>
    <w:p w14:paraId="356AB175">
      <w:pPr>
        <w:pageBreakBefore w:val="0"/>
        <w:widowControl w:val="0"/>
        <w:wordWrap/>
        <w:overflowPunct/>
        <w:topLinePunct w:val="0"/>
        <w:bidi w:val="0"/>
        <w:spacing w:beforeAutospacing="0" w:line="220" w:lineRule="auto"/>
        <w:ind w:left="1"/>
        <w:rPr>
          <w:rFonts w:hint="eastAsia" w:ascii="宋体" w:hAnsi="宋体" w:eastAsia="宋体" w:cs="宋体"/>
          <w:b/>
          <w:bCs/>
          <w:i w:val="0"/>
          <w:iCs w:val="0"/>
          <w:color w:val="auto"/>
          <w:spacing w:val="-1"/>
          <w:sz w:val="24"/>
          <w:szCs w:val="24"/>
          <w:highlight w:val="none"/>
          <w:u w:val="single"/>
          <w:lang w:val="en-US" w:eastAsia="zh-CN"/>
        </w:rPr>
      </w:pPr>
    </w:p>
    <w:p w14:paraId="56005D60">
      <w:pPr>
        <w:spacing w:line="400" w:lineRule="exact"/>
        <w:ind w:firstLine="480"/>
        <w:rPr>
          <w:rFonts w:ascii="宋体" w:hAnsi="宋体" w:eastAsia="宋体" w:cs="宋体"/>
          <w:i w:val="0"/>
          <w:iCs w:val="0"/>
          <w:color w:val="auto"/>
          <w:sz w:val="24"/>
          <w:szCs w:val="24"/>
          <w:highlight w:val="none"/>
          <w:lang w:eastAsia="zh-CN"/>
        </w:rPr>
      </w:pPr>
      <w:r>
        <w:rPr>
          <w:rFonts w:hint="eastAsia" w:ascii="宋体" w:hAnsi="宋体" w:cs="宋体"/>
          <w:i w:val="0"/>
          <w:iCs w:val="0"/>
          <w:color w:val="auto"/>
          <w:sz w:val="24"/>
          <w:highlight w:val="none"/>
        </w:rPr>
        <w:t>根据贵方为(</w:t>
      </w:r>
      <w:r>
        <w:rPr>
          <w:rFonts w:hint="eastAsia" w:ascii="宋体" w:hAnsi="宋体" w:cs="宋体"/>
          <w:i w:val="0"/>
          <w:iCs w:val="0"/>
          <w:color w:val="auto"/>
          <w:sz w:val="24"/>
          <w:highlight w:val="none"/>
          <w:u w:val="single"/>
        </w:rPr>
        <w:t>项目名称</w:t>
      </w:r>
      <w:r>
        <w:rPr>
          <w:rFonts w:hint="eastAsia" w:ascii="宋体" w:hAnsi="宋体" w:cs="宋体"/>
          <w:i w:val="0"/>
          <w:iCs w:val="0"/>
          <w:color w:val="auto"/>
          <w:sz w:val="24"/>
          <w:highlight w:val="none"/>
        </w:rPr>
        <w:t>)项目</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采购服务的</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邀请</w:t>
      </w:r>
      <w:r>
        <w:rPr>
          <w:rFonts w:hint="eastAsia" w:ascii="宋体" w:hAnsi="宋体" w:cs="宋体"/>
          <w:i w:val="0"/>
          <w:iCs w:val="0"/>
          <w:color w:val="auto"/>
          <w:sz w:val="24"/>
          <w:highlight w:val="none"/>
          <w:u w:val="single"/>
        </w:rPr>
        <w:t>(项目编号)</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姓名、职务</w:t>
      </w:r>
      <w:r>
        <w:rPr>
          <w:rFonts w:hint="eastAsia" w:ascii="宋体" w:hAnsi="宋体" w:cs="宋体"/>
          <w:i w:val="0"/>
          <w:iCs w:val="0"/>
          <w:color w:val="auto"/>
          <w:sz w:val="24"/>
          <w:highlight w:val="none"/>
        </w:rPr>
        <w:t>)经正式授权并代表我方</w:t>
      </w:r>
      <w:r>
        <w:rPr>
          <w:rFonts w:hint="eastAsia" w:ascii="宋体" w:hAnsi="宋体" w:cs="宋体"/>
          <w:i w:val="0"/>
          <w:iCs w:val="0"/>
          <w:color w:val="auto"/>
          <w:sz w:val="24"/>
          <w:highlight w:val="none"/>
          <w:u w:val="single"/>
        </w:rPr>
        <w:t>(</w:t>
      </w:r>
      <w:r>
        <w:rPr>
          <w:rFonts w:hint="eastAsia" w:ascii="宋体" w:hAnsi="宋体" w:eastAsia="宋体" w:cs="宋体"/>
          <w:i w:val="0"/>
          <w:iCs w:val="0"/>
          <w:color w:val="auto"/>
          <w:spacing w:val="-1"/>
          <w:sz w:val="24"/>
          <w:szCs w:val="24"/>
          <w:highlight w:val="none"/>
          <w:u w:val="single"/>
          <w:lang w:eastAsia="zh-CN"/>
        </w:rPr>
        <w:t>单位名称、地址)</w:t>
      </w:r>
      <w:r>
        <w:rPr>
          <w:rFonts w:hint="eastAsia" w:ascii="宋体" w:hAnsi="宋体" w:eastAsia="宋体" w:cs="宋体"/>
          <w:i w:val="0"/>
          <w:iCs w:val="0"/>
          <w:color w:val="auto"/>
          <w:spacing w:val="-1"/>
          <w:sz w:val="24"/>
          <w:szCs w:val="24"/>
          <w:highlight w:val="none"/>
          <w:lang w:eastAsia="zh-CN"/>
        </w:rPr>
        <w:t>提交下述文件:</w:t>
      </w:r>
    </w:p>
    <w:p w14:paraId="6DCC30D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书</w:t>
      </w:r>
    </w:p>
    <w:p w14:paraId="3008CB6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14:paraId="56114CFE">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需求响应/偏离表</w:t>
      </w:r>
    </w:p>
    <w:p w14:paraId="5D1B9F7B">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4、商务条件响应/偏离表</w:t>
      </w:r>
    </w:p>
    <w:p w14:paraId="0BCE2921">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5、诚信投标（报价）承诺书</w:t>
      </w:r>
    </w:p>
    <w:p w14:paraId="723CB398">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服务商应当提交的资格证明文件</w:t>
      </w:r>
    </w:p>
    <w:p w14:paraId="7FF03647">
      <w:pPr>
        <w:numPr>
          <w:ilvl w:val="0"/>
          <w:numId w:val="0"/>
        </w:numPr>
        <w:spacing w:line="380" w:lineRule="exact"/>
        <w:ind w:left="424"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其他证明资料</w:t>
      </w:r>
    </w:p>
    <w:p w14:paraId="11FB6DBE">
      <w:pPr>
        <w:numPr>
          <w:ilvl w:val="0"/>
          <w:numId w:val="0"/>
        </w:num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45AB88E">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据此函,签字代表宣布同意如下:</w:t>
      </w:r>
    </w:p>
    <w:p w14:paraId="05354BDD">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1、根据已收到贵方的项目编号为的项目的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文件，我单位经研究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文件的各项要求后，我方愿以投标书中《开标一览表》中填写的投标报价并按招标文件要求承接上述项目并修补其任何缺陷。</w:t>
      </w:r>
    </w:p>
    <w:p w14:paraId="75703D02">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2、我方已认真核实了磋商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文件的全部资料，所有资料均为真实资料。我方对磋商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文件中全部投标资料的真实性负责，如被证实我方的磋商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文件中存在虚假资料的，则视为我方隐瞒真实情况、提供虚假资料，我方愿意接受相关部门作出的行政处罚。</w:t>
      </w:r>
    </w:p>
    <w:p w14:paraId="6979FE3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3、我方同意所递交的磋商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文件在投标有效期内有效，在此期间内我方将受此约束。</w:t>
      </w:r>
    </w:p>
    <w:p w14:paraId="0603DAB7">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4、除非另外达成协议并生效，贵方的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文件、中标通知书和磋商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文件将构成约束我们双方的合同。</w:t>
      </w:r>
    </w:p>
    <w:p w14:paraId="6FA818D8">
      <w:pPr>
        <w:spacing w:line="400" w:lineRule="exact"/>
        <w:ind w:left="707" w:hanging="283"/>
        <w:rPr>
          <w:rFonts w:asciiTheme="minorEastAsia" w:hAnsiTheme="minorEastAsia" w:eastAsiaTheme="minorEastAsia" w:cstheme="minorEastAsia"/>
          <w:color w:val="auto"/>
          <w:sz w:val="24"/>
          <w:highlight w:val="none"/>
        </w:rPr>
      </w:pPr>
    </w:p>
    <w:p w14:paraId="2F5073ED">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地址传真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71A2229">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电话电子邮件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600A310">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代表签字或签章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798D72C">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服务商盖章：</w:t>
      </w:r>
      <w:r>
        <w:rPr>
          <w:rFonts w:hint="eastAsia" w:asciiTheme="minorEastAsia" w:hAnsiTheme="minorEastAsia" w:eastAsiaTheme="minorEastAsia" w:cstheme="minorEastAsia"/>
          <w:color w:val="auto"/>
          <w:sz w:val="24"/>
          <w:highlight w:val="none"/>
          <w:u w:val="single"/>
          <w:lang w:val="en-US" w:eastAsia="zh-CN"/>
        </w:rPr>
        <w:t xml:space="preserve">                        </w:t>
      </w:r>
    </w:p>
    <w:p w14:paraId="40F31605">
      <w:pPr>
        <w:pageBreakBefore w:val="0"/>
        <w:widowControl w:val="0"/>
        <w:wordWrap/>
        <w:overflowPunct/>
        <w:topLinePunct w:val="0"/>
        <w:bidi w:val="0"/>
        <w:spacing w:before="0" w:beforeLines="50" w:beforeAutospacing="0" w:line="220" w:lineRule="auto"/>
        <w:ind w:left="420" w:leftChars="200" w:firstLine="0" w:firstLineChars="0"/>
        <w:jc w:val="right"/>
        <w:rPr>
          <w:rFonts w:hint="default" w:ascii="宋体" w:hAnsi="宋体" w:eastAsia="宋体" w:cs="宋体"/>
          <w:color w:val="auto"/>
          <w:spacing w:val="0"/>
          <w:w w:val="100"/>
          <w:position w:val="0"/>
          <w:sz w:val="24"/>
          <w:szCs w:val="24"/>
          <w:highlight w:val="none"/>
          <w:u w:val="single"/>
          <w:lang w:val="en-US" w:eastAsia="zh-CN"/>
        </w:rPr>
      </w:pPr>
      <w:r>
        <w:rPr>
          <w:rFonts w:ascii="宋体" w:hAnsi="宋体" w:eastAsia="宋体" w:cs="宋体"/>
          <w:color w:val="auto"/>
          <w:spacing w:val="0"/>
          <w:w w:val="100"/>
          <w:position w:val="0"/>
          <w:sz w:val="24"/>
          <w:szCs w:val="24"/>
          <w:highlight w:val="none"/>
          <w:lang w:eastAsia="zh-CN"/>
        </w:rPr>
        <w:t>日期：</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日</w:t>
      </w:r>
    </w:p>
    <w:p w14:paraId="44E76D1C">
      <w:pPr>
        <w:pageBreakBefore w:val="0"/>
        <w:widowControl w:val="0"/>
        <w:wordWrap/>
        <w:overflowPunct/>
        <w:topLinePunct w:val="0"/>
        <w:bidi w:val="0"/>
        <w:spacing w:line="220" w:lineRule="auto"/>
        <w:jc w:val="right"/>
        <w:rPr>
          <w:rFonts w:ascii="宋体" w:hAnsi="宋体" w:eastAsia="宋体" w:cs="宋体"/>
          <w:color w:val="auto"/>
          <w:sz w:val="24"/>
          <w:szCs w:val="24"/>
          <w:highlight w:val="none"/>
          <w:lang w:eastAsia="zh-CN"/>
        </w:rPr>
        <w:sectPr>
          <w:footerReference r:id="rId11" w:type="default"/>
          <w:pgSz w:w="11906" w:h="16839"/>
          <w:pgMar w:top="1417" w:right="1417" w:bottom="1417" w:left="1417" w:header="737" w:footer="850" w:gutter="0"/>
          <w:pgNumType w:fmt="decimal"/>
          <w:cols w:space="0" w:num="1"/>
          <w:rtlGutter w:val="0"/>
          <w:docGrid w:linePitch="0" w:charSpace="0"/>
        </w:sectPr>
      </w:pPr>
    </w:p>
    <w:p w14:paraId="4C9E617B">
      <w:pPr>
        <w:pStyle w:val="4"/>
        <w:numPr>
          <w:ilvl w:val="0"/>
          <w:numId w:val="0"/>
        </w:numPr>
        <w:snapToGrid w:val="0"/>
        <w:jc w:val="center"/>
        <w:rPr>
          <w:rFonts w:hint="eastAsia" w:ascii="宋体" w:hAnsi="宋体" w:eastAsia="宋体" w:cs="宋体"/>
          <w:b/>
          <w:bCs/>
          <w:color w:val="auto"/>
          <w:sz w:val="32"/>
          <w:szCs w:val="32"/>
          <w:highlight w:val="white"/>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2</w:t>
      </w:r>
      <w:r>
        <w:rPr>
          <w:rFonts w:hint="eastAsia" w:ascii="宋体" w:hAnsi="宋体" w:eastAsia="宋体" w:cs="宋体"/>
          <w:b/>
          <w:bCs/>
          <w:color w:val="auto"/>
          <w:sz w:val="32"/>
          <w:szCs w:val="32"/>
          <w:highlight w:val="white"/>
          <w:lang w:eastAsia="zh-CN"/>
        </w:rPr>
        <w:t>．报价</w:t>
      </w:r>
      <w:r>
        <w:rPr>
          <w:rFonts w:hint="eastAsia" w:ascii="宋体" w:hAnsi="宋体" w:eastAsia="宋体" w:cs="宋体"/>
          <w:b/>
          <w:bCs/>
          <w:color w:val="auto"/>
          <w:sz w:val="32"/>
          <w:szCs w:val="32"/>
          <w:highlight w:val="white"/>
        </w:rPr>
        <w:t>一览表</w:t>
      </w:r>
    </w:p>
    <w:p w14:paraId="790F022C">
      <w:pPr>
        <w:numPr>
          <w:ilvl w:val="0"/>
          <w:numId w:val="0"/>
        </w:numPr>
        <w:rPr>
          <w:rFonts w:hint="eastAsia"/>
          <w:color w:val="auto"/>
        </w:rPr>
      </w:pPr>
    </w:p>
    <w:p w14:paraId="1247E48A">
      <w:pPr>
        <w:adjustRightInd w:val="0"/>
        <w:snapToGrid w:val="0"/>
        <w:spacing w:line="360" w:lineRule="auto"/>
        <w:rPr>
          <w:rFonts w:hint="eastAsia" w:ascii="宋体" w:hAnsi="宋体"/>
          <w:color w:val="auto"/>
        </w:rPr>
      </w:pPr>
      <w:r>
        <w:rPr>
          <w:rFonts w:hint="eastAsia" w:ascii="宋体" w:hAnsi="宋体"/>
          <w:color w:val="auto"/>
          <w:sz w:val="24"/>
        </w:rPr>
        <w:t>致：</w:t>
      </w:r>
      <w:r>
        <w:rPr>
          <w:rFonts w:hint="eastAsia" w:ascii="宋体" w:hAnsi="宋体" w:cs="宋体"/>
          <w:color w:val="auto"/>
          <w:kern w:val="0"/>
          <w:sz w:val="24"/>
          <w:szCs w:val="24"/>
          <w:u w:val="single"/>
        </w:rPr>
        <w:t>遂川县仁远建设事务发展有限公司</w:t>
      </w:r>
    </w:p>
    <w:p w14:paraId="2E51CAC1">
      <w:pPr>
        <w:snapToGrid w:val="0"/>
        <w:ind w:firstLine="592" w:firstLineChars="247"/>
        <w:rPr>
          <w:rFonts w:hint="eastAsia" w:ascii="宋体" w:hAnsi="宋体"/>
          <w:color w:val="auto"/>
          <w:sz w:val="24"/>
        </w:rPr>
      </w:pPr>
      <w:r>
        <w:rPr>
          <w:rFonts w:hint="eastAsia" w:ascii="宋体" w:hAnsi="宋体"/>
          <w:color w:val="auto"/>
          <w:sz w:val="24"/>
        </w:rPr>
        <w:t>在研究了</w:t>
      </w:r>
      <w:r>
        <w:rPr>
          <w:rFonts w:hint="eastAsia" w:ascii="宋体" w:hAnsi="宋体" w:eastAsia="宋体"/>
          <w:color w:val="auto"/>
          <w:sz w:val="24"/>
          <w:lang w:val="en-US" w:eastAsia="zh-CN"/>
        </w:rPr>
        <w:t>磋商</w:t>
      </w:r>
      <w:r>
        <w:rPr>
          <w:rFonts w:hint="eastAsia" w:ascii="宋体" w:hAnsi="宋体"/>
          <w:color w:val="auto"/>
          <w:sz w:val="24"/>
        </w:rPr>
        <w:t>文件中所有文件和设备的技术资料后，我们对《</w:t>
      </w:r>
      <w:r>
        <w:rPr>
          <w:rFonts w:hint="eastAsia" w:ascii="宋体" w:hAnsi="宋体"/>
          <w:color w:val="auto"/>
          <w:sz w:val="24"/>
          <w:u w:val="single"/>
        </w:rPr>
        <w:t xml:space="preserve">           </w:t>
      </w:r>
      <w:r>
        <w:rPr>
          <w:rFonts w:hint="eastAsia" w:ascii="宋体" w:hAnsi="宋体"/>
          <w:color w:val="auto"/>
          <w:sz w:val="24"/>
        </w:rPr>
        <w:t>项目》（招标编号：</w:t>
      </w:r>
      <w:r>
        <w:rPr>
          <w:rFonts w:hint="eastAsia" w:ascii="宋体" w:hAnsi="宋体"/>
          <w:bCs/>
          <w:color w:val="auto"/>
          <w:sz w:val="24"/>
          <w:szCs w:val="24"/>
          <w:u w:val="single"/>
          <w:lang w:val="en-US" w:eastAsia="zh-CN"/>
        </w:rPr>
        <w:t xml:space="preserve">        </w:t>
      </w:r>
      <w:r>
        <w:rPr>
          <w:rFonts w:hint="eastAsia" w:ascii="宋体" w:hAnsi="宋体"/>
          <w:color w:val="auto"/>
          <w:sz w:val="24"/>
        </w:rPr>
        <w:t>）投标报价如下：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5361"/>
      </w:tblGrid>
      <w:tr w14:paraId="2F52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0356B023">
            <w:pPr>
              <w:snapToGrid w:val="0"/>
              <w:ind w:firstLine="592" w:firstLineChars="247"/>
              <w:rPr>
                <w:rFonts w:hint="eastAsia" w:ascii="宋体" w:hAnsi="宋体"/>
                <w:color w:val="auto"/>
                <w:sz w:val="24"/>
              </w:rPr>
            </w:pPr>
            <w:r>
              <w:rPr>
                <w:rFonts w:hint="eastAsia" w:ascii="宋体" w:hAnsi="宋体"/>
                <w:color w:val="auto"/>
                <w:sz w:val="24"/>
              </w:rPr>
              <w:t>标    题</w:t>
            </w:r>
          </w:p>
        </w:tc>
        <w:tc>
          <w:tcPr>
            <w:tcW w:w="5361" w:type="dxa"/>
            <w:tcBorders>
              <w:top w:val="single" w:color="auto" w:sz="4" w:space="0"/>
              <w:left w:val="single" w:color="auto" w:sz="4" w:space="0"/>
              <w:bottom w:val="single" w:color="auto" w:sz="4" w:space="0"/>
              <w:right w:val="single" w:color="auto" w:sz="4" w:space="0"/>
            </w:tcBorders>
            <w:noWrap/>
            <w:vAlign w:val="center"/>
          </w:tcPr>
          <w:p w14:paraId="42C805CA">
            <w:pPr>
              <w:snapToGrid w:val="0"/>
              <w:ind w:firstLine="592" w:firstLineChars="247"/>
              <w:rPr>
                <w:rFonts w:hint="eastAsia" w:ascii="宋体" w:hAnsi="宋体"/>
                <w:color w:val="auto"/>
                <w:sz w:val="24"/>
              </w:rPr>
            </w:pPr>
            <w:r>
              <w:rPr>
                <w:rFonts w:hint="eastAsia" w:ascii="宋体" w:hAnsi="宋体"/>
                <w:color w:val="auto"/>
                <w:sz w:val="24"/>
              </w:rPr>
              <w:t>内    容</w:t>
            </w:r>
          </w:p>
        </w:tc>
      </w:tr>
      <w:tr w14:paraId="2F2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17976334">
            <w:pPr>
              <w:snapToGrid w:val="0"/>
              <w:ind w:firstLine="592" w:firstLineChars="247"/>
              <w:rPr>
                <w:rFonts w:hint="eastAsia" w:ascii="宋体" w:hAnsi="宋体"/>
                <w:color w:val="auto"/>
                <w:sz w:val="24"/>
              </w:rPr>
            </w:pPr>
            <w:r>
              <w:rPr>
                <w:rFonts w:hint="eastAsia" w:ascii="宋体" w:hAnsi="宋体"/>
                <w:color w:val="auto"/>
                <w:sz w:val="24"/>
              </w:rPr>
              <w:t>投标报价（小写）</w:t>
            </w:r>
          </w:p>
        </w:tc>
        <w:tc>
          <w:tcPr>
            <w:tcW w:w="5361" w:type="dxa"/>
            <w:tcBorders>
              <w:top w:val="single" w:color="auto" w:sz="4" w:space="0"/>
              <w:left w:val="single" w:color="auto" w:sz="4" w:space="0"/>
              <w:bottom w:val="single" w:color="auto" w:sz="4" w:space="0"/>
              <w:right w:val="single" w:color="auto" w:sz="4" w:space="0"/>
            </w:tcBorders>
            <w:noWrap/>
            <w:vAlign w:val="center"/>
          </w:tcPr>
          <w:p w14:paraId="60BD949C">
            <w:pPr>
              <w:snapToGrid w:val="0"/>
              <w:ind w:firstLine="592" w:firstLineChars="247"/>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元/餐/人</w:t>
            </w:r>
          </w:p>
        </w:tc>
      </w:tr>
      <w:tr w14:paraId="567F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2AFE7D77">
            <w:pPr>
              <w:snapToGrid w:val="0"/>
              <w:ind w:firstLine="592" w:firstLineChars="247"/>
              <w:rPr>
                <w:rFonts w:hint="eastAsia" w:ascii="宋体" w:hAnsi="宋体"/>
                <w:color w:val="auto"/>
                <w:sz w:val="24"/>
              </w:rPr>
            </w:pPr>
            <w:r>
              <w:rPr>
                <w:rFonts w:hint="eastAsia" w:ascii="宋体" w:hAnsi="宋体"/>
                <w:color w:val="auto"/>
                <w:sz w:val="24"/>
              </w:rPr>
              <w:t>投标报价（大写）</w:t>
            </w:r>
          </w:p>
        </w:tc>
        <w:tc>
          <w:tcPr>
            <w:tcW w:w="5361" w:type="dxa"/>
            <w:tcBorders>
              <w:top w:val="single" w:color="auto" w:sz="4" w:space="0"/>
              <w:left w:val="single" w:color="auto" w:sz="4" w:space="0"/>
              <w:bottom w:val="single" w:color="auto" w:sz="4" w:space="0"/>
              <w:right w:val="single" w:color="auto" w:sz="4" w:space="0"/>
            </w:tcBorders>
            <w:noWrap/>
            <w:vAlign w:val="center"/>
          </w:tcPr>
          <w:p w14:paraId="3BAD81DE">
            <w:pPr>
              <w:snapToGrid w:val="0"/>
              <w:ind w:firstLine="592" w:firstLineChars="247"/>
              <w:rPr>
                <w:rFonts w:hint="eastAsia" w:ascii="宋体" w:hAnsi="宋体"/>
                <w:color w:val="auto"/>
                <w:sz w:val="24"/>
              </w:rPr>
            </w:pPr>
            <w:r>
              <w:rPr>
                <w:rFonts w:hint="eastAsia" w:ascii="宋体" w:hAnsi="宋体"/>
                <w:color w:val="auto"/>
                <w:sz w:val="24"/>
                <w:lang w:val="en-US" w:eastAsia="zh-CN"/>
              </w:rPr>
              <w:t>壹拾</w:t>
            </w:r>
            <w:r>
              <w:rPr>
                <w:rFonts w:hint="eastAsia" w:ascii="宋体" w:hAnsi="宋体"/>
                <w:color w:val="auto"/>
                <w:sz w:val="24"/>
              </w:rPr>
              <w:t>元每餐每人</w:t>
            </w:r>
          </w:p>
        </w:tc>
      </w:tr>
      <w:tr w14:paraId="05C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4D81F199">
            <w:pPr>
              <w:snapToGrid w:val="0"/>
              <w:ind w:firstLine="592" w:firstLineChars="247"/>
              <w:rPr>
                <w:rFonts w:hint="eastAsia" w:ascii="宋体" w:hAnsi="宋体"/>
                <w:color w:val="auto"/>
                <w:sz w:val="24"/>
              </w:rPr>
            </w:pPr>
            <w:r>
              <w:rPr>
                <w:rFonts w:hint="eastAsia" w:ascii="宋体" w:hAnsi="宋体"/>
                <w:color w:val="auto"/>
                <w:sz w:val="24"/>
              </w:rPr>
              <w:t>服务期</w:t>
            </w:r>
          </w:p>
        </w:tc>
        <w:tc>
          <w:tcPr>
            <w:tcW w:w="5361" w:type="dxa"/>
            <w:tcBorders>
              <w:top w:val="single" w:color="auto" w:sz="4" w:space="0"/>
              <w:left w:val="single" w:color="auto" w:sz="4" w:space="0"/>
              <w:bottom w:val="single" w:color="auto" w:sz="4" w:space="0"/>
              <w:right w:val="single" w:color="auto" w:sz="4" w:space="0"/>
            </w:tcBorders>
            <w:noWrap/>
            <w:vAlign w:val="center"/>
          </w:tcPr>
          <w:p w14:paraId="638AA2FE">
            <w:pPr>
              <w:snapToGrid w:val="0"/>
              <w:rPr>
                <w:rFonts w:hint="eastAsia" w:ascii="宋体" w:hAnsi="宋体"/>
                <w:color w:val="auto"/>
                <w:sz w:val="24"/>
                <w:lang w:eastAsia="zh-CN"/>
              </w:rPr>
            </w:pPr>
            <w:r>
              <w:rPr>
                <w:rFonts w:hint="eastAsia" w:ascii="宋体" w:hAnsi="宋体"/>
                <w:color w:val="auto"/>
                <w:sz w:val="24"/>
                <w:lang w:val="en-US" w:eastAsia="zh-CN"/>
              </w:rPr>
              <w:t xml:space="preserve"> 壹年，具体起始时间以签订合同为准。</w:t>
            </w:r>
          </w:p>
        </w:tc>
      </w:tr>
    </w:tbl>
    <w:p w14:paraId="11A9804C">
      <w:pPr>
        <w:snapToGrid w:val="0"/>
        <w:ind w:firstLine="592" w:firstLineChars="247"/>
        <w:rPr>
          <w:rFonts w:hint="eastAsia" w:ascii="宋体" w:hAnsi="宋体"/>
          <w:color w:val="auto"/>
          <w:sz w:val="24"/>
        </w:rPr>
      </w:pPr>
    </w:p>
    <w:p w14:paraId="567E8C76">
      <w:pPr>
        <w:snapToGrid w:val="0"/>
        <w:ind w:firstLine="592" w:firstLineChars="247"/>
        <w:rPr>
          <w:rFonts w:hint="eastAsia" w:ascii="宋体" w:hAnsi="宋体"/>
          <w:color w:val="auto"/>
          <w:sz w:val="24"/>
        </w:rPr>
      </w:pPr>
      <w:r>
        <w:rPr>
          <w:rFonts w:hint="eastAsia" w:ascii="宋体" w:hAnsi="宋体"/>
          <w:color w:val="auto"/>
          <w:sz w:val="24"/>
        </w:rPr>
        <w:t>注：本项目采用固定报价模式，固定报价：</w:t>
      </w:r>
      <w:r>
        <w:rPr>
          <w:rFonts w:hint="eastAsia" w:ascii="宋体" w:hAnsi="宋体"/>
          <w:color w:val="auto"/>
          <w:sz w:val="24"/>
          <w:lang w:val="en-US" w:eastAsia="zh-CN"/>
        </w:rPr>
        <w:t>10</w:t>
      </w:r>
      <w:r>
        <w:rPr>
          <w:rFonts w:hint="eastAsia" w:ascii="宋体" w:hAnsi="宋体"/>
          <w:color w:val="auto"/>
          <w:sz w:val="24"/>
        </w:rPr>
        <w:t>元/餐/人，投标报价按照</w:t>
      </w:r>
      <w:r>
        <w:rPr>
          <w:rFonts w:hint="eastAsia" w:ascii="宋体" w:hAnsi="宋体"/>
          <w:color w:val="auto"/>
          <w:sz w:val="24"/>
          <w:lang w:val="en-US" w:eastAsia="zh-CN"/>
        </w:rPr>
        <w:t>10</w:t>
      </w:r>
      <w:r>
        <w:rPr>
          <w:rFonts w:hint="eastAsia" w:ascii="宋体" w:hAnsi="宋体"/>
          <w:color w:val="auto"/>
          <w:sz w:val="24"/>
        </w:rPr>
        <w:t>元/餐/人，</w:t>
      </w:r>
    </w:p>
    <w:p w14:paraId="12D7BED4">
      <w:pPr>
        <w:snapToGrid w:val="0"/>
        <w:ind w:firstLine="592" w:firstLineChars="247"/>
        <w:rPr>
          <w:rFonts w:hint="eastAsia" w:ascii="宋体" w:hAnsi="宋体"/>
          <w:color w:val="auto"/>
          <w:sz w:val="24"/>
          <w:lang w:val="zh-CN"/>
        </w:rPr>
      </w:pPr>
      <w:r>
        <w:rPr>
          <w:rFonts w:hint="eastAsia" w:ascii="宋体" w:hAnsi="宋体"/>
          <w:color w:val="auto"/>
          <w:sz w:val="24"/>
        </w:rPr>
        <w:t>否则视为无效投标。</w:t>
      </w:r>
    </w:p>
    <w:p w14:paraId="582D7892">
      <w:pPr>
        <w:snapToGrid w:val="0"/>
        <w:ind w:firstLine="592" w:firstLineChars="247"/>
        <w:rPr>
          <w:rFonts w:hint="eastAsia" w:ascii="宋体" w:hAnsi="宋体"/>
          <w:color w:val="auto"/>
          <w:sz w:val="24"/>
        </w:rPr>
      </w:pPr>
    </w:p>
    <w:p w14:paraId="739EF670">
      <w:pPr>
        <w:spacing w:line="432" w:lineRule="auto"/>
        <w:ind w:firstLine="240" w:firstLineChars="100"/>
        <w:rPr>
          <w:rFonts w:hint="eastAsia" w:ascii="宋体" w:hAnsi="宋体" w:eastAsia="宋体"/>
          <w:color w:val="auto"/>
          <w:sz w:val="24"/>
          <w:szCs w:val="24"/>
          <w:lang w:eastAsia="zh-CN"/>
        </w:rPr>
      </w:pPr>
    </w:p>
    <w:p w14:paraId="09467EAC">
      <w:pPr>
        <w:spacing w:line="432" w:lineRule="auto"/>
        <w:ind w:firstLine="240" w:firstLineChars="100"/>
        <w:rPr>
          <w:rFonts w:hint="eastAsia" w:ascii="宋体" w:hAnsi="宋体"/>
          <w:color w:val="auto"/>
          <w:sz w:val="24"/>
          <w:szCs w:val="24"/>
        </w:rPr>
      </w:pPr>
      <w:r>
        <w:rPr>
          <w:rFonts w:hint="eastAsia" w:ascii="宋体" w:hAnsi="宋体" w:eastAsia="宋体"/>
          <w:color w:val="auto"/>
          <w:sz w:val="24"/>
          <w:szCs w:val="24"/>
          <w:lang w:eastAsia="zh-CN"/>
        </w:rPr>
        <w:t>服务商</w:t>
      </w:r>
      <w:r>
        <w:rPr>
          <w:rFonts w:hint="eastAsia" w:ascii="宋体" w:hAnsi="宋体"/>
          <w:color w:val="auto"/>
          <w:sz w:val="24"/>
          <w:szCs w:val="24"/>
        </w:rPr>
        <w:t>(盖章)：</w:t>
      </w:r>
      <w:r>
        <w:rPr>
          <w:rFonts w:hint="eastAsia" w:ascii="宋体" w:hAnsi="宋体"/>
          <w:color w:val="auto"/>
          <w:sz w:val="24"/>
          <w:szCs w:val="24"/>
          <w:u w:val="single"/>
        </w:rPr>
        <w:t xml:space="preserve">                          </w:t>
      </w:r>
    </w:p>
    <w:p w14:paraId="2155DB1F">
      <w:pPr>
        <w:spacing w:line="432" w:lineRule="auto"/>
        <w:ind w:firstLine="240" w:firstLineChars="100"/>
        <w:rPr>
          <w:rFonts w:hint="eastAsia" w:ascii="宋体" w:hAnsi="宋体"/>
          <w:color w:val="auto"/>
          <w:sz w:val="24"/>
          <w:szCs w:val="24"/>
        </w:rPr>
      </w:pPr>
    </w:p>
    <w:p w14:paraId="39EB784F">
      <w:pPr>
        <w:spacing w:line="432" w:lineRule="auto"/>
        <w:ind w:firstLine="240" w:firstLineChars="100"/>
        <w:rPr>
          <w:rFonts w:hint="eastAsia" w:ascii="宋体" w:hAnsi="宋体"/>
          <w:color w:val="auto"/>
          <w:sz w:val="24"/>
          <w:szCs w:val="24"/>
          <w:u w:val="single"/>
        </w:rPr>
      </w:pPr>
      <w:r>
        <w:rPr>
          <w:rFonts w:hint="eastAsia" w:ascii="宋体" w:hAnsi="宋体"/>
          <w:color w:val="auto"/>
          <w:sz w:val="24"/>
          <w:szCs w:val="24"/>
        </w:rPr>
        <w:t>响应服务商代表签字：</w:t>
      </w:r>
      <w:r>
        <w:rPr>
          <w:rFonts w:hint="eastAsia" w:ascii="宋体" w:hAnsi="宋体"/>
          <w:color w:val="auto"/>
          <w:sz w:val="24"/>
          <w:szCs w:val="24"/>
          <w:u w:val="single"/>
        </w:rPr>
        <w:t xml:space="preserve">                          </w:t>
      </w:r>
    </w:p>
    <w:p w14:paraId="0DCB6347">
      <w:pPr>
        <w:spacing w:line="432" w:lineRule="auto"/>
        <w:ind w:firstLine="240" w:firstLineChars="100"/>
        <w:rPr>
          <w:rFonts w:hint="eastAsia" w:ascii="宋体" w:hAnsi="宋体"/>
          <w:color w:val="auto"/>
          <w:sz w:val="24"/>
          <w:szCs w:val="24"/>
          <w:u w:val="single"/>
        </w:rPr>
      </w:pPr>
    </w:p>
    <w:p w14:paraId="42E1E859">
      <w:pPr>
        <w:adjustRightInd w:val="0"/>
        <w:snapToGrid w:val="0"/>
        <w:spacing w:line="360" w:lineRule="auto"/>
        <w:ind w:firstLine="2280" w:firstLineChars="950"/>
        <w:jc w:val="left"/>
        <w:rPr>
          <w:rFonts w:hint="eastAsia" w:hAnsi="宋体" w:cs="宋体"/>
          <w:b/>
          <w:color w:val="auto"/>
          <w:sz w:val="32"/>
        </w:rPr>
        <w:sectPr>
          <w:headerReference r:id="rId12" w:type="default"/>
          <w:pgSz w:w="11907" w:h="16840"/>
          <w:pgMar w:top="1418" w:right="829" w:bottom="1418" w:left="1418" w:header="737" w:footer="737" w:gutter="0"/>
          <w:cols w:space="720" w:num="1"/>
          <w:docGrid w:linePitch="312" w:charSpace="0"/>
        </w:sectPr>
      </w:pPr>
      <w:r>
        <w:rPr>
          <w:rFonts w:hint="eastAsia" w:ascii="宋体" w:hAnsi="宋体"/>
          <w:color w:val="auto"/>
          <w:sz w:val="24"/>
          <w:szCs w:val="24"/>
        </w:rPr>
        <w:t>日期：   年  月  日</w:t>
      </w:r>
      <w:bookmarkStart w:id="269" w:name="_Toc330498826"/>
      <w:bookmarkStart w:id="270" w:name="_Toc329166824"/>
      <w:bookmarkStart w:id="271" w:name="_Toc293934824"/>
    </w:p>
    <w:bookmarkEnd w:id="267"/>
    <w:bookmarkEnd w:id="268"/>
    <w:bookmarkEnd w:id="269"/>
    <w:bookmarkEnd w:id="270"/>
    <w:bookmarkEnd w:id="271"/>
    <w:p w14:paraId="3659F81B">
      <w:pPr>
        <w:rPr>
          <w:rFonts w:hint="eastAsia"/>
          <w:color w:val="auto"/>
        </w:rPr>
      </w:pPr>
      <w:bookmarkStart w:id="272" w:name="_Toc25282"/>
      <w:bookmarkStart w:id="273" w:name="_Toc22516_WPSOffice_Level1"/>
      <w:bookmarkStart w:id="274" w:name="_Toc16219_WPSOffice_Level1"/>
    </w:p>
    <w:p w14:paraId="24259D21">
      <w:pPr>
        <w:pStyle w:val="4"/>
        <w:snapToGrid w:val="0"/>
        <w:jc w:val="center"/>
        <w:rPr>
          <w:rFonts w:hint="eastAsia" w:ascii="宋体" w:hAnsi="宋体" w:eastAsia="宋体" w:cs="宋体"/>
          <w:color w:val="auto"/>
          <w:szCs w:val="24"/>
        </w:rPr>
      </w:pPr>
      <w:bookmarkStart w:id="275" w:name="_Toc30345"/>
      <w:bookmarkStart w:id="276" w:name="_Toc28793_WPSOffice_Level1"/>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3</w:t>
      </w:r>
      <w:r>
        <w:rPr>
          <w:rFonts w:hint="eastAsia" w:ascii="宋体" w:hAnsi="宋体" w:eastAsia="宋体" w:cs="宋体"/>
          <w:b/>
          <w:bCs/>
          <w:color w:val="auto"/>
          <w:sz w:val="32"/>
          <w:szCs w:val="32"/>
          <w:highlight w:val="white"/>
          <w:lang w:eastAsia="zh-CN"/>
        </w:rPr>
        <w:t>．</w:t>
      </w:r>
      <w:r>
        <w:rPr>
          <w:rFonts w:hint="eastAsia" w:ascii="宋体" w:hAnsi="宋体" w:eastAsia="宋体" w:cs="宋体"/>
          <w:color w:val="auto"/>
          <w:sz w:val="28"/>
          <w:szCs w:val="28"/>
          <w:highlight w:val="white"/>
          <w:lang w:val="en-US" w:eastAsia="zh-CN"/>
        </w:rPr>
        <w:t>服务</w:t>
      </w:r>
      <w:r>
        <w:rPr>
          <w:rFonts w:hint="eastAsia" w:ascii="宋体" w:hAnsi="宋体" w:eastAsia="宋体" w:cs="宋体"/>
          <w:color w:val="auto"/>
          <w:sz w:val="28"/>
          <w:szCs w:val="28"/>
          <w:highlight w:val="white"/>
        </w:rPr>
        <w:t>要求响应/偏离表</w:t>
      </w:r>
      <w:bookmarkEnd w:id="272"/>
      <w:bookmarkEnd w:id="273"/>
      <w:bookmarkEnd w:id="274"/>
      <w:bookmarkEnd w:id="275"/>
      <w:bookmarkEnd w:id="276"/>
      <w:r>
        <w:rPr>
          <w:rFonts w:hint="eastAsia" w:ascii="宋体" w:hAnsi="宋体" w:eastAsia="宋体" w:cs="宋体"/>
          <w:color w:val="auto"/>
          <w:szCs w:val="24"/>
          <w:highlight w:val="white"/>
        </w:rPr>
        <w:t> </w:t>
      </w:r>
    </w:p>
    <w:p w14:paraId="15ED5A4B">
      <w:pPr>
        <w:pStyle w:val="11"/>
        <w:bidi w:val="0"/>
        <w:snapToGrid w:val="0"/>
        <w:ind w:firstLine="540" w:firstLineChars="225"/>
        <w:rPr>
          <w:rFonts w:hint="eastAsia" w:ascii="宋体" w:hAnsi="宋体" w:eastAsia="宋体" w:cs="宋体"/>
          <w:color w:val="auto"/>
          <w:szCs w:val="24"/>
        </w:rPr>
      </w:pPr>
      <w:bookmarkStart w:id="277" w:name="_Toc16671"/>
      <w:bookmarkStart w:id="278" w:name="_Toc17511"/>
      <w:bookmarkStart w:id="279" w:name="_Toc7971_WPSOffice_Level1"/>
      <w:bookmarkStart w:id="280" w:name="_Toc23486_WPSOffice_Level1"/>
      <w:bookmarkStart w:id="281" w:name="_Toc982_WPSOffice_Level1"/>
      <w:bookmarkStart w:id="282" w:name="_Toc32583"/>
      <w:bookmarkStart w:id="283" w:name="_Toc1184"/>
      <w:r>
        <w:rPr>
          <w:rFonts w:hint="eastAsia" w:ascii="宋体" w:hAnsi="宋体" w:eastAsia="宋体" w:cs="宋体"/>
          <w:color w:val="auto"/>
          <w:szCs w:val="24"/>
          <w:highlight w:val="white"/>
        </w:rPr>
        <w:t xml:space="preserve">投标人名称: ______________   </w:t>
      </w:r>
    </w:p>
    <w:p w14:paraId="477BAEED">
      <w:pPr>
        <w:pStyle w:val="11"/>
        <w:bidi w:val="0"/>
        <w:snapToGrid w:val="0"/>
        <w:ind w:firstLine="540" w:firstLineChars="225"/>
        <w:rPr>
          <w:rFonts w:hint="eastAsia" w:ascii="宋体" w:hAnsi="宋体" w:eastAsia="宋体" w:cs="宋体"/>
          <w:color w:val="auto"/>
          <w:szCs w:val="24"/>
        </w:rPr>
      </w:pPr>
      <w:r>
        <w:rPr>
          <w:rFonts w:hint="eastAsia" w:ascii="宋体" w:hAnsi="宋体" w:eastAsia="宋体" w:cs="宋体"/>
          <w:color w:val="auto"/>
          <w:szCs w:val="24"/>
          <w:highlight w:val="white"/>
        </w:rPr>
        <w:t xml:space="preserve">招标编号:______________ </w:t>
      </w:r>
    </w:p>
    <w:p w14:paraId="3D24910A">
      <w:pPr>
        <w:pStyle w:val="11"/>
        <w:bidi w:val="0"/>
        <w:snapToGrid w:val="0"/>
        <w:rPr>
          <w:rFonts w:hint="eastAsia" w:ascii="宋体" w:hAnsi="宋体" w:eastAsia="宋体" w:cs="宋体"/>
          <w:color w:val="auto"/>
          <w:szCs w:val="24"/>
        </w:rPr>
      </w:pPr>
      <w:r>
        <w:rPr>
          <w:rFonts w:hint="eastAsia" w:ascii="宋体" w:hAnsi="宋体" w:eastAsia="宋体" w:cs="宋体"/>
          <w:color w:val="auto"/>
          <w:szCs w:val="24"/>
          <w:highlight w:val="white"/>
        </w:rPr>
        <w:t> </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2628"/>
        <w:gridCol w:w="2055"/>
        <w:gridCol w:w="1741"/>
        <w:gridCol w:w="1669"/>
      </w:tblGrid>
      <w:tr w14:paraId="07A7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14:paraId="1E3F3041">
            <w:pPr>
              <w:pStyle w:val="11"/>
              <w:jc w:val="center"/>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序号</w:t>
            </w:r>
          </w:p>
        </w:tc>
        <w:tc>
          <w:tcPr>
            <w:tcW w:w="2628" w:type="dxa"/>
            <w:tcBorders>
              <w:top w:val="single" w:color="auto" w:sz="4" w:space="0"/>
              <w:left w:val="single" w:color="auto" w:sz="4" w:space="0"/>
              <w:bottom w:val="single" w:color="auto" w:sz="4" w:space="0"/>
              <w:right w:val="single" w:color="auto" w:sz="4" w:space="0"/>
            </w:tcBorders>
            <w:noWrap w:val="0"/>
            <w:vAlign w:val="center"/>
          </w:tcPr>
          <w:p w14:paraId="1C9097F4">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磋商文件中</w:t>
            </w:r>
          </w:p>
          <w:p w14:paraId="3C3DB0F7">
            <w:pPr>
              <w:pStyle w:val="11"/>
              <w:jc w:val="center"/>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的服务要求</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0C5EF914">
            <w:pPr>
              <w:pStyle w:val="11"/>
              <w:jc w:val="center"/>
              <w:rPr>
                <w:rFonts w:hint="eastAsia" w:ascii="宋体" w:hAnsi="宋体" w:eastAsia="宋体" w:cs="宋体"/>
                <w:color w:val="auto"/>
                <w:szCs w:val="24"/>
              </w:rPr>
            </w:pPr>
            <w:r>
              <w:rPr>
                <w:rFonts w:hint="eastAsia" w:ascii="宋体" w:hAnsi="宋体" w:eastAsia="宋体" w:cs="宋体"/>
                <w:color w:val="auto"/>
                <w:spacing w:val="0"/>
                <w:kern w:val="2"/>
                <w:position w:val="0"/>
                <w:sz w:val="24"/>
                <w:szCs w:val="24"/>
                <w:highlight w:val="none"/>
                <w:lang w:val="en-US" w:eastAsia="zh-CN" w:bidi="ar-SA"/>
              </w:rPr>
              <w:t>投标文件服务响应内容</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9611EA6">
            <w:pPr>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偏离</w:t>
            </w:r>
            <w:r>
              <w:rPr>
                <w:rFonts w:hint="eastAsia" w:ascii="宋体" w:hAnsi="宋体" w:eastAsia="宋体" w:cs="宋体"/>
                <w:color w:val="auto"/>
                <w:sz w:val="24"/>
                <w:highlight w:val="none"/>
                <w:lang w:eastAsia="zh-CN"/>
              </w:rPr>
              <w:t>说明</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79EDEC9">
            <w:pPr>
              <w:jc w:val="center"/>
              <w:rPr>
                <w:rFonts w:hint="eastAsia" w:ascii="宋体" w:hAnsi="宋体" w:eastAsia="宋体" w:cs="宋体"/>
                <w:color w:val="auto"/>
                <w:sz w:val="24"/>
                <w:szCs w:val="24"/>
              </w:rPr>
            </w:pPr>
            <w:r>
              <w:rPr>
                <w:rFonts w:hint="eastAsia" w:ascii="宋体" w:hAnsi="宋体" w:eastAsia="宋体" w:cs="宋体"/>
                <w:color w:val="auto"/>
                <w:sz w:val="24"/>
                <w:highlight w:val="none"/>
                <w:lang w:eastAsia="zh-CN"/>
              </w:rPr>
              <w:t>备注</w:t>
            </w:r>
          </w:p>
        </w:tc>
      </w:tr>
      <w:tr w14:paraId="01F0E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7C540218">
            <w:pPr>
              <w:pStyle w:val="11"/>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 </w:t>
            </w:r>
          </w:p>
          <w:p w14:paraId="2D021C36">
            <w:pPr>
              <w:pStyle w:val="11"/>
              <w:ind w:firstLine="240" w:firstLineChars="100"/>
              <w:rPr>
                <w:rFonts w:hint="default"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1</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1C432FE2">
            <w:pPr>
              <w:keepNext w:val="0"/>
              <w:keepLines w:val="0"/>
              <w:pageBreakBefore w:val="0"/>
              <w:wordWrap/>
              <w:overflowPunct/>
              <w:topLinePunct w:val="0"/>
              <w:bidi w:val="0"/>
              <w:adjustRightInd w:val="0"/>
              <w:snapToGrid/>
              <w:spacing w:line="360" w:lineRule="auto"/>
              <w:ind w:right="0" w:firstLine="241" w:firstLineChars="100"/>
              <w:rPr>
                <w:rFonts w:hint="eastAsia" w:ascii="宋体" w:hAnsi="宋体" w:eastAsia="宋体" w:cs="宋体"/>
                <w:b/>
                <w:bCs/>
                <w:snapToGrid w:val="0"/>
                <w:color w:val="auto"/>
                <w:spacing w:val="0"/>
                <w:kern w:val="0"/>
                <w:position w:val="0"/>
                <w:sz w:val="24"/>
                <w:szCs w:val="24"/>
                <w:highlight w:val="none"/>
                <w:lang w:val="en-US" w:eastAsia="zh-CN"/>
              </w:rPr>
            </w:pPr>
            <w:r>
              <w:rPr>
                <w:rFonts w:hint="eastAsia" w:ascii="宋体" w:hAnsi="宋体" w:eastAsia="宋体" w:cs="宋体"/>
                <w:b/>
                <w:bCs/>
                <w:snapToGrid w:val="0"/>
                <w:color w:val="auto"/>
                <w:spacing w:val="0"/>
                <w:kern w:val="0"/>
                <w:position w:val="0"/>
                <w:sz w:val="24"/>
                <w:szCs w:val="24"/>
                <w:highlight w:val="none"/>
                <w:lang w:val="en-US" w:eastAsia="zh-CN"/>
              </w:rPr>
              <w:t>第五章采购需求中一、</w:t>
            </w:r>
            <w:r>
              <w:rPr>
                <w:rFonts w:hint="default" w:ascii="Arial" w:hAnsi="Arial" w:eastAsia="宋体" w:cs="Arial"/>
                <w:b/>
                <w:bCs/>
                <w:color w:val="auto"/>
                <w:kern w:val="0"/>
                <w:sz w:val="24"/>
                <w:szCs w:val="24"/>
              </w:rPr>
              <w:t>项目概况</w:t>
            </w:r>
            <w:r>
              <w:rPr>
                <w:rFonts w:hint="eastAsia" w:eastAsia="宋体" w:cs="Arial"/>
                <w:b/>
                <w:bCs/>
                <w:color w:val="auto"/>
                <w:kern w:val="0"/>
                <w:sz w:val="24"/>
                <w:szCs w:val="24"/>
                <w:lang w:eastAsia="zh-CN"/>
              </w:rPr>
              <w:t>、</w:t>
            </w:r>
            <w:r>
              <w:rPr>
                <w:rFonts w:hint="default" w:ascii="Arial" w:hAnsi="Arial" w:eastAsia="宋体" w:cs="Arial"/>
                <w:b/>
                <w:bCs/>
                <w:color w:val="auto"/>
                <w:kern w:val="0"/>
                <w:sz w:val="24"/>
                <w:szCs w:val="24"/>
                <w:lang w:val="en-US" w:eastAsia="zh-CN"/>
              </w:rPr>
              <w:t>二、</w:t>
            </w:r>
            <w:r>
              <w:rPr>
                <w:rFonts w:hint="default" w:ascii="Arial" w:hAnsi="Arial" w:eastAsia="宋体" w:cs="Arial"/>
                <w:b/>
                <w:bCs/>
                <w:color w:val="auto"/>
                <w:kern w:val="0"/>
                <w:sz w:val="24"/>
                <w:szCs w:val="24"/>
              </w:rPr>
              <w:t>规范及执行标准</w:t>
            </w:r>
            <w:r>
              <w:rPr>
                <w:rFonts w:hint="eastAsia" w:eastAsia="宋体" w:cs="Arial"/>
                <w:b/>
                <w:bCs/>
                <w:color w:val="auto"/>
                <w:kern w:val="0"/>
                <w:sz w:val="24"/>
                <w:szCs w:val="24"/>
                <w:lang w:val="en-US" w:eastAsia="zh-CN"/>
              </w:rPr>
              <w:t>和</w:t>
            </w:r>
            <w:r>
              <w:rPr>
                <w:rFonts w:hint="default" w:ascii="Arial" w:hAnsi="Arial" w:eastAsia="宋体" w:cs="Arial"/>
                <w:b/>
                <w:bCs/>
                <w:color w:val="auto"/>
                <w:kern w:val="0"/>
                <w:sz w:val="24"/>
                <w:szCs w:val="24"/>
                <w:lang w:val="en-US" w:eastAsia="zh-CN"/>
              </w:rPr>
              <w:t>三、</w:t>
            </w:r>
            <w:r>
              <w:rPr>
                <w:rFonts w:hint="default" w:ascii="Arial" w:hAnsi="Arial" w:eastAsia="宋体" w:cs="Arial"/>
                <w:b/>
                <w:bCs/>
                <w:color w:val="auto"/>
                <w:kern w:val="0"/>
                <w:sz w:val="24"/>
                <w:szCs w:val="24"/>
              </w:rPr>
              <w:t>服务要求</w:t>
            </w:r>
            <w:r>
              <w:rPr>
                <w:rFonts w:hint="eastAsia" w:ascii="宋体" w:hAnsi="宋体" w:eastAsia="宋体" w:cs="宋体"/>
                <w:b/>
                <w:bCs/>
                <w:snapToGrid w:val="0"/>
                <w:color w:val="auto"/>
                <w:spacing w:val="0"/>
                <w:kern w:val="0"/>
                <w:position w:val="0"/>
                <w:sz w:val="24"/>
                <w:szCs w:val="24"/>
                <w:highlight w:val="none"/>
                <w:lang w:val="en-US" w:eastAsia="zh-CN"/>
              </w:rPr>
              <w:t>中的所有内容</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41535ECB">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5085FDAC">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71D4313B">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6F56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0A6B332C">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0853037F">
            <w:pPr>
              <w:pStyle w:val="11"/>
              <w:jc w:val="left"/>
              <w:rPr>
                <w:rFonts w:hint="eastAsia" w:ascii="宋体" w:hAnsi="宋体" w:eastAsia="宋体" w:cs="宋体"/>
                <w:b/>
                <w:bCs/>
                <w:color w:val="auto"/>
                <w:szCs w:val="24"/>
              </w:rPr>
            </w:pPr>
            <w:r>
              <w:rPr>
                <w:rFonts w:hint="eastAsia" w:ascii="宋体" w:hAnsi="宋体" w:eastAsia="宋体" w:cs="宋体"/>
                <w:b/>
                <w:bCs/>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4281B37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6239341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476E598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0BE12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16CB5D5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4E7A97A">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52481EA7">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4216A78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5B1D150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7F66B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0A91F430">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31FA547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54FF185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7B37801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16A7C35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bl>
    <w:p w14:paraId="532E3A17">
      <w:pPr>
        <w:bidi w:val="0"/>
        <w:adjustRightInd w:val="0"/>
        <w:snapToGrid w:val="0"/>
        <w:spacing w:line="360" w:lineRule="auto"/>
        <w:ind w:left="600" w:hanging="600" w:hangingChars="250"/>
        <w:rPr>
          <w:rFonts w:hint="eastAsia" w:ascii="宋体" w:hAnsi="宋体" w:eastAsia="宋体" w:cs="宋体"/>
          <w:color w:val="auto"/>
          <w:sz w:val="24"/>
          <w:szCs w:val="24"/>
          <w:highlight w:val="white"/>
        </w:rPr>
      </w:pPr>
    </w:p>
    <w:p w14:paraId="649ED366">
      <w:pPr>
        <w:widowControl/>
        <w:spacing w:line="440" w:lineRule="exact"/>
        <w:rPr>
          <w:rFonts w:ascii="宋体" w:hAnsi="宋体" w:cs="宋体"/>
          <w:b/>
          <w:bCs w:val="0"/>
          <w:color w:val="auto"/>
          <w:kern w:val="0"/>
          <w:sz w:val="21"/>
          <w:szCs w:val="21"/>
          <w:highlight w:val="none"/>
        </w:rPr>
      </w:pPr>
      <w:r>
        <w:rPr>
          <w:rFonts w:hint="eastAsia" w:ascii="宋体" w:hAnsi="宋体" w:cs="宋体"/>
          <w:b/>
          <w:bCs w:val="0"/>
          <w:color w:val="auto"/>
          <w:kern w:val="0"/>
          <w:sz w:val="21"/>
          <w:szCs w:val="21"/>
          <w:highlight w:val="none"/>
        </w:rPr>
        <w:t>填写说明：</w:t>
      </w:r>
    </w:p>
    <w:p w14:paraId="56003D89">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rPr>
          <w:rFonts w:hint="eastAsia" w:ascii="宋体" w:hAnsi="宋体" w:eastAsia="宋体" w:cs="宋体"/>
          <w:b/>
          <w:bCs/>
          <w:snapToGrid w:val="0"/>
          <w:color w:val="auto"/>
          <w:spacing w:val="0"/>
          <w:kern w:val="2"/>
          <w:position w:val="0"/>
          <w:sz w:val="24"/>
          <w:szCs w:val="24"/>
          <w:highlight w:val="none"/>
          <w:lang w:val="en-US" w:eastAsia="zh-CN" w:bidi="ar-SA"/>
        </w:rPr>
      </w:pPr>
      <w:r>
        <w:rPr>
          <w:rFonts w:hint="eastAsia" w:ascii="宋体" w:hAnsi="宋体" w:eastAsia="宋体" w:cs="宋体"/>
          <w:b/>
          <w:bCs/>
          <w:snapToGrid w:val="0"/>
          <w:color w:val="auto"/>
          <w:spacing w:val="0"/>
          <w:kern w:val="2"/>
          <w:position w:val="0"/>
          <w:sz w:val="24"/>
          <w:szCs w:val="24"/>
          <w:highlight w:val="none"/>
          <w:lang w:val="en-US" w:eastAsia="zh-CN" w:bidi="ar-SA"/>
        </w:rPr>
        <w:t>1、磋商文件的服务要求包括第五章采购需求中一、</w:t>
      </w:r>
      <w:r>
        <w:rPr>
          <w:rFonts w:hint="default" w:ascii="宋体" w:hAnsi="宋体" w:eastAsia="宋体" w:cs="宋体"/>
          <w:b/>
          <w:bCs/>
          <w:snapToGrid w:val="0"/>
          <w:color w:val="auto"/>
          <w:spacing w:val="0"/>
          <w:kern w:val="2"/>
          <w:position w:val="0"/>
          <w:sz w:val="24"/>
          <w:szCs w:val="24"/>
          <w:highlight w:val="none"/>
          <w:lang w:val="en-US" w:eastAsia="zh-CN" w:bidi="ar-SA"/>
        </w:rPr>
        <w:t>项目概况</w:t>
      </w:r>
      <w:r>
        <w:rPr>
          <w:rFonts w:hint="eastAsia" w:ascii="宋体" w:hAnsi="宋体" w:eastAsia="宋体" w:cs="宋体"/>
          <w:b/>
          <w:bCs/>
          <w:snapToGrid w:val="0"/>
          <w:color w:val="auto"/>
          <w:spacing w:val="0"/>
          <w:kern w:val="2"/>
          <w:position w:val="0"/>
          <w:sz w:val="24"/>
          <w:szCs w:val="24"/>
          <w:highlight w:val="none"/>
          <w:lang w:val="en-US" w:eastAsia="zh-CN" w:bidi="ar-SA"/>
        </w:rPr>
        <w:t>、</w:t>
      </w:r>
      <w:r>
        <w:rPr>
          <w:rFonts w:hint="default" w:ascii="宋体" w:hAnsi="宋体" w:eastAsia="宋体" w:cs="宋体"/>
          <w:b/>
          <w:bCs/>
          <w:snapToGrid w:val="0"/>
          <w:color w:val="auto"/>
          <w:spacing w:val="0"/>
          <w:kern w:val="2"/>
          <w:position w:val="0"/>
          <w:sz w:val="24"/>
          <w:szCs w:val="24"/>
          <w:highlight w:val="none"/>
          <w:lang w:val="en-US" w:eastAsia="zh-CN" w:bidi="ar-SA"/>
        </w:rPr>
        <w:t>二、规范及执行标准</w:t>
      </w:r>
      <w:r>
        <w:rPr>
          <w:rFonts w:hint="eastAsia" w:ascii="宋体" w:hAnsi="宋体" w:eastAsia="宋体" w:cs="宋体"/>
          <w:b/>
          <w:bCs/>
          <w:snapToGrid w:val="0"/>
          <w:color w:val="auto"/>
          <w:spacing w:val="0"/>
          <w:kern w:val="2"/>
          <w:position w:val="0"/>
          <w:sz w:val="24"/>
          <w:szCs w:val="24"/>
          <w:highlight w:val="none"/>
          <w:lang w:val="en-US" w:eastAsia="zh-CN" w:bidi="ar-SA"/>
        </w:rPr>
        <w:t>和</w:t>
      </w:r>
      <w:r>
        <w:rPr>
          <w:rFonts w:hint="default" w:ascii="宋体" w:hAnsi="宋体" w:eastAsia="宋体" w:cs="宋体"/>
          <w:b/>
          <w:bCs/>
          <w:snapToGrid w:val="0"/>
          <w:color w:val="auto"/>
          <w:spacing w:val="0"/>
          <w:kern w:val="2"/>
          <w:position w:val="0"/>
          <w:sz w:val="24"/>
          <w:szCs w:val="24"/>
          <w:highlight w:val="none"/>
          <w:lang w:val="en-US" w:eastAsia="zh-CN" w:bidi="ar-SA"/>
        </w:rPr>
        <w:t>三、服务要求</w:t>
      </w:r>
      <w:r>
        <w:rPr>
          <w:rFonts w:hint="eastAsia" w:ascii="宋体" w:hAnsi="宋体" w:eastAsia="宋体" w:cs="宋体"/>
          <w:b/>
          <w:bCs/>
          <w:snapToGrid w:val="0"/>
          <w:color w:val="auto"/>
          <w:spacing w:val="0"/>
          <w:kern w:val="2"/>
          <w:position w:val="0"/>
          <w:sz w:val="24"/>
          <w:szCs w:val="24"/>
          <w:highlight w:val="none"/>
          <w:lang w:val="en-US" w:eastAsia="zh-CN" w:bidi="ar-SA"/>
        </w:rPr>
        <w:t>中的所有内容。</w:t>
      </w:r>
    </w:p>
    <w:p w14:paraId="5D98139A">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2、投标人服务要求如无偏离，则在“投标文件服务响应内容”中第一行填写“全部响应”；“偏离说明”中填写“无偏离”即可。</w:t>
      </w:r>
    </w:p>
    <w:p w14:paraId="6D72DC74">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 xml:space="preserve"> 3、投标人服务要求如有正偏离，则在磋商文件中的服务要求中填写正偏离的条款，在“投标文件服务响应内容”中填写具体响应数值或内容；在“偏离说明”中填写“正偏离”；如有负偏离，则在磋商文件中的服务要求中填写负偏离的条款，在“投标文件服务响应内容”中填写具体响应数值或内容；在“偏离说明”中填写“负偏离”。同时在“服务需求响应/偏离表”中注明其他条款无偏离，有一项负偏离则视为无效投标。</w:t>
      </w:r>
    </w:p>
    <w:p w14:paraId="2971ECCE">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4、投标人须根据所投技术能力如实响应或偏离，所响应的内容为合同组成部分。</w:t>
      </w:r>
    </w:p>
    <w:p w14:paraId="26251231">
      <w:pPr>
        <w:bidi w:val="0"/>
        <w:adjustRightInd w:val="0"/>
        <w:snapToGrid w:val="0"/>
        <w:spacing w:line="360" w:lineRule="auto"/>
        <w:ind w:firstLine="480" w:firstLineChars="200"/>
        <w:rPr>
          <w:rFonts w:hint="eastAsia" w:ascii="宋体" w:hAnsi="宋体" w:eastAsia="宋体" w:cs="宋体"/>
          <w:color w:val="auto"/>
          <w:sz w:val="24"/>
          <w:szCs w:val="24"/>
        </w:rPr>
      </w:pPr>
    </w:p>
    <w:p w14:paraId="41497D6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rightChars="0" w:firstLine="468"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6BA8EEC7">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default" w:ascii="宋体" w:hAnsi="宋体" w:eastAsia="宋体" w:cs="宋体"/>
          <w:color w:val="auto"/>
          <w:spacing w:val="-1"/>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30900B05">
      <w:pPr>
        <w:snapToGrid w:val="0"/>
        <w:ind w:firstLine="4080" w:firstLineChars="1700"/>
        <w:rPr>
          <w:rFonts w:hint="eastAsia" w:ascii="宋体" w:hAnsi="宋体" w:cs="宋体"/>
          <w:color w:val="auto"/>
          <w:sz w:val="24"/>
          <w:szCs w:val="24"/>
        </w:rPr>
      </w:pPr>
    </w:p>
    <w:p w14:paraId="37DBE980">
      <w:pPr>
        <w:pStyle w:val="3"/>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　　　　　　　　　　　</w:t>
      </w:r>
    </w:p>
    <w:p w14:paraId="7D107A00">
      <w:pPr>
        <w:pStyle w:val="3"/>
        <w:ind w:firstLine="5320" w:firstLineChars="1900"/>
        <w:rPr>
          <w:rFonts w:hint="eastAsia"/>
          <w:color w:val="auto"/>
        </w:rPr>
      </w:pPr>
      <w:r>
        <w:rPr>
          <w:rFonts w:hint="eastAsia" w:ascii="宋体" w:hAnsi="宋体" w:eastAsia="宋体" w:cs="宋体"/>
          <w:color w:val="auto"/>
          <w:highlight w:val="white"/>
        </w:rPr>
        <w:br w:type="page"/>
      </w:r>
    </w:p>
    <w:p w14:paraId="03DF2165">
      <w:pPr>
        <w:adjustRightInd w:val="0"/>
        <w:snapToGrid w:val="0"/>
        <w:spacing w:line="360" w:lineRule="auto"/>
        <w:ind w:left="359" w:leftChars="171" w:firstLine="161" w:firstLineChars="50"/>
        <w:jc w:val="center"/>
        <w:outlineLvl w:val="0"/>
        <w:rPr>
          <w:rFonts w:hint="eastAsia" w:ascii="宋体" w:hAnsi="宋体" w:eastAsia="宋体" w:cs="宋体"/>
          <w:b/>
          <w:bCs/>
          <w:color w:val="auto"/>
          <w:sz w:val="32"/>
          <w:szCs w:val="32"/>
          <w:highlight w:val="white"/>
          <w:lang w:eastAsia="zh-CN"/>
        </w:rPr>
      </w:pPr>
    </w:p>
    <w:p w14:paraId="1F684558">
      <w:pPr>
        <w:adjustRightInd w:val="0"/>
        <w:snapToGrid w:val="0"/>
        <w:spacing w:line="360" w:lineRule="auto"/>
        <w:ind w:left="359" w:leftChars="171" w:firstLine="161" w:firstLineChars="50"/>
        <w:jc w:val="center"/>
        <w:outlineLvl w:val="0"/>
        <w:rPr>
          <w:rFonts w:hint="eastAsia" w:ascii="宋体" w:hAnsi="宋体" w:cs="宋体"/>
          <w:b/>
          <w:bCs/>
          <w:color w:val="auto"/>
          <w:sz w:val="24"/>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4.</w:t>
      </w:r>
      <w:r>
        <w:rPr>
          <w:rFonts w:hint="eastAsia" w:ascii="宋体" w:hAnsi="宋体" w:cs="宋体"/>
          <w:b/>
          <w:bCs/>
          <w:color w:val="auto"/>
          <w:sz w:val="28"/>
          <w:szCs w:val="28"/>
          <w:highlight w:val="white"/>
        </w:rPr>
        <w:t>商务条款响应/偏离表</w:t>
      </w:r>
      <w:bookmarkEnd w:id="277"/>
      <w:bookmarkEnd w:id="278"/>
      <w:bookmarkEnd w:id="279"/>
      <w:bookmarkEnd w:id="280"/>
      <w:bookmarkEnd w:id="281"/>
      <w:bookmarkEnd w:id="282"/>
      <w:bookmarkEnd w:id="283"/>
    </w:p>
    <w:p w14:paraId="7B11B213">
      <w:pPr>
        <w:pStyle w:val="11"/>
        <w:snapToGrid w:val="0"/>
        <w:ind w:firstLine="600" w:firstLineChars="250"/>
        <w:rPr>
          <w:rFonts w:hint="eastAsia" w:ascii="宋体" w:hAnsi="宋体" w:eastAsia="宋体" w:cs="宋体"/>
          <w:color w:val="auto"/>
          <w:szCs w:val="24"/>
        </w:rPr>
      </w:pPr>
      <w:r>
        <w:rPr>
          <w:rFonts w:hint="eastAsia" w:ascii="宋体" w:hAnsi="宋体" w:eastAsia="宋体" w:cs="宋体"/>
          <w:color w:val="auto"/>
          <w:szCs w:val="24"/>
          <w:highlight w:val="white"/>
        </w:rPr>
        <w:t xml:space="preserve">投标人名称:_____________ 招标编号:_____________ </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625"/>
        <w:gridCol w:w="2715"/>
        <w:gridCol w:w="1500"/>
        <w:gridCol w:w="1241"/>
      </w:tblGrid>
      <w:tr w14:paraId="6534C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42B572BF">
            <w:pPr>
              <w:pStyle w:val="11"/>
              <w:spacing w:before="156"/>
              <w:rPr>
                <w:rFonts w:hint="eastAsia" w:ascii="宋体" w:hAnsi="宋体" w:eastAsia="宋体" w:cs="宋体"/>
                <w:color w:val="auto"/>
                <w:szCs w:val="24"/>
              </w:rPr>
            </w:pPr>
            <w:r>
              <w:rPr>
                <w:rFonts w:hint="eastAsia" w:ascii="宋体" w:hAnsi="宋体" w:eastAsia="宋体" w:cs="宋体"/>
                <w:color w:val="auto"/>
                <w:szCs w:val="24"/>
                <w:highlight w:val="white"/>
              </w:rPr>
              <w:t>序号</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07C3CF51">
            <w:pPr>
              <w:pStyle w:val="11"/>
              <w:spacing w:before="156"/>
              <w:jc w:val="center"/>
              <w:rPr>
                <w:rFonts w:hint="eastAsia" w:ascii="宋体" w:hAnsi="宋体" w:eastAsia="宋体" w:cs="宋体"/>
                <w:color w:val="auto"/>
                <w:szCs w:val="24"/>
              </w:rPr>
            </w:pPr>
            <w:r>
              <w:rPr>
                <w:rFonts w:hint="eastAsia" w:ascii="宋体" w:hAnsi="宋体" w:eastAsia="宋体" w:cs="宋体"/>
                <w:color w:val="auto"/>
                <w:szCs w:val="24"/>
                <w:highlight w:val="white"/>
              </w:rPr>
              <w:t>磋商文件的商务条款</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74BA4687">
            <w:pPr>
              <w:pStyle w:val="11"/>
              <w:spacing w:before="156"/>
              <w:jc w:val="center"/>
              <w:rPr>
                <w:rFonts w:hint="eastAsia" w:ascii="宋体" w:hAnsi="宋体" w:eastAsia="宋体" w:cs="宋体"/>
                <w:color w:val="auto"/>
                <w:szCs w:val="24"/>
              </w:rPr>
            </w:pPr>
            <w:r>
              <w:rPr>
                <w:rFonts w:hint="eastAsia" w:ascii="宋体" w:hAnsi="宋体" w:eastAsia="宋体" w:cs="宋体"/>
                <w:color w:val="auto"/>
                <w:sz w:val="24"/>
                <w:highlight w:val="none"/>
              </w:rPr>
              <w:t>投标文件商务响应部分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A0FD04">
            <w:pPr>
              <w:jc w:val="center"/>
              <w:rPr>
                <w:rFonts w:hint="eastAsia" w:ascii="宋体" w:hAnsi="宋体" w:eastAsia="宋体" w:cs="宋体"/>
                <w:color w:val="auto"/>
                <w:szCs w:val="24"/>
              </w:rPr>
            </w:pPr>
            <w:r>
              <w:rPr>
                <w:rFonts w:hint="eastAsia" w:ascii="宋体" w:hAnsi="宋体" w:eastAsia="宋体" w:cs="宋体"/>
                <w:color w:val="auto"/>
                <w:sz w:val="24"/>
                <w:highlight w:val="none"/>
              </w:rPr>
              <w:t>偏离</w:t>
            </w:r>
            <w:r>
              <w:rPr>
                <w:rFonts w:hint="eastAsia" w:ascii="宋体" w:hAnsi="宋体" w:eastAsia="宋体" w:cs="宋体"/>
                <w:color w:val="auto"/>
                <w:sz w:val="24"/>
                <w:highlight w:val="none"/>
                <w:lang w:eastAsia="zh-CN"/>
              </w:rPr>
              <w:t>说明</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CFD3544">
            <w:pPr>
              <w:jc w:val="center"/>
              <w:rPr>
                <w:rFonts w:hint="eastAsia" w:ascii="宋体" w:hAnsi="宋体" w:eastAsia="宋体" w:cs="宋体"/>
                <w:color w:val="auto"/>
                <w:szCs w:val="24"/>
              </w:rPr>
            </w:pPr>
            <w:r>
              <w:rPr>
                <w:rFonts w:hint="eastAsia" w:ascii="宋体" w:hAnsi="宋体" w:eastAsia="宋体" w:cs="宋体"/>
                <w:color w:val="auto"/>
                <w:sz w:val="24"/>
                <w:highlight w:val="none"/>
                <w:lang w:eastAsia="zh-CN"/>
              </w:rPr>
              <w:t>备注</w:t>
            </w:r>
          </w:p>
        </w:tc>
      </w:tr>
      <w:tr w14:paraId="26A40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2E52DB29">
            <w:pPr>
              <w:pStyle w:val="11"/>
              <w:rPr>
                <w:rFonts w:hint="eastAsia" w:ascii="宋体" w:hAnsi="宋体" w:eastAsia="宋体" w:cs="宋体"/>
                <w:color w:val="auto"/>
                <w:szCs w:val="24"/>
                <w:highlight w:val="white"/>
              </w:rPr>
            </w:pPr>
            <w:r>
              <w:rPr>
                <w:rFonts w:hint="eastAsia" w:ascii="宋体" w:hAnsi="宋体" w:eastAsia="宋体" w:cs="宋体"/>
                <w:color w:val="auto"/>
                <w:szCs w:val="24"/>
                <w:highlight w:val="white"/>
              </w:rPr>
              <w:t> </w:t>
            </w:r>
          </w:p>
          <w:p w14:paraId="4E661CAE">
            <w:pPr>
              <w:pStyle w:val="11"/>
              <w:ind w:firstLine="240" w:firstLineChars="100"/>
              <w:rPr>
                <w:rFonts w:hint="eastAsia" w:ascii="宋体" w:hAnsi="宋体" w:eastAsia="宋体" w:cs="宋体"/>
                <w:color w:val="auto"/>
                <w:szCs w:val="24"/>
                <w:lang w:val="en-US" w:eastAsia="zh-CN"/>
              </w:rPr>
            </w:pPr>
            <w:r>
              <w:rPr>
                <w:rFonts w:hint="eastAsia" w:ascii="宋体" w:hAnsi="宋体" w:eastAsia="宋体" w:cs="宋体"/>
                <w:color w:val="auto"/>
                <w:szCs w:val="24"/>
                <w:highlight w:val="white"/>
                <w:lang w:val="en-US" w:eastAsia="zh-CN"/>
              </w:rPr>
              <w:t>1</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6B9BC141">
            <w:pPr>
              <w:pStyle w:val="11"/>
              <w:jc w:val="left"/>
              <w:rPr>
                <w:rFonts w:hint="eastAsia" w:ascii="宋体" w:hAnsi="宋体" w:eastAsia="宋体" w:cs="宋体"/>
                <w:color w:val="auto"/>
                <w:szCs w:val="24"/>
              </w:rPr>
            </w:pPr>
            <w:r>
              <w:rPr>
                <w:rFonts w:hint="eastAsia" w:ascii="宋体" w:hAnsi="宋体" w:eastAsia="宋体" w:cs="宋体"/>
                <w:b/>
                <w:bCs/>
                <w:snapToGrid w:val="0"/>
                <w:color w:val="auto"/>
                <w:spacing w:val="0"/>
                <w:kern w:val="0"/>
                <w:position w:val="0"/>
                <w:sz w:val="24"/>
                <w:szCs w:val="24"/>
                <w:highlight w:val="none"/>
                <w:lang w:val="en-US" w:eastAsia="zh-CN"/>
              </w:rPr>
              <w:t>第五章采购需求中四、商务条款中的所有内容</w:t>
            </w: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0402522F">
            <w:pPr>
              <w:pStyle w:val="11"/>
              <w:jc w:val="center"/>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72FA1FC7">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6F1C9918">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2A02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5CC6D90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183C990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55F7688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21C4F772">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3AC857A5">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29FF1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7CA9378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5AE9C33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69551FD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3FD4D1C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47AE660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A4DB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352D44B8">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7F1D696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1CC882B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1A68379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4C72486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0AA74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3EF7990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64A5ED21">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1B0A2CC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0113DF9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2E494A7A">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bl>
    <w:p w14:paraId="203D8DCB">
      <w:pPr>
        <w:pStyle w:val="11"/>
        <w:snapToGrid w:val="0"/>
        <w:rPr>
          <w:rFonts w:hint="eastAsia" w:ascii="宋体" w:hAnsi="宋体" w:eastAsia="宋体" w:cs="宋体"/>
          <w:color w:val="auto"/>
          <w:szCs w:val="24"/>
          <w:highlight w:val="white"/>
        </w:rPr>
      </w:pPr>
      <w:r>
        <w:rPr>
          <w:rFonts w:hint="eastAsia" w:ascii="宋体" w:hAnsi="宋体" w:eastAsia="宋体" w:cs="宋体"/>
          <w:color w:val="auto"/>
          <w:szCs w:val="24"/>
          <w:highlight w:val="white"/>
        </w:rPr>
        <w:t> </w:t>
      </w:r>
    </w:p>
    <w:p w14:paraId="4C01ADC4">
      <w:pPr>
        <w:pageBreakBefore w:val="0"/>
        <w:widowControl w:val="0"/>
        <w:wordWrap/>
        <w:overflowPunct/>
        <w:topLinePunct w:val="0"/>
        <w:bidi w:val="0"/>
        <w:spacing w:line="219" w:lineRule="auto"/>
        <w:rPr>
          <w:rFonts w:hint="eastAsia" w:ascii="宋体" w:hAnsi="宋体" w:eastAsia="宋体" w:cs="宋体"/>
          <w:color w:val="auto"/>
          <w:position w:val="17"/>
          <w:sz w:val="24"/>
          <w:szCs w:val="24"/>
          <w:lang w:eastAsia="zh-CN"/>
        </w:rPr>
      </w:pPr>
    </w:p>
    <w:p w14:paraId="128D035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2" w:firstLineChars="200"/>
        <w:jc w:val="both"/>
        <w:textAlignment w:val="baseline"/>
        <w:rPr>
          <w:rFonts w:hint="eastAsia"/>
          <w:color w:val="auto"/>
        </w:rPr>
      </w:pPr>
      <w:r>
        <w:rPr>
          <w:rFonts w:hint="eastAsia" w:ascii="宋体" w:hAnsi="宋体" w:eastAsia="宋体" w:cs="宋体"/>
          <w:b/>
          <w:bCs/>
          <w:color w:val="auto"/>
          <w:spacing w:val="0"/>
          <w:kern w:val="2"/>
          <w:position w:val="0"/>
          <w:sz w:val="24"/>
          <w:szCs w:val="24"/>
          <w:highlight w:val="none"/>
          <w:lang w:val="en-US" w:eastAsia="zh-CN" w:bidi="ar-SA"/>
        </w:rPr>
        <w:t>填写说明：</w:t>
      </w:r>
    </w:p>
    <w:p w14:paraId="663A796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2" w:firstLineChars="200"/>
        <w:jc w:val="both"/>
        <w:textAlignment w:val="baseline"/>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1、磋商文件的商务条款包括磋商文件</w:t>
      </w:r>
      <w:r>
        <w:rPr>
          <w:rFonts w:hint="eastAsia" w:ascii="宋体" w:hAnsi="宋体" w:eastAsia="宋体" w:cs="宋体"/>
          <w:b/>
          <w:bCs/>
          <w:snapToGrid w:val="0"/>
          <w:color w:val="auto"/>
          <w:spacing w:val="0"/>
          <w:kern w:val="0"/>
          <w:position w:val="0"/>
          <w:sz w:val="24"/>
          <w:szCs w:val="24"/>
          <w:highlight w:val="none"/>
          <w:lang w:val="en-US" w:eastAsia="zh-CN"/>
        </w:rPr>
        <w:t>第五章采购需求中四、商务条款中的所有内容</w:t>
      </w:r>
    </w:p>
    <w:p w14:paraId="2C28AF28">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2、投标人商务部分如无偏离，则在“</w:t>
      </w:r>
      <w:r>
        <w:rPr>
          <w:rFonts w:hint="eastAsia" w:ascii="宋体" w:hAnsi="宋体" w:eastAsia="宋体" w:cs="宋体"/>
          <w:color w:val="auto"/>
          <w:sz w:val="24"/>
          <w:highlight w:val="none"/>
        </w:rPr>
        <w:t>投标文件商务响应部分</w:t>
      </w:r>
      <w:r>
        <w:rPr>
          <w:rFonts w:hint="eastAsia" w:ascii="宋体" w:hAnsi="宋体" w:eastAsia="宋体" w:cs="宋体"/>
          <w:color w:val="auto"/>
          <w:spacing w:val="0"/>
          <w:kern w:val="2"/>
          <w:position w:val="0"/>
          <w:sz w:val="24"/>
          <w:szCs w:val="24"/>
          <w:highlight w:val="none"/>
          <w:lang w:val="en-US" w:eastAsia="zh-CN" w:bidi="ar-SA"/>
        </w:rPr>
        <w:t>”中第一行填写“全部响应”；“偏离说明”中填写“无偏离”即可。</w:t>
      </w:r>
    </w:p>
    <w:p w14:paraId="52157C83">
      <w:pPr>
        <w:adjustRightInd w:val="0"/>
        <w:snapToGrid w:val="0"/>
        <w:spacing w:line="360" w:lineRule="auto"/>
        <w:ind w:left="359" w:leftChars="171" w:firstLine="120" w:firstLineChars="50"/>
        <w:jc w:val="left"/>
        <w:outlineLvl w:val="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3、投标人商务部分如有正偏离，则在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文件的商务条件</w:t>
      </w:r>
      <w:r>
        <w:rPr>
          <w:rFonts w:hint="eastAsia" w:ascii="宋体" w:hAnsi="宋体" w:eastAsia="宋体" w:cs="宋体"/>
          <w:color w:val="auto"/>
          <w:spacing w:val="0"/>
          <w:kern w:val="2"/>
          <w:position w:val="0"/>
          <w:sz w:val="24"/>
          <w:szCs w:val="24"/>
          <w:highlight w:val="none"/>
          <w:lang w:val="en-US" w:eastAsia="zh-CN" w:bidi="ar-SA"/>
        </w:rPr>
        <w:t>中填写正偏离的条款，在“投标文件商务响应部分”中填写具体响应数值或内容；在“偏离说明”中填写“正偏离”；如有负偏离，则在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文件的商务条件</w:t>
      </w:r>
      <w:r>
        <w:rPr>
          <w:rFonts w:hint="eastAsia" w:ascii="宋体" w:hAnsi="宋体" w:eastAsia="宋体" w:cs="宋体"/>
          <w:color w:val="auto"/>
          <w:spacing w:val="0"/>
          <w:kern w:val="2"/>
          <w:position w:val="0"/>
          <w:sz w:val="24"/>
          <w:szCs w:val="24"/>
          <w:highlight w:val="none"/>
          <w:lang w:val="en-US" w:eastAsia="zh-CN" w:bidi="ar-SA"/>
        </w:rPr>
        <w:t>中填写负偏离的条款，在“投标文件商务响应部分”中填写具体响应数值或内容；在“偏离说明”中填写“负偏离”。同时在“商务条款响应/偏离表”中注明其他条款无偏离，有一项负偏离则视为无效投标。</w:t>
      </w:r>
    </w:p>
    <w:p w14:paraId="4FC6BC3E">
      <w:pPr>
        <w:pStyle w:val="11"/>
        <w:spacing w:line="46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4、投标人须根据所投技术能力如实响应或偏离，所响应的内容为合同组成部分。</w:t>
      </w:r>
    </w:p>
    <w:p w14:paraId="5D2E977D">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color w:val="auto"/>
          <w:spacing w:val="-3"/>
          <w:sz w:val="24"/>
          <w:szCs w:val="24"/>
          <w:highlight w:val="none"/>
          <w:lang w:eastAsia="zh-CN"/>
        </w:rPr>
      </w:pPr>
    </w:p>
    <w:p w14:paraId="223D10E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rightChars="0" w:firstLine="468"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4B2A39FA">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bookmarkStart w:id="284" w:name="_Toc27685"/>
      <w:bookmarkStart w:id="285" w:name="_Toc16050"/>
      <w:r>
        <w:rPr>
          <w:rFonts w:ascii="宋体" w:hAnsi="宋体" w:eastAsia="宋体" w:cs="宋体"/>
          <w:color w:val="auto"/>
          <w:spacing w:val="-1"/>
          <w:sz w:val="24"/>
          <w:szCs w:val="24"/>
          <w:highlight w:val="none"/>
          <w:lang w:eastAsia="zh-CN"/>
        </w:rPr>
        <w:t>法定代表人或授权代表签字或签章：</w:t>
      </w:r>
      <w:bookmarkEnd w:id="284"/>
      <w:bookmarkEnd w:id="285"/>
      <w:r>
        <w:rPr>
          <w:rFonts w:hint="eastAsia" w:ascii="宋体" w:hAnsi="宋体" w:eastAsia="宋体" w:cs="宋体"/>
          <w:color w:val="auto"/>
          <w:spacing w:val="-1"/>
          <w:sz w:val="24"/>
          <w:szCs w:val="24"/>
          <w:highlight w:val="none"/>
          <w:u w:val="single"/>
          <w:lang w:val="en-US" w:eastAsia="zh-CN"/>
        </w:rPr>
        <w:t xml:space="preserve">                   </w:t>
      </w:r>
      <w:bookmarkStart w:id="286" w:name="_Toc29967_WPSOffice_Level1"/>
      <w:bookmarkStart w:id="287" w:name="_Toc28485"/>
      <w:bookmarkStart w:id="288" w:name="_Toc32223_WPSOffice_Level1"/>
      <w:bookmarkStart w:id="289" w:name="_Toc2592_WPSOffice_Level1"/>
      <w:bookmarkStart w:id="290" w:name="_Toc13605"/>
    </w:p>
    <w:p w14:paraId="1DBFD792">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5F2339C0">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3B1BDD52">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307DC594">
      <w:pPr>
        <w:pStyle w:val="4"/>
        <w:rPr>
          <w:rFonts w:hint="eastAsia"/>
          <w:lang w:val="en-US" w:eastAsia="zh-CN"/>
        </w:rPr>
      </w:pPr>
    </w:p>
    <w:p w14:paraId="3EFE1D48">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right="0" w:rightChars="0"/>
        <w:jc w:val="center"/>
        <w:textAlignment w:val="baseline"/>
        <w:outlineLvl w:val="2"/>
        <w:rPr>
          <w:rFonts w:hint="eastAsia" w:ascii="宋体" w:hAnsi="宋体" w:cs="宋体"/>
          <w:color w:val="auto"/>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5.</w:t>
      </w:r>
      <w:r>
        <w:rPr>
          <w:rFonts w:hint="eastAsia" w:ascii="宋体" w:hAnsi="宋体" w:cs="宋体"/>
          <w:b/>
          <w:bCs/>
          <w:color w:val="auto"/>
          <w:sz w:val="28"/>
          <w:szCs w:val="28"/>
          <w:highlight w:val="white"/>
        </w:rPr>
        <w:t>诚信投标（报价）承诺书</w:t>
      </w:r>
      <w:bookmarkEnd w:id="286"/>
      <w:bookmarkEnd w:id="287"/>
      <w:bookmarkEnd w:id="288"/>
      <w:bookmarkEnd w:id="289"/>
      <w:bookmarkEnd w:id="290"/>
    </w:p>
    <w:p w14:paraId="4412B51E">
      <w:pPr>
        <w:snapToGrid w:val="0"/>
        <w:spacing w:line="360" w:lineRule="auto"/>
        <w:rPr>
          <w:rFonts w:hint="eastAsia" w:ascii="宋体" w:hAnsi="宋体" w:cs="宋体"/>
          <w:color w:val="auto"/>
          <w:sz w:val="24"/>
        </w:rPr>
      </w:pPr>
      <w:r>
        <w:rPr>
          <w:rFonts w:hint="eastAsia" w:ascii="宋体" w:hAnsi="宋体" w:cs="宋体"/>
          <w:color w:val="auto"/>
          <w:sz w:val="24"/>
          <w:highlight w:val="white"/>
        </w:rPr>
        <w:t>致：</w:t>
      </w:r>
      <w:r>
        <w:rPr>
          <w:rFonts w:hint="eastAsia" w:ascii="宋体" w:hAnsi="宋体" w:cs="宋体"/>
          <w:color w:val="auto"/>
          <w:sz w:val="24"/>
          <w:highlight w:val="white"/>
          <w:u w:val="single"/>
        </w:rPr>
        <w:t>遂川县仁远建设事务发展有限公司</w:t>
      </w:r>
    </w:p>
    <w:p w14:paraId="603828B3">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为维护政府采购市场秩序，本投标人在参加（采购项目名称）采购编号：</w:t>
      </w:r>
      <w:r>
        <w:rPr>
          <w:rFonts w:hint="eastAsia" w:ascii="宋体" w:hAnsi="宋体" w:cs="宋体"/>
          <w:bCs/>
          <w:color w:val="auto"/>
          <w:sz w:val="24"/>
          <w:szCs w:val="24"/>
          <w:highlight w:val="white"/>
          <w:u w:val="single"/>
        </w:rPr>
        <w:t xml:space="preserve">      </w:t>
      </w:r>
      <w:r>
        <w:rPr>
          <w:rFonts w:hint="eastAsia" w:ascii="宋体" w:hAnsi="宋体" w:cs="宋体"/>
          <w:color w:val="auto"/>
          <w:sz w:val="24"/>
          <w:highlight w:val="white"/>
        </w:rPr>
        <w:t>的采购活动中郑重作出如下承诺：</w:t>
      </w:r>
    </w:p>
    <w:p w14:paraId="17BBEAAE">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一、严格遵循公开、公平、公正和诚实信用的原则参与本次政府采购活动。</w:t>
      </w:r>
    </w:p>
    <w:p w14:paraId="6444FD60">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二、本投标（报价）文件中所提供的全部材料都是真实、有效和合法的。</w:t>
      </w:r>
    </w:p>
    <w:p w14:paraId="3A4E2C1C">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三、不采取不正当的手段诋毁、排挤其他供应商。</w:t>
      </w:r>
    </w:p>
    <w:p w14:paraId="0701281B">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四、不与采购人、其它供应商或者采购代理机构串通投标（报价），损害国家利益、社会公共利益或者其他人的合法利益。</w:t>
      </w:r>
    </w:p>
    <w:p w14:paraId="55CABD38">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五、不向采购人、采购代理机构工作人员及评审委员成员行贿或以提供其他不正当利益的方式牟取中标或成交资格。</w:t>
      </w:r>
    </w:p>
    <w:p w14:paraId="5209517A">
      <w:pPr>
        <w:snapToGrid w:val="0"/>
        <w:spacing w:line="360" w:lineRule="auto"/>
        <w:ind w:left="180"/>
        <w:rPr>
          <w:rFonts w:hint="eastAsia" w:ascii="宋体" w:hAnsi="宋体" w:cs="宋体"/>
          <w:color w:val="auto"/>
          <w:sz w:val="24"/>
        </w:rPr>
      </w:pPr>
      <w:r>
        <w:rPr>
          <w:rFonts w:hint="eastAsia" w:ascii="宋体" w:hAnsi="宋体" w:cs="宋体"/>
          <w:color w:val="auto"/>
          <w:sz w:val="24"/>
          <w:highlight w:val="white"/>
        </w:rPr>
        <w:t>六、不以伪造、变造投标（报价）资质材料或以其他方式弄虚作假，骗取中标或成交资格。</w:t>
      </w:r>
    </w:p>
    <w:p w14:paraId="6122A30E">
      <w:pPr>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七、不进行虚假、恶意投诉或以其它方式扰乱政府采购市场秩序。</w:t>
      </w:r>
    </w:p>
    <w:p w14:paraId="72F106E0">
      <w:pPr>
        <w:snapToGrid w:val="0"/>
        <w:spacing w:line="360" w:lineRule="auto"/>
        <w:ind w:left="180"/>
        <w:rPr>
          <w:rFonts w:hint="eastAsia" w:ascii="宋体" w:hAnsi="宋体" w:cs="宋体"/>
          <w:color w:val="auto"/>
          <w:sz w:val="24"/>
        </w:rPr>
      </w:pPr>
      <w:r>
        <w:rPr>
          <w:rFonts w:hint="eastAsia" w:ascii="宋体" w:hAnsi="宋体" w:cs="宋体"/>
          <w:color w:val="auto"/>
          <w:sz w:val="24"/>
          <w:highlight w:val="white"/>
        </w:rPr>
        <w:t>八、积极配合各级财政部门调查处理投诉事项，如实反映情况，提供真实材料。</w:t>
      </w:r>
    </w:p>
    <w:p w14:paraId="1E77CD9D">
      <w:pPr>
        <w:snapToGrid w:val="0"/>
        <w:spacing w:line="360" w:lineRule="auto"/>
        <w:ind w:left="-4" w:leftChars="-2" w:firstLine="240" w:firstLineChars="100"/>
        <w:rPr>
          <w:rFonts w:hint="eastAsia" w:ascii="宋体" w:hAnsi="宋体" w:cs="宋体"/>
          <w:color w:val="auto"/>
          <w:sz w:val="24"/>
        </w:rPr>
      </w:pPr>
      <w:r>
        <w:rPr>
          <w:rFonts w:hint="eastAsia" w:ascii="宋体" w:hAnsi="宋体" w:cs="宋体"/>
          <w:color w:val="auto"/>
          <w:sz w:val="24"/>
          <w:highlight w:val="white"/>
        </w:rPr>
        <w:t>本投标人若违反上述承诺，愿意承担法律责任，并接受有关监督部门依法作出的处罚。</w:t>
      </w:r>
    </w:p>
    <w:p w14:paraId="0D7ED674">
      <w:pPr>
        <w:snapToGrid w:val="0"/>
        <w:spacing w:line="360" w:lineRule="auto"/>
        <w:ind w:left="645"/>
        <w:rPr>
          <w:rFonts w:hint="eastAsia" w:ascii="宋体" w:hAnsi="宋体" w:cs="宋体"/>
          <w:color w:val="auto"/>
          <w:sz w:val="24"/>
        </w:rPr>
      </w:pPr>
      <w:r>
        <w:rPr>
          <w:rFonts w:hint="eastAsia" w:ascii="宋体" w:hAnsi="宋体" w:cs="宋体"/>
          <w:color w:val="auto"/>
          <w:sz w:val="24"/>
          <w:highlight w:val="white"/>
        </w:rPr>
        <w:t> </w:t>
      </w:r>
    </w:p>
    <w:p w14:paraId="72FC6473">
      <w:pPr>
        <w:snapToGrid w:val="0"/>
        <w:spacing w:line="360" w:lineRule="auto"/>
        <w:ind w:left="645"/>
        <w:rPr>
          <w:rFonts w:hint="eastAsia" w:ascii="宋体" w:hAnsi="宋体" w:cs="宋体"/>
          <w:color w:val="auto"/>
          <w:sz w:val="24"/>
        </w:rPr>
      </w:pPr>
      <w:r>
        <w:rPr>
          <w:rFonts w:hint="eastAsia" w:ascii="宋体" w:hAnsi="宋体" w:cs="宋体"/>
          <w:color w:val="auto"/>
          <w:sz w:val="24"/>
          <w:highlight w:val="white"/>
        </w:rPr>
        <w:t> </w:t>
      </w:r>
    </w:p>
    <w:p w14:paraId="59D4D59F">
      <w:pPr>
        <w:snapToGrid w:val="0"/>
        <w:spacing w:line="360" w:lineRule="auto"/>
        <w:ind w:left="-4" w:leftChars="-2" w:firstLine="74" w:firstLineChars="31"/>
        <w:rPr>
          <w:rFonts w:hint="eastAsia" w:ascii="宋体" w:hAnsi="宋体" w:cs="宋体"/>
          <w:color w:val="auto"/>
          <w:sz w:val="24"/>
        </w:rPr>
      </w:pPr>
      <w:r>
        <w:rPr>
          <w:rFonts w:hint="eastAsia" w:ascii="宋体" w:hAnsi="宋体" w:cs="宋体"/>
          <w:color w:val="auto"/>
          <w:sz w:val="24"/>
          <w:highlight w:val="white"/>
        </w:rPr>
        <w:t>投标人：     （盖章）               法定代表人/企业负责人：  （签字或印章）</w:t>
      </w:r>
    </w:p>
    <w:p w14:paraId="59A51807">
      <w:pPr>
        <w:snapToGrid w:val="0"/>
        <w:spacing w:line="360" w:lineRule="auto"/>
        <w:ind w:left="-4" w:leftChars="-2" w:firstLine="74" w:firstLineChars="31"/>
        <w:rPr>
          <w:rFonts w:hint="eastAsia" w:ascii="宋体" w:hAnsi="宋体" w:cs="宋体"/>
          <w:color w:val="auto"/>
          <w:sz w:val="24"/>
        </w:rPr>
      </w:pPr>
    </w:p>
    <w:p w14:paraId="07C81EEC">
      <w:pPr>
        <w:snapToGrid w:val="0"/>
        <w:spacing w:line="360" w:lineRule="auto"/>
        <w:ind w:left="-4" w:leftChars="-2" w:firstLine="74" w:firstLineChars="31"/>
        <w:rPr>
          <w:rFonts w:hint="eastAsia" w:ascii="宋体" w:hAnsi="宋体" w:cs="宋体"/>
          <w:color w:val="auto"/>
          <w:sz w:val="24"/>
        </w:rPr>
      </w:pPr>
      <w:r>
        <w:rPr>
          <w:rFonts w:hint="eastAsia" w:ascii="宋体" w:hAnsi="宋体" w:cs="宋体"/>
          <w:color w:val="auto"/>
          <w:sz w:val="24"/>
          <w:highlight w:val="white"/>
        </w:rPr>
        <w:t> </w:t>
      </w:r>
    </w:p>
    <w:p w14:paraId="62E242A9">
      <w:pPr>
        <w:snapToGrid w:val="0"/>
        <w:spacing w:line="360" w:lineRule="auto"/>
        <w:ind w:left="-4" w:leftChars="-2" w:firstLine="6312" w:firstLineChars="2630"/>
        <w:rPr>
          <w:rFonts w:hint="eastAsia" w:ascii="宋体" w:hAnsi="宋体" w:cs="宋体"/>
          <w:color w:val="auto"/>
          <w:sz w:val="24"/>
        </w:rPr>
      </w:pPr>
      <w:r>
        <w:rPr>
          <w:rFonts w:hint="eastAsia" w:ascii="宋体" w:hAnsi="宋体" w:cs="宋体"/>
          <w:color w:val="auto"/>
          <w:sz w:val="24"/>
          <w:highlight w:val="white"/>
        </w:rPr>
        <w:t xml:space="preserve">  年    月    日</w:t>
      </w:r>
    </w:p>
    <w:p w14:paraId="019F98DA">
      <w:pPr>
        <w:snapToGrid w:val="0"/>
        <w:ind w:firstLine="4080" w:firstLineChars="1700"/>
        <w:rPr>
          <w:rFonts w:hint="eastAsia" w:ascii="宋体" w:hAnsi="宋体" w:cs="宋体"/>
          <w:color w:val="auto"/>
          <w:sz w:val="24"/>
        </w:rPr>
      </w:pPr>
      <w:r>
        <w:rPr>
          <w:rFonts w:hint="eastAsia" w:ascii="宋体" w:hAnsi="宋体" w:cs="宋体"/>
          <w:color w:val="auto"/>
          <w:sz w:val="24"/>
          <w:highlight w:val="white"/>
        </w:rPr>
        <w:t> </w:t>
      </w:r>
    </w:p>
    <w:p w14:paraId="220063D9">
      <w:pPr>
        <w:snapToGrid w:val="0"/>
        <w:rPr>
          <w:rFonts w:hint="eastAsia" w:ascii="宋体" w:hAnsi="宋体" w:cs="宋体"/>
          <w:b/>
          <w:bCs/>
          <w:color w:val="auto"/>
        </w:rPr>
      </w:pPr>
      <w:r>
        <w:rPr>
          <w:rFonts w:hint="eastAsia" w:ascii="宋体" w:hAnsi="宋体" w:cs="宋体"/>
          <w:b/>
          <w:bCs/>
          <w:color w:val="auto"/>
          <w:highlight w:val="white"/>
        </w:rPr>
        <w:t> </w:t>
      </w:r>
    </w:p>
    <w:p w14:paraId="416F265F">
      <w:pPr>
        <w:snapToGrid w:val="0"/>
        <w:rPr>
          <w:rFonts w:hint="eastAsia" w:ascii="宋体" w:hAnsi="宋体" w:cs="宋体"/>
          <w:b/>
          <w:bCs/>
          <w:color w:val="auto"/>
        </w:rPr>
      </w:pPr>
    </w:p>
    <w:p w14:paraId="54FDE572">
      <w:pPr>
        <w:snapToGrid w:val="0"/>
        <w:rPr>
          <w:rFonts w:hint="eastAsia" w:ascii="宋体" w:hAnsi="宋体" w:cs="宋体"/>
          <w:b/>
          <w:bCs/>
          <w:color w:val="auto"/>
        </w:rPr>
      </w:pPr>
    </w:p>
    <w:p w14:paraId="4702EEFB">
      <w:pPr>
        <w:snapToGrid w:val="0"/>
        <w:rPr>
          <w:rFonts w:hint="eastAsia" w:ascii="宋体" w:hAnsi="宋体" w:cs="宋体"/>
          <w:b/>
          <w:bCs/>
          <w:color w:val="auto"/>
        </w:rPr>
      </w:pPr>
      <w:r>
        <w:rPr>
          <w:rFonts w:hint="eastAsia" w:ascii="宋体" w:hAnsi="宋体" w:cs="宋体"/>
          <w:b/>
          <w:bCs/>
          <w:color w:val="auto"/>
          <w:highlight w:val="white"/>
        </w:rPr>
        <w:t> </w:t>
      </w:r>
    </w:p>
    <w:p w14:paraId="71C27E99">
      <w:pPr>
        <w:snapToGrid w:val="0"/>
        <w:rPr>
          <w:rFonts w:hint="eastAsia" w:ascii="宋体" w:hAnsi="宋体" w:cs="宋体"/>
          <w:b/>
          <w:bCs/>
          <w:color w:val="auto"/>
        </w:rPr>
      </w:pPr>
      <w:r>
        <w:rPr>
          <w:rFonts w:hint="eastAsia" w:ascii="宋体" w:hAnsi="宋体" w:cs="宋体"/>
          <w:b/>
          <w:bCs/>
          <w:color w:val="auto"/>
          <w:highlight w:val="white"/>
        </w:rPr>
        <w:t> </w:t>
      </w:r>
    </w:p>
    <w:p w14:paraId="0563B145">
      <w:pPr>
        <w:snapToGrid w:val="0"/>
        <w:rPr>
          <w:rFonts w:hint="eastAsia" w:ascii="宋体" w:hAnsi="宋体" w:cs="宋体"/>
          <w:b/>
          <w:bCs/>
          <w:color w:val="auto"/>
        </w:rPr>
      </w:pPr>
    </w:p>
    <w:p w14:paraId="742FBAF2">
      <w:pPr>
        <w:snapToGrid w:val="0"/>
        <w:rPr>
          <w:rFonts w:hint="eastAsia" w:ascii="宋体" w:hAnsi="宋体" w:cs="宋体"/>
          <w:b/>
          <w:bCs/>
          <w:color w:val="auto"/>
        </w:rPr>
      </w:pPr>
    </w:p>
    <w:p w14:paraId="1F01EABA">
      <w:pPr>
        <w:rPr>
          <w:rFonts w:hint="eastAsia" w:ascii="宋体" w:hAnsi="宋体" w:cs="宋体"/>
          <w:b/>
          <w:bCs/>
          <w:color w:val="auto"/>
        </w:rPr>
      </w:pPr>
    </w:p>
    <w:p w14:paraId="44B1BD73">
      <w:pPr>
        <w:rPr>
          <w:rFonts w:hint="eastAsia" w:ascii="宋体" w:hAnsi="宋体" w:cs="宋体"/>
          <w:b/>
          <w:bCs/>
          <w:color w:val="auto"/>
        </w:rPr>
      </w:pPr>
    </w:p>
    <w:p w14:paraId="68067347">
      <w:pPr>
        <w:keepNext w:val="0"/>
        <w:keepLines w:val="0"/>
        <w:pageBreakBefore w:val="0"/>
        <w:kinsoku w:val="0"/>
        <w:wordWrap/>
        <w:overflowPunct/>
        <w:topLinePunct w:val="0"/>
        <w:autoSpaceDE w:val="0"/>
        <w:autoSpaceDN w:val="0"/>
        <w:bidi w:val="0"/>
        <w:adjustRightInd w:val="0"/>
        <w:snapToGrid w:val="0"/>
        <w:spacing w:line="600" w:lineRule="exact"/>
        <w:ind w:firstLine="1928" w:firstLineChars="600"/>
        <w:textAlignment w:val="baseline"/>
        <w:rPr>
          <w:rFonts w:hint="eastAsia" w:ascii="宋体" w:hAnsi="宋体" w:eastAsia="宋体" w:cs="宋体"/>
          <w:b/>
          <w:bCs/>
          <w:color w:val="auto"/>
          <w:sz w:val="32"/>
          <w:szCs w:val="32"/>
          <w:highlight w:val="white"/>
          <w:lang w:eastAsia="zh-CN"/>
        </w:rPr>
      </w:pPr>
      <w:bookmarkStart w:id="291" w:name="_Toc27386"/>
    </w:p>
    <w:p w14:paraId="1487FA74">
      <w:pPr>
        <w:keepNext w:val="0"/>
        <w:keepLines w:val="0"/>
        <w:pageBreakBefore w:val="0"/>
        <w:kinsoku w:val="0"/>
        <w:wordWrap/>
        <w:overflowPunct/>
        <w:topLinePunct w:val="0"/>
        <w:autoSpaceDE w:val="0"/>
        <w:autoSpaceDN w:val="0"/>
        <w:bidi w:val="0"/>
        <w:adjustRightInd w:val="0"/>
        <w:snapToGrid w:val="0"/>
        <w:spacing w:line="600" w:lineRule="exact"/>
        <w:ind w:firstLine="1606" w:firstLineChars="500"/>
        <w:textAlignment w:val="baseline"/>
        <w:rPr>
          <w:rFonts w:ascii="FZFangSong-Z02" w:hAnsi="FZFangSong-Z02" w:eastAsia="FZFangSong-Z02" w:cs="FZFangSong-Z02"/>
          <w:color w:val="auto"/>
          <w:kern w:val="0"/>
          <w:sz w:val="28"/>
          <w:szCs w:val="28"/>
          <w:lang w:bidi="ar"/>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6.</w:t>
      </w:r>
      <w:bookmarkEnd w:id="291"/>
      <w:r>
        <w:rPr>
          <w:rFonts w:hint="eastAsia" w:ascii="宋体" w:hAnsi="宋体" w:eastAsia="宋体" w:cs="宋体"/>
          <w:b/>
          <w:bCs/>
          <w:color w:val="auto"/>
          <w:sz w:val="32"/>
          <w:szCs w:val="32"/>
          <w:highlight w:val="white"/>
          <w:lang w:eastAsia="zh-CN"/>
        </w:rPr>
        <w:t>服务商应当提交的资格证明文件</w:t>
      </w:r>
    </w:p>
    <w:p w14:paraId="18C47DF9">
      <w:pPr>
        <w:keepNext w:val="0"/>
        <w:keepLines w:val="0"/>
        <w:pageBreakBefore w:val="0"/>
        <w:kinsoku w:val="0"/>
        <w:wordWrap/>
        <w:overflowPunct/>
        <w:topLinePunct w:val="0"/>
        <w:autoSpaceDE w:val="0"/>
        <w:autoSpaceDN w:val="0"/>
        <w:bidi w:val="0"/>
        <w:adjustRightInd w:val="0"/>
        <w:snapToGrid w:val="0"/>
        <w:spacing w:line="600" w:lineRule="exact"/>
        <w:ind w:firstLine="1904" w:firstLineChars="800"/>
        <w:textAlignment w:val="baseline"/>
        <w:rPr>
          <w:rFonts w:hint="eastAsia" w:ascii="宋体" w:hAnsi="宋体" w:eastAsia="宋体" w:cs="宋体"/>
          <w:b/>
          <w:bCs/>
          <w:color w:val="auto"/>
          <w:sz w:val="24"/>
          <w:szCs w:val="24"/>
          <w:highlight w:val="none"/>
        </w:rPr>
      </w:pPr>
      <w:bookmarkStart w:id="292" w:name="_Toc13986"/>
      <w:bookmarkStart w:id="293" w:name="_Toc27140_WPSOffice_Level1"/>
      <w:bookmarkStart w:id="294" w:name="_Toc20630"/>
      <w:bookmarkStart w:id="295" w:name="_Toc16110_WPSOffice_Level1"/>
      <w:bookmarkStart w:id="296" w:name="_Toc9689"/>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格式 </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 xml:space="preserve">1 </w:t>
      </w:r>
      <w:bookmarkEnd w:id="292"/>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吉安市政府采购服务商资格信用承诺函</w:t>
      </w:r>
      <w:r>
        <w:rPr>
          <w:rFonts w:hint="eastAsia" w:ascii="宋体" w:hAnsi="宋体" w:eastAsia="宋体" w:cs="宋体"/>
          <w:b/>
          <w:bCs/>
          <w:color w:val="auto"/>
          <w:sz w:val="24"/>
          <w:szCs w:val="24"/>
          <w:highlight w:val="none"/>
          <w:lang w:val="en-US" w:eastAsia="zh-CN"/>
        </w:rPr>
        <w:t xml:space="preserve"> </w:t>
      </w:r>
    </w:p>
    <w:p w14:paraId="55BA202C">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600" w:lineRule="exact"/>
        <w:ind w:left="0" w:right="0" w:firstLine="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6685C9F0">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520" w:lineRule="exact"/>
        <w:ind w:left="0" w:leftChars="0" w:right="0" w:firstLine="480" w:firstLineChars="20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19F0EAF0">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520" w:lineRule="exact"/>
        <w:ind w:left="0" w:leftChars="0" w:right="0" w:firstLine="480" w:firstLineChars="20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7463FCDD">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683583FE">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11CB7E70">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50CED5CA">
      <w:pPr>
        <w:pStyle w:val="41"/>
        <w:keepNext w:val="0"/>
        <w:keepLines w:val="0"/>
        <w:pageBreakBefore w:val="0"/>
        <w:widowControl w:val="0"/>
        <w:shd w:val="clear" w:color="auto" w:fill="auto"/>
        <w:wordWrap/>
        <w:overflowPunct/>
        <w:topLinePunct w:val="0"/>
        <w:bidi w:val="0"/>
        <w:spacing w:before="0" w:afterAutospacing="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07637EDB">
      <w:pPr>
        <w:pStyle w:val="41"/>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55B67D80">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5D4C048A">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32C3A542">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18DBFBF">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62E455CE">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0FB22937">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FA94DC1">
      <w:pPr>
        <w:pStyle w:val="41"/>
        <w:keepNext w:val="0"/>
        <w:keepLines w:val="0"/>
        <w:pageBreakBefore w:val="0"/>
        <w:widowControl w:val="0"/>
        <w:shd w:val="clear" w:color="auto" w:fill="auto"/>
        <w:wordWrap/>
        <w:overflowPunct/>
        <w:topLinePunct w:val="0"/>
        <w:bidi w:val="0"/>
        <w:spacing w:before="0" w:after="58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1982FEC3">
      <w:pPr>
        <w:pStyle w:val="41"/>
        <w:keepNext w:val="0"/>
        <w:keepLines w:val="0"/>
        <w:pageBreakBefore w:val="0"/>
        <w:widowControl w:val="0"/>
        <w:shd w:val="clear" w:color="auto" w:fill="auto"/>
        <w:wordWrap/>
        <w:overflowPunct/>
        <w:topLinePunct w:val="0"/>
        <w:bidi w:val="0"/>
        <w:spacing w:before="0" w:after="0" w:line="360" w:lineRule="auto"/>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eastAsia="zh-CN"/>
        </w:rPr>
        <w:t>服务商</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93F745C">
      <w:pPr>
        <w:pStyle w:val="41"/>
        <w:keepNext w:val="0"/>
        <w:keepLines w:val="0"/>
        <w:pageBreakBefore w:val="0"/>
        <w:widowControl w:val="0"/>
        <w:shd w:val="clear" w:color="auto" w:fill="auto"/>
        <w:wordWrap/>
        <w:overflowPunct/>
        <w:topLinePunct w:val="0"/>
        <w:bidi w:val="0"/>
        <w:spacing w:before="0" w:after="0" w:line="360" w:lineRule="auto"/>
        <w:ind w:left="0" w:right="0" w:firstLine="0"/>
        <w:jc w:val="center"/>
        <w:rPr>
          <w:rFonts w:hint="eastAsia"/>
          <w:color w:val="auto"/>
          <w:spacing w:val="0"/>
          <w:w w:val="100"/>
          <w:position w:val="0"/>
          <w:sz w:val="24"/>
          <w:szCs w:val="24"/>
          <w:highlight w:val="non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41CFD07E">
      <w:pPr>
        <w:pStyle w:val="41"/>
        <w:keepNext w:val="0"/>
        <w:keepLines w:val="0"/>
        <w:pageBreakBefore w:val="0"/>
        <w:widowControl w:val="0"/>
        <w:shd w:val="clear" w:color="auto" w:fill="auto"/>
        <w:wordWrap/>
        <w:overflowPunct/>
        <w:topLinePunct w:val="0"/>
        <w:bidi w:val="0"/>
        <w:spacing w:before="0" w:after="520" w:line="360" w:lineRule="auto"/>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4EE27A54">
      <w:pPr>
        <w:pStyle w:val="48"/>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2D115013">
      <w:pPr>
        <w:pStyle w:val="48"/>
        <w:keepNext w:val="0"/>
        <w:keepLines w:val="0"/>
        <w:pageBreakBefore w:val="0"/>
        <w:widowControl w:val="0"/>
        <w:shd w:val="clear" w:color="auto" w:fill="auto"/>
        <w:wordWrap/>
        <w:overflowPunct/>
        <w:topLinePunct w:val="0"/>
        <w:bidi w:val="0"/>
        <w:spacing w:before="0" w:after="0" w:line="602" w:lineRule="exact"/>
        <w:ind w:left="0" w:right="0" w:firstLine="0"/>
        <w:jc w:val="both"/>
        <w:outlineLvl w:val="1"/>
        <w:rPr>
          <w:rFonts w:ascii="宋体" w:hAnsi="宋体" w:eastAsia="宋体" w:cs="宋体"/>
          <w:b w:val="0"/>
          <w:bCs w:val="0"/>
          <w:color w:val="auto"/>
          <w:spacing w:val="0"/>
          <w:w w:val="100"/>
          <w:position w:val="0"/>
          <w:sz w:val="24"/>
          <w:szCs w:val="24"/>
          <w:highlight w:val="none"/>
        </w:rPr>
      </w:pPr>
      <w:bookmarkStart w:id="297" w:name="_Toc8189"/>
      <w:bookmarkStart w:id="298" w:name="_Toc5550"/>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w:t>
      </w:r>
      <w:r>
        <w:rPr>
          <w:rFonts w:hint="eastAsia" w:cs="宋体"/>
          <w:b w:val="0"/>
          <w:bCs w:val="0"/>
          <w:color w:val="auto"/>
          <w:spacing w:val="0"/>
          <w:w w:val="100"/>
          <w:position w:val="0"/>
          <w:sz w:val="24"/>
          <w:szCs w:val="24"/>
          <w:highlight w:val="none"/>
          <w:lang w:eastAsia="zh-CN"/>
        </w:rPr>
        <w:t>服务商</w:t>
      </w:r>
      <w:r>
        <w:rPr>
          <w:rFonts w:ascii="宋体" w:hAnsi="宋体" w:eastAsia="宋体" w:cs="宋体"/>
          <w:b w:val="0"/>
          <w:bCs w:val="0"/>
          <w:color w:val="auto"/>
          <w:spacing w:val="0"/>
          <w:w w:val="100"/>
          <w:position w:val="0"/>
          <w:sz w:val="24"/>
          <w:szCs w:val="24"/>
          <w:highlight w:val="none"/>
        </w:rPr>
        <w:t>（含自然人）</w:t>
      </w:r>
      <w:bookmarkEnd w:id="297"/>
      <w:bookmarkEnd w:id="298"/>
    </w:p>
    <w:p w14:paraId="207D6575">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hint="eastAsia" w:ascii="宋体" w:hAnsi="宋体" w:eastAsia="宋体" w:cs="宋体"/>
          <w:b w:val="0"/>
          <w:bCs w:val="0"/>
          <w:color w:val="auto"/>
          <w:spacing w:val="0"/>
          <w:w w:val="100"/>
          <w:position w:val="0"/>
          <w:sz w:val="24"/>
          <w:szCs w:val="24"/>
          <w:highlight w:val="none"/>
          <w:lang w:eastAsia="zh-CN"/>
        </w:rPr>
        <w:t>服务商</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eastAsia="zh-CN"/>
        </w:rPr>
        <w:t>响应文件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磋商</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响应</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1C3ECD9A">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结果后、签订政府采购合同前, 核实</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lang w:eastAsia="zh-CN"/>
        </w:rPr>
        <w:t>服务商</w:t>
      </w:r>
      <w:r>
        <w:rPr>
          <w:rFonts w:hint="eastAsia" w:ascii="宋体" w:hAnsi="宋体" w:eastAsia="宋体" w:cs="宋体"/>
          <w:b w:val="0"/>
          <w:bCs w:val="0"/>
          <w:color w:val="auto"/>
          <w:spacing w:val="0"/>
          <w:w w:val="100"/>
          <w:position w:val="0"/>
          <w:sz w:val="24"/>
          <w:szCs w:val="24"/>
          <w:highlight w:val="none"/>
        </w:rPr>
        <w:t>所作信用承诺事项的真实性。</w:t>
      </w:r>
    </w:p>
    <w:p w14:paraId="1A7AA181">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9"/>
        <w:rPr>
          <w:rFonts w:hint="eastAsia" w:ascii="宋体" w:hAnsi="宋体" w:eastAsia="宋体" w:cs="宋体"/>
          <w:b/>
          <w:bCs/>
          <w:color w:val="auto"/>
          <w:spacing w:val="0"/>
          <w:sz w:val="24"/>
          <w:szCs w:val="24"/>
          <w:highlight w:val="none"/>
        </w:rPr>
      </w:pPr>
      <w:bookmarkStart w:id="299" w:name="bookmark61"/>
      <w:bookmarkEnd w:id="299"/>
      <w:bookmarkStart w:id="300" w:name="bookmark60"/>
      <w:bookmarkEnd w:id="300"/>
    </w:p>
    <w:p w14:paraId="402CE48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outlineLvl w:val="1"/>
        <w:rPr>
          <w:rFonts w:hint="eastAsia" w:ascii="宋体" w:hAnsi="宋体" w:eastAsia="宋体" w:cs="宋体"/>
          <w:b/>
          <w:bCs/>
          <w:color w:val="auto"/>
          <w:spacing w:val="0"/>
          <w:sz w:val="24"/>
          <w:szCs w:val="24"/>
          <w:highlight w:val="none"/>
          <w:lang w:val="en-US" w:eastAsia="zh-CN"/>
        </w:rPr>
      </w:pPr>
      <w:bookmarkStart w:id="301" w:name="_Toc1418"/>
      <w:bookmarkStart w:id="302" w:name="_Toc3909"/>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服务商</w:t>
      </w:r>
      <w:r>
        <w:rPr>
          <w:rFonts w:hint="eastAsia" w:ascii="宋体" w:hAnsi="宋体" w:eastAsia="宋体" w:cs="宋体"/>
          <w:b/>
          <w:bCs/>
          <w:color w:val="auto"/>
          <w:spacing w:val="0"/>
          <w:sz w:val="24"/>
          <w:szCs w:val="24"/>
          <w:highlight w:val="none"/>
        </w:rPr>
        <w:t>提供了《</w:t>
      </w:r>
      <w:r>
        <w:rPr>
          <w:rFonts w:hint="eastAsia" w:ascii="宋体" w:hAnsi="宋体" w:eastAsia="宋体" w:cs="宋体"/>
          <w:b/>
          <w:bCs/>
          <w:color w:val="auto"/>
          <w:spacing w:val="0"/>
          <w:sz w:val="24"/>
          <w:szCs w:val="24"/>
          <w:highlight w:val="none"/>
          <w:lang w:eastAsia="zh-CN"/>
        </w:rPr>
        <w:t>吉安市政府采购服务商资格信用承诺函》</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吉安市政府采购服务商资格信用承诺函》</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bookmarkEnd w:id="301"/>
      <w:bookmarkEnd w:id="302"/>
    </w:p>
    <w:p w14:paraId="14D0C8C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
        <w:textAlignment w:val="baseline"/>
        <w:outlineLvl w:val="1"/>
        <w:rPr>
          <w:rFonts w:ascii="宋体" w:hAnsi="宋体" w:eastAsia="宋体" w:cs="宋体"/>
          <w:color w:val="auto"/>
          <w:spacing w:val="0"/>
          <w:sz w:val="24"/>
          <w:szCs w:val="24"/>
          <w:highlight w:val="none"/>
          <w:lang w:eastAsia="zh-CN"/>
        </w:rPr>
      </w:pPr>
      <w:bookmarkStart w:id="303" w:name="_Toc12975"/>
      <w:bookmarkStart w:id="304" w:name="_Toc4540"/>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具有独立承担民事责任的能力的资格证明文件</w:t>
      </w:r>
      <w:bookmarkEnd w:id="303"/>
      <w:bookmarkEnd w:id="304"/>
    </w:p>
    <w:p w14:paraId="6A46303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是自然人的，应提供有效的自然人的身份证明(中国公民)。</w:t>
      </w:r>
    </w:p>
    <w:p w14:paraId="74B2BE2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textAlignment w:val="baseline"/>
        <w:outlineLvl w:val="1"/>
        <w:rPr>
          <w:rFonts w:ascii="宋体" w:hAnsi="宋体" w:eastAsia="宋体" w:cs="宋体"/>
          <w:color w:val="auto"/>
          <w:spacing w:val="0"/>
          <w:sz w:val="24"/>
          <w:szCs w:val="24"/>
          <w:highlight w:val="none"/>
          <w:lang w:eastAsia="zh-CN"/>
        </w:rPr>
      </w:pPr>
      <w:bookmarkStart w:id="305" w:name="bookmark62"/>
      <w:bookmarkEnd w:id="305"/>
      <w:bookmarkStart w:id="306" w:name="_Toc14481"/>
      <w:bookmarkStart w:id="307" w:name="_Toc4486"/>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具有良好的商业信誉和健全的财务会计制度的证明文件</w:t>
      </w:r>
      <w:bookmarkEnd w:id="306"/>
      <w:bookmarkEnd w:id="307"/>
    </w:p>
    <w:p w14:paraId="56BFB9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前三个月中国人民银行征信中心开具个人信用报告。</w:t>
      </w:r>
    </w:p>
    <w:p w14:paraId="2CF0E3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4" w:leftChars="21" w:firstLine="0" w:firstLineChars="0"/>
        <w:jc w:val="both"/>
        <w:textAlignment w:val="baseline"/>
        <w:outlineLvl w:val="1"/>
        <w:rPr>
          <w:rFonts w:ascii="宋体" w:hAnsi="宋体" w:eastAsia="宋体" w:cs="宋体"/>
          <w:color w:val="auto"/>
          <w:spacing w:val="0"/>
          <w:sz w:val="24"/>
          <w:szCs w:val="24"/>
          <w:highlight w:val="none"/>
          <w:lang w:eastAsia="zh-CN"/>
        </w:rPr>
      </w:pPr>
      <w:bookmarkStart w:id="308" w:name="bookmark63"/>
      <w:bookmarkEnd w:id="308"/>
      <w:bookmarkStart w:id="309" w:name="_Toc17535"/>
      <w:bookmarkStart w:id="310" w:name="_Toc21554"/>
      <w:bookmarkStart w:id="311" w:name="_Toc13439"/>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具有履行合同所必需的设备和专业技术能力的证明文件</w:t>
      </w:r>
      <w:bookmarkEnd w:id="309"/>
      <w:bookmarkEnd w:id="310"/>
      <w:bookmarkEnd w:id="311"/>
    </w:p>
    <w:p w14:paraId="2344AA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提供具有履行合同所必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228181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rPr>
      </w:pPr>
      <w:bookmarkStart w:id="312" w:name="bookmark64"/>
      <w:bookmarkEnd w:id="312"/>
      <w:bookmarkStart w:id="313" w:name="_Toc15913"/>
      <w:bookmarkStart w:id="314" w:name="_Toc6925"/>
      <w:bookmarkStart w:id="315" w:name="_Toc30848"/>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有依法缴纳税收和社会保障资金的良好记录的证明文件</w:t>
      </w:r>
      <w:bookmarkEnd w:id="313"/>
      <w:bookmarkEnd w:id="314"/>
      <w:bookmarkEnd w:id="315"/>
    </w:p>
    <w:p w14:paraId="0C6C07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 意一个月的企业缴税凭证或证明；</w:t>
      </w:r>
    </w:p>
    <w:p w14:paraId="41C017E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，应当提供相关文件证明其依法免税或不需要缴纳社会保障资金。</w:t>
      </w:r>
    </w:p>
    <w:p w14:paraId="1E68474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rPr>
      </w:pPr>
      <w:bookmarkStart w:id="316" w:name="bookmark65"/>
      <w:bookmarkEnd w:id="316"/>
      <w:bookmarkStart w:id="317" w:name="_Toc28496"/>
      <w:bookmarkStart w:id="318" w:name="_Toc30269"/>
      <w:bookmarkStart w:id="319" w:name="_Toc24004"/>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前三年内，在经营活动中没有重大违法记录的证明文件</w:t>
      </w:r>
      <w:bookmarkEnd w:id="317"/>
      <w:bookmarkEnd w:id="318"/>
      <w:bookmarkEnd w:id="319"/>
    </w:p>
    <w:p w14:paraId="7F0D191B">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参加政府采购</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因违法经营受到刑事处罚或者责令停产停业、吊销许可证或者执照、较大罚款等行政处罚。</w:t>
      </w:r>
    </w:p>
    <w:p w14:paraId="38D02FA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320" w:name="_Toc9639"/>
      <w:bookmarkStart w:id="321" w:name="_Toc9849"/>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320"/>
      <w:bookmarkEnd w:id="321"/>
    </w:p>
    <w:p w14:paraId="617D7BE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1490F8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26B2CB0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322" w:name="_Toc8320"/>
    </w:p>
    <w:p w14:paraId="2EDD5CE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D6838C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FB35A49">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E059F7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1DB49CE4">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1F25CF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F271AB3">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4DC89C2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DA5211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1D72AF5">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35AE1ED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0F0752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83DB09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FFB3F1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3DBE73B">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59E705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A1829E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755A70B">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104E7227">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45549B7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3EDD842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D33C3A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0032650">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6A3DC4C">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BE17C83">
      <w:pPr>
        <w:pageBreakBefore w:val="0"/>
        <w:widowControl w:val="0"/>
        <w:wordWrap/>
        <w:overflowPunct/>
        <w:topLinePunct w:val="0"/>
        <w:bidi w:val="0"/>
        <w:spacing w:before="100" w:line="219" w:lineRule="auto"/>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F8303C3">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29ACA7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CE37723">
      <w:pPr>
        <w:pageBreakBefore w:val="0"/>
        <w:widowControl w:val="0"/>
        <w:wordWrap/>
        <w:overflowPunct/>
        <w:topLinePunct w:val="0"/>
        <w:bidi w:val="0"/>
        <w:spacing w:before="100" w:line="219" w:lineRule="auto"/>
        <w:jc w:val="center"/>
        <w:outlineLvl w:val="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 xml:space="preserve"> 法定代表人授权书</w:t>
      </w:r>
      <w:bookmarkEnd w:id="322"/>
    </w:p>
    <w:p w14:paraId="16B9396E">
      <w:pPr>
        <w:pageBreakBefore w:val="0"/>
        <w:widowControl w:val="0"/>
        <w:wordWrap/>
        <w:overflowPunct/>
        <w:topLinePunct w:val="0"/>
        <w:bidi w:val="0"/>
        <w:spacing w:line="276" w:lineRule="auto"/>
        <w:rPr>
          <w:color w:val="auto"/>
          <w:highlight w:val="none"/>
          <w:lang w:eastAsia="zh-CN"/>
        </w:rPr>
      </w:pPr>
    </w:p>
    <w:p w14:paraId="63667151">
      <w:pPr>
        <w:pageBreakBefore w:val="0"/>
        <w:widowControl w:val="0"/>
        <w:wordWrap/>
        <w:overflowPunct/>
        <w:topLinePunct w:val="0"/>
        <w:bidi w:val="0"/>
        <w:spacing w:line="276" w:lineRule="auto"/>
        <w:rPr>
          <w:color w:val="auto"/>
          <w:highlight w:val="none"/>
          <w:lang w:eastAsia="zh-CN"/>
        </w:rPr>
      </w:pPr>
    </w:p>
    <w:p w14:paraId="5C6FD12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333F526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5F4672A">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78" w:line="480" w:lineRule="auto"/>
        <w:ind w:firstLine="480" w:firstLineChars="200"/>
        <w:jc w:val="both"/>
        <w:textAlignment w:val="baseline"/>
        <w:rPr>
          <w:color w:val="auto"/>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服务商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（全</w:t>
      </w:r>
      <w:r>
        <w:rPr>
          <w:rFonts w:ascii="宋体" w:hAnsi="宋体" w:eastAsia="宋体" w:cs="宋体"/>
          <w:color w:val="auto"/>
          <w:spacing w:val="2"/>
          <w:sz w:val="24"/>
          <w:szCs w:val="24"/>
          <w:highlight w:val="none"/>
          <w:lang w:eastAsia="zh-CN"/>
        </w:rPr>
        <w:t>权代表姓名）为全权代表,参加贵处组织的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（项目编号）项</w:t>
      </w:r>
      <w:r>
        <w:rPr>
          <w:rFonts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活动，全权代表我方处理</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活动中的一切事宜。</w:t>
      </w:r>
    </w:p>
    <w:p w14:paraId="7AB925A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65A4E95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598"/>
        <w:textAlignment w:val="baseline"/>
        <w:rPr>
          <w:color w:val="auto"/>
          <w:highlight w:val="none"/>
          <w:lang w:eastAsia="zh-CN"/>
        </w:rPr>
      </w:pPr>
      <w:r>
        <w:rPr>
          <w:rFonts w:ascii="宋体" w:hAnsi="宋体" w:eastAsia="宋体" w:cs="宋体"/>
          <w:color w:val="auto"/>
          <w:spacing w:val="-1"/>
          <w:sz w:val="24"/>
          <w:szCs w:val="24"/>
          <w:highlight w:val="none"/>
          <w:lang w:eastAsia="zh-CN"/>
        </w:rPr>
        <w:t>法定代表人签字或签章：</w:t>
      </w:r>
    </w:p>
    <w:p w14:paraId="01CF12A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71202F5">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25A8CA4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CDE5153">
      <w:pPr>
        <w:pStyle w:val="41"/>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highlight w:val="none"/>
          <w:lang w:eastAsia="zh-CN"/>
        </w:rPr>
      </w:pPr>
      <w:r>
        <w:rPr>
          <w:rFonts w:hint="eastAsia" w:cs="宋体"/>
          <w:color w:val="auto"/>
          <w:spacing w:val="-21"/>
          <w:sz w:val="24"/>
          <w:szCs w:val="24"/>
          <w:highlight w:val="none"/>
          <w:lang w:val="en-US" w:eastAsia="zh-CN"/>
        </w:rPr>
        <w:t xml:space="preserve">                                       </w:t>
      </w:r>
      <w:r>
        <w:rPr>
          <w:rFonts w:ascii="宋体" w:hAnsi="宋体" w:eastAsia="宋体" w:cs="宋体"/>
          <w:color w:val="auto"/>
          <w:spacing w:val="-21"/>
          <w:sz w:val="24"/>
          <w:szCs w:val="24"/>
          <w:highlight w:val="none"/>
          <w:lang w:eastAsia="zh-CN"/>
        </w:rPr>
        <w:t>日</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6129DF0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33D2FD4">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5A32C36D">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全权代表姓名：</w:t>
      </w:r>
    </w:p>
    <w:p w14:paraId="32315819">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6E4E49A0">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6247A598">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44F1E972">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电 子 邮 箱</w:t>
      </w:r>
      <w:r>
        <w:rPr>
          <w:rFonts w:ascii="宋体" w:hAnsi="宋体" w:eastAsia="宋体" w:cs="宋体"/>
          <w:color w:val="auto"/>
          <w:spacing w:val="-10"/>
          <w:sz w:val="24"/>
          <w:szCs w:val="24"/>
          <w:highlight w:val="none"/>
          <w:lang w:eastAsia="zh-CN"/>
        </w:rPr>
        <w:t>：</w:t>
      </w:r>
    </w:p>
    <w:p w14:paraId="2AE79B10">
      <w:pPr>
        <w:pStyle w:val="8"/>
        <w:rPr>
          <w:color w:val="auto"/>
          <w:highlight w:val="none"/>
          <w:lang w:eastAsia="zh-CN"/>
        </w:rPr>
      </w:pPr>
    </w:p>
    <w:p w14:paraId="4415896B">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highlight w:val="none"/>
          <w:lang w:eastAsia="zh-CN"/>
        </w:rPr>
      </w:pPr>
      <w:r>
        <w:rPr>
          <w:rFonts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ascii="宋体" w:hAnsi="宋体" w:eastAsia="宋体" w:cs="宋体"/>
          <w:color w:val="auto"/>
          <w:spacing w:val="-2"/>
          <w:sz w:val="24"/>
          <w:szCs w:val="24"/>
          <w:highlight w:val="none"/>
          <w:lang w:eastAsia="zh-CN"/>
        </w:rPr>
        <w:t>身份证扫描件（正、反面）</w:t>
      </w:r>
    </w:p>
    <w:p w14:paraId="4A423DB4">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auto"/>
          <w:sz w:val="24"/>
          <w:szCs w:val="24"/>
          <w:highlight w:val="none"/>
          <w:lang w:eastAsia="zh-CN"/>
        </w:rPr>
        <w:sectPr>
          <w:footerReference r:id="rId13" w:type="default"/>
          <w:pgSz w:w="11906" w:h="16839"/>
          <w:pgMar w:top="1217" w:right="1249" w:bottom="922" w:left="1217" w:header="737" w:footer="850" w:gutter="0"/>
          <w:pgNumType w:fmt="decimal"/>
          <w:cols w:space="0" w:num="1"/>
          <w:rtlGutter w:val="0"/>
          <w:docGrid w:linePitch="0" w:charSpace="0"/>
        </w:sect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7545C8E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99"/>
        <w:jc w:val="both"/>
        <w:textAlignment w:val="baseline"/>
        <w:rPr>
          <w:rFonts w:hint="default" w:ascii="宋体" w:hAnsi="宋体" w:eastAsia="宋体" w:cs="宋体"/>
          <w:b/>
          <w:bCs/>
          <w:color w:val="auto"/>
          <w:spacing w:val="0"/>
          <w:sz w:val="24"/>
          <w:szCs w:val="24"/>
          <w:highlight w:val="none"/>
          <w:lang w:val="en-US" w:eastAsia="zh-CN"/>
        </w:rPr>
      </w:pPr>
    </w:p>
    <w:p w14:paraId="549ABA1E">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color w:val="auto"/>
          <w:highlight w:val="none"/>
          <w:lang w:eastAsia="zh-CN"/>
        </w:rPr>
      </w:pPr>
      <w:bookmarkStart w:id="323" w:name="_Toc19402"/>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服务商</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的资格声明</w:t>
      </w:r>
      <w:bookmarkEnd w:id="323"/>
    </w:p>
    <w:p w14:paraId="5FC646CB">
      <w:pPr>
        <w:pStyle w:val="45"/>
        <w:pageBreakBefore w:val="0"/>
        <w:widowControl w:val="0"/>
        <w:wordWrap/>
        <w:overflowPunct/>
        <w:topLinePunct w:val="0"/>
        <w:bidi w:val="0"/>
        <w:spacing w:line="360" w:lineRule="auto"/>
        <w:rPr>
          <w:rFonts w:hint="default"/>
          <w:color w:val="auto"/>
          <w:highlight w:val="none"/>
          <w:lang w:val="en-US" w:eastAsia="zh-CN"/>
        </w:rPr>
      </w:pPr>
    </w:p>
    <w:p w14:paraId="33D4B8E2">
      <w:pPr>
        <w:keepNext w:val="0"/>
        <w:keepLines w:val="0"/>
        <w:pageBreakBefore w:val="0"/>
        <w:widowControl w:val="0"/>
        <w:kinsoku w:val="0"/>
        <w:wordWrap/>
        <w:overflowPunct/>
        <w:topLinePunct w:val="0"/>
        <w:autoSpaceDE w:val="0"/>
        <w:autoSpaceDN w:val="0"/>
        <w:bidi w:val="0"/>
        <w:adjustRightInd w:val="0"/>
        <w:snapToGrid w:val="0"/>
        <w:spacing w:before="78" w:after="0" w:afterLines="121" w:afterAutospacing="0" w:line="360" w:lineRule="auto"/>
        <w:ind w:left="90" w:leftChars="43" w:firstLine="0" w:firstLineChars="0"/>
        <w:jc w:val="center"/>
        <w:textAlignment w:val="baseline"/>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（参考格式）</w:t>
      </w:r>
    </w:p>
    <w:p w14:paraId="19B401B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color w:val="auto"/>
          <w:highlight w:val="non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731B292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邀请，下述签字人愿</w:t>
      </w:r>
      <w:r>
        <w:rPr>
          <w:rFonts w:ascii="宋体" w:hAnsi="宋体" w:eastAsia="宋体" w:cs="宋体"/>
          <w:color w:val="auto"/>
          <w:spacing w:val="-2"/>
          <w:sz w:val="24"/>
          <w:szCs w:val="24"/>
          <w:highlight w:val="none"/>
          <w:lang w:eastAsia="zh-CN"/>
        </w:rPr>
        <w:t>参与</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，提供</w:t>
      </w:r>
      <w:r>
        <w:rPr>
          <w:rFonts w:hint="eastAsia" w:ascii="宋体" w:hAnsi="宋体" w:eastAsia="宋体" w:cs="宋体"/>
          <w:color w:val="auto"/>
          <w:spacing w:val="-2"/>
          <w:sz w:val="24"/>
          <w:szCs w:val="24"/>
          <w:highlight w:val="none"/>
          <w:lang w:val="en-US" w:eastAsia="zh-CN"/>
        </w:rPr>
        <w:t>本项目磋商文件第五章</w:t>
      </w:r>
      <w:r>
        <w:rPr>
          <w:rFonts w:ascii="宋体" w:hAnsi="宋体" w:eastAsia="宋体" w:cs="宋体"/>
          <w:color w:val="auto"/>
          <w:spacing w:val="-2"/>
          <w:sz w:val="24"/>
          <w:szCs w:val="24"/>
          <w:highlight w:val="none"/>
          <w:lang w:eastAsia="zh-CN"/>
        </w:rPr>
        <w:t>采</w:t>
      </w:r>
      <w:r>
        <w:rPr>
          <w:rFonts w:ascii="宋体" w:hAnsi="宋体" w:eastAsia="宋体" w:cs="宋体"/>
          <w:color w:val="auto"/>
          <w:spacing w:val="-1"/>
          <w:sz w:val="24"/>
          <w:szCs w:val="24"/>
          <w:highlight w:val="none"/>
          <w:lang w:eastAsia="zh-CN"/>
        </w:rPr>
        <w:t>购需求规定的服务，提交下述文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189ECA0D">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36A9FEA6">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rPr>
        <w:t>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w:t>
      </w:r>
      <w:r>
        <w:rPr>
          <w:rFonts w:hint="eastAsia" w:ascii="宋体" w:hAnsi="宋体" w:eastAsia="宋体" w:cs="宋体"/>
          <w:color w:val="auto"/>
          <w:spacing w:val="-2"/>
          <w:position w:val="17"/>
          <w:sz w:val="24"/>
          <w:szCs w:val="24"/>
          <w:highlight w:val="none"/>
          <w:lang w:eastAsia="zh-CN"/>
        </w:rPr>
        <w:t>服务商</w:t>
      </w:r>
      <w:r>
        <w:rPr>
          <w:rFonts w:ascii="宋体" w:hAnsi="宋体" w:eastAsia="宋体" w:cs="宋体"/>
          <w:color w:val="auto"/>
          <w:spacing w:val="-2"/>
          <w:position w:val="17"/>
          <w:sz w:val="24"/>
          <w:szCs w:val="24"/>
          <w:highlight w:val="none"/>
          <w:lang w:eastAsia="zh-CN"/>
        </w:rPr>
        <w:t>，参</w:t>
      </w:r>
      <w:r>
        <w:rPr>
          <w:rFonts w:hint="eastAsia" w:ascii="宋体" w:hAnsi="宋体" w:eastAsia="宋体" w:cs="宋体"/>
          <w:color w:val="auto"/>
          <w:spacing w:val="-2"/>
          <w:position w:val="17"/>
          <w:sz w:val="24"/>
          <w:szCs w:val="24"/>
          <w:highlight w:val="none"/>
          <w:lang w:val="en-US" w:eastAsia="zh-CN"/>
        </w:rPr>
        <w:t>加本项目采购活动的情形；</w:t>
      </w:r>
    </w:p>
    <w:p w14:paraId="56C8931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position w:val="17"/>
          <w:sz w:val="24"/>
          <w:szCs w:val="24"/>
          <w:highlight w:val="none"/>
          <w:lang w:val="en-US" w:eastAsia="zh-CN"/>
        </w:rPr>
        <w:t>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制或者项目管理、监理、检测等服务</w:t>
      </w:r>
      <w:r>
        <w:rPr>
          <w:rFonts w:hint="eastAsia" w:ascii="宋体" w:hAnsi="宋体" w:eastAsia="宋体" w:cs="宋体"/>
          <w:color w:val="auto"/>
          <w:spacing w:val="-2"/>
          <w:position w:val="17"/>
          <w:sz w:val="24"/>
          <w:szCs w:val="24"/>
          <w:highlight w:val="none"/>
          <w:lang w:eastAsia="zh-CN"/>
        </w:rPr>
        <w:t>的</w:t>
      </w:r>
      <w:r>
        <w:rPr>
          <w:rFonts w:hint="eastAsia" w:ascii="宋体" w:hAnsi="宋体" w:eastAsia="宋体" w:cs="宋体"/>
          <w:color w:val="auto"/>
          <w:spacing w:val="-2"/>
          <w:position w:val="17"/>
          <w:sz w:val="24"/>
          <w:szCs w:val="24"/>
          <w:highlight w:val="none"/>
          <w:lang w:val="en-US" w:eastAsia="zh-CN"/>
        </w:rPr>
        <w:t>情形。</w:t>
      </w:r>
    </w:p>
    <w:p w14:paraId="6FEB1FD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2CD5B10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9BF04B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0BFB4E9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E8067B9">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服务商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85C539C">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7D3F936">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val="en-US"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B0AE94F">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z w:val="24"/>
          <w:szCs w:val="24"/>
          <w:highlight w:val="none"/>
          <w:lang w:eastAsia="zh-CN"/>
        </w:rPr>
        <w:sectPr>
          <w:footerReference r:id="rId14" w:type="default"/>
          <w:pgSz w:w="11906" w:h="16839"/>
          <w:pgMar w:top="1417" w:right="1417" w:bottom="1417" w:left="1417" w:header="737" w:footer="850" w:gutter="0"/>
          <w:pgNumType w:fmt="decimal"/>
          <w:cols w:space="0" w:num="1"/>
          <w:rtlGutter w:val="0"/>
          <w:docGrid w:linePitch="0" w:charSpace="0"/>
        </w:sectPr>
      </w:pPr>
    </w:p>
    <w:p w14:paraId="1D0429A4">
      <w:pPr>
        <w:pageBreakBefore w:val="0"/>
        <w:widowControl w:val="0"/>
        <w:wordWrap/>
        <w:overflowPunct/>
        <w:topLinePunct w:val="0"/>
        <w:bidi w:val="0"/>
        <w:spacing w:before="101" w:after="0" w:afterLines="100" w:afterAutospacing="0" w:line="219" w:lineRule="auto"/>
        <w:ind w:left="0" w:leftChars="0" w:firstLine="0" w:firstLineChars="0"/>
        <w:jc w:val="center"/>
        <w:outlineLvl w:val="1"/>
        <w:rPr>
          <w:rFonts w:ascii="宋体" w:hAnsi="宋体" w:eastAsia="宋体" w:cs="宋体"/>
          <w:color w:val="auto"/>
          <w:sz w:val="24"/>
          <w:szCs w:val="24"/>
          <w:highlight w:val="none"/>
          <w:lang w:eastAsia="zh-CN"/>
        </w:rPr>
      </w:pPr>
      <w:bookmarkStart w:id="324" w:name="_Toc22047"/>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 xml:space="preserve">4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磋商保证金</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凭证</w:t>
      </w:r>
      <w:bookmarkEnd w:id="324"/>
    </w:p>
    <w:p w14:paraId="0CF36152">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仿宋"/>
          <w:color w:val="auto"/>
          <w:sz w:val="24"/>
          <w:szCs w:val="24"/>
          <w:highlight w:val="none"/>
        </w:rPr>
      </w:pPr>
      <w:bookmarkStart w:id="325" w:name="bookmark74"/>
      <w:bookmarkEnd w:id="325"/>
      <w:bookmarkStart w:id="326" w:name="bookmark69"/>
      <w:bookmarkEnd w:id="326"/>
    </w:p>
    <w:p w14:paraId="1E2913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仿宋"/>
          <w:color w:val="auto"/>
          <w:sz w:val="24"/>
          <w:szCs w:val="24"/>
          <w:highlight w:val="none"/>
        </w:rPr>
        <w:t>附：</w:t>
      </w:r>
      <w:r>
        <w:rPr>
          <w:rFonts w:hint="eastAsia" w:ascii="宋体" w:hAnsi="宋体" w:eastAsia="宋体" w:cs="仿宋"/>
          <w:color w:val="auto"/>
          <w:sz w:val="24"/>
          <w:szCs w:val="24"/>
          <w:highlight w:val="none"/>
          <w:lang w:eastAsia="zh-CN"/>
        </w:rPr>
        <w:t>服务商</w:t>
      </w:r>
      <w:r>
        <w:rPr>
          <w:rFonts w:hint="eastAsia" w:ascii="宋体" w:hAnsi="宋体" w:eastAsia="宋体" w:cs="仿宋"/>
          <w:color w:val="auto"/>
          <w:sz w:val="24"/>
          <w:szCs w:val="24"/>
          <w:highlight w:val="none"/>
        </w:rPr>
        <w:t>盖章的保证金凭证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val="en-US" w:eastAsia="zh-CN"/>
        </w:rPr>
        <w:t xml:space="preserve"> </w:t>
      </w:r>
    </w:p>
    <w:p w14:paraId="78B6018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本项目保证金应当采用支票、汇票、本票、网上银行支付或者金融机构、担保机构出具的保函、保险公司出具的保证保险等非现金形式交纳。</w:t>
      </w:r>
    </w:p>
    <w:p w14:paraId="6BE804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仿宋"/>
          <w:color w:val="auto"/>
          <w:sz w:val="24"/>
          <w:szCs w:val="24"/>
          <w:highlight w:val="none"/>
          <w:lang w:eastAsia="zh-CN"/>
        </w:rPr>
      </w:pPr>
      <w:bookmarkStart w:id="327" w:name="_Toc13173"/>
      <w:bookmarkStart w:id="328" w:name="_Toc3325"/>
      <w:r>
        <w:rPr>
          <w:rFonts w:hint="eastAsia" w:ascii="宋体" w:hAnsi="宋体" w:eastAsia="宋体" w:cs="仿宋"/>
          <w:color w:val="auto"/>
          <w:sz w:val="24"/>
          <w:szCs w:val="24"/>
          <w:highlight w:val="none"/>
        </w:rPr>
        <w:t>1</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采用银行电汇、转账、网上银行形式：</w:t>
      </w:r>
      <w:bookmarkEnd w:id="327"/>
      <w:bookmarkEnd w:id="328"/>
    </w:p>
    <w:p w14:paraId="0ED9103C">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保证金交至</w:t>
      </w:r>
      <w:r>
        <w:rPr>
          <w:rFonts w:hint="eastAsia" w:ascii="宋体" w:hAnsi="宋体" w:eastAsia="宋体" w:cs="仿宋"/>
          <w:color w:val="auto"/>
          <w:sz w:val="24"/>
          <w:szCs w:val="24"/>
          <w:highlight w:val="none"/>
          <w:lang w:val="en-US" w:eastAsia="zh-CN"/>
        </w:rPr>
        <w:t>磋商文件规定的</w:t>
      </w:r>
      <w:r>
        <w:rPr>
          <w:rFonts w:hint="eastAsia" w:ascii="宋体" w:hAnsi="宋体" w:eastAsia="宋体" w:cs="仿宋"/>
          <w:color w:val="auto"/>
          <w:sz w:val="24"/>
          <w:szCs w:val="24"/>
          <w:highlight w:val="none"/>
        </w:rPr>
        <w:t>账户，并在</w:t>
      </w:r>
      <w:r>
        <w:rPr>
          <w:rFonts w:hint="eastAsia" w:ascii="宋体" w:hAnsi="宋体" w:eastAsia="宋体" w:cs="仿宋"/>
          <w:color w:val="auto"/>
          <w:sz w:val="24"/>
          <w:szCs w:val="24"/>
          <w:highlight w:val="none"/>
          <w:lang w:eastAsia="zh-CN"/>
        </w:rPr>
        <w:t>响应文件</w:t>
      </w:r>
      <w:r>
        <w:rPr>
          <w:rFonts w:hint="eastAsia" w:ascii="宋体" w:hAnsi="宋体" w:eastAsia="宋体" w:cs="仿宋"/>
          <w:color w:val="auto"/>
          <w:sz w:val="24"/>
          <w:szCs w:val="24"/>
          <w:highlight w:val="none"/>
        </w:rPr>
        <w:t>中提供交纳保证金凭证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eastAsia="zh-CN"/>
        </w:rPr>
        <w:t>：</w:t>
      </w:r>
    </w:p>
    <w:p w14:paraId="2A1DAB4D">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outlineLvl w:val="1"/>
        <w:rPr>
          <w:rFonts w:hint="eastAsia" w:ascii="宋体" w:hAnsi="宋体" w:eastAsia="宋体" w:cs="仿宋"/>
          <w:color w:val="auto"/>
          <w:sz w:val="24"/>
          <w:szCs w:val="24"/>
          <w:highlight w:val="none"/>
          <w:lang w:eastAsia="zh-CN"/>
        </w:rPr>
      </w:pPr>
      <w:bookmarkStart w:id="329" w:name="_Toc5747"/>
      <w:bookmarkStart w:id="330" w:name="_Toc930"/>
      <w:r>
        <w:rPr>
          <w:rFonts w:hint="eastAsia" w:ascii="宋体" w:hAnsi="宋体" w:eastAsia="宋体" w:cs="仿宋"/>
          <w:color w:val="auto"/>
          <w:sz w:val="24"/>
          <w:szCs w:val="24"/>
          <w:highlight w:val="none"/>
        </w:rPr>
        <w:t>2、采用保函形式：</w:t>
      </w:r>
      <w:bookmarkEnd w:id="329"/>
      <w:bookmarkEnd w:id="330"/>
    </w:p>
    <w:p w14:paraId="03D7D4E1">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2.1采用银行保函的，须为</w:t>
      </w:r>
      <w:r>
        <w:rPr>
          <w:rFonts w:hint="eastAsia" w:ascii="宋体" w:hAnsi="宋体" w:eastAsia="宋体" w:cs="仿宋"/>
          <w:color w:val="auto"/>
          <w:sz w:val="24"/>
          <w:szCs w:val="24"/>
          <w:highlight w:val="none"/>
          <w:lang w:eastAsia="zh-CN"/>
        </w:rPr>
        <w:t>服务商</w:t>
      </w:r>
      <w:r>
        <w:rPr>
          <w:rFonts w:hint="eastAsia" w:ascii="宋体" w:hAnsi="宋体" w:eastAsia="宋体" w:cs="仿宋"/>
          <w:color w:val="auto"/>
          <w:sz w:val="24"/>
          <w:szCs w:val="24"/>
          <w:highlight w:val="none"/>
        </w:rPr>
        <w:t>基本账户（</w:t>
      </w:r>
      <w:r>
        <w:rPr>
          <w:rFonts w:hint="eastAsia" w:ascii="宋体" w:hAnsi="宋体" w:eastAsia="宋体" w:cs="仿宋"/>
          <w:color w:val="auto"/>
          <w:sz w:val="24"/>
          <w:szCs w:val="24"/>
          <w:highlight w:val="none"/>
          <w:lang w:val="en-US" w:eastAsia="zh-CN"/>
        </w:rPr>
        <w:t>响应文件</w:t>
      </w:r>
      <w:r>
        <w:rPr>
          <w:rFonts w:hint="eastAsia" w:ascii="宋体" w:hAnsi="宋体" w:eastAsia="宋体" w:cs="仿宋"/>
          <w:color w:val="auto"/>
          <w:sz w:val="24"/>
          <w:szCs w:val="24"/>
          <w:highlight w:val="none"/>
        </w:rPr>
        <w:t>中提供开户许可复印件）或江西省辖区内商业银行营业网点出具的不可撤销、见索即付的独立保函；采用专业担保机构出具保函的，须为担保机构出具的不可撤销、见索即付的独立保函；</w:t>
      </w:r>
    </w:p>
    <w:p w14:paraId="123BB72B">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z w:val="24"/>
          <w:szCs w:val="24"/>
          <w:highlight w:val="none"/>
          <w:lang w:val="en-US" w:eastAsia="zh-CN"/>
        </w:rPr>
        <w:t>官方</w:t>
      </w:r>
      <w:r>
        <w:rPr>
          <w:rFonts w:hint="eastAsia" w:ascii="宋体" w:hAnsi="宋体" w:eastAsia="宋体" w:cs="仿宋"/>
          <w:color w:val="auto"/>
          <w:sz w:val="24"/>
          <w:szCs w:val="24"/>
          <w:highlight w:val="none"/>
        </w:rPr>
        <w:t>网站验证查询，如以上渠道未能验证查询到的，</w:t>
      </w:r>
      <w:r>
        <w:rPr>
          <w:rFonts w:hint="eastAsia" w:ascii="宋体" w:hAnsi="宋体" w:eastAsia="宋体" w:cs="仿宋"/>
          <w:b/>
          <w:bCs/>
          <w:color w:val="auto"/>
          <w:sz w:val="24"/>
          <w:szCs w:val="24"/>
          <w:highlight w:val="none"/>
        </w:rPr>
        <w:t>视为无效保函</w:t>
      </w:r>
      <w:r>
        <w:rPr>
          <w:rFonts w:hint="eastAsia" w:ascii="宋体" w:hAnsi="宋体" w:eastAsia="宋体" w:cs="仿宋"/>
          <w:color w:val="auto"/>
          <w:sz w:val="24"/>
          <w:szCs w:val="24"/>
          <w:highlight w:val="none"/>
          <w:lang w:eastAsia="zh-CN"/>
        </w:rPr>
        <w:t>；</w:t>
      </w:r>
    </w:p>
    <w:p w14:paraId="7581C0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仿宋"/>
          <w:color w:val="auto"/>
          <w:sz w:val="24"/>
          <w:szCs w:val="24"/>
          <w:highlight w:val="none"/>
          <w:lang w:eastAsia="zh-CN"/>
        </w:rPr>
      </w:pPr>
      <w:bookmarkStart w:id="331" w:name="_Toc765"/>
      <w:bookmarkStart w:id="332" w:name="_Toc25891"/>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保函有效期须不少于</w:t>
      </w:r>
      <w:r>
        <w:rPr>
          <w:rFonts w:hint="eastAsia" w:ascii="宋体" w:hAnsi="宋体" w:eastAsia="宋体" w:cs="仿宋"/>
          <w:color w:val="auto"/>
          <w:sz w:val="24"/>
          <w:szCs w:val="24"/>
          <w:highlight w:val="none"/>
          <w:lang w:eastAsia="zh-CN"/>
        </w:rPr>
        <w:t>磋商有效期</w:t>
      </w:r>
      <w:r>
        <w:rPr>
          <w:rFonts w:hint="eastAsia" w:ascii="宋体" w:hAnsi="宋体" w:eastAsia="宋体" w:cs="仿宋"/>
          <w:color w:val="auto"/>
          <w:sz w:val="24"/>
          <w:szCs w:val="24"/>
          <w:highlight w:val="none"/>
        </w:rPr>
        <w:t>，否则视为不满足要求</w:t>
      </w:r>
      <w:r>
        <w:rPr>
          <w:rFonts w:hint="eastAsia" w:ascii="宋体" w:hAnsi="宋体" w:eastAsia="宋体" w:cs="仿宋"/>
          <w:color w:val="auto"/>
          <w:sz w:val="24"/>
          <w:szCs w:val="24"/>
          <w:highlight w:val="none"/>
          <w:lang w:eastAsia="zh-CN"/>
        </w:rPr>
        <w:t>；</w:t>
      </w:r>
      <w:bookmarkEnd w:id="331"/>
      <w:bookmarkEnd w:id="332"/>
    </w:p>
    <w:p w14:paraId="6FCAD54B">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4保函保证担保范围须包含采购文件约定的不予退还磋商保证金的情形，</w:t>
      </w:r>
      <w:r>
        <w:rPr>
          <w:rFonts w:hint="eastAsia" w:ascii="宋体" w:hAnsi="宋体" w:eastAsia="宋体" w:cs="仿宋"/>
          <w:color w:val="auto"/>
          <w:sz w:val="24"/>
          <w:szCs w:val="24"/>
          <w:highlight w:val="none"/>
        </w:rPr>
        <w:t>否则视为不满足要求。</w:t>
      </w:r>
    </w:p>
    <w:p w14:paraId="58509F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仿宋"/>
          <w:color w:val="auto"/>
          <w:sz w:val="24"/>
          <w:szCs w:val="24"/>
          <w:highlight w:val="none"/>
        </w:rPr>
      </w:pPr>
      <w:bookmarkStart w:id="333" w:name="_Toc23372"/>
      <w:bookmarkStart w:id="334" w:name="_Toc31733"/>
      <w:r>
        <w:rPr>
          <w:rFonts w:hint="eastAsia" w:ascii="宋体" w:hAnsi="宋体" w:eastAsia="宋体" w:cs="仿宋"/>
          <w:color w:val="auto"/>
          <w:sz w:val="24"/>
          <w:szCs w:val="24"/>
          <w:highlight w:val="none"/>
        </w:rPr>
        <w:t>3、采用其他形式缴纳保证金的，需提供符合国家规定的相应凭证。</w:t>
      </w:r>
      <w:bookmarkEnd w:id="333"/>
      <w:bookmarkEnd w:id="334"/>
    </w:p>
    <w:p w14:paraId="37018FBE">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cs="宋体"/>
          <w:color w:val="auto"/>
          <w:sz w:val="24"/>
          <w:szCs w:val="24"/>
          <w:highlight w:val="white"/>
          <w:u w:val="single"/>
        </w:rPr>
      </w:pPr>
      <w:r>
        <w:rPr>
          <w:rFonts w:hint="eastAsia" w:ascii="宋体" w:hAnsi="宋体" w:eastAsia="宋体" w:cs="仿宋"/>
          <w:color w:val="auto"/>
          <w:sz w:val="24"/>
          <w:szCs w:val="24"/>
          <w:highlight w:val="none"/>
        </w:rPr>
        <w:t>未提供保证金凭证、或提供的保证金凭证及资料不满足上述要求的，视为未缴纳保证金</w:t>
      </w:r>
      <w:r>
        <w:rPr>
          <w:rFonts w:hint="eastAsia" w:ascii="宋体" w:hAnsi="宋体" w:eastAsia="宋体" w:cs="仿宋"/>
          <w:color w:val="auto"/>
          <w:sz w:val="24"/>
          <w:szCs w:val="24"/>
          <w:highlight w:val="none"/>
          <w:lang w:eastAsia="zh-CN"/>
        </w:rPr>
        <w:t>。</w:t>
      </w:r>
    </w:p>
    <w:p w14:paraId="6DC267C4">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bookmarkStart w:id="335" w:name="_Toc15291"/>
      <w:bookmarkStart w:id="336" w:name="_Toc12321_WPSOffice_Level1"/>
      <w:bookmarkStart w:id="337" w:name="_Toc470101238"/>
      <w:bookmarkStart w:id="338" w:name="_Toc21167"/>
      <w:bookmarkStart w:id="339" w:name="_Toc7709"/>
      <w:bookmarkStart w:id="340" w:name="_Toc2739_WPSOffice_Level1"/>
    </w:p>
    <w:p w14:paraId="17429D16">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0A65147">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5F2F0621">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D7348C3">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81E03CC">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309260F5">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6946A02F">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26B8170E">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D07A918">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B343C2F">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4DE3747">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7.</w:t>
      </w:r>
      <w:bookmarkEnd w:id="335"/>
      <w:bookmarkEnd w:id="336"/>
      <w:bookmarkEnd w:id="337"/>
      <w:bookmarkEnd w:id="338"/>
      <w:bookmarkEnd w:id="339"/>
      <w:bookmarkEnd w:id="34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与技术、商务等评审计分有关的资料</w:t>
      </w:r>
    </w:p>
    <w:p w14:paraId="098B813E">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4B68EDC">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3779DAC">
      <w:pPr>
        <w:adjustRightInd w:val="0"/>
        <w:snapToGrid w:val="0"/>
        <w:spacing w:line="460" w:lineRule="exact"/>
        <w:ind w:firstLine="560" w:firstLineChars="200"/>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sectPr>
          <w:footerReference r:id="rId15" w:type="default"/>
          <w:pgSz w:w="11906" w:h="16839"/>
          <w:pgMar w:top="1417" w:right="1417" w:bottom="1417" w:left="1417" w:header="737" w:footer="850" w:gutter="0"/>
          <w:pgNumType w:fmt="decimal"/>
          <w:cols w:space="0" w:num="1"/>
          <w:rtlGutter w:val="0"/>
          <w:docGrid w:linePitch="0" w:charSpace="0"/>
        </w:sectPr>
      </w:pPr>
      <w:r>
        <w:rPr>
          <w:rFonts w:hint="eastAsia" w:ascii="宋体" w:hAnsi="宋体" w:cs="宋体"/>
          <w:b/>
          <w:color w:val="auto"/>
          <w:sz w:val="28"/>
          <w:highlight w:val="white"/>
        </w:rPr>
        <w:t>注：均为</w:t>
      </w:r>
      <w:r>
        <w:rPr>
          <w:rFonts w:hint="eastAsia" w:ascii="宋体" w:hAnsi="宋体" w:eastAsia="宋体" w:cs="宋体"/>
          <w:b/>
          <w:color w:val="auto"/>
          <w:sz w:val="28"/>
          <w:highlight w:val="white"/>
          <w:lang w:eastAsia="zh-CN"/>
        </w:rPr>
        <w:t>复印件</w:t>
      </w:r>
      <w:r>
        <w:rPr>
          <w:rFonts w:hint="eastAsia" w:ascii="宋体" w:hAnsi="宋体" w:cs="宋体"/>
          <w:b/>
          <w:color w:val="auto"/>
          <w:sz w:val="28"/>
          <w:highlight w:val="white"/>
        </w:rPr>
        <w:t>并加盖服务商公章，并对所提供有关证件、资料的真实性负责。若存在弄虚作假，一经查实，采购人将有权取消其磋商、成交资格。</w:t>
      </w:r>
    </w:p>
    <w:bookmarkEnd w:id="293"/>
    <w:bookmarkEnd w:id="294"/>
    <w:bookmarkEnd w:id="295"/>
    <w:bookmarkEnd w:id="296"/>
    <w:p w14:paraId="538BE38E">
      <w:pPr>
        <w:rPr>
          <w:rFonts w:hint="eastAsia"/>
          <w:color w:val="auto"/>
        </w:rPr>
      </w:pPr>
      <w:bookmarkStart w:id="341" w:name="_Toc11757_WPSOffice_Level2"/>
      <w:bookmarkStart w:id="342" w:name="_Toc1186_WPSOffice_Level2"/>
      <w:bookmarkStart w:id="343" w:name="_Toc474492119"/>
      <w:bookmarkStart w:id="344" w:name="_Toc18024_WPSOffice_Level2"/>
      <w:bookmarkStart w:id="345" w:name="_Toc26800"/>
      <w:bookmarkStart w:id="346" w:name="_Toc2066"/>
    </w:p>
    <w:p w14:paraId="12C55A2C">
      <w:pPr>
        <w:pStyle w:val="3"/>
        <w:jc w:val="center"/>
        <w:rPr>
          <w:rFonts w:hint="eastAsia" w:hAnsi="宋体" w:cs="宋体"/>
          <w:b/>
          <w:color w:val="auto"/>
          <w:sz w:val="30"/>
          <w:szCs w:val="30"/>
        </w:rPr>
      </w:pPr>
      <w:bookmarkStart w:id="347" w:name="_Toc29050"/>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8</w:t>
      </w:r>
      <w:r>
        <w:rPr>
          <w:rFonts w:hint="eastAsia" w:hAnsi="宋体" w:cs="宋体"/>
          <w:b/>
          <w:color w:val="auto"/>
          <w:highlight w:val="white"/>
        </w:rPr>
        <w:t>、其他资料</w:t>
      </w:r>
      <w:bookmarkEnd w:id="341"/>
      <w:bookmarkEnd w:id="342"/>
      <w:bookmarkEnd w:id="343"/>
      <w:bookmarkEnd w:id="344"/>
      <w:bookmarkEnd w:id="345"/>
      <w:bookmarkEnd w:id="346"/>
      <w:bookmarkEnd w:id="347"/>
    </w:p>
    <w:p w14:paraId="33ED6980">
      <w:pPr>
        <w:spacing w:after="156" w:line="320" w:lineRule="exact"/>
        <w:jc w:val="center"/>
        <w:rPr>
          <w:rFonts w:hint="eastAsia" w:ascii="宋体" w:hAnsi="宋体" w:cs="宋体"/>
          <w:b/>
          <w:color w:val="auto"/>
          <w:sz w:val="24"/>
        </w:rPr>
      </w:pPr>
    </w:p>
    <w:p w14:paraId="6C1A4806">
      <w:pPr>
        <w:pStyle w:val="4"/>
        <w:jc w:val="center"/>
        <w:rPr>
          <w:rFonts w:hint="eastAsia" w:ascii="宋体" w:hAnsi="宋体" w:eastAsia="宋体" w:cs="宋体"/>
          <w:color w:val="auto"/>
          <w:sz w:val="24"/>
          <w:szCs w:val="24"/>
        </w:rPr>
      </w:pPr>
      <w:bookmarkStart w:id="348" w:name="_Toc22916_WPSOffice_Level1"/>
      <w:bookmarkStart w:id="349" w:name="_Toc4256_WPSOffice_Level2"/>
      <w:bookmarkStart w:id="350" w:name="_Toc31877"/>
      <w:bookmarkStart w:id="351" w:name="_Toc20726_WPSOffice_Level2"/>
      <w:bookmarkStart w:id="352" w:name="_Toc3439"/>
      <w:bookmarkStart w:id="353" w:name="_Toc21813"/>
      <w:r>
        <w:rPr>
          <w:rFonts w:hint="eastAsia" w:ascii="宋体" w:hAnsi="宋体" w:eastAsia="宋体" w:cs="宋体"/>
          <w:color w:val="auto"/>
          <w:sz w:val="24"/>
          <w:szCs w:val="24"/>
          <w:highlight w:val="white"/>
        </w:rPr>
        <w:t>格式</w:t>
      </w:r>
      <w:r>
        <w:rPr>
          <w:rFonts w:hint="eastAsia" w:ascii="宋体" w:hAnsi="宋体" w:eastAsia="宋体" w:cs="宋体"/>
          <w:color w:val="auto"/>
          <w:sz w:val="24"/>
          <w:szCs w:val="24"/>
          <w:highlight w:val="white"/>
          <w:lang w:val="en-US" w:eastAsia="zh-CN"/>
        </w:rPr>
        <w:t>8</w:t>
      </w:r>
      <w:r>
        <w:rPr>
          <w:rFonts w:hint="eastAsia" w:ascii="宋体" w:hAnsi="宋体" w:eastAsia="宋体" w:cs="宋体"/>
          <w:color w:val="auto"/>
          <w:sz w:val="24"/>
          <w:szCs w:val="24"/>
          <w:highlight w:val="white"/>
        </w:rPr>
        <w:t>-1投标企业情况一览表</w:t>
      </w:r>
      <w:bookmarkEnd w:id="348"/>
      <w:bookmarkEnd w:id="349"/>
      <w:bookmarkEnd w:id="350"/>
      <w:bookmarkEnd w:id="351"/>
      <w:bookmarkEnd w:id="352"/>
      <w:bookmarkEnd w:id="353"/>
    </w:p>
    <w:tbl>
      <w:tblPr>
        <w:tblStyle w:val="21"/>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696"/>
        <w:gridCol w:w="502"/>
        <w:gridCol w:w="1356"/>
        <w:gridCol w:w="876"/>
        <w:gridCol w:w="1324"/>
      </w:tblGrid>
      <w:tr w14:paraId="32D43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3F034ABB">
            <w:pPr>
              <w:jc w:val="center"/>
              <w:rPr>
                <w:rFonts w:hint="eastAsia" w:ascii="宋体" w:hAnsi="宋体" w:cs="宋体"/>
                <w:color w:val="auto"/>
                <w:sz w:val="24"/>
              </w:rPr>
            </w:pPr>
            <w:r>
              <w:rPr>
                <w:rFonts w:hint="eastAsia" w:ascii="宋体" w:hAnsi="宋体" w:cs="宋体"/>
                <w:color w:val="auto"/>
                <w:sz w:val="24"/>
                <w:highlight w:val="white"/>
              </w:rPr>
              <w:t>投标人名称</w:t>
            </w:r>
          </w:p>
        </w:tc>
        <w:tc>
          <w:tcPr>
            <w:tcW w:w="7485" w:type="dxa"/>
            <w:gridSpan w:val="7"/>
            <w:noWrap w:val="0"/>
            <w:vAlign w:val="center"/>
          </w:tcPr>
          <w:p w14:paraId="7EB7BCDB">
            <w:pPr>
              <w:jc w:val="center"/>
              <w:rPr>
                <w:rFonts w:hint="eastAsia" w:ascii="宋体" w:hAnsi="宋体" w:cs="宋体"/>
                <w:color w:val="auto"/>
                <w:sz w:val="24"/>
              </w:rPr>
            </w:pPr>
          </w:p>
        </w:tc>
      </w:tr>
      <w:tr w14:paraId="40663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262A6BC">
            <w:pPr>
              <w:jc w:val="center"/>
              <w:rPr>
                <w:rFonts w:hint="eastAsia" w:ascii="宋体" w:hAnsi="宋体" w:cs="宋体"/>
                <w:color w:val="auto"/>
                <w:sz w:val="24"/>
              </w:rPr>
            </w:pPr>
            <w:r>
              <w:rPr>
                <w:rFonts w:hint="eastAsia" w:ascii="宋体" w:hAnsi="宋体" w:cs="宋体"/>
                <w:color w:val="auto"/>
                <w:sz w:val="24"/>
                <w:highlight w:val="white"/>
              </w:rPr>
              <w:t>注册地址</w:t>
            </w:r>
          </w:p>
        </w:tc>
        <w:tc>
          <w:tcPr>
            <w:tcW w:w="3929" w:type="dxa"/>
            <w:gridSpan w:val="4"/>
            <w:noWrap w:val="0"/>
            <w:vAlign w:val="center"/>
          </w:tcPr>
          <w:p w14:paraId="16E980C2">
            <w:pPr>
              <w:jc w:val="center"/>
              <w:rPr>
                <w:rFonts w:hint="eastAsia" w:ascii="宋体" w:hAnsi="宋体" w:cs="宋体"/>
                <w:color w:val="auto"/>
                <w:sz w:val="24"/>
              </w:rPr>
            </w:pPr>
          </w:p>
        </w:tc>
        <w:tc>
          <w:tcPr>
            <w:tcW w:w="1356" w:type="dxa"/>
            <w:noWrap w:val="0"/>
            <w:vAlign w:val="center"/>
          </w:tcPr>
          <w:p w14:paraId="43A9E586">
            <w:pPr>
              <w:jc w:val="center"/>
              <w:rPr>
                <w:rFonts w:hint="eastAsia" w:ascii="宋体" w:hAnsi="宋体" w:cs="宋体"/>
                <w:color w:val="auto"/>
                <w:sz w:val="24"/>
              </w:rPr>
            </w:pPr>
            <w:r>
              <w:rPr>
                <w:rFonts w:hint="eastAsia" w:ascii="宋体" w:hAnsi="宋体" w:cs="宋体"/>
                <w:color w:val="auto"/>
                <w:sz w:val="24"/>
                <w:highlight w:val="white"/>
              </w:rPr>
              <w:t>邮政编码</w:t>
            </w:r>
          </w:p>
        </w:tc>
        <w:tc>
          <w:tcPr>
            <w:tcW w:w="2200" w:type="dxa"/>
            <w:gridSpan w:val="2"/>
            <w:noWrap w:val="0"/>
            <w:vAlign w:val="center"/>
          </w:tcPr>
          <w:p w14:paraId="7C9EF07B">
            <w:pPr>
              <w:jc w:val="center"/>
              <w:rPr>
                <w:rFonts w:hint="eastAsia" w:ascii="宋体" w:hAnsi="宋体" w:cs="宋体"/>
                <w:color w:val="auto"/>
                <w:sz w:val="24"/>
              </w:rPr>
            </w:pPr>
          </w:p>
        </w:tc>
      </w:tr>
      <w:tr w14:paraId="76CA3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0"/>
            <w:vAlign w:val="center"/>
          </w:tcPr>
          <w:p w14:paraId="7D8F37D8">
            <w:pPr>
              <w:jc w:val="center"/>
              <w:rPr>
                <w:rFonts w:hint="eastAsia" w:ascii="宋体" w:hAnsi="宋体" w:cs="宋体"/>
                <w:color w:val="auto"/>
                <w:sz w:val="24"/>
              </w:rPr>
            </w:pPr>
            <w:r>
              <w:rPr>
                <w:rFonts w:hint="eastAsia" w:ascii="宋体" w:hAnsi="宋体" w:cs="宋体"/>
                <w:color w:val="auto"/>
                <w:sz w:val="24"/>
                <w:highlight w:val="white"/>
              </w:rPr>
              <w:t>联系方式</w:t>
            </w:r>
          </w:p>
        </w:tc>
        <w:tc>
          <w:tcPr>
            <w:tcW w:w="1035" w:type="dxa"/>
            <w:noWrap w:val="0"/>
            <w:vAlign w:val="center"/>
          </w:tcPr>
          <w:p w14:paraId="4C073922">
            <w:pPr>
              <w:jc w:val="center"/>
              <w:rPr>
                <w:rFonts w:hint="eastAsia" w:ascii="宋体" w:hAnsi="宋体" w:cs="宋体"/>
                <w:color w:val="auto"/>
                <w:sz w:val="24"/>
              </w:rPr>
            </w:pPr>
            <w:r>
              <w:rPr>
                <w:rFonts w:hint="eastAsia" w:ascii="宋体" w:hAnsi="宋体" w:cs="宋体"/>
                <w:color w:val="auto"/>
                <w:sz w:val="24"/>
                <w:highlight w:val="white"/>
              </w:rPr>
              <w:t>联系人</w:t>
            </w:r>
          </w:p>
        </w:tc>
        <w:tc>
          <w:tcPr>
            <w:tcW w:w="2894" w:type="dxa"/>
            <w:gridSpan w:val="3"/>
            <w:noWrap w:val="0"/>
            <w:vAlign w:val="center"/>
          </w:tcPr>
          <w:p w14:paraId="097DC961">
            <w:pPr>
              <w:jc w:val="center"/>
              <w:rPr>
                <w:rFonts w:hint="eastAsia" w:ascii="宋体" w:hAnsi="宋体" w:cs="宋体"/>
                <w:color w:val="auto"/>
                <w:sz w:val="24"/>
              </w:rPr>
            </w:pPr>
          </w:p>
        </w:tc>
        <w:tc>
          <w:tcPr>
            <w:tcW w:w="1356" w:type="dxa"/>
            <w:noWrap w:val="0"/>
            <w:vAlign w:val="center"/>
          </w:tcPr>
          <w:p w14:paraId="12757955">
            <w:pPr>
              <w:jc w:val="center"/>
              <w:rPr>
                <w:rFonts w:hint="eastAsia" w:ascii="宋体" w:hAnsi="宋体" w:cs="宋体"/>
                <w:color w:val="auto"/>
                <w:sz w:val="24"/>
              </w:rPr>
            </w:pPr>
            <w:r>
              <w:rPr>
                <w:rFonts w:hint="eastAsia" w:ascii="宋体" w:hAnsi="宋体" w:cs="宋体"/>
                <w:color w:val="auto"/>
                <w:sz w:val="24"/>
                <w:highlight w:val="white"/>
              </w:rPr>
              <w:t>联系电话</w:t>
            </w:r>
          </w:p>
        </w:tc>
        <w:tc>
          <w:tcPr>
            <w:tcW w:w="2200" w:type="dxa"/>
            <w:gridSpan w:val="2"/>
            <w:noWrap w:val="0"/>
            <w:vAlign w:val="center"/>
          </w:tcPr>
          <w:p w14:paraId="60544A40">
            <w:pPr>
              <w:jc w:val="center"/>
              <w:rPr>
                <w:rFonts w:hint="eastAsia" w:ascii="宋体" w:hAnsi="宋体" w:cs="宋体"/>
                <w:color w:val="auto"/>
                <w:sz w:val="24"/>
              </w:rPr>
            </w:pPr>
          </w:p>
        </w:tc>
      </w:tr>
      <w:tr w14:paraId="489DD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0"/>
            <w:vAlign w:val="center"/>
          </w:tcPr>
          <w:p w14:paraId="48058EF5">
            <w:pPr>
              <w:jc w:val="center"/>
              <w:rPr>
                <w:rFonts w:hint="eastAsia" w:ascii="宋体" w:hAnsi="宋体" w:cs="宋体"/>
                <w:color w:val="auto"/>
                <w:sz w:val="24"/>
              </w:rPr>
            </w:pPr>
          </w:p>
        </w:tc>
        <w:tc>
          <w:tcPr>
            <w:tcW w:w="1035" w:type="dxa"/>
            <w:noWrap w:val="0"/>
            <w:vAlign w:val="center"/>
          </w:tcPr>
          <w:p w14:paraId="2CB94C72">
            <w:pPr>
              <w:jc w:val="center"/>
              <w:rPr>
                <w:rFonts w:hint="eastAsia" w:ascii="宋体" w:hAnsi="宋体" w:cs="宋体"/>
                <w:color w:val="auto"/>
                <w:sz w:val="24"/>
              </w:rPr>
            </w:pPr>
            <w:r>
              <w:rPr>
                <w:rFonts w:hint="eastAsia" w:ascii="宋体" w:hAnsi="宋体" w:cs="宋体"/>
                <w:color w:val="auto"/>
                <w:sz w:val="24"/>
                <w:highlight w:val="white"/>
              </w:rPr>
              <w:t>传  真</w:t>
            </w:r>
          </w:p>
        </w:tc>
        <w:tc>
          <w:tcPr>
            <w:tcW w:w="2894" w:type="dxa"/>
            <w:gridSpan w:val="3"/>
            <w:noWrap w:val="0"/>
            <w:vAlign w:val="center"/>
          </w:tcPr>
          <w:p w14:paraId="11355E5B">
            <w:pPr>
              <w:jc w:val="center"/>
              <w:rPr>
                <w:rFonts w:hint="eastAsia" w:ascii="宋体" w:hAnsi="宋体" w:cs="宋体"/>
                <w:color w:val="auto"/>
                <w:sz w:val="24"/>
              </w:rPr>
            </w:pPr>
          </w:p>
        </w:tc>
        <w:tc>
          <w:tcPr>
            <w:tcW w:w="1356" w:type="dxa"/>
            <w:noWrap w:val="0"/>
            <w:vAlign w:val="center"/>
          </w:tcPr>
          <w:p w14:paraId="1B7BA152">
            <w:pPr>
              <w:jc w:val="center"/>
              <w:rPr>
                <w:rFonts w:hint="eastAsia" w:ascii="宋体" w:hAnsi="宋体" w:cs="宋体"/>
                <w:color w:val="auto"/>
                <w:sz w:val="24"/>
              </w:rPr>
            </w:pPr>
            <w:r>
              <w:rPr>
                <w:rFonts w:hint="eastAsia" w:ascii="宋体" w:hAnsi="宋体" w:cs="宋体"/>
                <w:color w:val="auto"/>
                <w:sz w:val="24"/>
                <w:highlight w:val="white"/>
              </w:rPr>
              <w:t>网址/邮箱</w:t>
            </w:r>
          </w:p>
        </w:tc>
        <w:tc>
          <w:tcPr>
            <w:tcW w:w="2200" w:type="dxa"/>
            <w:gridSpan w:val="2"/>
            <w:noWrap w:val="0"/>
            <w:vAlign w:val="center"/>
          </w:tcPr>
          <w:p w14:paraId="3326676C">
            <w:pPr>
              <w:jc w:val="center"/>
              <w:rPr>
                <w:rFonts w:hint="eastAsia" w:ascii="宋体" w:hAnsi="宋体" w:cs="宋体"/>
                <w:color w:val="auto"/>
                <w:sz w:val="24"/>
              </w:rPr>
            </w:pPr>
          </w:p>
        </w:tc>
      </w:tr>
      <w:tr w14:paraId="38397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6882728B">
            <w:pPr>
              <w:jc w:val="center"/>
              <w:rPr>
                <w:rFonts w:hint="eastAsia" w:ascii="宋体" w:hAnsi="宋体" w:cs="宋体"/>
                <w:color w:val="auto"/>
                <w:sz w:val="24"/>
              </w:rPr>
            </w:pPr>
            <w:r>
              <w:rPr>
                <w:rFonts w:hint="eastAsia" w:ascii="宋体" w:hAnsi="宋体" w:cs="宋体"/>
                <w:color w:val="auto"/>
                <w:sz w:val="24"/>
                <w:highlight w:val="white"/>
              </w:rPr>
              <w:t>企业性质</w:t>
            </w:r>
          </w:p>
        </w:tc>
        <w:tc>
          <w:tcPr>
            <w:tcW w:w="7485" w:type="dxa"/>
            <w:gridSpan w:val="7"/>
            <w:noWrap w:val="0"/>
            <w:vAlign w:val="center"/>
          </w:tcPr>
          <w:p w14:paraId="6D4CC37D">
            <w:pPr>
              <w:jc w:val="center"/>
              <w:rPr>
                <w:rFonts w:hint="eastAsia" w:ascii="宋体" w:hAnsi="宋体" w:cs="宋体"/>
                <w:color w:val="auto"/>
                <w:sz w:val="24"/>
              </w:rPr>
            </w:pPr>
          </w:p>
        </w:tc>
      </w:tr>
      <w:tr w14:paraId="614AA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7B817CD2">
            <w:pPr>
              <w:jc w:val="center"/>
              <w:rPr>
                <w:rFonts w:hint="eastAsia" w:ascii="宋体" w:hAnsi="宋体" w:cs="宋体"/>
                <w:color w:val="auto"/>
                <w:sz w:val="24"/>
              </w:rPr>
            </w:pPr>
            <w:r>
              <w:rPr>
                <w:rFonts w:hint="eastAsia" w:ascii="宋体" w:hAnsi="宋体" w:cs="宋体"/>
                <w:color w:val="auto"/>
                <w:sz w:val="24"/>
                <w:highlight w:val="white"/>
              </w:rPr>
              <w:t>法定代表人</w:t>
            </w:r>
          </w:p>
        </w:tc>
        <w:tc>
          <w:tcPr>
            <w:tcW w:w="1035" w:type="dxa"/>
            <w:noWrap w:val="0"/>
            <w:vAlign w:val="center"/>
          </w:tcPr>
          <w:p w14:paraId="1CEA7584">
            <w:pPr>
              <w:jc w:val="center"/>
              <w:rPr>
                <w:rFonts w:hint="eastAsia" w:ascii="宋体" w:hAnsi="宋体" w:cs="宋体"/>
                <w:color w:val="auto"/>
                <w:sz w:val="24"/>
              </w:rPr>
            </w:pPr>
            <w:r>
              <w:rPr>
                <w:rFonts w:hint="eastAsia" w:ascii="宋体" w:hAnsi="宋体" w:cs="宋体"/>
                <w:color w:val="auto"/>
                <w:sz w:val="24"/>
                <w:highlight w:val="white"/>
              </w:rPr>
              <w:t>姓名</w:t>
            </w:r>
          </w:p>
        </w:tc>
        <w:tc>
          <w:tcPr>
            <w:tcW w:w="1696" w:type="dxa"/>
            <w:noWrap w:val="0"/>
            <w:vAlign w:val="center"/>
          </w:tcPr>
          <w:p w14:paraId="3BA4C687">
            <w:pPr>
              <w:jc w:val="center"/>
              <w:rPr>
                <w:rFonts w:hint="eastAsia" w:ascii="宋体" w:hAnsi="宋体" w:cs="宋体"/>
                <w:color w:val="auto"/>
                <w:sz w:val="24"/>
              </w:rPr>
            </w:pPr>
          </w:p>
        </w:tc>
        <w:tc>
          <w:tcPr>
            <w:tcW w:w="1198" w:type="dxa"/>
            <w:gridSpan w:val="2"/>
            <w:noWrap w:val="0"/>
            <w:vAlign w:val="center"/>
          </w:tcPr>
          <w:p w14:paraId="4FCC7ECC">
            <w:pPr>
              <w:jc w:val="center"/>
              <w:rPr>
                <w:rFonts w:hint="eastAsia" w:ascii="宋体" w:hAnsi="宋体" w:cs="宋体"/>
                <w:color w:val="auto"/>
                <w:sz w:val="24"/>
              </w:rPr>
            </w:pPr>
            <w:r>
              <w:rPr>
                <w:rFonts w:hint="eastAsia" w:ascii="宋体" w:hAnsi="宋体" w:cs="宋体"/>
                <w:color w:val="auto"/>
                <w:sz w:val="24"/>
                <w:highlight w:val="white"/>
              </w:rPr>
              <w:t>技术职称</w:t>
            </w:r>
          </w:p>
        </w:tc>
        <w:tc>
          <w:tcPr>
            <w:tcW w:w="1356" w:type="dxa"/>
            <w:noWrap w:val="0"/>
            <w:vAlign w:val="center"/>
          </w:tcPr>
          <w:p w14:paraId="622054F0">
            <w:pPr>
              <w:jc w:val="center"/>
              <w:rPr>
                <w:rFonts w:hint="eastAsia" w:ascii="宋体" w:hAnsi="宋体" w:cs="宋体"/>
                <w:color w:val="auto"/>
                <w:sz w:val="24"/>
              </w:rPr>
            </w:pPr>
          </w:p>
        </w:tc>
        <w:tc>
          <w:tcPr>
            <w:tcW w:w="876" w:type="dxa"/>
            <w:noWrap w:val="0"/>
            <w:vAlign w:val="center"/>
          </w:tcPr>
          <w:p w14:paraId="768C1FF0">
            <w:pPr>
              <w:jc w:val="center"/>
              <w:rPr>
                <w:rFonts w:hint="eastAsia" w:ascii="宋体" w:hAnsi="宋体" w:cs="宋体"/>
                <w:color w:val="auto"/>
                <w:sz w:val="24"/>
              </w:rPr>
            </w:pPr>
            <w:r>
              <w:rPr>
                <w:rFonts w:hint="eastAsia" w:ascii="宋体" w:hAnsi="宋体" w:cs="宋体"/>
                <w:color w:val="auto"/>
                <w:sz w:val="24"/>
                <w:highlight w:val="white"/>
              </w:rPr>
              <w:t>电话</w:t>
            </w:r>
          </w:p>
        </w:tc>
        <w:tc>
          <w:tcPr>
            <w:tcW w:w="1324" w:type="dxa"/>
            <w:noWrap w:val="0"/>
            <w:vAlign w:val="center"/>
          </w:tcPr>
          <w:p w14:paraId="4D16F067">
            <w:pPr>
              <w:jc w:val="center"/>
              <w:rPr>
                <w:rFonts w:hint="eastAsia" w:ascii="宋体" w:hAnsi="宋体" w:cs="宋体"/>
                <w:color w:val="auto"/>
                <w:sz w:val="24"/>
              </w:rPr>
            </w:pPr>
          </w:p>
        </w:tc>
      </w:tr>
      <w:tr w14:paraId="4CB39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4FC62EC8">
            <w:pPr>
              <w:jc w:val="center"/>
              <w:rPr>
                <w:rFonts w:hint="eastAsia" w:ascii="宋体" w:hAnsi="宋体" w:cs="宋体"/>
                <w:color w:val="auto"/>
                <w:sz w:val="24"/>
              </w:rPr>
            </w:pPr>
            <w:r>
              <w:rPr>
                <w:rFonts w:hint="eastAsia" w:ascii="宋体" w:hAnsi="宋体" w:cs="宋体"/>
                <w:color w:val="auto"/>
                <w:sz w:val="24"/>
                <w:highlight w:val="white"/>
              </w:rPr>
              <w:t>技术负责人</w:t>
            </w:r>
          </w:p>
        </w:tc>
        <w:tc>
          <w:tcPr>
            <w:tcW w:w="1035" w:type="dxa"/>
            <w:noWrap w:val="0"/>
            <w:vAlign w:val="center"/>
          </w:tcPr>
          <w:p w14:paraId="40B707C0">
            <w:pPr>
              <w:jc w:val="center"/>
              <w:rPr>
                <w:rFonts w:hint="eastAsia" w:ascii="宋体" w:hAnsi="宋体" w:cs="宋体"/>
                <w:color w:val="auto"/>
                <w:sz w:val="24"/>
              </w:rPr>
            </w:pPr>
            <w:r>
              <w:rPr>
                <w:rFonts w:hint="eastAsia" w:ascii="宋体" w:hAnsi="宋体" w:cs="宋体"/>
                <w:color w:val="auto"/>
                <w:sz w:val="24"/>
                <w:highlight w:val="white"/>
              </w:rPr>
              <w:t>姓名</w:t>
            </w:r>
          </w:p>
        </w:tc>
        <w:tc>
          <w:tcPr>
            <w:tcW w:w="1696" w:type="dxa"/>
            <w:noWrap w:val="0"/>
            <w:vAlign w:val="center"/>
          </w:tcPr>
          <w:p w14:paraId="63F8C62C">
            <w:pPr>
              <w:jc w:val="center"/>
              <w:rPr>
                <w:rFonts w:hint="eastAsia" w:ascii="宋体" w:hAnsi="宋体" w:cs="宋体"/>
                <w:color w:val="auto"/>
                <w:sz w:val="24"/>
              </w:rPr>
            </w:pPr>
          </w:p>
        </w:tc>
        <w:tc>
          <w:tcPr>
            <w:tcW w:w="1198" w:type="dxa"/>
            <w:gridSpan w:val="2"/>
            <w:noWrap w:val="0"/>
            <w:vAlign w:val="center"/>
          </w:tcPr>
          <w:p w14:paraId="27B57DE2">
            <w:pPr>
              <w:jc w:val="center"/>
              <w:rPr>
                <w:rFonts w:hint="eastAsia" w:ascii="宋体" w:hAnsi="宋体" w:cs="宋体"/>
                <w:color w:val="auto"/>
                <w:sz w:val="24"/>
              </w:rPr>
            </w:pPr>
            <w:r>
              <w:rPr>
                <w:rFonts w:hint="eastAsia" w:ascii="宋体" w:hAnsi="宋体" w:cs="宋体"/>
                <w:color w:val="auto"/>
                <w:sz w:val="24"/>
                <w:highlight w:val="white"/>
              </w:rPr>
              <w:t>技术职称</w:t>
            </w:r>
          </w:p>
        </w:tc>
        <w:tc>
          <w:tcPr>
            <w:tcW w:w="1356" w:type="dxa"/>
            <w:noWrap w:val="0"/>
            <w:vAlign w:val="center"/>
          </w:tcPr>
          <w:p w14:paraId="0650452F">
            <w:pPr>
              <w:jc w:val="center"/>
              <w:rPr>
                <w:rFonts w:hint="eastAsia" w:ascii="宋体" w:hAnsi="宋体" w:cs="宋体"/>
                <w:color w:val="auto"/>
                <w:sz w:val="24"/>
              </w:rPr>
            </w:pPr>
          </w:p>
        </w:tc>
        <w:tc>
          <w:tcPr>
            <w:tcW w:w="876" w:type="dxa"/>
            <w:noWrap w:val="0"/>
            <w:vAlign w:val="center"/>
          </w:tcPr>
          <w:p w14:paraId="00E060F0">
            <w:pPr>
              <w:jc w:val="center"/>
              <w:rPr>
                <w:rFonts w:hint="eastAsia" w:ascii="宋体" w:hAnsi="宋体" w:cs="宋体"/>
                <w:color w:val="auto"/>
                <w:sz w:val="24"/>
              </w:rPr>
            </w:pPr>
            <w:r>
              <w:rPr>
                <w:rFonts w:hint="eastAsia" w:ascii="宋体" w:hAnsi="宋体" w:cs="宋体"/>
                <w:color w:val="auto"/>
                <w:sz w:val="24"/>
                <w:highlight w:val="white"/>
              </w:rPr>
              <w:t>电话</w:t>
            </w:r>
          </w:p>
        </w:tc>
        <w:tc>
          <w:tcPr>
            <w:tcW w:w="1324" w:type="dxa"/>
            <w:noWrap w:val="0"/>
            <w:vAlign w:val="center"/>
          </w:tcPr>
          <w:p w14:paraId="1A898885">
            <w:pPr>
              <w:jc w:val="center"/>
              <w:rPr>
                <w:rFonts w:hint="eastAsia" w:ascii="宋体" w:hAnsi="宋体" w:cs="宋体"/>
                <w:color w:val="auto"/>
                <w:sz w:val="24"/>
              </w:rPr>
            </w:pPr>
          </w:p>
        </w:tc>
      </w:tr>
      <w:tr w14:paraId="2A056B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CA9C75C">
            <w:pPr>
              <w:jc w:val="center"/>
              <w:rPr>
                <w:rFonts w:hint="eastAsia" w:ascii="宋体" w:hAnsi="宋体" w:cs="宋体"/>
                <w:color w:val="auto"/>
                <w:sz w:val="24"/>
              </w:rPr>
            </w:pPr>
            <w:r>
              <w:rPr>
                <w:rFonts w:hint="eastAsia" w:ascii="宋体" w:hAnsi="宋体" w:cs="宋体"/>
                <w:color w:val="auto"/>
                <w:sz w:val="24"/>
                <w:highlight w:val="white"/>
              </w:rPr>
              <w:t>成立时间</w:t>
            </w:r>
          </w:p>
        </w:tc>
        <w:tc>
          <w:tcPr>
            <w:tcW w:w="2731" w:type="dxa"/>
            <w:gridSpan w:val="2"/>
            <w:noWrap w:val="0"/>
            <w:vAlign w:val="center"/>
          </w:tcPr>
          <w:p w14:paraId="5FFF1DFE">
            <w:pPr>
              <w:jc w:val="center"/>
              <w:rPr>
                <w:rFonts w:hint="eastAsia" w:ascii="宋体" w:hAnsi="宋体" w:cs="宋体"/>
                <w:color w:val="auto"/>
                <w:sz w:val="24"/>
              </w:rPr>
            </w:pPr>
          </w:p>
        </w:tc>
        <w:tc>
          <w:tcPr>
            <w:tcW w:w="4754" w:type="dxa"/>
            <w:gridSpan w:val="5"/>
            <w:noWrap w:val="0"/>
            <w:vAlign w:val="center"/>
          </w:tcPr>
          <w:p w14:paraId="54974A91">
            <w:pPr>
              <w:rPr>
                <w:rFonts w:hint="eastAsia" w:ascii="宋体" w:hAnsi="宋体" w:cs="宋体"/>
                <w:color w:val="auto"/>
                <w:sz w:val="24"/>
              </w:rPr>
            </w:pPr>
            <w:r>
              <w:rPr>
                <w:rFonts w:hint="eastAsia" w:ascii="宋体" w:hAnsi="宋体" w:cs="宋体"/>
                <w:color w:val="auto"/>
                <w:sz w:val="24"/>
                <w:highlight w:val="white"/>
              </w:rPr>
              <w:t>员工总人数：</w:t>
            </w:r>
          </w:p>
        </w:tc>
      </w:tr>
      <w:tr w14:paraId="0DABD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519ABFBA">
            <w:pPr>
              <w:jc w:val="center"/>
              <w:rPr>
                <w:rFonts w:hint="eastAsia" w:ascii="宋体" w:hAnsi="宋体" w:cs="宋体"/>
                <w:color w:val="auto"/>
                <w:sz w:val="24"/>
              </w:rPr>
            </w:pPr>
            <w:r>
              <w:rPr>
                <w:rFonts w:hint="eastAsia" w:ascii="宋体" w:hAnsi="宋体" w:cs="宋体"/>
                <w:color w:val="auto"/>
                <w:sz w:val="24"/>
                <w:highlight w:val="white"/>
              </w:rPr>
              <w:t>营业执照号</w:t>
            </w:r>
          </w:p>
        </w:tc>
        <w:tc>
          <w:tcPr>
            <w:tcW w:w="2731" w:type="dxa"/>
            <w:gridSpan w:val="2"/>
            <w:noWrap w:val="0"/>
            <w:vAlign w:val="center"/>
          </w:tcPr>
          <w:p w14:paraId="0BA6C0FA">
            <w:pPr>
              <w:jc w:val="center"/>
              <w:rPr>
                <w:rFonts w:hint="eastAsia" w:ascii="宋体" w:hAnsi="宋体" w:cs="宋体"/>
                <w:color w:val="auto"/>
                <w:sz w:val="24"/>
              </w:rPr>
            </w:pPr>
          </w:p>
        </w:tc>
        <w:tc>
          <w:tcPr>
            <w:tcW w:w="696" w:type="dxa"/>
            <w:vMerge w:val="restart"/>
            <w:noWrap w:val="0"/>
            <w:vAlign w:val="center"/>
          </w:tcPr>
          <w:p w14:paraId="4B788221">
            <w:pPr>
              <w:jc w:val="center"/>
              <w:rPr>
                <w:rFonts w:hint="eastAsia" w:ascii="宋体" w:hAnsi="宋体" w:cs="宋体"/>
                <w:color w:val="auto"/>
                <w:sz w:val="24"/>
              </w:rPr>
            </w:pPr>
            <w:r>
              <w:rPr>
                <w:rFonts w:hint="eastAsia" w:ascii="宋体" w:hAnsi="宋体" w:cs="宋体"/>
                <w:color w:val="auto"/>
                <w:sz w:val="24"/>
                <w:highlight w:val="white"/>
              </w:rPr>
              <w:t>其中</w:t>
            </w:r>
          </w:p>
        </w:tc>
        <w:tc>
          <w:tcPr>
            <w:tcW w:w="1858" w:type="dxa"/>
            <w:gridSpan w:val="2"/>
            <w:noWrap w:val="0"/>
            <w:vAlign w:val="center"/>
          </w:tcPr>
          <w:p w14:paraId="48BF6187">
            <w:pPr>
              <w:jc w:val="center"/>
              <w:rPr>
                <w:rFonts w:hint="eastAsia" w:ascii="宋体" w:hAnsi="宋体" w:cs="宋体"/>
                <w:color w:val="auto"/>
                <w:sz w:val="24"/>
              </w:rPr>
            </w:pPr>
            <w:r>
              <w:rPr>
                <w:rFonts w:hint="eastAsia" w:ascii="宋体" w:hAnsi="宋体" w:cs="宋体"/>
                <w:color w:val="auto"/>
                <w:sz w:val="24"/>
                <w:highlight w:val="white"/>
              </w:rPr>
              <w:t>高级职称人员</w:t>
            </w:r>
          </w:p>
        </w:tc>
        <w:tc>
          <w:tcPr>
            <w:tcW w:w="2200" w:type="dxa"/>
            <w:gridSpan w:val="2"/>
            <w:noWrap w:val="0"/>
            <w:vAlign w:val="center"/>
          </w:tcPr>
          <w:p w14:paraId="188324F7">
            <w:pPr>
              <w:jc w:val="center"/>
              <w:rPr>
                <w:rFonts w:hint="eastAsia" w:ascii="宋体" w:hAnsi="宋体" w:cs="宋体"/>
                <w:color w:val="auto"/>
                <w:sz w:val="24"/>
              </w:rPr>
            </w:pPr>
          </w:p>
        </w:tc>
      </w:tr>
      <w:tr w14:paraId="150D4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1523DA9D">
            <w:pPr>
              <w:jc w:val="center"/>
              <w:rPr>
                <w:rFonts w:hint="eastAsia" w:ascii="宋体" w:hAnsi="宋体" w:cs="宋体"/>
                <w:color w:val="auto"/>
                <w:sz w:val="24"/>
              </w:rPr>
            </w:pPr>
            <w:r>
              <w:rPr>
                <w:rFonts w:hint="eastAsia" w:ascii="宋体" w:hAnsi="宋体" w:cs="宋体"/>
                <w:color w:val="auto"/>
                <w:sz w:val="24"/>
                <w:highlight w:val="white"/>
              </w:rPr>
              <w:t>注册资金</w:t>
            </w:r>
          </w:p>
        </w:tc>
        <w:tc>
          <w:tcPr>
            <w:tcW w:w="2731" w:type="dxa"/>
            <w:gridSpan w:val="2"/>
            <w:noWrap w:val="0"/>
            <w:vAlign w:val="center"/>
          </w:tcPr>
          <w:p w14:paraId="71EABB0C">
            <w:pPr>
              <w:jc w:val="center"/>
              <w:rPr>
                <w:rFonts w:hint="eastAsia" w:ascii="宋体" w:hAnsi="宋体" w:cs="宋体"/>
                <w:color w:val="auto"/>
                <w:sz w:val="24"/>
              </w:rPr>
            </w:pPr>
          </w:p>
        </w:tc>
        <w:tc>
          <w:tcPr>
            <w:tcW w:w="696" w:type="dxa"/>
            <w:vMerge w:val="continue"/>
            <w:noWrap w:val="0"/>
            <w:vAlign w:val="center"/>
          </w:tcPr>
          <w:p w14:paraId="73EDE93E">
            <w:pPr>
              <w:jc w:val="center"/>
              <w:rPr>
                <w:rFonts w:hint="eastAsia" w:ascii="宋体" w:hAnsi="宋体" w:cs="宋体"/>
                <w:color w:val="auto"/>
                <w:sz w:val="24"/>
              </w:rPr>
            </w:pPr>
          </w:p>
        </w:tc>
        <w:tc>
          <w:tcPr>
            <w:tcW w:w="1858" w:type="dxa"/>
            <w:gridSpan w:val="2"/>
            <w:noWrap w:val="0"/>
            <w:vAlign w:val="center"/>
          </w:tcPr>
          <w:p w14:paraId="61E4300D">
            <w:pPr>
              <w:jc w:val="center"/>
              <w:rPr>
                <w:rFonts w:hint="eastAsia" w:ascii="宋体" w:hAnsi="宋体" w:cs="宋体"/>
                <w:color w:val="auto"/>
                <w:sz w:val="24"/>
              </w:rPr>
            </w:pPr>
            <w:r>
              <w:rPr>
                <w:rFonts w:hint="eastAsia" w:ascii="宋体" w:hAnsi="宋体" w:cs="宋体"/>
                <w:color w:val="auto"/>
                <w:sz w:val="24"/>
                <w:highlight w:val="white"/>
              </w:rPr>
              <w:t>中级职称人员</w:t>
            </w:r>
          </w:p>
        </w:tc>
        <w:tc>
          <w:tcPr>
            <w:tcW w:w="2200" w:type="dxa"/>
            <w:gridSpan w:val="2"/>
            <w:noWrap w:val="0"/>
            <w:vAlign w:val="center"/>
          </w:tcPr>
          <w:p w14:paraId="7C752780">
            <w:pPr>
              <w:jc w:val="center"/>
              <w:rPr>
                <w:rFonts w:hint="eastAsia" w:ascii="宋体" w:hAnsi="宋体" w:cs="宋体"/>
                <w:color w:val="auto"/>
                <w:sz w:val="24"/>
              </w:rPr>
            </w:pPr>
          </w:p>
        </w:tc>
      </w:tr>
      <w:tr w14:paraId="3685B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6CD0CA9A">
            <w:pPr>
              <w:jc w:val="center"/>
              <w:rPr>
                <w:rFonts w:hint="eastAsia" w:ascii="宋体" w:hAnsi="宋体" w:cs="宋体"/>
                <w:color w:val="auto"/>
                <w:sz w:val="24"/>
              </w:rPr>
            </w:pPr>
            <w:r>
              <w:rPr>
                <w:rFonts w:hint="eastAsia" w:ascii="宋体" w:hAnsi="宋体" w:cs="宋体"/>
                <w:color w:val="auto"/>
                <w:sz w:val="24"/>
                <w:highlight w:val="white"/>
              </w:rPr>
              <w:t>开户银行</w:t>
            </w:r>
          </w:p>
        </w:tc>
        <w:tc>
          <w:tcPr>
            <w:tcW w:w="2731" w:type="dxa"/>
            <w:gridSpan w:val="2"/>
            <w:noWrap w:val="0"/>
            <w:vAlign w:val="center"/>
          </w:tcPr>
          <w:p w14:paraId="604A27CF">
            <w:pPr>
              <w:jc w:val="center"/>
              <w:rPr>
                <w:rFonts w:hint="eastAsia" w:ascii="宋体" w:hAnsi="宋体" w:cs="宋体"/>
                <w:color w:val="auto"/>
                <w:sz w:val="24"/>
              </w:rPr>
            </w:pPr>
          </w:p>
        </w:tc>
        <w:tc>
          <w:tcPr>
            <w:tcW w:w="696" w:type="dxa"/>
            <w:vMerge w:val="continue"/>
            <w:noWrap w:val="0"/>
            <w:vAlign w:val="center"/>
          </w:tcPr>
          <w:p w14:paraId="4F7F5A8C">
            <w:pPr>
              <w:jc w:val="center"/>
              <w:rPr>
                <w:rFonts w:hint="eastAsia" w:ascii="宋体" w:hAnsi="宋体" w:cs="宋体"/>
                <w:color w:val="auto"/>
                <w:sz w:val="24"/>
              </w:rPr>
            </w:pPr>
          </w:p>
        </w:tc>
        <w:tc>
          <w:tcPr>
            <w:tcW w:w="1858" w:type="dxa"/>
            <w:gridSpan w:val="2"/>
            <w:noWrap w:val="0"/>
            <w:vAlign w:val="center"/>
          </w:tcPr>
          <w:p w14:paraId="051DBB57">
            <w:pPr>
              <w:jc w:val="center"/>
              <w:rPr>
                <w:rFonts w:hint="eastAsia" w:ascii="宋体" w:hAnsi="宋体" w:cs="宋体"/>
                <w:color w:val="auto"/>
                <w:sz w:val="24"/>
              </w:rPr>
            </w:pPr>
            <w:r>
              <w:rPr>
                <w:rFonts w:hint="eastAsia" w:ascii="宋体" w:hAnsi="宋体" w:cs="宋体"/>
                <w:color w:val="auto"/>
                <w:sz w:val="24"/>
                <w:highlight w:val="white"/>
              </w:rPr>
              <w:t>初级职称人员</w:t>
            </w:r>
          </w:p>
        </w:tc>
        <w:tc>
          <w:tcPr>
            <w:tcW w:w="2200" w:type="dxa"/>
            <w:gridSpan w:val="2"/>
            <w:noWrap w:val="0"/>
            <w:vAlign w:val="center"/>
          </w:tcPr>
          <w:p w14:paraId="231EE419">
            <w:pPr>
              <w:jc w:val="center"/>
              <w:rPr>
                <w:rFonts w:hint="eastAsia" w:ascii="宋体" w:hAnsi="宋体" w:cs="宋体"/>
                <w:color w:val="auto"/>
                <w:sz w:val="24"/>
              </w:rPr>
            </w:pPr>
          </w:p>
        </w:tc>
      </w:tr>
      <w:tr w14:paraId="259508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661A6CF4">
            <w:pPr>
              <w:jc w:val="center"/>
              <w:rPr>
                <w:rFonts w:hint="eastAsia" w:ascii="宋体" w:hAnsi="宋体" w:cs="宋体"/>
                <w:color w:val="auto"/>
                <w:sz w:val="24"/>
              </w:rPr>
            </w:pPr>
            <w:r>
              <w:rPr>
                <w:rFonts w:hint="eastAsia" w:ascii="宋体" w:hAnsi="宋体" w:cs="宋体"/>
                <w:color w:val="auto"/>
                <w:sz w:val="24"/>
                <w:highlight w:val="white"/>
              </w:rPr>
              <w:t>银行账号</w:t>
            </w:r>
          </w:p>
        </w:tc>
        <w:tc>
          <w:tcPr>
            <w:tcW w:w="2731" w:type="dxa"/>
            <w:gridSpan w:val="2"/>
            <w:noWrap w:val="0"/>
            <w:vAlign w:val="center"/>
          </w:tcPr>
          <w:p w14:paraId="4B4C41F4">
            <w:pPr>
              <w:jc w:val="center"/>
              <w:rPr>
                <w:rFonts w:hint="eastAsia" w:ascii="宋体" w:hAnsi="宋体" w:cs="宋体"/>
                <w:color w:val="auto"/>
                <w:sz w:val="24"/>
              </w:rPr>
            </w:pPr>
          </w:p>
        </w:tc>
        <w:tc>
          <w:tcPr>
            <w:tcW w:w="696" w:type="dxa"/>
            <w:vMerge w:val="continue"/>
            <w:noWrap w:val="0"/>
            <w:vAlign w:val="center"/>
          </w:tcPr>
          <w:p w14:paraId="7DE5978C">
            <w:pPr>
              <w:jc w:val="center"/>
              <w:rPr>
                <w:rFonts w:hint="eastAsia" w:ascii="宋体" w:hAnsi="宋体" w:cs="宋体"/>
                <w:color w:val="auto"/>
                <w:sz w:val="24"/>
              </w:rPr>
            </w:pPr>
          </w:p>
        </w:tc>
        <w:tc>
          <w:tcPr>
            <w:tcW w:w="1858" w:type="dxa"/>
            <w:gridSpan w:val="2"/>
            <w:noWrap w:val="0"/>
            <w:vAlign w:val="center"/>
          </w:tcPr>
          <w:p w14:paraId="137400B4">
            <w:pPr>
              <w:jc w:val="center"/>
              <w:rPr>
                <w:rFonts w:hint="eastAsia" w:ascii="宋体" w:hAnsi="宋体" w:cs="宋体"/>
                <w:color w:val="auto"/>
                <w:sz w:val="24"/>
              </w:rPr>
            </w:pPr>
            <w:r>
              <w:rPr>
                <w:rFonts w:hint="eastAsia" w:ascii="宋体" w:hAnsi="宋体" w:cs="宋体"/>
                <w:color w:val="auto"/>
                <w:sz w:val="24"/>
                <w:highlight w:val="white"/>
              </w:rPr>
              <w:t>技工</w:t>
            </w:r>
          </w:p>
        </w:tc>
        <w:tc>
          <w:tcPr>
            <w:tcW w:w="2200" w:type="dxa"/>
            <w:gridSpan w:val="2"/>
            <w:noWrap w:val="0"/>
            <w:vAlign w:val="center"/>
          </w:tcPr>
          <w:p w14:paraId="33007471">
            <w:pPr>
              <w:jc w:val="center"/>
              <w:rPr>
                <w:rFonts w:hint="eastAsia" w:ascii="宋体" w:hAnsi="宋体" w:cs="宋体"/>
                <w:color w:val="auto"/>
                <w:sz w:val="24"/>
              </w:rPr>
            </w:pPr>
          </w:p>
        </w:tc>
      </w:tr>
      <w:tr w14:paraId="5A6BD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2" w:hRule="atLeast"/>
        </w:trPr>
        <w:tc>
          <w:tcPr>
            <w:tcW w:w="2235" w:type="dxa"/>
            <w:noWrap w:val="0"/>
            <w:vAlign w:val="center"/>
          </w:tcPr>
          <w:p w14:paraId="3E545A54">
            <w:pPr>
              <w:jc w:val="center"/>
              <w:rPr>
                <w:rFonts w:hint="eastAsia" w:ascii="宋体" w:hAnsi="宋体" w:cs="宋体"/>
                <w:color w:val="auto"/>
                <w:sz w:val="24"/>
              </w:rPr>
            </w:pPr>
            <w:r>
              <w:rPr>
                <w:rFonts w:hint="eastAsia" w:ascii="宋体" w:hAnsi="宋体" w:cs="宋体"/>
                <w:color w:val="auto"/>
                <w:sz w:val="24"/>
                <w:highlight w:val="white"/>
              </w:rPr>
              <w:t>经营范围备注</w:t>
            </w:r>
          </w:p>
        </w:tc>
        <w:tc>
          <w:tcPr>
            <w:tcW w:w="7485" w:type="dxa"/>
            <w:gridSpan w:val="7"/>
            <w:noWrap w:val="0"/>
            <w:vAlign w:val="center"/>
          </w:tcPr>
          <w:p w14:paraId="0087EC6A">
            <w:pPr>
              <w:jc w:val="center"/>
              <w:rPr>
                <w:rFonts w:hint="eastAsia" w:ascii="宋体" w:hAnsi="宋体" w:cs="宋体"/>
                <w:color w:val="auto"/>
                <w:sz w:val="24"/>
              </w:rPr>
            </w:pPr>
          </w:p>
        </w:tc>
      </w:tr>
    </w:tbl>
    <w:p w14:paraId="344F6E99">
      <w:pPr>
        <w:spacing w:line="440" w:lineRule="exact"/>
        <w:rPr>
          <w:rFonts w:hint="eastAsia" w:ascii="宋体" w:hAnsi="宋体" w:cs="宋体"/>
          <w:b/>
          <w:bCs/>
          <w:color w:val="auto"/>
          <w:sz w:val="32"/>
          <w:szCs w:val="32"/>
        </w:rPr>
      </w:pPr>
      <w:r>
        <w:rPr>
          <w:rFonts w:hint="eastAsia" w:ascii="宋体" w:hAnsi="宋体" w:cs="宋体"/>
          <w:color w:val="auto"/>
          <w:sz w:val="24"/>
          <w:highlight w:val="white"/>
        </w:rPr>
        <w:t>投标人签章</w:t>
      </w:r>
      <w:r>
        <w:rPr>
          <w:rFonts w:hint="eastAsia" w:ascii="宋体" w:hAnsi="宋体" w:cs="宋体"/>
          <w:bCs/>
          <w:color w:val="auto"/>
          <w:sz w:val="24"/>
          <w:szCs w:val="24"/>
          <w:highlight w:val="white"/>
        </w:rPr>
        <w:t>：</w:t>
      </w:r>
      <w:r>
        <w:rPr>
          <w:rFonts w:hint="eastAsia" w:ascii="宋体" w:hAnsi="宋体" w:cs="宋体"/>
          <w:b/>
          <w:bCs/>
          <w:color w:val="auto"/>
          <w:sz w:val="32"/>
          <w:szCs w:val="32"/>
          <w:highlight w:val="white"/>
        </w:rPr>
        <w:t xml:space="preserve">                                 </w:t>
      </w:r>
    </w:p>
    <w:p w14:paraId="4935D9D4">
      <w:pPr>
        <w:pStyle w:val="4"/>
        <w:jc w:val="center"/>
        <w:rPr>
          <w:rFonts w:hint="eastAsia" w:ascii="宋体" w:hAnsi="宋体" w:eastAsia="宋体" w:cs="宋体"/>
          <w:color w:val="auto"/>
          <w:sz w:val="24"/>
          <w:szCs w:val="24"/>
        </w:rPr>
      </w:pPr>
      <w:r>
        <w:rPr>
          <w:rFonts w:hint="eastAsia" w:ascii="宋体" w:hAnsi="宋体" w:eastAsia="宋体" w:cs="宋体"/>
          <w:color w:val="auto"/>
          <w:highlight w:val="white"/>
        </w:rPr>
        <w:br w:type="page"/>
      </w:r>
      <w:bookmarkStart w:id="354" w:name="_Toc28335"/>
      <w:bookmarkStart w:id="355" w:name="_Toc9836_WPSOffice_Level2"/>
      <w:bookmarkStart w:id="356" w:name="_Toc11880_WPSOffice_Level2"/>
      <w:bookmarkStart w:id="357" w:name="_Toc14424"/>
      <w:bookmarkStart w:id="358" w:name="_Toc25519"/>
      <w:r>
        <w:rPr>
          <w:rFonts w:hint="eastAsia" w:ascii="宋体" w:hAnsi="宋体" w:eastAsia="宋体" w:cs="宋体"/>
          <w:color w:val="auto"/>
          <w:sz w:val="24"/>
          <w:szCs w:val="24"/>
          <w:highlight w:val="white"/>
        </w:rPr>
        <w:t>格式</w:t>
      </w:r>
      <w:r>
        <w:rPr>
          <w:rFonts w:hint="eastAsia" w:ascii="宋体" w:hAnsi="宋体" w:eastAsia="宋体" w:cs="宋体"/>
          <w:color w:val="auto"/>
          <w:sz w:val="24"/>
          <w:szCs w:val="24"/>
          <w:highlight w:val="white"/>
          <w:lang w:val="en-US" w:eastAsia="zh-CN"/>
        </w:rPr>
        <w:t>8</w:t>
      </w:r>
      <w:r>
        <w:rPr>
          <w:rFonts w:hint="eastAsia" w:ascii="宋体" w:hAnsi="宋体" w:eastAsia="宋体" w:cs="宋体"/>
          <w:color w:val="auto"/>
          <w:sz w:val="24"/>
          <w:szCs w:val="24"/>
          <w:highlight w:val="white"/>
        </w:rPr>
        <w:t>-2近年完成的类似项目情况表</w:t>
      </w:r>
      <w:bookmarkEnd w:id="354"/>
      <w:bookmarkEnd w:id="355"/>
      <w:bookmarkEnd w:id="356"/>
      <w:bookmarkEnd w:id="357"/>
      <w:bookmarkEnd w:id="358"/>
    </w:p>
    <w:p w14:paraId="0ED91D75">
      <w:pPr>
        <w:spacing w:line="320" w:lineRule="exact"/>
        <w:jc w:val="center"/>
        <w:rPr>
          <w:rFonts w:hint="eastAsia" w:ascii="宋体" w:hAnsi="宋体" w:cs="宋体"/>
          <w:color w:val="auto"/>
          <w:sz w:val="24"/>
        </w:rPr>
      </w:pPr>
    </w:p>
    <w:tbl>
      <w:tblPr>
        <w:tblStyle w:val="21"/>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56"/>
        <w:gridCol w:w="7092"/>
      </w:tblGrid>
      <w:tr w14:paraId="155E6C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EAAF805">
            <w:pPr>
              <w:jc w:val="center"/>
              <w:rPr>
                <w:rFonts w:hint="eastAsia" w:ascii="宋体" w:hAnsi="宋体" w:cs="宋体"/>
                <w:color w:val="auto"/>
                <w:sz w:val="24"/>
              </w:rPr>
            </w:pPr>
            <w:r>
              <w:rPr>
                <w:rFonts w:hint="eastAsia" w:ascii="宋体" w:hAnsi="宋体" w:cs="宋体"/>
                <w:color w:val="auto"/>
                <w:sz w:val="24"/>
                <w:highlight w:val="white"/>
              </w:rPr>
              <w:t>项目名称</w:t>
            </w:r>
          </w:p>
        </w:tc>
        <w:tc>
          <w:tcPr>
            <w:tcW w:w="7092" w:type="dxa"/>
            <w:noWrap w:val="0"/>
            <w:vAlign w:val="center"/>
          </w:tcPr>
          <w:p w14:paraId="6A86F527">
            <w:pPr>
              <w:jc w:val="center"/>
              <w:rPr>
                <w:rFonts w:hint="eastAsia" w:ascii="宋体" w:hAnsi="宋体" w:cs="宋体"/>
                <w:color w:val="auto"/>
                <w:sz w:val="24"/>
              </w:rPr>
            </w:pPr>
          </w:p>
        </w:tc>
      </w:tr>
      <w:tr w14:paraId="528C8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7D35BA9A">
            <w:pPr>
              <w:jc w:val="center"/>
              <w:rPr>
                <w:rFonts w:hint="eastAsia" w:ascii="宋体" w:hAnsi="宋体" w:cs="宋体"/>
                <w:color w:val="auto"/>
                <w:sz w:val="24"/>
              </w:rPr>
            </w:pPr>
            <w:r>
              <w:rPr>
                <w:rFonts w:hint="eastAsia" w:ascii="宋体" w:hAnsi="宋体" w:cs="宋体"/>
                <w:color w:val="auto"/>
                <w:sz w:val="24"/>
                <w:highlight w:val="white"/>
              </w:rPr>
              <w:t>项目所在地</w:t>
            </w:r>
          </w:p>
        </w:tc>
        <w:tc>
          <w:tcPr>
            <w:tcW w:w="7092" w:type="dxa"/>
            <w:noWrap w:val="0"/>
            <w:vAlign w:val="center"/>
          </w:tcPr>
          <w:p w14:paraId="44113F12">
            <w:pPr>
              <w:jc w:val="center"/>
              <w:rPr>
                <w:rFonts w:hint="eastAsia" w:ascii="宋体" w:hAnsi="宋体" w:cs="宋体"/>
                <w:color w:val="auto"/>
                <w:sz w:val="24"/>
              </w:rPr>
            </w:pPr>
          </w:p>
        </w:tc>
      </w:tr>
      <w:tr w14:paraId="01A50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0E1E1875">
            <w:pPr>
              <w:jc w:val="center"/>
              <w:rPr>
                <w:rFonts w:hint="eastAsia" w:ascii="宋体" w:hAnsi="宋体" w:cs="宋体"/>
                <w:color w:val="auto"/>
                <w:sz w:val="24"/>
              </w:rPr>
            </w:pPr>
            <w:r>
              <w:rPr>
                <w:rFonts w:hint="eastAsia" w:ascii="宋体" w:hAnsi="宋体" w:cs="宋体"/>
                <w:color w:val="auto"/>
                <w:sz w:val="24"/>
                <w:highlight w:val="white"/>
              </w:rPr>
              <w:t>采购人名称</w:t>
            </w:r>
          </w:p>
        </w:tc>
        <w:tc>
          <w:tcPr>
            <w:tcW w:w="7092" w:type="dxa"/>
            <w:noWrap w:val="0"/>
            <w:vAlign w:val="center"/>
          </w:tcPr>
          <w:p w14:paraId="4527A167">
            <w:pPr>
              <w:jc w:val="center"/>
              <w:rPr>
                <w:rFonts w:hint="eastAsia" w:ascii="宋体" w:hAnsi="宋体" w:cs="宋体"/>
                <w:color w:val="auto"/>
                <w:sz w:val="24"/>
              </w:rPr>
            </w:pPr>
          </w:p>
        </w:tc>
      </w:tr>
      <w:tr w14:paraId="41FCAD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55EC672A">
            <w:pPr>
              <w:jc w:val="center"/>
              <w:rPr>
                <w:rFonts w:hint="eastAsia" w:ascii="宋体" w:hAnsi="宋体" w:cs="宋体"/>
                <w:color w:val="auto"/>
                <w:sz w:val="24"/>
              </w:rPr>
            </w:pPr>
            <w:r>
              <w:rPr>
                <w:rFonts w:hint="eastAsia" w:ascii="宋体" w:hAnsi="宋体" w:cs="宋体"/>
                <w:color w:val="auto"/>
                <w:sz w:val="24"/>
                <w:highlight w:val="white"/>
              </w:rPr>
              <w:t>采购人地址</w:t>
            </w:r>
          </w:p>
        </w:tc>
        <w:tc>
          <w:tcPr>
            <w:tcW w:w="7092" w:type="dxa"/>
            <w:noWrap w:val="0"/>
            <w:vAlign w:val="center"/>
          </w:tcPr>
          <w:p w14:paraId="719FA128">
            <w:pPr>
              <w:jc w:val="center"/>
              <w:rPr>
                <w:rFonts w:hint="eastAsia" w:ascii="宋体" w:hAnsi="宋体" w:cs="宋体"/>
                <w:color w:val="auto"/>
                <w:sz w:val="24"/>
              </w:rPr>
            </w:pPr>
          </w:p>
        </w:tc>
      </w:tr>
      <w:tr w14:paraId="310368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0838CE15">
            <w:pPr>
              <w:jc w:val="center"/>
              <w:rPr>
                <w:rFonts w:hint="eastAsia" w:ascii="宋体" w:hAnsi="宋体" w:cs="宋体"/>
                <w:color w:val="auto"/>
                <w:sz w:val="24"/>
              </w:rPr>
            </w:pPr>
            <w:r>
              <w:rPr>
                <w:rFonts w:hint="eastAsia" w:ascii="宋体" w:hAnsi="宋体" w:cs="宋体"/>
                <w:color w:val="auto"/>
                <w:sz w:val="24"/>
                <w:highlight w:val="white"/>
              </w:rPr>
              <w:t>采购人电话</w:t>
            </w:r>
          </w:p>
        </w:tc>
        <w:tc>
          <w:tcPr>
            <w:tcW w:w="7092" w:type="dxa"/>
            <w:noWrap w:val="0"/>
            <w:vAlign w:val="center"/>
          </w:tcPr>
          <w:p w14:paraId="68FB76CC">
            <w:pPr>
              <w:jc w:val="center"/>
              <w:rPr>
                <w:rFonts w:hint="eastAsia" w:ascii="宋体" w:hAnsi="宋体" w:cs="宋体"/>
                <w:color w:val="auto"/>
                <w:sz w:val="24"/>
              </w:rPr>
            </w:pPr>
          </w:p>
        </w:tc>
      </w:tr>
      <w:tr w14:paraId="0FC12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F7C4ABA">
            <w:pPr>
              <w:jc w:val="center"/>
              <w:rPr>
                <w:rFonts w:hint="eastAsia" w:ascii="宋体" w:hAnsi="宋体" w:cs="宋体"/>
                <w:color w:val="auto"/>
                <w:sz w:val="24"/>
              </w:rPr>
            </w:pPr>
            <w:r>
              <w:rPr>
                <w:rFonts w:hint="eastAsia" w:ascii="宋体" w:hAnsi="宋体" w:cs="宋体"/>
                <w:color w:val="auto"/>
                <w:sz w:val="24"/>
                <w:highlight w:val="white"/>
              </w:rPr>
              <w:t>合同价格</w:t>
            </w:r>
          </w:p>
        </w:tc>
        <w:tc>
          <w:tcPr>
            <w:tcW w:w="7092" w:type="dxa"/>
            <w:noWrap w:val="0"/>
            <w:vAlign w:val="center"/>
          </w:tcPr>
          <w:p w14:paraId="6CE835D2">
            <w:pPr>
              <w:jc w:val="center"/>
              <w:rPr>
                <w:rFonts w:hint="eastAsia" w:ascii="宋体" w:hAnsi="宋体" w:cs="宋体"/>
                <w:color w:val="auto"/>
                <w:sz w:val="24"/>
              </w:rPr>
            </w:pPr>
          </w:p>
        </w:tc>
      </w:tr>
      <w:tr w14:paraId="47B5E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141662A1">
            <w:pPr>
              <w:jc w:val="center"/>
              <w:rPr>
                <w:rFonts w:hint="eastAsia" w:ascii="宋体" w:hAnsi="宋体" w:cs="宋体"/>
                <w:color w:val="auto"/>
                <w:sz w:val="24"/>
              </w:rPr>
            </w:pPr>
            <w:r>
              <w:rPr>
                <w:rFonts w:hint="eastAsia" w:ascii="宋体" w:hAnsi="宋体" w:cs="宋体"/>
                <w:color w:val="auto"/>
                <w:sz w:val="24"/>
                <w:highlight w:val="white"/>
              </w:rPr>
              <w:t>交付日期</w:t>
            </w:r>
          </w:p>
        </w:tc>
        <w:tc>
          <w:tcPr>
            <w:tcW w:w="7092" w:type="dxa"/>
            <w:noWrap w:val="0"/>
            <w:vAlign w:val="center"/>
          </w:tcPr>
          <w:p w14:paraId="0A0BCA5A">
            <w:pPr>
              <w:jc w:val="center"/>
              <w:rPr>
                <w:rFonts w:hint="eastAsia" w:ascii="宋体" w:hAnsi="宋体" w:cs="宋体"/>
                <w:color w:val="auto"/>
                <w:sz w:val="24"/>
              </w:rPr>
            </w:pPr>
          </w:p>
        </w:tc>
      </w:tr>
      <w:tr w14:paraId="0B291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3AD4F83">
            <w:pPr>
              <w:jc w:val="center"/>
              <w:rPr>
                <w:rFonts w:hint="eastAsia" w:ascii="宋体" w:hAnsi="宋体" w:cs="宋体"/>
                <w:color w:val="auto"/>
                <w:sz w:val="24"/>
              </w:rPr>
            </w:pPr>
            <w:r>
              <w:rPr>
                <w:rFonts w:hint="eastAsia" w:ascii="宋体" w:hAnsi="宋体" w:cs="宋体"/>
                <w:color w:val="auto"/>
                <w:sz w:val="24"/>
                <w:highlight w:val="white"/>
              </w:rPr>
              <w:t>技术负责人</w:t>
            </w:r>
          </w:p>
        </w:tc>
        <w:tc>
          <w:tcPr>
            <w:tcW w:w="7092" w:type="dxa"/>
            <w:noWrap w:val="0"/>
            <w:vAlign w:val="center"/>
          </w:tcPr>
          <w:p w14:paraId="6FAD2F9E">
            <w:pPr>
              <w:jc w:val="center"/>
              <w:rPr>
                <w:rFonts w:hint="eastAsia" w:ascii="宋体" w:hAnsi="宋体" w:cs="宋体"/>
                <w:color w:val="auto"/>
                <w:sz w:val="24"/>
              </w:rPr>
            </w:pPr>
          </w:p>
        </w:tc>
      </w:tr>
      <w:tr w14:paraId="2A2D5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03" w:hRule="atLeast"/>
        </w:trPr>
        <w:tc>
          <w:tcPr>
            <w:tcW w:w="2556" w:type="dxa"/>
            <w:noWrap w:val="0"/>
            <w:vAlign w:val="center"/>
          </w:tcPr>
          <w:p w14:paraId="33B3BCFB">
            <w:pPr>
              <w:jc w:val="center"/>
              <w:rPr>
                <w:rFonts w:hint="eastAsia" w:ascii="宋体" w:hAnsi="宋体" w:cs="宋体"/>
                <w:color w:val="auto"/>
                <w:sz w:val="24"/>
              </w:rPr>
            </w:pPr>
            <w:r>
              <w:rPr>
                <w:rFonts w:hint="eastAsia" w:ascii="宋体" w:hAnsi="宋体" w:cs="宋体"/>
                <w:color w:val="auto"/>
                <w:sz w:val="24"/>
                <w:highlight w:val="white"/>
              </w:rPr>
              <w:t>项目描述</w:t>
            </w:r>
          </w:p>
        </w:tc>
        <w:tc>
          <w:tcPr>
            <w:tcW w:w="7092" w:type="dxa"/>
            <w:noWrap w:val="0"/>
            <w:vAlign w:val="center"/>
          </w:tcPr>
          <w:p w14:paraId="56DF4445">
            <w:pPr>
              <w:jc w:val="center"/>
              <w:rPr>
                <w:rFonts w:hint="eastAsia" w:ascii="宋体" w:hAnsi="宋体" w:cs="宋体"/>
                <w:color w:val="auto"/>
                <w:sz w:val="24"/>
              </w:rPr>
            </w:pPr>
          </w:p>
        </w:tc>
      </w:tr>
      <w:tr w14:paraId="3CB84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6" w:hRule="atLeast"/>
        </w:trPr>
        <w:tc>
          <w:tcPr>
            <w:tcW w:w="2556" w:type="dxa"/>
            <w:noWrap w:val="0"/>
            <w:vAlign w:val="center"/>
          </w:tcPr>
          <w:p w14:paraId="0972636A">
            <w:pPr>
              <w:jc w:val="center"/>
              <w:rPr>
                <w:rFonts w:hint="eastAsia" w:ascii="宋体" w:hAnsi="宋体" w:cs="宋体"/>
                <w:color w:val="auto"/>
                <w:sz w:val="24"/>
              </w:rPr>
            </w:pPr>
            <w:r>
              <w:rPr>
                <w:rFonts w:hint="eastAsia" w:ascii="宋体" w:hAnsi="宋体" w:cs="宋体"/>
                <w:color w:val="auto"/>
                <w:sz w:val="24"/>
                <w:highlight w:val="white"/>
              </w:rPr>
              <w:t>备注</w:t>
            </w:r>
          </w:p>
        </w:tc>
        <w:tc>
          <w:tcPr>
            <w:tcW w:w="7092" w:type="dxa"/>
            <w:noWrap w:val="0"/>
            <w:vAlign w:val="center"/>
          </w:tcPr>
          <w:p w14:paraId="25432792">
            <w:pPr>
              <w:jc w:val="center"/>
              <w:rPr>
                <w:rFonts w:hint="eastAsia" w:ascii="宋体" w:hAnsi="宋体" w:cs="宋体"/>
                <w:color w:val="auto"/>
                <w:sz w:val="24"/>
              </w:rPr>
            </w:pPr>
          </w:p>
        </w:tc>
      </w:tr>
    </w:tbl>
    <w:p w14:paraId="79D11CD3">
      <w:pPr>
        <w:spacing w:line="432" w:lineRule="auto"/>
        <w:rPr>
          <w:rFonts w:hint="eastAsia" w:ascii="宋体" w:hAnsi="宋体" w:cs="宋体"/>
          <w:color w:val="auto"/>
          <w:sz w:val="24"/>
        </w:rPr>
      </w:pPr>
    </w:p>
    <w:p w14:paraId="6CB1CFF2">
      <w:pPr>
        <w:spacing w:line="432" w:lineRule="auto"/>
        <w:rPr>
          <w:rFonts w:hint="eastAsia" w:ascii="宋体" w:hAnsi="宋体" w:cs="宋体"/>
          <w:color w:val="auto"/>
          <w:sz w:val="24"/>
        </w:rPr>
      </w:pPr>
      <w:r>
        <w:rPr>
          <w:rFonts w:hint="eastAsia" w:ascii="宋体" w:hAnsi="宋体" w:cs="宋体"/>
          <w:color w:val="auto"/>
          <w:sz w:val="24"/>
          <w:highlight w:val="white"/>
        </w:rPr>
        <w:t xml:space="preserve">投标人签章：                                 </w:t>
      </w:r>
    </w:p>
    <w:p w14:paraId="6FA626F9">
      <w:pPr>
        <w:spacing w:line="320" w:lineRule="exact"/>
        <w:jc w:val="center"/>
        <w:rPr>
          <w:rFonts w:hint="eastAsia" w:ascii="宋体" w:hAnsi="宋体" w:cs="宋体"/>
          <w:b/>
          <w:bCs/>
          <w:color w:val="auto"/>
          <w:sz w:val="30"/>
          <w:szCs w:val="30"/>
        </w:rPr>
      </w:pPr>
    </w:p>
    <w:p w14:paraId="47BB03C0">
      <w:pPr>
        <w:spacing w:line="320" w:lineRule="exact"/>
        <w:jc w:val="center"/>
        <w:rPr>
          <w:rFonts w:hint="eastAsia" w:ascii="宋体" w:hAnsi="宋体" w:cs="宋体"/>
          <w:b/>
          <w:bCs/>
          <w:color w:val="auto"/>
          <w:sz w:val="30"/>
          <w:szCs w:val="30"/>
        </w:rPr>
      </w:pPr>
    </w:p>
    <w:p w14:paraId="59062807">
      <w:pPr>
        <w:spacing w:line="320" w:lineRule="exact"/>
        <w:rPr>
          <w:rFonts w:hint="eastAsia" w:ascii="宋体" w:hAnsi="宋体" w:cs="宋体"/>
          <w:b/>
          <w:bCs/>
          <w:color w:val="auto"/>
          <w:sz w:val="30"/>
          <w:szCs w:val="30"/>
        </w:rPr>
      </w:pPr>
    </w:p>
    <w:p w14:paraId="20BF5C64">
      <w:pPr>
        <w:spacing w:line="440" w:lineRule="exact"/>
        <w:rPr>
          <w:rFonts w:hint="eastAsia" w:ascii="宋体" w:hAnsi="宋体" w:cs="宋体"/>
          <w:b/>
          <w:bCs/>
          <w:color w:val="auto"/>
          <w:sz w:val="30"/>
          <w:szCs w:val="30"/>
        </w:rPr>
      </w:pPr>
    </w:p>
    <w:p w14:paraId="255F944B">
      <w:pPr>
        <w:spacing w:line="440" w:lineRule="exact"/>
        <w:rPr>
          <w:rFonts w:hint="eastAsia" w:ascii="宋体" w:hAnsi="宋体" w:cs="宋体"/>
          <w:color w:val="auto"/>
          <w:sz w:val="24"/>
          <w:szCs w:val="24"/>
        </w:rPr>
      </w:pPr>
    </w:p>
    <w:p w14:paraId="5F6C66A9">
      <w:pPr>
        <w:rPr>
          <w:rFonts w:hint="eastAsia" w:ascii="宋体" w:hAnsi="宋体" w:cs="宋体"/>
          <w:color w:val="auto"/>
          <w:sz w:val="24"/>
        </w:rPr>
      </w:pPr>
    </w:p>
    <w:p w14:paraId="06F4FB1A">
      <w:pPr>
        <w:spacing w:line="360" w:lineRule="auto"/>
        <w:jc w:val="both"/>
        <w:outlineLvl w:val="0"/>
        <w:rPr>
          <w:rFonts w:hint="eastAsia" w:ascii="宋体" w:hAnsi="宋体" w:cs="宋体"/>
          <w:b/>
          <w:color w:val="auto"/>
          <w:sz w:val="32"/>
          <w:highlight w:val="white"/>
        </w:rPr>
      </w:pPr>
      <w:bookmarkStart w:id="359" w:name="_Toc22821"/>
      <w:bookmarkStart w:id="360" w:name="_Toc6997"/>
    </w:p>
    <w:bookmarkEnd w:id="359"/>
    <w:bookmarkEnd w:id="360"/>
    <w:p w14:paraId="6A563933">
      <w:pPr>
        <w:tabs>
          <w:tab w:val="left" w:pos="6052"/>
        </w:tabs>
        <w:bidi w:val="0"/>
        <w:jc w:val="left"/>
        <w:rPr>
          <w:rFonts w:hint="eastAsia" w:eastAsia="宋体"/>
          <w:color w:val="auto"/>
          <w:lang w:eastAsia="zh-CN"/>
        </w:rPr>
        <w:sectPr>
          <w:headerReference r:id="rId16" w:type="default"/>
          <w:footerReference r:id="rId17" w:type="default"/>
          <w:pgSz w:w="12240" w:h="15840"/>
          <w:pgMar w:top="1240" w:right="1200" w:bottom="1440" w:left="1380" w:header="708" w:footer="708" w:gutter="0"/>
          <w:cols w:space="720" w:num="1"/>
          <w:docGrid w:linePitch="360" w:charSpace="0"/>
        </w:sectPr>
      </w:pPr>
      <w:bookmarkStart w:id="361" w:name="_Toc85468154"/>
    </w:p>
    <w:bookmarkEnd w:id="361"/>
    <w:p w14:paraId="303CFF2D">
      <w:pPr>
        <w:numPr>
          <w:ilvl w:val="0"/>
          <w:numId w:val="0"/>
        </w:numPr>
        <w:spacing w:line="360" w:lineRule="auto"/>
        <w:jc w:val="center"/>
        <w:outlineLvl w:val="0"/>
        <w:rPr>
          <w:rFonts w:hint="eastAsia" w:hAnsi="宋体" w:cs="宋体"/>
          <w:b/>
          <w:color w:val="auto"/>
          <w:sz w:val="32"/>
          <w:szCs w:val="32"/>
          <w:highlight w:val="white"/>
        </w:rPr>
      </w:pPr>
      <w:bookmarkStart w:id="362" w:name="_Toc9643"/>
      <w:r>
        <w:rPr>
          <w:rFonts w:hint="eastAsia" w:hAnsi="宋体" w:eastAsia="宋体" w:cs="宋体"/>
          <w:b/>
          <w:color w:val="auto"/>
          <w:sz w:val="32"/>
          <w:szCs w:val="32"/>
          <w:highlight w:val="white"/>
          <w:lang w:eastAsia="zh-CN"/>
        </w:rPr>
        <w:t>第五章</w:t>
      </w:r>
      <w:r>
        <w:rPr>
          <w:rFonts w:hint="eastAsia" w:hAnsi="宋体" w:eastAsia="宋体" w:cs="宋体"/>
          <w:b/>
          <w:color w:val="auto"/>
          <w:sz w:val="32"/>
          <w:szCs w:val="32"/>
          <w:highlight w:val="white"/>
          <w:lang w:val="en-US" w:eastAsia="zh-CN"/>
        </w:rPr>
        <w:t xml:space="preserve"> </w:t>
      </w:r>
      <w:r>
        <w:rPr>
          <w:rFonts w:hint="eastAsia" w:hAnsi="宋体" w:cs="宋体"/>
          <w:b/>
          <w:color w:val="auto"/>
          <w:sz w:val="32"/>
          <w:szCs w:val="32"/>
          <w:highlight w:val="white"/>
        </w:rPr>
        <w:t>采购需求</w:t>
      </w:r>
    </w:p>
    <w:p w14:paraId="5D0D1174">
      <w:pPr>
        <w:keepNext w:val="0"/>
        <w:keepLines w:val="0"/>
        <w:pageBreakBefore w:val="0"/>
        <w:wordWrap/>
        <w:overflowPunct/>
        <w:topLinePunct w:val="0"/>
        <w:bidi w:val="0"/>
        <w:adjustRightInd w:val="0"/>
        <w:snapToGrid/>
        <w:spacing w:line="360" w:lineRule="auto"/>
        <w:ind w:right="0" w:firstLine="241" w:firstLineChars="1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rPr>
        <w:t>一、项目概况</w:t>
      </w:r>
    </w:p>
    <w:p w14:paraId="71BBC2DA">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1、基本要求：为规范学校配餐管理，提高学生集中配餐膳食质量和服务水平，保障学生及家长权益，进一步促进集中配餐工作健康发展，对</w:t>
      </w:r>
      <w:r>
        <w:rPr>
          <w:rFonts w:hint="eastAsia" w:ascii="宋体" w:hAnsi="宋体" w:cs="宋体"/>
          <w:color w:val="auto"/>
          <w:sz w:val="24"/>
          <w:szCs w:val="24"/>
          <w:highlight w:val="white"/>
          <w:lang w:val="en-US" w:eastAsia="zh-CN"/>
        </w:rPr>
        <w:t>遂川县泉江小学（含八角楼校区）学生安心午餐配餐服务项目</w:t>
      </w:r>
      <w:r>
        <w:rPr>
          <w:rFonts w:hint="default" w:ascii="Arial" w:hAnsi="Arial" w:eastAsia="宋体" w:cs="Arial"/>
          <w:color w:val="auto"/>
          <w:sz w:val="24"/>
          <w:szCs w:val="24"/>
        </w:rPr>
        <w:t>进行采购配送。</w:t>
      </w:r>
    </w:p>
    <w:p w14:paraId="0CA1DF45">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2、服务内容：投标人应根据采购人选用的食谱，在熟食加工配送中心制作完成后，在规定的时间内送至指定学校。</w:t>
      </w:r>
    </w:p>
    <w:p w14:paraId="69FCFA2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z w:val="24"/>
          <w:szCs w:val="24"/>
          <w:lang w:val="en-US" w:eastAsia="zh-CN"/>
        </w:rPr>
        <w:t>配送</w:t>
      </w:r>
      <w:r>
        <w:rPr>
          <w:rFonts w:hint="default" w:ascii="Arial" w:hAnsi="Arial" w:eastAsia="宋体" w:cs="Arial"/>
          <w:color w:val="auto"/>
          <w:sz w:val="24"/>
          <w:szCs w:val="24"/>
        </w:rPr>
        <w:t>期限</w:t>
      </w:r>
      <w:r>
        <w:rPr>
          <w:rFonts w:hint="eastAsia" w:ascii="Arial" w:hAnsi="Arial" w:eastAsia="宋体" w:cs="Arial"/>
          <w:color w:val="auto"/>
          <w:sz w:val="24"/>
          <w:szCs w:val="24"/>
          <w:lang w:eastAsia="zh-CN"/>
        </w:rPr>
        <w:t>：</w:t>
      </w:r>
      <w:r>
        <w:rPr>
          <w:rFonts w:hint="eastAsia" w:ascii="Arial" w:hAnsi="Arial" w:eastAsia="Arial" w:cs="Arial"/>
          <w:snapToGrid w:val="0"/>
          <w:color w:val="auto"/>
          <w:kern w:val="0"/>
          <w:sz w:val="24"/>
          <w:szCs w:val="24"/>
          <w:highlight w:val="none"/>
          <w:lang w:val="en-US" w:eastAsia="zh-CN"/>
        </w:rPr>
        <w:t>壹年，具体起始时间以签订合同为准</w:t>
      </w:r>
      <w:r>
        <w:rPr>
          <w:rFonts w:hint="default" w:ascii="Arial" w:hAnsi="Arial" w:eastAsia="宋体" w:cs="Arial"/>
          <w:color w:val="auto"/>
          <w:sz w:val="24"/>
          <w:szCs w:val="24"/>
        </w:rPr>
        <w:t>。</w:t>
      </w:r>
    </w:p>
    <w:p w14:paraId="0B00D5BB">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4、服务范围、</w:t>
      </w:r>
      <w:r>
        <w:rPr>
          <w:rFonts w:hint="eastAsia" w:ascii="宋体" w:hAnsi="宋体" w:cs="宋体"/>
          <w:color w:val="auto"/>
          <w:kern w:val="0"/>
          <w:sz w:val="24"/>
          <w:szCs w:val="24"/>
          <w:lang w:val="en-US" w:eastAsia="zh-CN"/>
        </w:rPr>
        <w:t>遂川县泉江小学</w:t>
      </w:r>
      <w:r>
        <w:rPr>
          <w:rFonts w:hint="eastAsia" w:ascii="宋体" w:hAnsi="宋体" w:cs="宋体"/>
          <w:color w:val="auto"/>
          <w:spacing w:val="4"/>
          <w:sz w:val="24"/>
          <w:szCs w:val="24"/>
        </w:rPr>
        <w:t>学生</w:t>
      </w:r>
      <w:r>
        <w:rPr>
          <w:rFonts w:hint="eastAsia" w:ascii="宋体" w:hAnsi="宋体" w:cs="宋体"/>
          <w:color w:val="0000FF"/>
          <w:spacing w:val="4"/>
          <w:sz w:val="24"/>
          <w:szCs w:val="24"/>
        </w:rPr>
        <w:t xml:space="preserve"> (约</w:t>
      </w:r>
      <w:r>
        <w:rPr>
          <w:rFonts w:hint="eastAsia" w:ascii="宋体" w:hAnsi="宋体" w:cs="宋体"/>
          <w:color w:val="0000FF"/>
          <w:spacing w:val="4"/>
          <w:sz w:val="24"/>
          <w:szCs w:val="24"/>
          <w:lang w:val="en-US" w:eastAsia="zh-CN"/>
        </w:rPr>
        <w:t>150</w:t>
      </w:r>
      <w:r>
        <w:rPr>
          <w:rFonts w:hint="eastAsia" w:ascii="宋体" w:hAnsi="宋体" w:cs="宋体"/>
          <w:color w:val="0000FF"/>
          <w:spacing w:val="4"/>
          <w:sz w:val="24"/>
          <w:szCs w:val="24"/>
        </w:rPr>
        <w:t xml:space="preserve">人) </w:t>
      </w:r>
      <w:r>
        <w:rPr>
          <w:rFonts w:hint="eastAsia" w:ascii="宋体" w:hAnsi="宋体" w:eastAsia="宋体" w:cs="宋体"/>
          <w:color w:val="auto"/>
          <w:spacing w:val="4"/>
          <w:sz w:val="24"/>
          <w:szCs w:val="24"/>
          <w:lang w:eastAsia="zh-CN"/>
        </w:rPr>
        <w:t>、</w:t>
      </w:r>
      <w:r>
        <w:rPr>
          <w:rFonts w:hint="eastAsia" w:ascii="宋体" w:hAnsi="宋体" w:cs="宋体"/>
          <w:color w:val="auto"/>
          <w:kern w:val="0"/>
          <w:sz w:val="24"/>
          <w:szCs w:val="24"/>
          <w:lang w:val="en-US" w:eastAsia="zh-CN"/>
        </w:rPr>
        <w:t>八角楼小学学生</w:t>
      </w:r>
      <w:r>
        <w:rPr>
          <w:rFonts w:hint="eastAsia" w:ascii="宋体" w:hAnsi="宋体" w:cs="宋体"/>
          <w:color w:val="0000FF"/>
          <w:kern w:val="0"/>
          <w:sz w:val="24"/>
          <w:szCs w:val="24"/>
          <w:lang w:val="en-US" w:eastAsia="zh-CN"/>
        </w:rPr>
        <w:t>（约150人）</w:t>
      </w:r>
      <w:r>
        <w:rPr>
          <w:rFonts w:hint="eastAsia" w:ascii="宋体" w:hAnsi="宋体" w:cs="宋体"/>
          <w:color w:val="auto"/>
          <w:spacing w:val="4"/>
          <w:sz w:val="24"/>
          <w:szCs w:val="24"/>
        </w:rPr>
        <w:t>，按每人每餐</w:t>
      </w:r>
      <w:r>
        <w:rPr>
          <w:rFonts w:hint="eastAsia" w:ascii="宋体" w:hAnsi="宋体" w:cs="宋体"/>
          <w:color w:val="auto"/>
          <w:spacing w:val="4"/>
          <w:sz w:val="24"/>
          <w:szCs w:val="24"/>
          <w:lang w:val="en-US" w:eastAsia="zh-CN"/>
        </w:rPr>
        <w:t>10</w:t>
      </w:r>
      <w:r>
        <w:rPr>
          <w:rFonts w:hint="eastAsia" w:ascii="宋体" w:hAnsi="宋体" w:cs="宋体"/>
          <w:color w:val="auto"/>
          <w:spacing w:val="4"/>
          <w:sz w:val="24"/>
          <w:szCs w:val="24"/>
        </w:rPr>
        <w:t>元配送。</w:t>
      </w:r>
      <w:r>
        <w:rPr>
          <w:rFonts w:hint="default" w:ascii="Arial" w:hAnsi="Arial" w:eastAsia="宋体" w:cs="Arial"/>
          <w:color w:val="auto"/>
          <w:sz w:val="24"/>
          <w:szCs w:val="24"/>
        </w:rPr>
        <w:t>按照学生自愿</w:t>
      </w:r>
      <w:r>
        <w:rPr>
          <w:rFonts w:hint="default" w:ascii="Arial" w:hAnsi="Arial" w:eastAsia="宋体" w:cs="Arial"/>
          <w:b w:val="0"/>
          <w:bCs w:val="0"/>
          <w:color w:val="auto"/>
          <w:sz w:val="24"/>
          <w:szCs w:val="24"/>
        </w:rPr>
        <w:t>原则，由学生家长自愿订餐</w:t>
      </w:r>
      <w:r>
        <w:rPr>
          <w:rFonts w:hint="default" w:ascii="Arial" w:hAnsi="Arial" w:eastAsia="宋体" w:cs="Arial"/>
          <w:b w:val="0"/>
          <w:bCs w:val="0"/>
          <w:color w:val="auto"/>
          <w:sz w:val="24"/>
          <w:szCs w:val="24"/>
          <w:lang w:eastAsia="zh-CN"/>
        </w:rPr>
        <w:t>，</w:t>
      </w:r>
      <w:r>
        <w:rPr>
          <w:rFonts w:hint="default" w:ascii="Arial" w:hAnsi="Arial" w:eastAsia="宋体" w:cs="Arial"/>
          <w:b w:val="0"/>
          <w:bCs w:val="0"/>
          <w:color w:val="auto"/>
          <w:sz w:val="24"/>
          <w:szCs w:val="24"/>
        </w:rPr>
        <w:t>以参与学生实际数量进行结算。</w:t>
      </w:r>
    </w:p>
    <w:p w14:paraId="2823CD62">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0000FF"/>
          <w:sz w:val="24"/>
          <w:szCs w:val="24"/>
          <w:lang w:val="en-US" w:eastAsia="zh-CN"/>
        </w:rPr>
      </w:pPr>
      <w:r>
        <w:rPr>
          <w:rFonts w:hint="default" w:ascii="Arial" w:hAnsi="Arial" w:eastAsia="宋体" w:cs="Arial"/>
          <w:color w:val="auto"/>
          <w:sz w:val="24"/>
          <w:szCs w:val="24"/>
        </w:rPr>
        <w:t>5、</w:t>
      </w:r>
      <w:r>
        <w:rPr>
          <w:rFonts w:hint="default" w:ascii="Arial" w:hAnsi="Arial" w:eastAsia="宋体" w:cs="Arial"/>
          <w:color w:val="0000FF"/>
          <w:sz w:val="24"/>
          <w:szCs w:val="24"/>
        </w:rPr>
        <w:t>配送标准：按每人每餐</w:t>
      </w:r>
      <w:r>
        <w:rPr>
          <w:rFonts w:hint="eastAsia" w:ascii="Arial" w:hAnsi="Arial" w:eastAsia="宋体" w:cs="Arial"/>
          <w:color w:val="0000FF"/>
          <w:sz w:val="24"/>
          <w:szCs w:val="24"/>
          <w:lang w:val="en-US" w:eastAsia="zh-CN"/>
        </w:rPr>
        <w:t>10</w:t>
      </w:r>
      <w:r>
        <w:rPr>
          <w:rFonts w:hint="default" w:ascii="Arial" w:hAnsi="Arial" w:eastAsia="宋体" w:cs="Arial"/>
          <w:color w:val="0000FF"/>
          <w:sz w:val="24"/>
          <w:szCs w:val="24"/>
        </w:rPr>
        <w:t>元提供配餐，实行两荤一素一汤</w:t>
      </w:r>
      <w:r>
        <w:rPr>
          <w:rFonts w:hint="eastAsia" w:ascii="Arial" w:hAnsi="Arial" w:eastAsia="宋体" w:cs="Arial"/>
          <w:color w:val="0000FF"/>
          <w:sz w:val="24"/>
          <w:szCs w:val="24"/>
          <w:lang w:val="en-US" w:eastAsia="zh-CN"/>
        </w:rPr>
        <w:t>一水果</w:t>
      </w:r>
      <w:r>
        <w:rPr>
          <w:rFonts w:hint="default" w:ascii="Arial" w:hAnsi="Arial" w:eastAsia="宋体" w:cs="Arial"/>
          <w:color w:val="0000FF"/>
          <w:sz w:val="24"/>
          <w:szCs w:val="24"/>
          <w:lang w:eastAsia="zh-CN"/>
        </w:rPr>
        <w:t>，米饭不另行收费，</w:t>
      </w:r>
      <w:r>
        <w:rPr>
          <w:rFonts w:hint="eastAsia" w:eastAsia="宋体" w:cs="Arial"/>
          <w:color w:val="0000FF"/>
          <w:sz w:val="24"/>
          <w:szCs w:val="24"/>
          <w:lang w:val="en-US" w:eastAsia="zh-CN"/>
        </w:rPr>
        <w:t>餐后提供免费饮用水，菜、水果、米饭和饮用水</w:t>
      </w:r>
      <w:r>
        <w:rPr>
          <w:rFonts w:hint="default" w:ascii="Arial" w:hAnsi="Arial" w:eastAsia="宋体" w:cs="Arial"/>
          <w:color w:val="0000FF"/>
          <w:sz w:val="24"/>
          <w:szCs w:val="24"/>
          <w:lang w:eastAsia="zh-CN"/>
        </w:rPr>
        <w:t>包含在食谱套餐费用当中</w:t>
      </w:r>
      <w:r>
        <w:rPr>
          <w:rFonts w:hint="default" w:ascii="Arial" w:hAnsi="Arial" w:eastAsia="宋体" w:cs="Arial"/>
          <w:color w:val="0000FF"/>
          <w:sz w:val="24"/>
          <w:szCs w:val="24"/>
        </w:rPr>
        <w:t>。</w:t>
      </w:r>
      <w:r>
        <w:rPr>
          <w:rFonts w:hint="eastAsia" w:eastAsia="宋体" w:cs="Arial"/>
          <w:color w:val="0000FF"/>
          <w:sz w:val="24"/>
          <w:szCs w:val="24"/>
          <w:lang w:eastAsia="zh-CN"/>
        </w:rPr>
        <w:t>学校会对配餐成本进行测算，如</w:t>
      </w:r>
      <w:r>
        <w:rPr>
          <w:rFonts w:hint="default" w:ascii="Arial" w:hAnsi="Arial" w:eastAsia="宋体" w:cs="Arial"/>
          <w:color w:val="0000FF"/>
          <w:sz w:val="24"/>
          <w:szCs w:val="24"/>
        </w:rPr>
        <w:t>每人每餐</w:t>
      </w:r>
      <w:r>
        <w:rPr>
          <w:rFonts w:hint="eastAsia" w:eastAsia="宋体" w:cs="Arial"/>
          <w:color w:val="0000FF"/>
          <w:sz w:val="24"/>
          <w:szCs w:val="24"/>
          <w:lang w:eastAsia="zh-CN"/>
        </w:rPr>
        <w:t>标准低于</w:t>
      </w:r>
      <w:r>
        <w:rPr>
          <w:rFonts w:hint="default" w:ascii="Arial" w:hAnsi="Arial" w:eastAsia="宋体" w:cs="Arial"/>
          <w:color w:val="0000FF"/>
          <w:sz w:val="24"/>
          <w:szCs w:val="24"/>
        </w:rPr>
        <w:t>每人每餐</w:t>
      </w:r>
      <w:r>
        <w:rPr>
          <w:rFonts w:hint="eastAsia" w:eastAsia="宋体" w:cs="Arial"/>
          <w:color w:val="0000FF"/>
          <w:sz w:val="24"/>
          <w:szCs w:val="24"/>
          <w:lang w:val="en-US" w:eastAsia="zh-CN"/>
        </w:rPr>
        <w:t>10元则按测算结果进行结算但不得高于10元</w:t>
      </w:r>
      <w:r>
        <w:rPr>
          <w:rFonts w:hint="eastAsia" w:eastAsia="宋体" w:cs="Arial"/>
          <w:color w:val="0000FF"/>
          <w:sz w:val="24"/>
          <w:szCs w:val="24"/>
          <w:lang w:eastAsia="zh-CN"/>
        </w:rPr>
        <w:t>。</w:t>
      </w:r>
    </w:p>
    <w:p w14:paraId="781BA77A">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lang w:val="en-US" w:eastAsia="zh-CN"/>
        </w:rPr>
        <w:t>二、</w:t>
      </w:r>
      <w:r>
        <w:rPr>
          <w:rFonts w:hint="default" w:ascii="Arial" w:hAnsi="Arial" w:eastAsia="宋体" w:cs="Arial"/>
          <w:b/>
          <w:bCs/>
          <w:color w:val="auto"/>
          <w:kern w:val="0"/>
          <w:sz w:val="24"/>
          <w:szCs w:val="24"/>
        </w:rPr>
        <w:t>规范及执行标准</w:t>
      </w:r>
    </w:p>
    <w:p w14:paraId="28A4DAE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GB 2760 食品安全国家标准食品添加剂使用标准</w:t>
      </w:r>
    </w:p>
    <w:p w14:paraId="1FCCBAC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GB 4806.1 食品安全国家标准食品接触材料及制品通用安全要求</w:t>
      </w:r>
    </w:p>
    <w:p w14:paraId="60C5901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SB/T  10857-2012 餐饮配送服务规范</w:t>
      </w:r>
    </w:p>
    <w:p w14:paraId="0DC4A29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WS 103 学生营养餐生产企业卫生规范</w:t>
      </w:r>
    </w:p>
    <w:p w14:paraId="4215925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WS/T 554 学生餐营养指南</w:t>
      </w:r>
    </w:p>
    <w:p w14:paraId="5A10729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餐饮服务食品安全操作规范  国家市场监督管理总局公告〔2018〕第12号</w:t>
      </w:r>
    </w:p>
    <w:p w14:paraId="7200751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江西省学校食堂“明厨亮灶”建设规范赣教办字〔2019〕11号</w:t>
      </w:r>
    </w:p>
    <w:p w14:paraId="06C3F9A9">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b/>
          <w:bCs/>
          <w:color w:val="auto"/>
          <w:kern w:val="0"/>
          <w:sz w:val="24"/>
          <w:szCs w:val="24"/>
          <w:lang w:val="en-US" w:eastAsia="zh-CN"/>
        </w:rPr>
      </w:pPr>
      <w:r>
        <w:rPr>
          <w:rFonts w:hint="default" w:ascii="Arial" w:hAnsi="Arial" w:eastAsia="宋体" w:cs="Arial"/>
          <w:color w:val="auto"/>
          <w:kern w:val="0"/>
          <w:sz w:val="24"/>
          <w:szCs w:val="24"/>
        </w:rPr>
        <w:t>如有最新标准，则按国家最新标准执行</w:t>
      </w:r>
    </w:p>
    <w:p w14:paraId="2AEDC22A">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snapToGrid w:val="0"/>
          <w:color w:val="auto"/>
          <w:kern w:val="0"/>
          <w:sz w:val="24"/>
          <w:szCs w:val="24"/>
          <w:lang w:val="en-US" w:eastAsia="zh-CN"/>
        </w:rPr>
      </w:pPr>
      <w:r>
        <w:rPr>
          <w:rFonts w:hint="default" w:ascii="Arial" w:hAnsi="Arial" w:eastAsia="宋体" w:cs="Arial"/>
          <w:b/>
          <w:bCs/>
          <w:color w:val="auto"/>
          <w:kern w:val="0"/>
          <w:sz w:val="24"/>
          <w:szCs w:val="24"/>
          <w:lang w:val="en-US" w:eastAsia="zh-CN"/>
        </w:rPr>
        <w:t>三、</w:t>
      </w:r>
      <w:r>
        <w:rPr>
          <w:rFonts w:hint="default" w:ascii="Arial" w:hAnsi="Arial" w:eastAsia="宋体" w:cs="Arial"/>
          <w:b/>
          <w:bCs/>
          <w:color w:val="auto"/>
          <w:kern w:val="0"/>
          <w:sz w:val="24"/>
          <w:szCs w:val="24"/>
        </w:rPr>
        <w:t>服务要求</w:t>
      </w:r>
      <w:r>
        <w:rPr>
          <w:rFonts w:hint="default" w:ascii="Arial" w:hAnsi="Arial" w:eastAsia="宋体" w:cs="Arial"/>
          <w:b/>
          <w:bCs/>
          <w:color w:val="auto"/>
          <w:kern w:val="0"/>
          <w:sz w:val="24"/>
          <w:szCs w:val="24"/>
          <w:lang w:val="en-US" w:eastAsia="zh-CN"/>
        </w:rPr>
        <w:t>及内容</w:t>
      </w:r>
    </w:p>
    <w:p w14:paraId="1151BC88">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2"/>
          <w:sz w:val="24"/>
          <w:szCs w:val="24"/>
          <w:lang w:val="en-US" w:eastAsia="zh-CN"/>
        </w:rPr>
        <w:t>1</w:t>
      </w:r>
      <w:r>
        <w:rPr>
          <w:rFonts w:hint="default" w:ascii="Arial" w:hAnsi="Arial" w:eastAsia="宋体" w:cs="Arial"/>
          <w:b/>
          <w:bCs/>
          <w:color w:val="auto"/>
          <w:spacing w:val="2"/>
          <w:sz w:val="24"/>
          <w:szCs w:val="24"/>
        </w:rPr>
        <w:t>、主体责任</w:t>
      </w:r>
    </w:p>
    <w:p w14:paraId="0A50576A">
      <w:pPr>
        <w:keepNext w:val="0"/>
        <w:keepLines w:val="0"/>
        <w:pageBreakBefore w:val="0"/>
        <w:widowControl/>
        <w:wordWrap/>
        <w:overflowPunct/>
        <w:topLinePunct w:val="0"/>
        <w:bidi w:val="0"/>
        <w:adjustRightInd w:val="0"/>
        <w:snapToGrid/>
        <w:spacing w:line="360" w:lineRule="auto"/>
        <w:ind w:left="0" w:right="0" w:firstLine="512" w:firstLineChars="200"/>
        <w:textAlignment w:val="baseline"/>
        <w:rPr>
          <w:rFonts w:hint="default" w:ascii="Arial" w:hAnsi="Arial" w:eastAsia="宋体" w:cs="Arial"/>
          <w:b/>
          <w:color w:val="auto"/>
          <w:sz w:val="24"/>
          <w:szCs w:val="24"/>
        </w:rPr>
      </w:pPr>
      <w:r>
        <w:rPr>
          <w:rFonts w:hint="default" w:ascii="Arial" w:hAnsi="Arial" w:eastAsia="宋体" w:cs="Arial"/>
          <w:color w:val="auto"/>
          <w:spacing w:val="8"/>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8"/>
          <w:sz w:val="24"/>
          <w:szCs w:val="24"/>
        </w:rPr>
        <w:t>应当依照食品安全法律、法规和《餐饮服务食品安全操作规范》等规定从事配餐活动，保证食品安全，诚信自律，对学校和学生负责，接受社会监督，承担社会责任。</w:t>
      </w:r>
    </w:p>
    <w:p w14:paraId="341EB69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应设立食品安全管理机构，配备专职的食品安全管理人员，持证上岗并定期接受食品安全相关知识的培训与考核。</w:t>
      </w:r>
    </w:p>
    <w:p w14:paraId="702DFD2E">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应建立从业人员健康管理、食品安全自查、食品进货查验记录、原料质量控制、加工过程控制、食品安全应急预案及事故处置、文件管理等制度。</w:t>
      </w:r>
    </w:p>
    <w:p w14:paraId="59718203">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应与学校签订《食品安全责任书》,明确各自的食品安全责任。</w:t>
      </w:r>
    </w:p>
    <w:p w14:paraId="63D2A56C">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sz w:val="24"/>
          <w:szCs w:val="24"/>
        </w:rPr>
        <w:t>应与学校签订正式合同，约定配餐内容(质量、餐量、价格等)、不合格食品处理方式、配餐服</w:t>
      </w:r>
      <w:r>
        <w:rPr>
          <w:rFonts w:hint="default" w:ascii="Arial" w:hAnsi="Arial" w:eastAsia="宋体" w:cs="Arial"/>
          <w:color w:val="auto"/>
          <w:spacing w:val="8"/>
          <w:sz w:val="24"/>
          <w:szCs w:val="24"/>
        </w:rPr>
        <w:t>务考核办法及退出条件，明确各自的权利和义</w:t>
      </w:r>
      <w:r>
        <w:rPr>
          <w:rFonts w:hint="default" w:ascii="Arial" w:hAnsi="Arial" w:eastAsia="宋体" w:cs="Arial"/>
          <w:color w:val="auto"/>
          <w:spacing w:val="7"/>
          <w:sz w:val="24"/>
          <w:szCs w:val="24"/>
        </w:rPr>
        <w:t>务，存档备查。</w:t>
      </w:r>
    </w:p>
    <w:p w14:paraId="63FADC8A">
      <w:pPr>
        <w:keepNext w:val="0"/>
        <w:keepLines w:val="0"/>
        <w:pageBreakBefore w:val="0"/>
        <w:widowControl/>
        <w:wordWrap/>
        <w:overflowPunct/>
        <w:topLinePunct w:val="0"/>
        <w:bidi w:val="0"/>
        <w:adjustRightInd w:val="0"/>
        <w:snapToGrid/>
        <w:spacing w:line="360" w:lineRule="auto"/>
        <w:ind w:left="0" w:right="0" w:firstLine="520" w:firstLineChars="200"/>
        <w:textAlignment w:val="baseline"/>
        <w:rPr>
          <w:rFonts w:hint="default" w:ascii="Arial" w:hAnsi="Arial" w:eastAsia="宋体" w:cs="Arial"/>
          <w:color w:val="auto"/>
          <w:spacing w:val="7"/>
          <w:sz w:val="24"/>
          <w:szCs w:val="24"/>
        </w:rPr>
      </w:pPr>
      <w:r>
        <w:rPr>
          <w:rFonts w:hint="default" w:ascii="Arial" w:hAnsi="Arial" w:eastAsia="宋体" w:cs="Arial"/>
          <w:color w:val="auto"/>
          <w:spacing w:val="10"/>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sz w:val="24"/>
          <w:szCs w:val="24"/>
        </w:rPr>
        <w:t>应配合学校建立校领导集中用餐陪餐制度，每餐</w:t>
      </w:r>
      <w:r>
        <w:rPr>
          <w:rFonts w:hint="default" w:ascii="Arial" w:hAnsi="Arial" w:eastAsia="宋体" w:cs="Arial"/>
          <w:color w:val="auto"/>
          <w:spacing w:val="9"/>
          <w:sz w:val="24"/>
          <w:szCs w:val="24"/>
        </w:rPr>
        <w:t>均应有至少1位校领导陪学生用餐。鼓励校主要领导陪餐；鼓励配餐机构配合学校每周邀请1名及以上学生</w:t>
      </w:r>
      <w:r>
        <w:rPr>
          <w:rFonts w:hint="default" w:ascii="Arial" w:hAnsi="Arial" w:eastAsia="宋体" w:cs="Arial"/>
          <w:color w:val="auto"/>
          <w:spacing w:val="8"/>
          <w:sz w:val="24"/>
          <w:szCs w:val="24"/>
        </w:rPr>
        <w:t>家长代表入校陪餐。应及时收集校领导和学生家长代表陪餐中提出的合理化建议，立即进行有针对性的整</w:t>
      </w:r>
      <w:r>
        <w:rPr>
          <w:rFonts w:hint="default" w:ascii="Arial" w:hAnsi="Arial" w:eastAsia="宋体" w:cs="Arial"/>
          <w:color w:val="auto"/>
          <w:spacing w:val="7"/>
          <w:sz w:val="24"/>
          <w:szCs w:val="24"/>
        </w:rPr>
        <w:t>改。</w:t>
      </w:r>
    </w:p>
    <w:p w14:paraId="2CA965A9">
      <w:pPr>
        <w:pStyle w:val="8"/>
        <w:keepNext w:val="0"/>
        <w:keepLines w:val="0"/>
        <w:pageBreakBefore w:val="0"/>
        <w:wordWrap/>
        <w:overflowPunct/>
        <w:topLinePunct w:val="0"/>
        <w:bidi w:val="0"/>
        <w:adjustRightInd w:val="0"/>
        <w:snapToGrid/>
        <w:spacing w:before="0" w:line="360" w:lineRule="auto"/>
        <w:ind w:left="0" w:leftChars="0" w:right="0" w:firstLine="260" w:firstLineChars="100"/>
        <w:rPr>
          <w:rFonts w:hint="default" w:ascii="Arial" w:hAnsi="Arial" w:eastAsia="宋体" w:cs="Arial"/>
          <w:color w:val="auto"/>
          <w:spacing w:val="10"/>
          <w:kern w:val="2"/>
          <w:sz w:val="24"/>
          <w:szCs w:val="24"/>
          <w:lang w:val="en-US" w:eastAsia="zh-CN" w:bidi="ar-SA"/>
        </w:rPr>
      </w:pPr>
      <w:r>
        <w:rPr>
          <w:rFonts w:hint="default" w:ascii="Arial" w:hAnsi="Arial" w:eastAsia="宋体" w:cs="Arial"/>
          <w:color w:val="auto"/>
          <w:spacing w:val="10"/>
          <w:kern w:val="2"/>
          <w:sz w:val="24"/>
          <w:szCs w:val="24"/>
          <w:lang w:val="en-US" w:eastAsia="zh-CN" w:bidi="ar-SA"/>
        </w:rPr>
        <w:t>（7）</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kern w:val="2"/>
          <w:sz w:val="24"/>
          <w:szCs w:val="24"/>
          <w:lang w:val="en-US" w:eastAsia="zh-CN" w:bidi="ar-SA"/>
        </w:rPr>
        <w:t>负责学生在校就餐期间的看护与管理。</w:t>
      </w:r>
    </w:p>
    <w:p w14:paraId="662C43C9">
      <w:pPr>
        <w:keepNext w:val="0"/>
        <w:keepLines w:val="0"/>
        <w:pageBreakBefore w:val="0"/>
        <w:widowControl/>
        <w:wordWrap/>
        <w:overflowPunct/>
        <w:topLinePunct w:val="0"/>
        <w:bidi w:val="0"/>
        <w:adjustRightInd w:val="0"/>
        <w:snapToGrid/>
        <w:spacing w:line="360" w:lineRule="auto"/>
        <w:ind w:left="0" w:right="0" w:firstLine="514"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8"/>
          <w:sz w:val="24"/>
          <w:szCs w:val="24"/>
          <w:lang w:val="en-US" w:eastAsia="zh-CN"/>
        </w:rPr>
        <w:t>2</w:t>
      </w:r>
      <w:r>
        <w:rPr>
          <w:rFonts w:hint="default" w:ascii="Arial" w:hAnsi="Arial" w:eastAsia="宋体" w:cs="Arial"/>
          <w:b/>
          <w:bCs/>
          <w:color w:val="auto"/>
          <w:spacing w:val="8"/>
          <w:sz w:val="24"/>
          <w:szCs w:val="24"/>
        </w:rPr>
        <w:t>、食品安全管理</w:t>
      </w:r>
    </w:p>
    <w:p w14:paraId="4DB93D31">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sz w:val="24"/>
          <w:szCs w:val="24"/>
        </w:rPr>
      </w:pPr>
      <w:r>
        <w:rPr>
          <w:rFonts w:hint="default" w:ascii="Arial" w:hAnsi="Arial" w:eastAsia="宋体" w:cs="Arial"/>
          <w:b/>
          <w:bCs/>
          <w:color w:val="auto"/>
          <w:sz w:val="24"/>
          <w:szCs w:val="24"/>
        </w:rPr>
        <w:t>（1）食品安全自查</w:t>
      </w:r>
    </w:p>
    <w:p w14:paraId="530277E0">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应每周开展至少1次自查，全面分析配餐配送过程中的食品安全危害因素和风险点，确定食品安全自查项目和要求，建立自查清单，制定自查计划。</w:t>
      </w:r>
    </w:p>
    <w:p w14:paraId="78716228">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根据食品安全法律、法规，自行或者委托第三方专业机构开展食品安全制度自查和专项自查，及时发现并消除食品安全隐患，防止发生食品安全事故。</w:t>
      </w:r>
    </w:p>
    <w:p w14:paraId="069DA95E">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sz w:val="24"/>
          <w:szCs w:val="24"/>
        </w:rPr>
      </w:pPr>
      <w:r>
        <w:rPr>
          <w:rFonts w:hint="default" w:ascii="Arial" w:hAnsi="Arial" w:eastAsia="宋体" w:cs="Arial"/>
          <w:b/>
          <w:bCs/>
          <w:color w:val="auto"/>
          <w:sz w:val="24"/>
          <w:szCs w:val="24"/>
        </w:rPr>
        <w:t>（2）食品安全追溯</w:t>
      </w:r>
    </w:p>
    <w:p w14:paraId="145A5A4A">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应建立食品安全追溯体系，制定并实施覆盖原料采购、加工制作、成品提供等环节的追溯制度。</w:t>
      </w:r>
    </w:p>
    <w:p w14:paraId="5A861AB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应由专人负责记录并保存原料采购、查验、成品出货等凭证或交易信息，保证食品原料和成品的可追溯。</w:t>
      </w:r>
    </w:p>
    <w:p w14:paraId="41DB6CEC">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3）可自建平台或利用第三方网络平台，</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采用信息化手段采集和保存原料、加工制作、流程衔接、成品提供等信息，实行动态化管理。</w:t>
      </w:r>
    </w:p>
    <w:p w14:paraId="6A186212">
      <w:pPr>
        <w:keepNext w:val="0"/>
        <w:keepLines w:val="0"/>
        <w:pageBreakBefore w:val="0"/>
        <w:widowControl/>
        <w:wordWrap/>
        <w:overflowPunct/>
        <w:topLinePunct w:val="0"/>
        <w:bidi w:val="0"/>
        <w:adjustRightInd w:val="0"/>
        <w:snapToGrid/>
        <w:spacing w:line="360" w:lineRule="auto"/>
        <w:ind w:left="0" w:right="0" w:firstLine="498"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4"/>
          <w:sz w:val="24"/>
          <w:szCs w:val="24"/>
        </w:rPr>
        <w:t>（3）信息公开</w:t>
      </w:r>
    </w:p>
    <w:p w14:paraId="030805B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应设置信息公示栏，将营业执照、食品经营许可证、食品安全责任书和自我承诺书、从业人员健康证明、日常监督检查结果记录表、投诉举报电话公示在醒目位置。</w:t>
      </w:r>
    </w:p>
    <w:p w14:paraId="75665A3B">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应提前将每批食品原料的合格证明文件、市场价格等相关信息，以及每天(每周)的学生餐食谱、营养素供给量及其达到标准的比例、成品膳食价目表等信息传递给学校予以公示。</w:t>
      </w:r>
    </w:p>
    <w:p w14:paraId="3494DA8E">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按照《江西省学校食堂“明厨亮灶”建设规范》和“互联网+明厨亮灶”的建设要求，在原料贮存、食品加工制作、餐用具清洗消毒、食品留样、厨(餐)余垃圾处理等关键点位安装视频系统，并将视频数据和传感设备采集的数据接入省级平台及县教体局和市监局业务主管监管部门，数据保存30天以上。</w:t>
      </w:r>
    </w:p>
    <w:p w14:paraId="324EB364">
      <w:pPr>
        <w:keepNext w:val="0"/>
        <w:keepLines w:val="0"/>
        <w:pageBreakBefore w:val="0"/>
        <w:wordWrap/>
        <w:overflowPunct/>
        <w:topLinePunct w:val="0"/>
        <w:bidi w:val="0"/>
        <w:adjustRightInd w:val="0"/>
        <w:snapToGrid/>
        <w:spacing w:line="360" w:lineRule="auto"/>
        <w:ind w:left="0" w:right="0" w:firstLine="514" w:firstLineChars="200"/>
        <w:rPr>
          <w:rFonts w:hint="default" w:ascii="Arial" w:hAnsi="Arial" w:eastAsia="宋体" w:cs="Arial"/>
          <w:b/>
          <w:bCs/>
          <w:color w:val="auto"/>
          <w:spacing w:val="8"/>
          <w:sz w:val="24"/>
          <w:szCs w:val="24"/>
          <w:lang w:val="en-US" w:eastAsia="zh-CN"/>
        </w:rPr>
      </w:pPr>
      <w:r>
        <w:rPr>
          <w:rFonts w:hint="default" w:ascii="Arial" w:hAnsi="Arial" w:eastAsia="宋体" w:cs="Arial"/>
          <w:b/>
          <w:bCs/>
          <w:color w:val="auto"/>
          <w:spacing w:val="8"/>
          <w:sz w:val="24"/>
          <w:szCs w:val="24"/>
          <w:lang w:eastAsia="zh-CN"/>
        </w:rPr>
        <w:t>（</w:t>
      </w:r>
      <w:r>
        <w:rPr>
          <w:rFonts w:hint="default" w:ascii="Arial" w:hAnsi="Arial" w:eastAsia="宋体" w:cs="Arial"/>
          <w:b/>
          <w:bCs/>
          <w:color w:val="auto"/>
          <w:spacing w:val="8"/>
          <w:sz w:val="24"/>
          <w:szCs w:val="24"/>
          <w:lang w:val="en-US" w:eastAsia="zh-CN"/>
        </w:rPr>
        <w:t>4</w:t>
      </w:r>
      <w:r>
        <w:rPr>
          <w:rFonts w:hint="default" w:ascii="Arial" w:hAnsi="Arial" w:eastAsia="宋体" w:cs="Arial"/>
          <w:b/>
          <w:bCs/>
          <w:color w:val="auto"/>
          <w:spacing w:val="8"/>
          <w:sz w:val="24"/>
          <w:szCs w:val="24"/>
          <w:lang w:eastAsia="zh-CN"/>
        </w:rPr>
        <w:t>）</w:t>
      </w:r>
      <w:r>
        <w:rPr>
          <w:rFonts w:hint="default" w:ascii="Arial" w:hAnsi="Arial" w:eastAsia="宋体" w:cs="Arial"/>
          <w:b/>
          <w:bCs/>
          <w:color w:val="auto"/>
          <w:spacing w:val="8"/>
          <w:sz w:val="24"/>
          <w:szCs w:val="24"/>
          <w:lang w:val="en-US" w:eastAsia="zh-CN"/>
        </w:rPr>
        <w:t>食品安全保险</w:t>
      </w:r>
    </w:p>
    <w:p w14:paraId="41DA8FD3">
      <w:pPr>
        <w:keepNext w:val="0"/>
        <w:keepLines w:val="0"/>
        <w:pageBreakBefore w:val="0"/>
        <w:wordWrap/>
        <w:overflowPunct/>
        <w:topLinePunct w:val="0"/>
        <w:bidi w:val="0"/>
        <w:adjustRightInd w:val="0"/>
        <w:snapToGrid/>
        <w:spacing w:line="360" w:lineRule="auto"/>
        <w:ind w:left="0" w:right="0" w:firstLine="512" w:firstLineChars="200"/>
        <w:rPr>
          <w:rFonts w:hint="default" w:ascii="Arial" w:hAnsi="Arial" w:eastAsia="宋体" w:cs="Arial"/>
          <w:b w:val="0"/>
          <w:bCs w:val="0"/>
          <w:color w:val="auto"/>
          <w:spacing w:val="8"/>
          <w:sz w:val="24"/>
          <w:szCs w:val="24"/>
        </w:rPr>
      </w:pPr>
      <w:r>
        <w:rPr>
          <w:rFonts w:hint="default" w:ascii="Arial" w:hAnsi="Arial" w:eastAsia="宋体" w:cs="Arial"/>
          <w:color w:val="auto"/>
          <w:spacing w:val="8"/>
          <w:sz w:val="24"/>
          <w:szCs w:val="24"/>
          <w:lang w:val="en-US" w:eastAsia="zh-CN"/>
        </w:rPr>
        <w:t>中标人</w:t>
      </w:r>
      <w:r>
        <w:rPr>
          <w:rFonts w:hint="default" w:ascii="Arial" w:hAnsi="Arial" w:eastAsia="宋体" w:cs="Arial"/>
          <w:b w:val="0"/>
          <w:bCs w:val="0"/>
          <w:color w:val="auto"/>
          <w:spacing w:val="8"/>
          <w:sz w:val="24"/>
          <w:szCs w:val="24"/>
        </w:rPr>
        <w:t>在正式供餐前购买单次赔付额不少于100万元的食品安全事故保险。学校发生食品安全事故时，供餐企业应无条件先垫付医药救护费及其它由该事故产生的费用，待事故原因弄清，责任划定后，按事故责任情况扣除或返还。</w:t>
      </w:r>
    </w:p>
    <w:p w14:paraId="4F20CB74">
      <w:pPr>
        <w:keepNext w:val="0"/>
        <w:keepLines w:val="0"/>
        <w:pageBreakBefore w:val="0"/>
        <w:wordWrap/>
        <w:overflowPunct/>
        <w:topLinePunct w:val="0"/>
        <w:bidi w:val="0"/>
        <w:adjustRightInd w:val="0"/>
        <w:snapToGrid/>
        <w:spacing w:line="360" w:lineRule="auto"/>
        <w:ind w:left="0" w:right="0" w:firstLine="514" w:firstLineChars="200"/>
        <w:rPr>
          <w:rFonts w:hint="default" w:ascii="Arial" w:hAnsi="Arial" w:eastAsia="宋体" w:cs="Arial"/>
          <w:b/>
          <w:bCs/>
          <w:color w:val="auto"/>
          <w:kern w:val="0"/>
          <w:sz w:val="24"/>
          <w:szCs w:val="24"/>
        </w:rPr>
      </w:pPr>
      <w:r>
        <w:rPr>
          <w:rFonts w:hint="default" w:ascii="Arial" w:hAnsi="Arial" w:eastAsia="宋体" w:cs="Arial"/>
          <w:b/>
          <w:bCs/>
          <w:color w:val="auto"/>
          <w:spacing w:val="8"/>
          <w:sz w:val="24"/>
          <w:szCs w:val="24"/>
          <w:lang w:val="en-US" w:eastAsia="zh-CN"/>
        </w:rPr>
        <w:t>3</w:t>
      </w:r>
      <w:r>
        <w:rPr>
          <w:rFonts w:hint="default" w:ascii="Arial" w:hAnsi="Arial" w:eastAsia="宋体" w:cs="Arial"/>
          <w:b/>
          <w:bCs/>
          <w:color w:val="auto"/>
          <w:spacing w:val="8"/>
          <w:sz w:val="24"/>
          <w:szCs w:val="24"/>
        </w:rPr>
        <w:t>、</w:t>
      </w:r>
      <w:r>
        <w:rPr>
          <w:rFonts w:hint="default" w:ascii="Arial" w:hAnsi="Arial" w:eastAsia="宋体" w:cs="Arial"/>
          <w:b/>
          <w:bCs/>
          <w:color w:val="auto"/>
          <w:kern w:val="0"/>
          <w:sz w:val="24"/>
          <w:szCs w:val="24"/>
        </w:rPr>
        <w:t>人员基本要求</w:t>
      </w:r>
    </w:p>
    <w:p w14:paraId="42A124E4">
      <w:pPr>
        <w:keepNext w:val="0"/>
        <w:keepLines w:val="0"/>
        <w:pageBreakBefore w:val="0"/>
        <w:widowControl/>
        <w:wordWrap/>
        <w:overflowPunct/>
        <w:topLinePunct w:val="0"/>
        <w:bidi w:val="0"/>
        <w:adjustRightInd w:val="0"/>
        <w:snapToGrid/>
        <w:spacing w:line="360" w:lineRule="auto"/>
        <w:ind w:left="0" w:right="0" w:firstLine="512" w:firstLineChars="200"/>
        <w:textAlignment w:val="baseline"/>
        <w:rPr>
          <w:rFonts w:hint="default" w:ascii="Arial" w:hAnsi="Arial" w:eastAsia="宋体" w:cs="Arial"/>
          <w:b w:val="0"/>
          <w:bCs w:val="0"/>
          <w:color w:val="auto"/>
          <w:kern w:val="0"/>
          <w:sz w:val="24"/>
          <w:szCs w:val="24"/>
        </w:rPr>
      </w:pPr>
      <w:r>
        <w:rPr>
          <w:rFonts w:hint="default" w:ascii="Arial" w:hAnsi="Arial" w:eastAsia="宋体" w:cs="Arial"/>
          <w:color w:val="auto"/>
          <w:spacing w:val="8"/>
          <w:sz w:val="24"/>
          <w:szCs w:val="24"/>
          <w:lang w:val="en-US" w:eastAsia="zh-CN"/>
        </w:rPr>
        <w:t>中标人</w:t>
      </w:r>
      <w:r>
        <w:rPr>
          <w:rFonts w:hint="default" w:ascii="Arial" w:hAnsi="Arial" w:eastAsia="宋体" w:cs="Arial"/>
          <w:b w:val="0"/>
          <w:bCs w:val="0"/>
          <w:color w:val="auto"/>
          <w:kern w:val="0"/>
          <w:sz w:val="24"/>
          <w:szCs w:val="24"/>
        </w:rPr>
        <w:t>需要配备1名专职食品安全管理人员、1名食品质量检验员、1名项目经理，专职人员</w:t>
      </w:r>
      <w:r>
        <w:rPr>
          <w:rFonts w:hint="default" w:ascii="Arial" w:hAnsi="Arial" w:eastAsia="宋体" w:cs="Arial"/>
          <w:b w:val="0"/>
          <w:bCs w:val="0"/>
          <w:color w:val="auto"/>
          <w:kern w:val="0"/>
          <w:sz w:val="24"/>
          <w:szCs w:val="24"/>
          <w:lang w:val="en-US" w:eastAsia="zh-CN"/>
        </w:rPr>
        <w:t>必须</w:t>
      </w:r>
      <w:r>
        <w:rPr>
          <w:rFonts w:hint="default" w:ascii="Arial" w:hAnsi="Arial" w:eastAsia="宋体" w:cs="Arial"/>
          <w:b w:val="0"/>
          <w:bCs w:val="0"/>
          <w:color w:val="auto"/>
          <w:kern w:val="0"/>
          <w:sz w:val="24"/>
          <w:szCs w:val="24"/>
        </w:rPr>
        <w:t>固定，并配备与经营规模相适应的食堂从业人员（从业人员与供餐人数之比不低于1：100），依法签订用工合同，实行健康管理，定期体检，取得健康证。</w:t>
      </w:r>
    </w:p>
    <w:p w14:paraId="4D598DAB">
      <w:pPr>
        <w:keepNext w:val="0"/>
        <w:keepLines w:val="0"/>
        <w:pageBreakBefore w:val="0"/>
        <w:widowControl/>
        <w:wordWrap/>
        <w:overflowPunct/>
        <w:topLinePunct w:val="0"/>
        <w:bidi w:val="0"/>
        <w:adjustRightInd w:val="0"/>
        <w:snapToGrid/>
        <w:spacing w:line="360" w:lineRule="auto"/>
        <w:ind w:left="0" w:right="0" w:firstLine="514" w:firstLineChars="200"/>
        <w:textAlignment w:val="baseline"/>
        <w:rPr>
          <w:rFonts w:hint="default" w:ascii="Arial" w:hAnsi="Arial" w:eastAsia="宋体" w:cs="Arial"/>
          <w:b/>
          <w:bCs/>
          <w:color w:val="auto"/>
          <w:sz w:val="24"/>
          <w:szCs w:val="24"/>
        </w:rPr>
      </w:pPr>
      <w:r>
        <w:rPr>
          <w:rFonts w:hint="default" w:ascii="Arial" w:hAnsi="Arial" w:eastAsia="宋体" w:cs="Arial"/>
          <w:b/>
          <w:bCs/>
          <w:color w:val="auto"/>
          <w:spacing w:val="8"/>
          <w:sz w:val="24"/>
          <w:szCs w:val="24"/>
          <w:lang w:val="en-US" w:eastAsia="zh-CN"/>
        </w:rPr>
        <w:t>4、</w:t>
      </w:r>
      <w:r>
        <w:rPr>
          <w:rFonts w:hint="default" w:ascii="Arial" w:hAnsi="Arial" w:eastAsia="宋体" w:cs="Arial"/>
          <w:b/>
          <w:bCs/>
          <w:color w:val="auto"/>
          <w:spacing w:val="8"/>
          <w:sz w:val="24"/>
          <w:szCs w:val="24"/>
        </w:rPr>
        <w:t>营养健康管理</w:t>
      </w:r>
    </w:p>
    <w:p w14:paraId="7A720631">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应设立营养健康管理机构，配备1名以上专(兼)职、中级及以上职称的营养健康管理人员。应每季度至少开展1次从业人员合理配餐培训。</w:t>
      </w:r>
    </w:p>
    <w:p w14:paraId="7E9ABB13">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营养健康管理人员应结合当地的气候特点、食物种类、饮食习惯、民族习惯及学生的年龄阶段和营养需求等因素，设计学生餐食谱，做到食物互换、灵活搭配、品种多样，营养与口味均能满足学生需求。其中学生营养餐的能量和营养素供给量可参考WS/T 554。</w:t>
      </w:r>
    </w:p>
    <w:p w14:paraId="4A7CAF3C">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应每配送完一个月后，采用网络问卷调查、电话访问、面对面座谈等方式，与学生、教职工和家长交流菜肴口感、营养健康认知、用餐满意度等情况，及时调整烹调方式和膳食结构，提高膳食口感质量。</w:t>
      </w:r>
    </w:p>
    <w:p w14:paraId="6AC9730B">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应配合采购人进行月度配餐效果考核评定和学生、家长满意度调查，及时调整营养餐的菜品和口味。</w:t>
      </w:r>
    </w:p>
    <w:p w14:paraId="7716541A">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应与学校联合建立营养健康教育工作制度，配合学校开展食物营养与健康、食品安全、光盘行动、减盐减油减糖等常态化营养健康宣传教育活动。</w:t>
      </w:r>
    </w:p>
    <w:p w14:paraId="39108505">
      <w:pPr>
        <w:keepNext w:val="0"/>
        <w:keepLines w:val="0"/>
        <w:pageBreakBefore w:val="0"/>
        <w:widowControl/>
        <w:wordWrap/>
        <w:overflowPunct/>
        <w:topLinePunct w:val="0"/>
        <w:bidi w:val="0"/>
        <w:adjustRightInd w:val="0"/>
        <w:snapToGrid/>
        <w:spacing w:line="360" w:lineRule="auto"/>
        <w:ind w:left="0" w:right="0" w:firstLine="506"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6"/>
          <w:sz w:val="24"/>
          <w:szCs w:val="24"/>
          <w:lang w:val="en-US" w:eastAsia="zh-CN"/>
        </w:rPr>
        <w:t>5</w:t>
      </w:r>
      <w:r>
        <w:rPr>
          <w:rFonts w:hint="default" w:ascii="Arial" w:hAnsi="Arial" w:eastAsia="宋体" w:cs="Arial"/>
          <w:b/>
          <w:bCs/>
          <w:color w:val="auto"/>
          <w:spacing w:val="6"/>
          <w:sz w:val="24"/>
          <w:szCs w:val="24"/>
        </w:rPr>
        <w:t>、配餐管理</w:t>
      </w:r>
    </w:p>
    <w:p w14:paraId="24A8A75F">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（1）统一采购</w:t>
      </w:r>
    </w:p>
    <w:p w14:paraId="438AAD3D">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1）原</w:t>
      </w:r>
      <w:r>
        <w:rPr>
          <w:rFonts w:hint="default" w:ascii="Arial" w:hAnsi="Arial" w:eastAsia="宋体" w:cs="Arial"/>
          <w:bCs/>
          <w:color w:val="auto"/>
          <w:sz w:val="24"/>
          <w:szCs w:val="24"/>
          <w:lang w:val="en-US" w:eastAsia="zh-CN"/>
        </w:rPr>
        <w:t>材</w:t>
      </w:r>
      <w:r>
        <w:rPr>
          <w:rFonts w:hint="default" w:ascii="Arial" w:hAnsi="Arial" w:eastAsia="宋体" w:cs="Arial"/>
          <w:bCs/>
          <w:color w:val="auto"/>
          <w:sz w:val="24"/>
          <w:szCs w:val="24"/>
        </w:rPr>
        <w:t>料配送时，</w:t>
      </w:r>
      <w:r>
        <w:rPr>
          <w:rFonts w:hint="default" w:ascii="Arial" w:hAnsi="Arial" w:eastAsia="宋体" w:cs="Arial"/>
          <w:bCs/>
          <w:color w:val="auto"/>
          <w:sz w:val="24"/>
          <w:szCs w:val="24"/>
          <w:lang w:val="en-US" w:eastAsia="zh-CN"/>
        </w:rPr>
        <w:t>采购人</w:t>
      </w:r>
      <w:r>
        <w:rPr>
          <w:rFonts w:hint="default" w:ascii="Arial" w:hAnsi="Arial" w:eastAsia="宋体" w:cs="Arial"/>
          <w:bCs/>
          <w:color w:val="auto"/>
          <w:sz w:val="24"/>
          <w:szCs w:val="24"/>
        </w:rPr>
        <w:t>应查验</w:t>
      </w:r>
      <w:r>
        <w:rPr>
          <w:rFonts w:hint="default" w:ascii="Arial" w:hAnsi="Arial" w:eastAsia="宋体" w:cs="Arial"/>
          <w:bCs/>
          <w:color w:val="auto"/>
          <w:sz w:val="24"/>
          <w:szCs w:val="24"/>
          <w:lang w:val="en-US" w:eastAsia="zh-CN"/>
        </w:rPr>
        <w:t>供货商</w:t>
      </w:r>
      <w:r>
        <w:rPr>
          <w:rFonts w:hint="default" w:ascii="Arial" w:hAnsi="Arial" w:eastAsia="宋体" w:cs="Arial"/>
          <w:bCs/>
          <w:color w:val="auto"/>
          <w:sz w:val="24"/>
          <w:szCs w:val="24"/>
        </w:rPr>
        <w:t>的资质证明和产品合格证明文件，留存每批购物或送货凭证。</w:t>
      </w:r>
    </w:p>
    <w:p w14:paraId="0C835749">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原料运输、进货查验、入库贮存应符合《餐饮服务食品安全操作规范》的相关要求。不得采购、贮存和使用国家明令禁止生产经营的食品、食品添加剂及原料。</w:t>
      </w:r>
    </w:p>
    <w:p w14:paraId="3BB79BF7">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（2）食材、原料要求</w:t>
      </w:r>
    </w:p>
    <w:p w14:paraId="4B8470F8">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1）食品搭配：</w:t>
      </w:r>
      <w:r>
        <w:rPr>
          <w:rFonts w:hint="default" w:ascii="Arial" w:hAnsi="Arial" w:eastAsia="宋体" w:cs="Arial"/>
          <w:bCs/>
          <w:color w:val="auto"/>
          <w:sz w:val="24"/>
          <w:szCs w:val="24"/>
          <w:lang w:val="en-US" w:eastAsia="zh-CN"/>
        </w:rPr>
        <w:t>中标人</w:t>
      </w:r>
      <w:r>
        <w:rPr>
          <w:rFonts w:hint="default" w:ascii="Arial" w:hAnsi="Arial" w:eastAsia="宋体" w:cs="Arial"/>
          <w:color w:val="auto"/>
          <w:sz w:val="24"/>
          <w:szCs w:val="24"/>
        </w:rPr>
        <w:t>每月</w:t>
      </w:r>
      <w:r>
        <w:rPr>
          <w:rFonts w:hint="default" w:ascii="Arial" w:hAnsi="Arial" w:eastAsia="宋体" w:cs="Arial"/>
          <w:bCs/>
          <w:color w:val="auto"/>
          <w:sz w:val="24"/>
          <w:szCs w:val="24"/>
          <w:lang w:val="en-US" w:eastAsia="zh-CN"/>
        </w:rPr>
        <w:t>按</w:t>
      </w:r>
      <w:r>
        <w:rPr>
          <w:rFonts w:hint="eastAsia" w:ascii="Arial" w:hAnsi="Arial" w:eastAsia="宋体" w:cs="Arial"/>
          <w:bCs/>
          <w:color w:val="auto"/>
          <w:sz w:val="24"/>
          <w:szCs w:val="24"/>
          <w:lang w:val="en-US" w:eastAsia="zh-CN"/>
        </w:rPr>
        <w:t>10</w:t>
      </w:r>
      <w:r>
        <w:rPr>
          <w:rFonts w:hint="default" w:ascii="Arial" w:hAnsi="Arial" w:eastAsia="宋体" w:cs="Arial"/>
          <w:bCs/>
          <w:color w:val="auto"/>
          <w:sz w:val="24"/>
          <w:szCs w:val="24"/>
          <w:lang w:val="en-US" w:eastAsia="zh-CN"/>
        </w:rPr>
        <w:t>元/套（二荤一素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）标准制订不同层次的供餐食谱，提交学校膳食委员确定后，供学生自主选择。</w:t>
      </w:r>
      <w:r>
        <w:rPr>
          <w:rFonts w:hint="default" w:ascii="Arial" w:hAnsi="Arial" w:eastAsia="宋体" w:cs="Arial"/>
          <w:bCs/>
          <w:color w:val="auto"/>
          <w:sz w:val="24"/>
          <w:szCs w:val="24"/>
        </w:rPr>
        <w:t>营养餐每餐做到荤素搭配，营养科学，实行</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eastAsia="zh-CN"/>
        </w:rPr>
        <w:t>，</w:t>
      </w:r>
      <w:r>
        <w:rPr>
          <w:rFonts w:hint="default" w:ascii="Arial" w:hAnsi="Arial" w:eastAsia="宋体" w:cs="Arial"/>
          <w:bCs/>
          <w:color w:val="0000FF"/>
          <w:sz w:val="24"/>
          <w:szCs w:val="24"/>
          <w:lang w:eastAsia="zh-CN"/>
        </w:rPr>
        <w:t>米饭</w:t>
      </w:r>
      <w:r>
        <w:rPr>
          <w:rFonts w:hint="eastAsia" w:eastAsia="宋体" w:cs="Arial"/>
          <w:bCs/>
          <w:color w:val="0000FF"/>
          <w:sz w:val="24"/>
          <w:szCs w:val="24"/>
          <w:lang w:eastAsia="zh-CN"/>
        </w:rPr>
        <w:t>和餐后饮用水</w:t>
      </w:r>
      <w:r>
        <w:rPr>
          <w:rFonts w:hint="default" w:ascii="Arial" w:hAnsi="Arial" w:eastAsia="宋体" w:cs="Arial"/>
          <w:bCs/>
          <w:color w:val="0000FF"/>
          <w:sz w:val="24"/>
          <w:szCs w:val="24"/>
          <w:lang w:eastAsia="zh-CN"/>
        </w:rPr>
        <w:t>不另行收费</w:t>
      </w:r>
      <w:r>
        <w:rPr>
          <w:rFonts w:hint="default" w:ascii="Arial" w:hAnsi="Arial" w:eastAsia="宋体" w:cs="Arial"/>
          <w:bCs/>
          <w:color w:val="auto"/>
          <w:sz w:val="24"/>
          <w:szCs w:val="24"/>
          <w:lang w:eastAsia="zh-CN"/>
        </w:rPr>
        <w:t>，包含在食谱套餐费用当中。</w:t>
      </w:r>
      <w:r>
        <w:rPr>
          <w:rFonts w:hint="default" w:ascii="Arial" w:hAnsi="Arial" w:eastAsia="宋体" w:cs="Arial"/>
          <w:b w:val="0"/>
          <w:bCs/>
          <w:color w:val="auto"/>
          <w:sz w:val="24"/>
          <w:szCs w:val="24"/>
        </w:rPr>
        <w:t>投标人投标时必须</w:t>
      </w:r>
      <w:r>
        <w:rPr>
          <w:rFonts w:hint="default" w:ascii="Arial" w:hAnsi="Arial" w:eastAsia="宋体" w:cs="Arial"/>
          <w:b w:val="0"/>
          <w:bCs/>
          <w:color w:val="auto"/>
          <w:sz w:val="24"/>
          <w:szCs w:val="24"/>
          <w:lang w:val="en-US" w:eastAsia="zh-CN"/>
        </w:rPr>
        <w:t>在投标文件中按</w:t>
      </w:r>
      <w:r>
        <w:rPr>
          <w:rFonts w:hint="eastAsia" w:ascii="Arial" w:hAnsi="Arial" w:eastAsia="宋体" w:cs="Arial"/>
          <w:b w:val="0"/>
          <w:bCs/>
          <w:color w:val="auto"/>
          <w:sz w:val="24"/>
          <w:szCs w:val="24"/>
          <w:lang w:val="en-US" w:eastAsia="zh-CN"/>
        </w:rPr>
        <w:t>10</w:t>
      </w:r>
      <w:r>
        <w:rPr>
          <w:rFonts w:hint="default" w:ascii="Arial" w:hAnsi="Arial" w:eastAsia="宋体" w:cs="Arial"/>
          <w:b w:val="0"/>
          <w:bCs/>
          <w:color w:val="auto"/>
          <w:sz w:val="24"/>
          <w:szCs w:val="24"/>
          <w:lang w:val="en-US" w:eastAsia="zh-CN"/>
        </w:rPr>
        <w:t>元/套</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w:t>
      </w:r>
      <w:r>
        <w:rPr>
          <w:rFonts w:hint="default" w:ascii="Arial" w:hAnsi="Arial" w:eastAsia="宋体" w:cs="Arial"/>
          <w:b w:val="0"/>
          <w:bCs/>
          <w:color w:val="auto"/>
          <w:sz w:val="24"/>
          <w:szCs w:val="24"/>
          <w:lang w:val="en-US" w:eastAsia="zh-CN"/>
        </w:rPr>
        <w:t>标准</w:t>
      </w:r>
      <w:r>
        <w:rPr>
          <w:rFonts w:hint="default" w:ascii="Arial" w:hAnsi="Arial" w:eastAsia="宋体" w:cs="Arial"/>
          <w:b w:val="0"/>
          <w:bCs/>
          <w:color w:val="auto"/>
          <w:sz w:val="24"/>
          <w:szCs w:val="24"/>
        </w:rPr>
        <w:t>提供20套食谱（当周菜不得有重复、每套食谱不得雷同）</w:t>
      </w:r>
      <w:r>
        <w:rPr>
          <w:rFonts w:hint="default" w:ascii="Arial" w:hAnsi="Arial" w:eastAsia="宋体" w:cs="Arial"/>
          <w:b w:val="0"/>
          <w:bCs/>
          <w:color w:val="auto"/>
          <w:sz w:val="24"/>
          <w:szCs w:val="24"/>
          <w:lang w:eastAsia="zh-CN"/>
        </w:rPr>
        <w:t>。投标人若中标，提供的食谱将作为履约期间落实供餐标准的参照物。食谱必须能清晰展示每套食谱</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w:t>
      </w:r>
      <w:r>
        <w:rPr>
          <w:rFonts w:hint="default" w:ascii="Arial" w:hAnsi="Arial" w:eastAsia="宋体" w:cs="Arial"/>
          <w:b w:val="0"/>
          <w:bCs/>
          <w:color w:val="auto"/>
          <w:sz w:val="24"/>
          <w:szCs w:val="24"/>
          <w:lang w:eastAsia="zh-CN"/>
        </w:rPr>
        <w:t>的菜名及组成的主要原料的名称、克量等成本信息</w:t>
      </w:r>
      <w:r>
        <w:rPr>
          <w:rFonts w:hint="default" w:ascii="Arial" w:hAnsi="Arial" w:eastAsia="宋体" w:cs="Arial"/>
          <w:b w:val="0"/>
          <w:bCs/>
          <w:color w:val="auto"/>
          <w:sz w:val="24"/>
          <w:szCs w:val="24"/>
        </w:rPr>
        <w:t>。</w:t>
      </w:r>
      <w:r>
        <w:rPr>
          <w:rFonts w:hint="default" w:ascii="Arial" w:hAnsi="Arial" w:eastAsia="宋体" w:cs="Arial"/>
          <w:bCs/>
          <w:color w:val="auto"/>
          <w:sz w:val="24"/>
          <w:szCs w:val="24"/>
        </w:rPr>
        <w:t>未经采购人同意，中标人不得随意更改食</w:t>
      </w:r>
      <w:r>
        <w:rPr>
          <w:rFonts w:hint="default" w:ascii="Arial" w:hAnsi="Arial" w:eastAsia="宋体" w:cs="Arial"/>
          <w:b w:val="0"/>
          <w:bCs/>
          <w:color w:val="auto"/>
          <w:sz w:val="24"/>
          <w:szCs w:val="24"/>
        </w:rPr>
        <w:t>谱，如发现一次，从</w:t>
      </w:r>
      <w:r>
        <w:rPr>
          <w:rFonts w:hint="default" w:ascii="Arial" w:hAnsi="Arial" w:eastAsia="宋体" w:cs="Arial"/>
          <w:b w:val="0"/>
          <w:bCs/>
          <w:color w:val="auto"/>
          <w:sz w:val="24"/>
          <w:szCs w:val="24"/>
          <w:lang w:eastAsia="zh-CN"/>
        </w:rPr>
        <w:t>中标人</w:t>
      </w:r>
      <w:r>
        <w:rPr>
          <w:rFonts w:hint="default" w:ascii="Arial" w:hAnsi="Arial" w:eastAsia="宋体" w:cs="Arial"/>
          <w:b w:val="0"/>
          <w:bCs/>
          <w:color w:val="auto"/>
          <w:sz w:val="24"/>
          <w:szCs w:val="24"/>
        </w:rPr>
        <w:t>履约保证金中扣除5000元。菜品供给重量及搭配要求：每人每餐荤蔬（素）菜总量不少于280克</w:t>
      </w:r>
      <w:r>
        <w:rPr>
          <w:rFonts w:hint="default" w:ascii="Arial" w:hAnsi="Arial" w:eastAsia="宋体" w:cs="Arial"/>
          <w:b w:val="0"/>
          <w:bCs/>
          <w:color w:val="auto"/>
          <w:sz w:val="24"/>
          <w:szCs w:val="24"/>
          <w:lang w:eastAsia="zh-CN"/>
        </w:rPr>
        <w:t>，</w:t>
      </w:r>
      <w:r>
        <w:rPr>
          <w:rFonts w:hint="default" w:ascii="Arial" w:hAnsi="Arial" w:eastAsia="宋体" w:cs="Arial"/>
          <w:b w:val="0"/>
          <w:bCs/>
          <w:color w:val="auto"/>
          <w:sz w:val="24"/>
          <w:szCs w:val="24"/>
        </w:rPr>
        <w:t>纯荤菜不少于75克；米饭</w:t>
      </w:r>
      <w:r>
        <w:rPr>
          <w:rFonts w:hint="default" w:ascii="Arial" w:hAnsi="Arial" w:eastAsia="宋体" w:cs="Arial"/>
          <w:b w:val="0"/>
          <w:bCs/>
          <w:color w:val="auto"/>
          <w:sz w:val="24"/>
          <w:szCs w:val="24"/>
          <w:lang w:eastAsia="zh-CN"/>
        </w:rPr>
        <w:t>充足且留有备饭</w:t>
      </w:r>
      <w:r>
        <w:rPr>
          <w:rFonts w:hint="default" w:ascii="Arial" w:hAnsi="Arial" w:eastAsia="宋体" w:cs="Arial"/>
          <w:b w:val="0"/>
          <w:bCs/>
          <w:color w:val="auto"/>
          <w:sz w:val="24"/>
          <w:szCs w:val="24"/>
        </w:rPr>
        <w:t>。荤菜：每周菜谱荤菜供给鲜猪肉、鲜猪排骨、鲜牛肉（或牛腩）、鲜羊肉、鲜鸡肉、鲜鸭肉、鲜草鱼和蛋不少于一餐。菜品搭配未达到上述要求的作无效投标处理。</w:t>
      </w:r>
    </w:p>
    <w:p w14:paraId="78878474">
      <w:pPr>
        <w:keepNext w:val="0"/>
        <w:keepLines w:val="0"/>
        <w:pageBreakBefore w:val="0"/>
        <w:widowControl/>
        <w:wordWrap/>
        <w:overflowPunct/>
        <w:topLinePunct w:val="0"/>
        <w:bidi w:val="0"/>
        <w:adjustRightInd w:val="0"/>
        <w:snapToGrid/>
        <w:spacing w:line="360" w:lineRule="auto"/>
        <w:ind w:left="0" w:right="0" w:firstLine="488" w:firstLineChars="200"/>
        <w:textAlignment w:val="baseline"/>
        <w:rPr>
          <w:rFonts w:hint="default" w:ascii="Arial" w:hAnsi="Arial" w:eastAsia="宋体" w:cs="Arial"/>
          <w:b/>
          <w:bCs/>
          <w:color w:val="auto"/>
          <w:spacing w:val="2"/>
          <w:sz w:val="24"/>
          <w:szCs w:val="24"/>
        </w:rPr>
      </w:pPr>
      <w:r>
        <w:rPr>
          <w:rFonts w:hint="default" w:ascii="Arial" w:hAnsi="Arial" w:eastAsia="宋体" w:cs="Arial"/>
          <w:b w:val="0"/>
          <w:bCs w:val="0"/>
          <w:color w:val="auto"/>
          <w:spacing w:val="2"/>
          <w:sz w:val="24"/>
          <w:szCs w:val="24"/>
          <w:lang w:val="en-US" w:eastAsia="zh-CN"/>
        </w:rPr>
        <w:t>2</w:t>
      </w:r>
      <w:r>
        <w:rPr>
          <w:rFonts w:hint="default" w:ascii="Arial" w:hAnsi="Arial" w:eastAsia="宋体" w:cs="Arial"/>
          <w:b w:val="0"/>
          <w:bCs w:val="0"/>
          <w:color w:val="auto"/>
          <w:spacing w:val="2"/>
          <w:sz w:val="24"/>
          <w:szCs w:val="24"/>
        </w:rPr>
        <w:t>）投标人必需严格执行《中华人民共和国食品安全法》，保证供应的食品原料符合国家相应的食品安全规定，主要的原料必需符合下列标准：</w:t>
      </w:r>
    </w:p>
    <w:p w14:paraId="48668FF0">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大米：</w:t>
      </w:r>
      <w:r>
        <w:rPr>
          <w:rFonts w:hint="default" w:ascii="Arial" w:hAnsi="Arial" w:eastAsia="宋体" w:cs="Arial"/>
          <w:b w:val="0"/>
          <w:bCs w:val="0"/>
          <w:color w:val="auto"/>
          <w:spacing w:val="2"/>
          <w:sz w:val="24"/>
          <w:szCs w:val="24"/>
        </w:rPr>
        <w:t>质量达到GB/T1354-2018一级优质大米标准。1年内新粮大米，有产品检验合格证书，并标明生产日期、保质期或保存期、厂名、重量、厂址等。透明编织袋包装，每包25公斤或50公斤。具有固有的色泽和香味，没有霉变，无杂质，无虫蛀结块挂丝，米粒呈长椭园形或细长形、颜色腊白透明、碎米粒、黄粒米不超过标准，距离保质期满须有2/3以上保质时间，必须符合《中华人民共和国食品安全法》等相关法律法规。生产商应具有食品生产许可证，须提供每批次大米的出厂合格证。</w:t>
      </w:r>
    </w:p>
    <w:p w14:paraId="2D2A2817">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菜籽油：</w:t>
      </w:r>
      <w:r>
        <w:rPr>
          <w:rFonts w:hint="default" w:ascii="Arial" w:hAnsi="Arial" w:eastAsia="宋体" w:cs="Arial"/>
          <w:b w:val="0"/>
          <w:bCs w:val="0"/>
          <w:color w:val="auto"/>
          <w:spacing w:val="2"/>
          <w:sz w:val="24"/>
          <w:szCs w:val="24"/>
        </w:rPr>
        <w:t>要求非转基因原料物理压榨的一级纯菜籽油，质量达到 GB/T1536-2021一级标准，透明桶装，每瓶5升或10升，距离保质期满须有2/3以上保质时间，必须符合《中华人民共和国食品安全法》等相关法律法规。生产商应具有食品生产许可证，须提供每批次菜籽油的出厂合格证。</w:t>
      </w:r>
    </w:p>
    <w:p w14:paraId="31F3E6FB">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海鲜类：</w:t>
      </w:r>
      <w:r>
        <w:rPr>
          <w:rFonts w:hint="default" w:ascii="Arial" w:hAnsi="Arial" w:eastAsia="宋体" w:cs="Arial"/>
          <w:b w:val="0"/>
          <w:bCs w:val="0"/>
          <w:color w:val="auto"/>
          <w:spacing w:val="2"/>
          <w:sz w:val="24"/>
          <w:szCs w:val="24"/>
        </w:rPr>
        <w:t>新鲜无异味，具有合格的检验检疫证。</w:t>
      </w:r>
    </w:p>
    <w:p w14:paraId="52834E82">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bCs/>
          <w:color w:val="auto"/>
          <w:spacing w:val="2"/>
          <w:sz w:val="24"/>
          <w:szCs w:val="24"/>
        </w:rPr>
      </w:pPr>
      <w:r>
        <w:rPr>
          <w:rFonts w:hint="default" w:ascii="Arial" w:hAnsi="Arial" w:eastAsia="宋体" w:cs="Arial"/>
          <w:b/>
          <w:bCs/>
          <w:color w:val="auto"/>
          <w:spacing w:val="2"/>
          <w:sz w:val="24"/>
          <w:szCs w:val="24"/>
          <w:lang w:val="en-US" w:eastAsia="zh-CN"/>
        </w:rPr>
        <w:t>肉类</w:t>
      </w:r>
      <w:r>
        <w:rPr>
          <w:rFonts w:hint="default" w:ascii="Arial" w:hAnsi="Arial" w:eastAsia="宋体" w:cs="Arial"/>
          <w:b/>
          <w:bCs/>
          <w:color w:val="auto"/>
          <w:spacing w:val="2"/>
          <w:sz w:val="24"/>
          <w:szCs w:val="24"/>
        </w:rPr>
        <w:t>：</w:t>
      </w:r>
    </w:p>
    <w:p w14:paraId="730F6EC7">
      <w:pPr>
        <w:keepNext w:val="0"/>
        <w:keepLines w:val="0"/>
        <w:pageBreakBefore w:val="0"/>
        <w:widowControl/>
        <w:numPr>
          <w:ilvl w:val="0"/>
          <w:numId w:val="7"/>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kern w:val="2"/>
          <w:sz w:val="24"/>
          <w:szCs w:val="24"/>
          <w:lang w:val="en-US" w:eastAsia="zh-CN" w:bidi="ar-SA"/>
        </w:rPr>
      </w:pPr>
      <w:r>
        <w:rPr>
          <w:rFonts w:hint="default" w:ascii="Arial" w:hAnsi="Arial" w:eastAsia="宋体" w:cs="Arial"/>
          <w:color w:val="auto"/>
          <w:spacing w:val="2"/>
          <w:kern w:val="2"/>
          <w:sz w:val="24"/>
          <w:szCs w:val="24"/>
          <w:lang w:val="en-US" w:eastAsia="zh-CN" w:bidi="ar-SA"/>
        </w:rPr>
        <w:t>猪肉：去头去脚的新鲜猪肉，宰杀时间至采购时间期限不超过 24个小时，取得相应的“两证”、“两章”即动物产品检疫证明和肉品品质检验合格证，动物产品检疫验讫印章和肉品品质检验合格印章，可溯源到屠宰厂或出售人。严禁供应猪内脏、冰冻猪肉和病、死、种猪、老母猪肉。</w:t>
      </w:r>
    </w:p>
    <w:p w14:paraId="13788EBD">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4" w:firstLineChars="100"/>
        <w:textAlignment w:val="baseline"/>
        <w:rPr>
          <w:rFonts w:hint="default" w:ascii="Arial" w:hAnsi="Arial" w:eastAsia="宋体" w:cs="Arial"/>
          <w:color w:val="auto"/>
          <w:spacing w:val="2"/>
          <w:kern w:val="2"/>
          <w:sz w:val="24"/>
          <w:szCs w:val="24"/>
          <w:lang w:val="en-US" w:eastAsia="zh-CN" w:bidi="ar-SA"/>
        </w:rPr>
      </w:pPr>
      <w:r>
        <w:rPr>
          <w:rFonts w:hint="default" w:ascii="Arial" w:hAnsi="Arial" w:eastAsia="宋体" w:cs="Arial"/>
          <w:color w:val="auto"/>
          <w:spacing w:val="2"/>
          <w:kern w:val="2"/>
          <w:sz w:val="24"/>
          <w:szCs w:val="24"/>
          <w:lang w:val="en-US" w:eastAsia="zh-CN" w:bidi="ar-SA"/>
        </w:rPr>
        <w:t>（2）其它肉类：主要包括牛肉、鸡肉、鸭肉、羊肉等。要求新鲜无变质现象，且符合食品安全要求，不能使用冷冻产品。提供动物产品检疫证明。</w:t>
      </w:r>
    </w:p>
    <w:p w14:paraId="1E19472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禽类</w:t>
      </w:r>
      <w:r>
        <w:rPr>
          <w:rFonts w:hint="default" w:ascii="Arial" w:hAnsi="Arial" w:eastAsia="宋体" w:cs="Arial"/>
          <w:color w:val="auto"/>
          <w:spacing w:val="2"/>
          <w:sz w:val="24"/>
          <w:szCs w:val="24"/>
        </w:rPr>
        <w:t>：</w:t>
      </w:r>
      <w:r>
        <w:rPr>
          <w:rFonts w:hint="default" w:ascii="Arial" w:hAnsi="Arial" w:eastAsia="宋体" w:cs="Arial"/>
          <w:b w:val="0"/>
          <w:bCs w:val="0"/>
          <w:color w:val="auto"/>
          <w:spacing w:val="2"/>
          <w:sz w:val="24"/>
          <w:szCs w:val="24"/>
        </w:rPr>
        <w:t>鸡、鸭从宰杀到配送至熟食加工中心时间控制在10个小时之内,</w:t>
      </w:r>
      <w:r>
        <w:rPr>
          <w:rFonts w:hint="default" w:ascii="Arial" w:hAnsi="Arial" w:eastAsia="宋体" w:cs="Arial"/>
          <w:color w:val="auto"/>
          <w:spacing w:val="2"/>
          <w:sz w:val="24"/>
          <w:szCs w:val="24"/>
        </w:rPr>
        <w:t>肉质紧密，富有弹性；皮无斑点；有光泽；无异味等。严禁供应注水、注胶、病和死鸡（或鸭）；交货时提供相关部门检疫（验）证明，属无公害产品且符合食品卫生安全法要求。</w:t>
      </w:r>
    </w:p>
    <w:p w14:paraId="4AD4FF4D">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val="0"/>
          <w:bCs/>
          <w:color w:val="auto"/>
          <w:spacing w:val="2"/>
          <w:sz w:val="24"/>
          <w:szCs w:val="24"/>
        </w:rPr>
      </w:pPr>
      <w:r>
        <w:rPr>
          <w:rFonts w:hint="default" w:ascii="Arial" w:hAnsi="Arial" w:eastAsia="宋体" w:cs="Arial"/>
          <w:b/>
          <w:bCs/>
          <w:color w:val="auto"/>
          <w:spacing w:val="2"/>
          <w:sz w:val="24"/>
          <w:szCs w:val="24"/>
        </w:rPr>
        <w:t>鱼类：</w:t>
      </w:r>
      <w:r>
        <w:rPr>
          <w:rFonts w:hint="default" w:ascii="Arial" w:hAnsi="Arial" w:eastAsia="宋体" w:cs="Arial"/>
          <w:b w:val="0"/>
          <w:bCs/>
          <w:color w:val="auto"/>
          <w:spacing w:val="2"/>
          <w:sz w:val="24"/>
          <w:szCs w:val="24"/>
        </w:rPr>
        <w:t>主要以本地草鱼为主，鲜活宰杀。</w:t>
      </w:r>
    </w:p>
    <w:p w14:paraId="00FC5DE1">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禽蛋（生鸡蛋）：</w:t>
      </w:r>
      <w:r>
        <w:rPr>
          <w:rFonts w:hint="default" w:ascii="Arial" w:hAnsi="Arial" w:eastAsia="宋体" w:cs="Arial"/>
          <w:color w:val="auto"/>
          <w:spacing w:val="2"/>
          <w:sz w:val="24"/>
          <w:szCs w:val="24"/>
        </w:rPr>
        <w:t>要求外壳完好、新鲜，无公害产品，距离保质期满须有2/3以上保质时间且符合中华人民共和国食品安全法要求。</w:t>
      </w:r>
    </w:p>
    <w:p w14:paraId="21A85EB1">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时令蔬菜</w:t>
      </w:r>
      <w:r>
        <w:rPr>
          <w:rFonts w:hint="default" w:ascii="Arial" w:hAnsi="Arial" w:eastAsia="宋体" w:cs="Arial"/>
          <w:b/>
          <w:bCs/>
          <w:color w:val="auto"/>
          <w:spacing w:val="2"/>
          <w:sz w:val="24"/>
          <w:szCs w:val="24"/>
          <w:lang w:eastAsia="zh-CN"/>
        </w:rPr>
        <w:t>：</w:t>
      </w:r>
      <w:r>
        <w:rPr>
          <w:rFonts w:hint="default" w:ascii="Arial" w:hAnsi="Arial" w:eastAsia="宋体" w:cs="Arial"/>
          <w:color w:val="auto"/>
          <w:spacing w:val="2"/>
          <w:sz w:val="24"/>
          <w:szCs w:val="24"/>
        </w:rPr>
        <w:t>主要包括叶菜类、茎菜类、根菜类、果菜类、花菜类。要求“三无”（无农药残留、无化学催长剂、无霉烂、变质、腐败）并符合《食品安全国家标准食品中农药最大残留限量》（GB 2763-2021）,可溯源到种植人或出售人。</w:t>
      </w:r>
    </w:p>
    <w:p w14:paraId="5C67B50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val="0"/>
          <w:bCs w:val="0"/>
          <w:snapToGrid w:val="0"/>
          <w:color w:val="auto"/>
          <w:spacing w:val="2"/>
          <w:kern w:val="0"/>
          <w:sz w:val="24"/>
          <w:szCs w:val="24"/>
        </w:rPr>
      </w:pPr>
      <w:r>
        <w:rPr>
          <w:rFonts w:hint="default" w:ascii="Arial" w:hAnsi="Arial" w:eastAsia="宋体" w:cs="Arial"/>
          <w:b/>
          <w:bCs/>
          <w:snapToGrid w:val="0"/>
          <w:color w:val="auto"/>
          <w:spacing w:val="2"/>
          <w:kern w:val="0"/>
          <w:sz w:val="24"/>
          <w:szCs w:val="24"/>
        </w:rPr>
        <w:t>豆制品</w:t>
      </w:r>
      <w:r>
        <w:rPr>
          <w:rFonts w:hint="eastAsia" w:eastAsia="宋体" w:cs="Arial"/>
          <w:b/>
          <w:bCs/>
          <w:snapToGrid w:val="0"/>
          <w:color w:val="auto"/>
          <w:spacing w:val="2"/>
          <w:kern w:val="0"/>
          <w:sz w:val="24"/>
          <w:szCs w:val="24"/>
          <w:lang w:eastAsia="zh-CN"/>
        </w:rPr>
        <w:t>：</w:t>
      </w:r>
      <w:r>
        <w:rPr>
          <w:rFonts w:hint="default" w:ascii="Arial" w:hAnsi="Arial" w:eastAsia="宋体" w:cs="Arial"/>
          <w:b w:val="0"/>
          <w:bCs w:val="0"/>
          <w:snapToGrid w:val="0"/>
          <w:color w:val="auto"/>
          <w:spacing w:val="2"/>
          <w:kern w:val="0"/>
          <w:sz w:val="24"/>
          <w:szCs w:val="24"/>
        </w:rPr>
        <w:t>必须由中标供应商按《中华人民共和国食品安全法》相关规定和卫生标准自行生产加工或由符合相应要求的正规食品生产企业定点生产。</w:t>
      </w:r>
    </w:p>
    <w:p w14:paraId="00726735">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干菜：</w:t>
      </w:r>
      <w:r>
        <w:rPr>
          <w:rFonts w:hint="default" w:ascii="Arial" w:hAnsi="Arial" w:eastAsia="宋体" w:cs="Arial"/>
          <w:color w:val="auto"/>
          <w:spacing w:val="2"/>
          <w:sz w:val="24"/>
          <w:szCs w:val="24"/>
        </w:rPr>
        <w:t>主要包括香菇干、木耳、腐竹、紫菜等。干菜要求“三无”（无过期、无霉变、无腐败），不得使用不符合规范要求的散装干菜。提供相应食品生产许可证，每个种类须提供每批次产品的出厂合格证。</w:t>
      </w:r>
    </w:p>
    <w:p w14:paraId="4B31C8E2">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调味品：</w:t>
      </w:r>
      <w:r>
        <w:rPr>
          <w:rFonts w:hint="default" w:ascii="Arial" w:hAnsi="Arial" w:eastAsia="宋体" w:cs="Arial"/>
          <w:b w:val="0"/>
          <w:bCs w:val="0"/>
          <w:color w:val="auto"/>
          <w:spacing w:val="2"/>
          <w:sz w:val="24"/>
          <w:szCs w:val="24"/>
        </w:rPr>
        <w:t>要求“三无”（无过期、无变质、无腐败），不得使用不符合规范要求的散装调味品。提供相应食品生产许可证，每个种类须提供每批次产品的出厂合格证。</w:t>
      </w:r>
    </w:p>
    <w:p w14:paraId="46E81B35">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ascii="Arial" w:hAnsi="Arial" w:eastAsia="宋体" w:cs="Arial"/>
          <w:b w:val="0"/>
          <w:bCs w:val="0"/>
          <w:snapToGrid w:val="0"/>
          <w:color w:val="auto"/>
          <w:spacing w:val="2"/>
          <w:kern w:val="0"/>
          <w:sz w:val="24"/>
          <w:szCs w:val="24"/>
        </w:rPr>
      </w:pPr>
      <w:r>
        <w:rPr>
          <w:rFonts w:hint="default" w:ascii="Arial" w:hAnsi="Arial" w:eastAsia="宋体" w:cs="Arial"/>
          <w:b/>
          <w:bCs/>
          <w:snapToGrid w:val="0"/>
          <w:color w:val="auto"/>
          <w:spacing w:val="2"/>
          <w:kern w:val="0"/>
          <w:sz w:val="24"/>
          <w:szCs w:val="24"/>
        </w:rPr>
        <w:t>水果：</w:t>
      </w:r>
      <w:r>
        <w:rPr>
          <w:rFonts w:hint="default" w:ascii="Arial" w:hAnsi="Arial" w:eastAsia="宋体" w:cs="Arial"/>
          <w:b w:val="0"/>
          <w:bCs w:val="0"/>
          <w:snapToGrid w:val="0"/>
          <w:color w:val="auto"/>
          <w:spacing w:val="2"/>
          <w:kern w:val="0"/>
          <w:sz w:val="24"/>
          <w:szCs w:val="24"/>
        </w:rPr>
        <w:t>要求“三无”（无农药残留、无化学催长剂、无霉烂、变质、腐败）并符合《食品安全国家标准食品中农药最大残留限量》（GB 2763-2021）,可溯源到种植人或出售人。并规范包装后随快检报告一起配送到学校。</w:t>
      </w:r>
    </w:p>
    <w:p w14:paraId="41E336C7">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rPr>
      </w:pPr>
      <w:r>
        <w:rPr>
          <w:rFonts w:hint="default" w:ascii="Arial" w:hAnsi="Arial" w:eastAsia="宋体" w:cs="Arial"/>
          <w:b/>
          <w:bCs/>
          <w:snapToGrid w:val="0"/>
          <w:color w:val="auto"/>
          <w:spacing w:val="2"/>
          <w:kern w:val="0"/>
          <w:sz w:val="24"/>
          <w:szCs w:val="24"/>
        </w:rPr>
        <w:t>点心：</w:t>
      </w:r>
      <w:r>
        <w:rPr>
          <w:rFonts w:hint="default" w:ascii="Arial" w:hAnsi="Arial" w:eastAsia="宋体" w:cs="Arial"/>
          <w:b w:val="0"/>
          <w:bCs w:val="0"/>
          <w:snapToGrid w:val="0"/>
          <w:color w:val="auto"/>
          <w:spacing w:val="2"/>
          <w:kern w:val="0"/>
          <w:sz w:val="24"/>
          <w:szCs w:val="24"/>
        </w:rPr>
        <w:t>主要包括饼干、糕点等。要求充气包装并通过了SC认证，距离保质期满须有2/3以上保质时间，必须符合《中华人民共和国食品安全法》等相关法律法规。</w:t>
      </w:r>
    </w:p>
    <w:p w14:paraId="7B89F27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5" w:firstLineChars="100"/>
        <w:textAlignment w:val="baseline"/>
        <w:rPr>
          <w:rFonts w:hint="eastAsia" w:eastAsia="宋体" w:cs="Arial"/>
          <w:b/>
          <w:bCs/>
          <w:snapToGrid w:val="0"/>
          <w:color w:val="FF0000"/>
          <w:spacing w:val="2"/>
          <w:kern w:val="0"/>
          <w:sz w:val="24"/>
          <w:szCs w:val="24"/>
          <w:lang w:val="en-US" w:eastAsia="zh-CN"/>
        </w:rPr>
      </w:pPr>
      <w:r>
        <w:rPr>
          <w:rFonts w:hint="eastAsia" w:eastAsia="宋体" w:cs="Arial"/>
          <w:b/>
          <w:bCs/>
          <w:snapToGrid w:val="0"/>
          <w:color w:val="FF0000"/>
          <w:spacing w:val="2"/>
          <w:kern w:val="0"/>
          <w:sz w:val="24"/>
          <w:szCs w:val="24"/>
          <w:lang w:val="en-US" w:eastAsia="zh-CN"/>
        </w:rPr>
        <w:t>3）采购人会安排专人到中标人加工场所进行原材料的质量和重量进行跟踪，原材料的重量均需过称并进行记录。</w:t>
      </w:r>
    </w:p>
    <w:p w14:paraId="08A585CA">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5" w:firstLineChars="100"/>
        <w:textAlignment w:val="baseline"/>
        <w:rPr>
          <w:rFonts w:hint="eastAsia" w:eastAsia="宋体" w:cs="Arial"/>
          <w:b/>
          <w:bCs/>
          <w:snapToGrid w:val="0"/>
          <w:color w:val="FF0000"/>
          <w:spacing w:val="2"/>
          <w:kern w:val="0"/>
          <w:sz w:val="24"/>
          <w:szCs w:val="24"/>
          <w:lang w:val="en-US" w:eastAsia="zh-CN"/>
        </w:rPr>
      </w:pPr>
      <w:r>
        <w:rPr>
          <w:rFonts w:hint="eastAsia" w:eastAsia="宋体" w:cs="Arial"/>
          <w:b/>
          <w:bCs/>
          <w:snapToGrid w:val="0"/>
          <w:color w:val="FF0000"/>
          <w:spacing w:val="2"/>
          <w:kern w:val="0"/>
          <w:sz w:val="24"/>
          <w:szCs w:val="24"/>
          <w:lang w:val="en-US" w:eastAsia="zh-CN"/>
        </w:rPr>
        <w:t>4）用于采购食材的支出比例原则上不得低于餐费收入的70%，包括当期实际耗用的米，面，油，水(海)产品，生鲜肉，蛋类，豆制品，调味品，蔬菜及其他原材料成本。</w:t>
      </w:r>
    </w:p>
    <w:p w14:paraId="086E8280">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bCs/>
          <w:color w:val="auto"/>
          <w:spacing w:val="2"/>
          <w:sz w:val="24"/>
          <w:szCs w:val="24"/>
        </w:rPr>
      </w:pPr>
      <w:r>
        <w:rPr>
          <w:rFonts w:hint="default" w:ascii="Arial" w:hAnsi="Arial" w:eastAsia="宋体" w:cs="Arial"/>
          <w:b/>
          <w:bCs/>
          <w:color w:val="auto"/>
          <w:spacing w:val="2"/>
          <w:sz w:val="24"/>
          <w:szCs w:val="24"/>
        </w:rPr>
        <w:t>（3）统一加工</w:t>
      </w:r>
    </w:p>
    <w:p w14:paraId="33A8E3CB">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color w:val="auto"/>
          <w:spacing w:val="2"/>
          <w:sz w:val="24"/>
          <w:szCs w:val="24"/>
        </w:rPr>
        <w:t>1）</w:t>
      </w:r>
      <w:r>
        <w:rPr>
          <w:rFonts w:hint="default" w:ascii="Arial" w:hAnsi="Arial" w:eastAsia="宋体" w:cs="Arial"/>
          <w:color w:val="auto"/>
          <w:spacing w:val="2"/>
          <w:sz w:val="24"/>
          <w:szCs w:val="24"/>
          <w:lang w:val="en-US" w:eastAsia="zh-CN"/>
        </w:rPr>
        <w:t>中标人</w:t>
      </w:r>
      <w:r>
        <w:rPr>
          <w:rFonts w:hint="default" w:ascii="Arial" w:hAnsi="Arial" w:eastAsia="宋体" w:cs="Arial"/>
          <w:color w:val="auto"/>
          <w:spacing w:val="2"/>
          <w:sz w:val="24"/>
          <w:szCs w:val="24"/>
        </w:rPr>
        <w:t>使用前后应对食品粗加工和烹饪场所、餐饮具等进行清洁消毒处理，做到专区专用、生熟分开。</w:t>
      </w:r>
    </w:p>
    <w:p w14:paraId="7E4335A1">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应按照当餐食谱和实际就餐人数准备适当数量的原料，宜当餐用完。</w:t>
      </w:r>
    </w:p>
    <w:p w14:paraId="2D209B5C">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应按照GB 2760规定的食品添加剂品种、使用范围和使用限量，使用食品添加剂。不得采购、贮存、使用亚硝酸盐(包括亚硝酸钠、亚硝酸钾)。</w:t>
      </w:r>
    </w:p>
    <w:p w14:paraId="2B9C95FB">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不得制售冷荤类食品、生食类食品、裱花蛋糕、现榨果蔬汁、四季豆、鲜黄花菜、野生蘑菇，发芽土豆等高风险食品，不得加工、销售野生动物。</w:t>
      </w:r>
    </w:p>
    <w:p w14:paraId="3EB20D8F">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烹饪过程应执行《餐饮服务食品安全操作规范》的相关要求，食品应烧熟煮透，中心温度应达到70℃以上。</w:t>
      </w:r>
    </w:p>
    <w:p w14:paraId="082F93E5">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成品膳食的存放、冷却、分装、包装应在专间内进行。包装过程应认真检查膳食，发现有感官性状异常或异物的，应及时处理。</w:t>
      </w:r>
    </w:p>
    <w:p w14:paraId="010B5974">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配送食品应使用密闭容器盛放或包装，外保温箱包装容器(不包括可回收餐具)上应标注供餐单位名称、食品名称、生产日期(月、日、时、分)、食用期限、食用方法等。</w:t>
      </w:r>
    </w:p>
    <w:p w14:paraId="7AA26921">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（4）统一检测</w:t>
      </w:r>
    </w:p>
    <w:p w14:paraId="270359B0">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自行建立快检实验室，制定检验检测相关制度，检验检测人员应经过培训与考核；应采用快速检验与实验室检验相结合的方法，制定原料、成品膳食的检验检测计划，可自行或委托具有资质的第三方机构进行检验检测。采购人有权委托第三方机构随机进行检验检测，检测费用由投标人负责。</w:t>
      </w:r>
    </w:p>
    <w:p w14:paraId="12763AC9">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应在加工前对每种原料进行留样，单品重量不少于1000g；应在分餐场所对每餐次的成品膳食进行留样，单个菜品不少于125g, 整份不少于600g；应在就餐场所对整份的成品膳食进行留样，份数不少于2份。</w:t>
      </w:r>
    </w:p>
    <w:p w14:paraId="0C5A8877">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应将留样原料和食品盛放于清洗消毒后的专用密闭容器内，在专用冷藏或冷冻设备中存放48h以上。应在盛放留样食品的容器上标注留样食品名称、留样时间(月、日、餐次),或者标注与留样记录相对应的标识。</w:t>
      </w:r>
    </w:p>
    <w:p w14:paraId="2A6454F1">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应对每批生鲜农产品的农药残留、兽药残留等指标进行快速检验检测。应采用实验室检验方法对粮食、鲜冻畜肉及内脏、食用油等食品原料进行抽检。应每周对成品膳食的留样食品进行抽样检验。</w:t>
      </w:r>
    </w:p>
    <w:p w14:paraId="065B205B">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检测结果应及时记录、登记归档，实现信息化管理，保存时间至少2年。</w:t>
      </w:r>
    </w:p>
    <w:p w14:paraId="2469E565">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（5）统一配送</w:t>
      </w:r>
    </w:p>
    <w:p w14:paraId="3B82FACB">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熟食加工出锅时间不早于10：00，配送至学校时间不早于11:20，配送前应和</w:t>
      </w:r>
      <w:r>
        <w:rPr>
          <w:rFonts w:hint="default" w:ascii="Arial" w:hAnsi="Arial" w:eastAsia="宋体" w:cs="Arial"/>
          <w:bCs/>
          <w:color w:val="auto"/>
          <w:sz w:val="24"/>
          <w:szCs w:val="24"/>
          <w:lang w:eastAsia="zh-CN"/>
        </w:rPr>
        <w:t>采购人</w:t>
      </w:r>
      <w:r>
        <w:rPr>
          <w:rFonts w:hint="default" w:ascii="Arial" w:hAnsi="Arial" w:eastAsia="宋体" w:cs="Arial"/>
          <w:bCs/>
          <w:color w:val="auto"/>
          <w:sz w:val="24"/>
          <w:szCs w:val="24"/>
        </w:rPr>
        <w:t>提前确认就餐人数、菜品、地点、餐具及其他要求，对配送路线、到达时间、配送人员和车辆进行合理安排。制定车辆损坏、交通堵塞、恶劣天气等情况造成供餐延误或中断的应急预案。</w:t>
      </w:r>
    </w:p>
    <w:p w14:paraId="23F1C358">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配送车辆和食品直接接触容器及包装物品应提前内外消毒并保持洁净。食品接触材料应符合GB 4806.1的要求。</w:t>
      </w:r>
    </w:p>
    <w:p w14:paraId="4A44C6DD">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运输工具应符合 SB/T 10857-2012 中4.3的要求，车辆应配备行车记录仪和车辆定位系统，并在配送车厢内安装摄像头。</w:t>
      </w:r>
    </w:p>
    <w:p w14:paraId="0A49B303">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装车时生熟食品、食品与非食品应分开或分隔放置，不应与配送食品无关的、有毒、有害、有异味的物品混装混送。</w:t>
      </w:r>
    </w:p>
    <w:p w14:paraId="586B57B3">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热链配送要求应符合 SB/T  10857-2012中5.2的规定。采用热链方式供应的盒饭或桶饭，应使盒饭中心温度高于60℃,将盒饭盛放于密闭的保温箱(柜)设备中运输配送。分餐时应采用加热保温措施，使膳食中心温度保持在60℃以上。</w:t>
      </w:r>
    </w:p>
    <w:p w14:paraId="6EC46372">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运输过程中任何人不得打开车厢门及食品包装。</w:t>
      </w:r>
    </w:p>
    <w:p w14:paraId="377EFC5D">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食品送达学校后，经学校负责校外配餐工作的管理人员感官检验合格后，送至学校指定用餐地点，由专人分发给学生，并做好送餐交接记录。</w:t>
      </w:r>
    </w:p>
    <w:p w14:paraId="3B10442A">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6、食品安全事故处置</w:t>
      </w:r>
    </w:p>
    <w:p w14:paraId="397724AB">
      <w:pPr>
        <w:keepNext w:val="0"/>
        <w:keepLines w:val="0"/>
        <w:pageBreakBefore w:val="0"/>
        <w:widowControl/>
        <w:kinsoku/>
        <w:wordWrap/>
        <w:overflowPunct/>
        <w:topLinePunct w:val="0"/>
        <w:autoSpaceDE/>
        <w:autoSpaceDN/>
        <w:bidi w:val="0"/>
        <w:adjustRightInd w:val="0"/>
        <w:snapToGrid/>
        <w:spacing w:line="336" w:lineRule="auto"/>
        <w:ind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应联合学校设立应急管理领导小组，制定应急预案。食品安全事故发生后，应立即封存导致或者可能导致食品安全事故的食品及原料、工具、设备、设施等，启动食品安全责任保险理赔程序。</w:t>
      </w:r>
    </w:p>
    <w:p w14:paraId="765FF031">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发现其配送的食品属于不安全食品的，应立即停止配送，及时告知学校停止食用，同时按照国家相关规定立即启动食品召回程序。</w:t>
      </w:r>
    </w:p>
    <w:p w14:paraId="576ACCAB">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bCs/>
          <w:color w:val="auto"/>
          <w:kern w:val="0"/>
          <w:sz w:val="24"/>
          <w:szCs w:val="24"/>
          <w:lang w:val="en-US" w:eastAsia="zh-CN"/>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发现有食品安全事故潜在风险或发生食品安全事故的，应按规定向相关部门报告，并作好相关记录。</w:t>
      </w:r>
    </w:p>
    <w:p w14:paraId="07C50D55">
      <w:pPr>
        <w:keepNext w:val="0"/>
        <w:keepLines w:val="0"/>
        <w:pageBreakBefore w:val="0"/>
        <w:kinsoku/>
        <w:wordWrap/>
        <w:overflowPunct/>
        <w:topLinePunct w:val="0"/>
        <w:autoSpaceDE/>
        <w:autoSpaceDN/>
        <w:bidi w:val="0"/>
        <w:adjustRightInd w:val="0"/>
        <w:snapToGrid/>
        <w:spacing w:line="336" w:lineRule="auto"/>
        <w:ind w:left="0" w:right="0" w:firstLine="482" w:firstLineChars="2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lang w:val="en-US" w:eastAsia="zh-CN"/>
        </w:rPr>
        <w:t>7</w:t>
      </w:r>
      <w:r>
        <w:rPr>
          <w:rFonts w:hint="default" w:ascii="Arial" w:hAnsi="Arial" w:eastAsia="宋体" w:cs="Arial"/>
          <w:b/>
          <w:bCs/>
          <w:color w:val="auto"/>
          <w:kern w:val="0"/>
          <w:sz w:val="24"/>
          <w:szCs w:val="24"/>
        </w:rPr>
        <w:t>、退出机制</w:t>
      </w:r>
    </w:p>
    <w:p w14:paraId="32C27402">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bCs/>
          <w:color w:val="FF0000"/>
          <w:kern w:val="0"/>
          <w:sz w:val="24"/>
          <w:szCs w:val="24"/>
        </w:rPr>
      </w:pPr>
      <w:r>
        <w:rPr>
          <w:rFonts w:hint="default" w:ascii="Arial" w:hAnsi="Arial" w:eastAsia="宋体" w:cs="Arial"/>
          <w:b w:val="0"/>
          <w:bCs w:val="0"/>
          <w:color w:val="auto"/>
          <w:kern w:val="0"/>
          <w:sz w:val="24"/>
          <w:szCs w:val="24"/>
        </w:rPr>
        <w:t>采购人有权对中标供餐企业的供餐行为进行监督和考评，发现供餐企业有下列情况之一，采购人将视情况扣除供餐企业缴纳的部分或全部履约保证金，直至停止其餐饮服务资格，报有关部门将其列入黑名单，并由供餐企业承担由此造成的经济损失和法律责任。</w:t>
      </w:r>
      <w:r>
        <w:rPr>
          <w:rFonts w:hint="eastAsia" w:eastAsia="宋体" w:cs="Arial"/>
          <w:b/>
          <w:bCs/>
          <w:color w:val="FF0000"/>
          <w:kern w:val="0"/>
          <w:sz w:val="24"/>
          <w:szCs w:val="24"/>
          <w:lang w:val="en-US" w:eastAsia="zh-CN"/>
        </w:rPr>
        <w:t>采购人</w:t>
      </w:r>
      <w:r>
        <w:rPr>
          <w:rFonts w:hint="default" w:ascii="Arial" w:hAnsi="Arial" w:eastAsia="宋体" w:cs="Arial"/>
          <w:b/>
          <w:bCs/>
          <w:color w:val="FF0000"/>
          <w:kern w:val="0"/>
          <w:sz w:val="24"/>
          <w:szCs w:val="24"/>
        </w:rPr>
        <w:t>并有权解除合同。未履约完成的合同规定时间的配送业务由排序第二的中标候选单位配送，依次类推。</w:t>
      </w:r>
    </w:p>
    <w:p w14:paraId="1293EAA6">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（1）违反食品安全法律法规，被食品安全监管部门吊销或注销食品经营许可证的，违反相关法律法规，被登记机关吊销营业执照的。</w:t>
      </w:r>
    </w:p>
    <w:p w14:paraId="430A3A86">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（2）发生食品安全事故造成恶劣影响的；</w:t>
      </w:r>
    </w:p>
    <w:p w14:paraId="28E3EAED">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（3）食品安全监管部门和学校日常监督检查中发现存在违反《食品安全法》有关规定，受到行政处罚的；</w:t>
      </w:r>
    </w:p>
    <w:p w14:paraId="3A7AB26F">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（4）出现以次充好，降低供餐质量标准，随意变更供餐食谱，提高供餐价格，擅自更换履约人等其他违反法律法规或合同行为的；</w:t>
      </w:r>
    </w:p>
    <w:p w14:paraId="1BB58F1D">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（5）供餐期间存在弄虚作假、克扣、减量、延时、拒绝供餐或服务态度恶劣等行为，经批评教育仍不整改到位的。</w:t>
      </w:r>
    </w:p>
    <w:p w14:paraId="36153BD5">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（6）在学校组织的餐饮服务测评中，连续两次</w:t>
      </w:r>
      <w:r>
        <w:rPr>
          <w:rFonts w:hint="default" w:ascii="Arial" w:hAnsi="Arial" w:eastAsia="宋体" w:cs="Arial"/>
          <w:b w:val="0"/>
          <w:bCs w:val="0"/>
          <w:color w:val="auto"/>
          <w:kern w:val="0"/>
          <w:sz w:val="24"/>
          <w:szCs w:val="24"/>
          <w:lang w:val="en-US" w:eastAsia="zh-CN"/>
        </w:rPr>
        <w:t>低于80分</w:t>
      </w:r>
      <w:r>
        <w:rPr>
          <w:rFonts w:hint="default" w:ascii="Arial" w:hAnsi="Arial" w:eastAsia="宋体" w:cs="Arial"/>
          <w:b w:val="0"/>
          <w:bCs w:val="0"/>
          <w:color w:val="auto"/>
          <w:kern w:val="0"/>
          <w:sz w:val="24"/>
          <w:szCs w:val="24"/>
        </w:rPr>
        <w:t>。</w:t>
      </w:r>
    </w:p>
    <w:p w14:paraId="41580FBA">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bCs/>
          <w:color w:val="auto"/>
          <w:kern w:val="0"/>
          <w:sz w:val="24"/>
          <w:szCs w:val="24"/>
          <w:lang w:val="en-US" w:eastAsia="zh-CN"/>
        </w:rPr>
        <w:t>8</w:t>
      </w:r>
      <w:r>
        <w:rPr>
          <w:rFonts w:hint="default" w:ascii="Arial" w:hAnsi="Arial" w:eastAsia="宋体" w:cs="Arial"/>
          <w:b/>
          <w:color w:val="auto"/>
          <w:sz w:val="24"/>
          <w:szCs w:val="24"/>
        </w:rPr>
        <w:t>、监督评价与持续改进</w:t>
      </w:r>
    </w:p>
    <w:p w14:paraId="66CCE334">
      <w:pPr>
        <w:keepNext w:val="0"/>
        <w:keepLines w:val="0"/>
        <w:pageBreakBefore w:val="0"/>
        <w:widowControl/>
        <w:wordWrap/>
        <w:overflowPunct/>
        <w:topLinePunct w:val="0"/>
        <w:bidi w:val="0"/>
        <w:adjustRightInd w:val="0"/>
        <w:snapToGrid/>
        <w:spacing w:line="360" w:lineRule="auto"/>
        <w:ind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（1））应配合学校接受教育部门、食品安全监督管理部门、卫生健康部门的抽查或专项检查。</w:t>
      </w:r>
    </w:p>
    <w:p w14:paraId="196ADDDF">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（2））应定期对原料品质、食品加工环境、人员卫生、加工过程、配餐管理等项目进行自评，或委托专业机构开展第三方评价，发现问题及时整改。</w:t>
      </w:r>
    </w:p>
    <w:p w14:paraId="381AE21D">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应建立服务质量评价机制。采取线上评价、学生用餐满意度测评办法等方式，定期对配餐服务质量进行评价，获取相关方的意见和建议并及时处理；根据配餐需求等，不断改进管理方法和完善技术手段，实现持续改进。</w:t>
      </w:r>
    </w:p>
    <w:p w14:paraId="1264B436">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lang w:val="en-US" w:eastAsia="zh-CN"/>
        </w:rPr>
        <w:t>9</w:t>
      </w:r>
      <w:r>
        <w:rPr>
          <w:rFonts w:hint="default" w:ascii="Arial" w:hAnsi="Arial" w:eastAsia="宋体" w:cs="Arial"/>
          <w:b/>
          <w:color w:val="auto"/>
          <w:sz w:val="24"/>
          <w:szCs w:val="24"/>
        </w:rPr>
        <w:t>、服务测评</w:t>
      </w:r>
    </w:p>
    <w:p w14:paraId="177DC7F2">
      <w:pPr>
        <w:keepNext w:val="0"/>
        <w:keepLines w:val="0"/>
        <w:pageBreakBefore w:val="0"/>
        <w:tabs>
          <w:tab w:val="left" w:pos="2921"/>
        </w:tabs>
        <w:wordWrap/>
        <w:overflowPunct/>
        <w:topLinePunct w:val="0"/>
        <w:bidi w:val="0"/>
        <w:adjustRightInd w:val="0"/>
        <w:snapToGrid/>
        <w:spacing w:line="360" w:lineRule="auto"/>
        <w:ind w:left="0" w:right="0"/>
        <w:jc w:val="left"/>
        <w:rPr>
          <w:rFonts w:hint="default" w:ascii="Arial" w:hAnsi="Arial" w:eastAsia="宋体" w:cs="Arial"/>
          <w:b/>
          <w:color w:val="auto"/>
          <w:sz w:val="24"/>
          <w:szCs w:val="24"/>
          <w:lang w:val="en-US" w:eastAsia="zh-CN"/>
        </w:rPr>
      </w:pPr>
      <w:r>
        <w:rPr>
          <w:rFonts w:hint="default" w:ascii="Arial" w:hAnsi="Arial" w:cs="Arial"/>
          <w:color w:val="auto"/>
          <w:sz w:val="24"/>
          <w:szCs w:val="24"/>
          <w:lang w:val="en-US" w:eastAsia="zh-CN"/>
        </w:rPr>
        <w:t xml:space="preserve">   </w:t>
      </w:r>
      <w:r>
        <w:rPr>
          <w:rFonts w:hint="default" w:ascii="Arial" w:hAnsi="Arial" w:cs="Arial"/>
          <w:color w:val="auto"/>
          <w:sz w:val="24"/>
          <w:szCs w:val="24"/>
        </w:rPr>
        <w:t>每学期对配餐企业进行综合考评。得分低于80分的</w:t>
      </w:r>
      <w:r>
        <w:rPr>
          <w:rFonts w:hint="default" w:ascii="Arial" w:hAnsi="Arial" w:cs="Arial"/>
          <w:color w:val="auto"/>
          <w:sz w:val="24"/>
          <w:szCs w:val="24"/>
          <w:lang w:val="en-US" w:eastAsia="zh-CN"/>
        </w:rPr>
        <w:t>扣除履约保证金10000元，连续</w:t>
      </w:r>
      <w:r>
        <w:rPr>
          <w:rFonts w:hint="default" w:ascii="Arial" w:hAnsi="Arial" w:cs="Arial"/>
          <w:color w:val="auto"/>
          <w:sz w:val="24"/>
          <w:szCs w:val="24"/>
        </w:rPr>
        <w:t>二个学期考评得分低于80分的，</w:t>
      </w:r>
      <w:r>
        <w:rPr>
          <w:rFonts w:hint="default" w:ascii="Arial" w:hAnsi="Arial" w:cs="Arial"/>
          <w:color w:val="auto"/>
          <w:sz w:val="24"/>
          <w:szCs w:val="24"/>
          <w:lang w:val="en-US" w:eastAsia="zh-CN"/>
        </w:rPr>
        <w:t>扣除全部</w:t>
      </w:r>
      <w:r>
        <w:rPr>
          <w:rFonts w:hint="default" w:ascii="Arial" w:hAnsi="Arial" w:cs="Arial"/>
          <w:color w:val="auto"/>
          <w:sz w:val="24"/>
          <w:szCs w:val="24"/>
        </w:rPr>
        <w:t>履约保证金</w:t>
      </w:r>
      <w:r>
        <w:rPr>
          <w:rFonts w:hint="default" w:ascii="Arial" w:hAnsi="Arial" w:cs="Arial"/>
          <w:color w:val="auto"/>
          <w:sz w:val="24"/>
          <w:szCs w:val="24"/>
          <w:lang w:eastAsia="zh-CN"/>
        </w:rPr>
        <w:t>，</w:t>
      </w:r>
      <w:r>
        <w:rPr>
          <w:rFonts w:hint="default" w:ascii="Arial" w:hAnsi="Arial" w:cs="Arial"/>
          <w:color w:val="auto"/>
          <w:sz w:val="24"/>
          <w:szCs w:val="24"/>
          <w:lang w:val="en-US" w:eastAsia="zh-CN"/>
        </w:rPr>
        <w:t>并且采购人有权解除合同</w:t>
      </w:r>
      <w:r>
        <w:rPr>
          <w:rFonts w:hint="eastAsia" w:cs="Arial"/>
          <w:color w:val="auto"/>
          <w:sz w:val="24"/>
          <w:szCs w:val="24"/>
          <w:lang w:val="en-US" w:eastAsia="zh-CN"/>
        </w:rPr>
        <w:t>。</w:t>
      </w:r>
    </w:p>
    <w:tbl>
      <w:tblPr>
        <w:tblStyle w:val="21"/>
        <w:tblW w:w="93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81"/>
        <w:gridCol w:w="3243"/>
        <w:gridCol w:w="634"/>
        <w:gridCol w:w="2264"/>
        <w:gridCol w:w="747"/>
        <w:gridCol w:w="763"/>
      </w:tblGrid>
      <w:tr w14:paraId="5162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28288CB">
            <w:pPr>
              <w:jc w:val="center"/>
              <w:rPr>
                <w:rFonts w:hint="default" w:ascii="Arial" w:hAnsi="Arial" w:eastAsia="宋体" w:cs="Arial"/>
                <w:color w:val="auto"/>
                <w:sz w:val="24"/>
                <w:szCs w:val="24"/>
              </w:rPr>
            </w:pPr>
            <w:r>
              <w:rPr>
                <w:rFonts w:hint="default" w:ascii="Arial" w:hAnsi="Arial" w:eastAsia="宋体" w:cs="Arial"/>
                <w:color w:val="auto"/>
                <w:sz w:val="24"/>
                <w:szCs w:val="24"/>
              </w:rPr>
              <w:t>序号</w:t>
            </w:r>
          </w:p>
        </w:tc>
        <w:tc>
          <w:tcPr>
            <w:tcW w:w="1281" w:type="dxa"/>
            <w:noWrap w:val="0"/>
            <w:vAlign w:val="center"/>
          </w:tcPr>
          <w:p w14:paraId="5CFCA562">
            <w:pPr>
              <w:jc w:val="center"/>
              <w:rPr>
                <w:rFonts w:hint="default" w:ascii="Arial" w:hAnsi="Arial" w:eastAsia="宋体" w:cs="Arial"/>
                <w:color w:val="auto"/>
                <w:sz w:val="24"/>
                <w:szCs w:val="24"/>
              </w:rPr>
            </w:pPr>
            <w:r>
              <w:rPr>
                <w:rFonts w:hint="default" w:ascii="Arial" w:hAnsi="Arial" w:eastAsia="宋体" w:cs="Arial"/>
                <w:color w:val="auto"/>
                <w:sz w:val="24"/>
                <w:szCs w:val="24"/>
              </w:rPr>
              <w:t>考核内容</w:t>
            </w:r>
          </w:p>
        </w:tc>
        <w:tc>
          <w:tcPr>
            <w:tcW w:w="3243" w:type="dxa"/>
            <w:noWrap w:val="0"/>
            <w:vAlign w:val="center"/>
          </w:tcPr>
          <w:p w14:paraId="4FA8C645">
            <w:pPr>
              <w:jc w:val="center"/>
              <w:rPr>
                <w:rFonts w:hint="default" w:ascii="Arial" w:hAnsi="Arial" w:eastAsia="宋体" w:cs="Arial"/>
                <w:color w:val="auto"/>
                <w:sz w:val="24"/>
                <w:szCs w:val="24"/>
              </w:rPr>
            </w:pPr>
            <w:r>
              <w:rPr>
                <w:rFonts w:hint="default" w:ascii="Arial" w:hAnsi="Arial" w:eastAsia="宋体" w:cs="Arial"/>
                <w:color w:val="auto"/>
                <w:sz w:val="24"/>
                <w:szCs w:val="24"/>
              </w:rPr>
              <w:t>考核细则</w:t>
            </w:r>
          </w:p>
        </w:tc>
        <w:tc>
          <w:tcPr>
            <w:tcW w:w="634" w:type="dxa"/>
            <w:noWrap w:val="0"/>
            <w:vAlign w:val="center"/>
          </w:tcPr>
          <w:p w14:paraId="5B0E811D">
            <w:pPr>
              <w:jc w:val="center"/>
              <w:rPr>
                <w:rFonts w:hint="default" w:ascii="Arial" w:hAnsi="Arial" w:eastAsia="宋体" w:cs="Arial"/>
                <w:color w:val="auto"/>
                <w:sz w:val="24"/>
                <w:szCs w:val="24"/>
              </w:rPr>
            </w:pPr>
            <w:r>
              <w:rPr>
                <w:rFonts w:hint="default" w:ascii="Arial" w:hAnsi="Arial" w:eastAsia="宋体" w:cs="Arial"/>
                <w:color w:val="auto"/>
                <w:sz w:val="24"/>
                <w:szCs w:val="24"/>
              </w:rPr>
              <w:t>分值</w:t>
            </w:r>
          </w:p>
        </w:tc>
        <w:tc>
          <w:tcPr>
            <w:tcW w:w="2264" w:type="dxa"/>
            <w:noWrap w:val="0"/>
            <w:vAlign w:val="center"/>
          </w:tcPr>
          <w:p w14:paraId="1637A5E9">
            <w:pPr>
              <w:jc w:val="center"/>
              <w:rPr>
                <w:rFonts w:hint="default" w:ascii="Arial" w:hAnsi="Arial" w:eastAsia="宋体" w:cs="Arial"/>
                <w:color w:val="auto"/>
                <w:sz w:val="24"/>
                <w:szCs w:val="24"/>
              </w:rPr>
            </w:pPr>
            <w:r>
              <w:rPr>
                <w:rFonts w:hint="default" w:ascii="Arial" w:hAnsi="Arial" w:eastAsia="宋体" w:cs="Arial"/>
                <w:color w:val="auto"/>
                <w:sz w:val="24"/>
                <w:szCs w:val="24"/>
              </w:rPr>
              <w:t>标分标准</w:t>
            </w:r>
          </w:p>
        </w:tc>
        <w:tc>
          <w:tcPr>
            <w:tcW w:w="747" w:type="dxa"/>
            <w:noWrap w:val="0"/>
            <w:vAlign w:val="center"/>
          </w:tcPr>
          <w:p w14:paraId="0FA70EBA">
            <w:pPr>
              <w:jc w:val="center"/>
              <w:rPr>
                <w:rFonts w:hint="default" w:ascii="Arial" w:hAnsi="Arial" w:eastAsia="宋体" w:cs="Arial"/>
                <w:color w:val="auto"/>
                <w:sz w:val="24"/>
                <w:szCs w:val="24"/>
              </w:rPr>
            </w:pPr>
            <w:r>
              <w:rPr>
                <w:rFonts w:hint="default" w:ascii="Arial" w:hAnsi="Arial" w:eastAsia="宋体" w:cs="Arial"/>
                <w:color w:val="auto"/>
                <w:sz w:val="24"/>
                <w:szCs w:val="24"/>
              </w:rPr>
              <w:t>考核情况</w:t>
            </w:r>
          </w:p>
        </w:tc>
        <w:tc>
          <w:tcPr>
            <w:tcW w:w="763" w:type="dxa"/>
            <w:noWrap w:val="0"/>
            <w:vAlign w:val="center"/>
          </w:tcPr>
          <w:p w14:paraId="5E7F5679">
            <w:pPr>
              <w:jc w:val="center"/>
              <w:rPr>
                <w:rFonts w:hint="default" w:ascii="Arial" w:hAnsi="Arial" w:eastAsia="宋体" w:cs="Arial"/>
                <w:color w:val="auto"/>
                <w:sz w:val="24"/>
                <w:szCs w:val="24"/>
              </w:rPr>
            </w:pPr>
            <w:r>
              <w:rPr>
                <w:rFonts w:hint="default" w:ascii="Arial" w:hAnsi="Arial" w:eastAsia="宋体" w:cs="Arial"/>
                <w:color w:val="auto"/>
                <w:sz w:val="24"/>
                <w:szCs w:val="24"/>
              </w:rPr>
              <w:t>得分</w:t>
            </w:r>
          </w:p>
        </w:tc>
      </w:tr>
      <w:tr w14:paraId="4478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392" w:type="dxa"/>
            <w:gridSpan w:val="7"/>
            <w:noWrap w:val="0"/>
            <w:vAlign w:val="center"/>
          </w:tcPr>
          <w:p w14:paraId="43088C48">
            <w:pPr>
              <w:jc w:val="center"/>
              <w:rPr>
                <w:rFonts w:hint="default" w:ascii="Arial" w:hAnsi="Arial" w:eastAsia="宋体" w:cs="Arial"/>
                <w:color w:val="auto"/>
                <w:sz w:val="24"/>
                <w:szCs w:val="24"/>
              </w:rPr>
            </w:pPr>
            <w:r>
              <w:rPr>
                <w:rFonts w:hint="default" w:ascii="Arial" w:hAnsi="Arial" w:eastAsia="宋体" w:cs="Arial"/>
                <w:color w:val="auto"/>
                <w:sz w:val="24"/>
                <w:szCs w:val="24"/>
              </w:rPr>
              <w:t>基础工作（</w:t>
            </w:r>
            <w:r>
              <w:rPr>
                <w:rFonts w:hint="default" w:ascii="Arial" w:hAnsi="Arial" w:eastAsia="宋体" w:cs="Arial"/>
                <w:color w:val="auto"/>
                <w:sz w:val="24"/>
                <w:szCs w:val="24"/>
                <w:lang w:val="en-US"/>
              </w:rPr>
              <w:t>70分</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rPr>
              <w:t>由教育主管部门、市场监管部门定时与不定时</w:t>
            </w:r>
            <w:r>
              <w:rPr>
                <w:rFonts w:hint="default" w:ascii="Arial" w:hAnsi="Arial" w:eastAsia="宋体" w:cs="Arial"/>
                <w:color w:val="auto"/>
                <w:sz w:val="24"/>
                <w:szCs w:val="24"/>
                <w:lang w:val="en-US"/>
              </w:rPr>
              <w:t>督</w:t>
            </w:r>
            <w:r>
              <w:rPr>
                <w:rFonts w:hint="default" w:ascii="Arial" w:hAnsi="Arial" w:eastAsia="宋体" w:cs="Arial"/>
                <w:color w:val="auto"/>
                <w:sz w:val="24"/>
                <w:szCs w:val="24"/>
              </w:rPr>
              <w:t>查，实行捆绑倒扣分制</w:t>
            </w:r>
            <w:r>
              <w:rPr>
                <w:rFonts w:hint="default" w:ascii="Arial" w:hAnsi="Arial" w:eastAsia="宋体" w:cs="Arial"/>
                <w:color w:val="auto"/>
                <w:sz w:val="24"/>
                <w:szCs w:val="24"/>
                <w:lang w:eastAsia="zh-CN"/>
              </w:rPr>
              <w:t>，即每小项到扣分不受其小项分值限制，</w:t>
            </w:r>
            <w:r>
              <w:rPr>
                <w:rFonts w:hint="default" w:ascii="Arial" w:hAnsi="Arial" w:eastAsia="宋体" w:cs="Arial"/>
                <w:color w:val="auto"/>
                <w:sz w:val="24"/>
                <w:szCs w:val="24"/>
              </w:rPr>
              <w:t>扣完</w:t>
            </w:r>
            <w:r>
              <w:rPr>
                <w:rFonts w:hint="default" w:ascii="Arial" w:hAnsi="Arial" w:eastAsia="宋体" w:cs="Arial"/>
                <w:color w:val="auto"/>
                <w:sz w:val="24"/>
                <w:szCs w:val="24"/>
                <w:lang w:eastAsia="zh-CN"/>
              </w:rPr>
              <w:t>70分</w:t>
            </w:r>
            <w:r>
              <w:rPr>
                <w:rFonts w:hint="default" w:ascii="Arial" w:hAnsi="Arial" w:eastAsia="宋体" w:cs="Arial"/>
                <w:color w:val="auto"/>
                <w:sz w:val="24"/>
                <w:szCs w:val="24"/>
              </w:rPr>
              <w:t>为止</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w:t>
            </w:r>
          </w:p>
        </w:tc>
      </w:tr>
      <w:tr w14:paraId="2465B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6B996A8">
            <w:pPr>
              <w:jc w:val="center"/>
              <w:rPr>
                <w:rFonts w:hint="default" w:ascii="Arial" w:hAnsi="Arial" w:eastAsia="宋体" w:cs="Arial"/>
                <w:color w:val="auto"/>
                <w:sz w:val="24"/>
                <w:szCs w:val="24"/>
              </w:rPr>
            </w:pPr>
            <w:r>
              <w:rPr>
                <w:rFonts w:hint="default" w:ascii="Arial" w:hAnsi="Arial" w:eastAsia="宋体" w:cs="Arial"/>
                <w:color w:val="auto"/>
                <w:sz w:val="24"/>
                <w:szCs w:val="24"/>
              </w:rPr>
              <w:t>1</w:t>
            </w:r>
          </w:p>
        </w:tc>
        <w:tc>
          <w:tcPr>
            <w:tcW w:w="1281" w:type="dxa"/>
            <w:noWrap w:val="0"/>
            <w:vAlign w:val="center"/>
          </w:tcPr>
          <w:p w14:paraId="258E0717">
            <w:pPr>
              <w:jc w:val="center"/>
              <w:rPr>
                <w:rFonts w:hint="default" w:ascii="Arial" w:hAnsi="Arial" w:eastAsia="宋体" w:cs="Arial"/>
                <w:color w:val="auto"/>
                <w:sz w:val="24"/>
                <w:szCs w:val="24"/>
              </w:rPr>
            </w:pPr>
            <w:r>
              <w:rPr>
                <w:rFonts w:hint="default" w:ascii="Arial" w:hAnsi="Arial" w:eastAsia="宋体" w:cs="Arial"/>
                <w:color w:val="auto"/>
                <w:sz w:val="24"/>
                <w:szCs w:val="24"/>
              </w:rPr>
              <w:t>人员保障</w:t>
            </w:r>
          </w:p>
        </w:tc>
        <w:tc>
          <w:tcPr>
            <w:tcW w:w="3243" w:type="dxa"/>
            <w:noWrap w:val="0"/>
            <w:vAlign w:val="center"/>
          </w:tcPr>
          <w:p w14:paraId="0B51CEE6">
            <w:pPr>
              <w:jc w:val="center"/>
              <w:rPr>
                <w:rFonts w:hint="default" w:ascii="Arial" w:hAnsi="Arial" w:eastAsia="宋体" w:cs="Arial"/>
                <w:color w:val="auto"/>
                <w:sz w:val="24"/>
                <w:szCs w:val="24"/>
              </w:rPr>
            </w:pPr>
            <w:r>
              <w:rPr>
                <w:rFonts w:hint="default" w:ascii="Arial" w:hAnsi="Arial" w:eastAsia="宋体" w:cs="Arial"/>
                <w:color w:val="auto"/>
                <w:sz w:val="24"/>
                <w:szCs w:val="24"/>
              </w:rPr>
              <w:t>投标文件中响应的专业人员用于本项目服务。</w:t>
            </w:r>
          </w:p>
        </w:tc>
        <w:tc>
          <w:tcPr>
            <w:tcW w:w="634" w:type="dxa"/>
            <w:noWrap w:val="0"/>
            <w:vAlign w:val="center"/>
          </w:tcPr>
          <w:p w14:paraId="2D1A5EB3">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lang w:eastAsia="zh-CN"/>
              </w:rPr>
              <w:t>2</w:t>
            </w:r>
          </w:p>
        </w:tc>
        <w:tc>
          <w:tcPr>
            <w:tcW w:w="2264" w:type="dxa"/>
            <w:noWrap w:val="0"/>
            <w:vAlign w:val="center"/>
          </w:tcPr>
          <w:p w14:paraId="07EB5EC7">
            <w:pPr>
              <w:jc w:val="center"/>
              <w:rPr>
                <w:rFonts w:hint="default" w:ascii="Arial" w:hAnsi="Arial" w:eastAsia="宋体" w:cs="Arial"/>
                <w:color w:val="auto"/>
                <w:sz w:val="24"/>
                <w:szCs w:val="24"/>
              </w:rPr>
            </w:pPr>
            <w:r>
              <w:rPr>
                <w:rFonts w:hint="default" w:ascii="Arial" w:hAnsi="Arial" w:eastAsia="宋体" w:cs="Arial"/>
                <w:color w:val="auto"/>
                <w:sz w:val="24"/>
                <w:szCs w:val="24"/>
              </w:rPr>
              <w:t>一人不符合扣2分。</w:t>
            </w:r>
          </w:p>
        </w:tc>
        <w:tc>
          <w:tcPr>
            <w:tcW w:w="747" w:type="dxa"/>
            <w:noWrap w:val="0"/>
            <w:vAlign w:val="center"/>
          </w:tcPr>
          <w:p w14:paraId="09B40369">
            <w:pPr>
              <w:rPr>
                <w:rFonts w:hint="default" w:ascii="Arial" w:hAnsi="Arial" w:eastAsia="宋体" w:cs="Arial"/>
                <w:color w:val="auto"/>
                <w:sz w:val="24"/>
                <w:szCs w:val="24"/>
              </w:rPr>
            </w:pPr>
          </w:p>
        </w:tc>
        <w:tc>
          <w:tcPr>
            <w:tcW w:w="763" w:type="dxa"/>
            <w:noWrap w:val="0"/>
            <w:vAlign w:val="center"/>
          </w:tcPr>
          <w:p w14:paraId="4EE77C72">
            <w:pPr>
              <w:rPr>
                <w:rFonts w:hint="default" w:ascii="Arial" w:hAnsi="Arial" w:eastAsia="宋体" w:cs="Arial"/>
                <w:color w:val="auto"/>
                <w:sz w:val="24"/>
                <w:szCs w:val="24"/>
              </w:rPr>
            </w:pPr>
          </w:p>
        </w:tc>
      </w:tr>
      <w:tr w14:paraId="5A81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DF2B87B">
            <w:pPr>
              <w:jc w:val="center"/>
              <w:rPr>
                <w:rFonts w:hint="default" w:ascii="Arial" w:hAnsi="Arial" w:eastAsia="宋体" w:cs="Arial"/>
                <w:color w:val="auto"/>
                <w:sz w:val="24"/>
                <w:szCs w:val="24"/>
              </w:rPr>
            </w:pPr>
            <w:r>
              <w:rPr>
                <w:rFonts w:hint="default" w:ascii="Arial" w:hAnsi="Arial" w:eastAsia="宋体" w:cs="Arial"/>
                <w:color w:val="auto"/>
                <w:sz w:val="24"/>
                <w:szCs w:val="24"/>
              </w:rPr>
              <w:t>2</w:t>
            </w:r>
          </w:p>
        </w:tc>
        <w:tc>
          <w:tcPr>
            <w:tcW w:w="1281" w:type="dxa"/>
            <w:noWrap w:val="0"/>
            <w:vAlign w:val="center"/>
          </w:tcPr>
          <w:p w14:paraId="4B849B05">
            <w:pPr>
              <w:jc w:val="center"/>
              <w:rPr>
                <w:rFonts w:hint="default" w:ascii="Arial" w:hAnsi="Arial" w:eastAsia="宋体" w:cs="Arial"/>
                <w:color w:val="auto"/>
                <w:sz w:val="24"/>
                <w:szCs w:val="24"/>
              </w:rPr>
            </w:pPr>
            <w:r>
              <w:rPr>
                <w:rFonts w:hint="default" w:ascii="Arial" w:hAnsi="Arial" w:eastAsia="宋体" w:cs="Arial"/>
                <w:color w:val="auto"/>
                <w:sz w:val="24"/>
                <w:szCs w:val="24"/>
              </w:rPr>
              <w:t>信息公示</w:t>
            </w:r>
          </w:p>
        </w:tc>
        <w:tc>
          <w:tcPr>
            <w:tcW w:w="3243" w:type="dxa"/>
            <w:noWrap w:val="0"/>
            <w:vAlign w:val="center"/>
          </w:tcPr>
          <w:p w14:paraId="0C604CAA">
            <w:pPr>
              <w:jc w:val="center"/>
              <w:rPr>
                <w:rFonts w:hint="default" w:ascii="Arial" w:hAnsi="Arial" w:eastAsia="宋体" w:cs="Arial"/>
                <w:color w:val="auto"/>
                <w:sz w:val="24"/>
                <w:szCs w:val="24"/>
              </w:rPr>
            </w:pPr>
            <w:r>
              <w:rPr>
                <w:rFonts w:hint="default" w:ascii="Arial" w:hAnsi="Arial" w:eastAsia="宋体" w:cs="Arial"/>
                <w:color w:val="auto"/>
                <w:sz w:val="24"/>
                <w:szCs w:val="24"/>
              </w:rPr>
              <w:t>食品经营许可证、营业执照、食品安全责任书和从业人员健康证明、资格证书</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食谱等信息上墙公示，完整、准确、清晰。</w:t>
            </w:r>
          </w:p>
        </w:tc>
        <w:tc>
          <w:tcPr>
            <w:tcW w:w="634" w:type="dxa"/>
            <w:noWrap w:val="0"/>
            <w:vAlign w:val="center"/>
          </w:tcPr>
          <w:p w14:paraId="4075A3B6">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lang w:eastAsia="zh-CN"/>
              </w:rPr>
              <w:t>2</w:t>
            </w:r>
          </w:p>
        </w:tc>
        <w:tc>
          <w:tcPr>
            <w:tcW w:w="2264" w:type="dxa"/>
            <w:noWrap w:val="0"/>
            <w:vAlign w:val="center"/>
          </w:tcPr>
          <w:p w14:paraId="36D8E322">
            <w:pPr>
              <w:jc w:val="center"/>
              <w:rPr>
                <w:rFonts w:hint="default" w:ascii="Arial" w:hAnsi="Arial" w:eastAsia="宋体" w:cs="Arial"/>
                <w:color w:val="auto"/>
                <w:sz w:val="24"/>
                <w:szCs w:val="24"/>
              </w:rPr>
            </w:pPr>
            <w:r>
              <w:rPr>
                <w:rFonts w:hint="default" w:ascii="Arial" w:hAnsi="Arial" w:eastAsia="宋体" w:cs="Arial"/>
                <w:color w:val="auto"/>
                <w:sz w:val="24"/>
                <w:szCs w:val="24"/>
              </w:rPr>
              <w:t>缺一项信息扣 2分，不上墙扣1分。</w:t>
            </w:r>
          </w:p>
        </w:tc>
        <w:tc>
          <w:tcPr>
            <w:tcW w:w="747" w:type="dxa"/>
            <w:noWrap w:val="0"/>
            <w:vAlign w:val="center"/>
          </w:tcPr>
          <w:p w14:paraId="090E8F1D">
            <w:pPr>
              <w:rPr>
                <w:rFonts w:hint="default" w:ascii="Arial" w:hAnsi="Arial" w:eastAsia="宋体" w:cs="Arial"/>
                <w:color w:val="auto"/>
                <w:sz w:val="24"/>
                <w:szCs w:val="24"/>
              </w:rPr>
            </w:pPr>
          </w:p>
        </w:tc>
        <w:tc>
          <w:tcPr>
            <w:tcW w:w="763" w:type="dxa"/>
            <w:noWrap w:val="0"/>
            <w:vAlign w:val="center"/>
          </w:tcPr>
          <w:p w14:paraId="63C25AA6">
            <w:pPr>
              <w:rPr>
                <w:rFonts w:hint="default" w:ascii="Arial" w:hAnsi="Arial" w:eastAsia="宋体" w:cs="Arial"/>
                <w:color w:val="auto"/>
                <w:sz w:val="24"/>
                <w:szCs w:val="24"/>
              </w:rPr>
            </w:pPr>
          </w:p>
        </w:tc>
      </w:tr>
      <w:tr w14:paraId="451E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3DB7CB4">
            <w:pPr>
              <w:jc w:val="center"/>
              <w:rPr>
                <w:rFonts w:hint="default" w:ascii="Arial" w:hAnsi="Arial" w:eastAsia="宋体" w:cs="Arial"/>
                <w:color w:val="auto"/>
                <w:sz w:val="24"/>
                <w:szCs w:val="24"/>
              </w:rPr>
            </w:pPr>
            <w:r>
              <w:rPr>
                <w:rFonts w:hint="default" w:ascii="Arial" w:hAnsi="Arial" w:eastAsia="宋体" w:cs="Arial"/>
                <w:color w:val="auto"/>
                <w:sz w:val="24"/>
                <w:szCs w:val="24"/>
              </w:rPr>
              <w:t>3</w:t>
            </w:r>
          </w:p>
        </w:tc>
        <w:tc>
          <w:tcPr>
            <w:tcW w:w="1281" w:type="dxa"/>
            <w:noWrap w:val="0"/>
            <w:vAlign w:val="center"/>
          </w:tcPr>
          <w:p w14:paraId="79E4621E">
            <w:pPr>
              <w:jc w:val="center"/>
              <w:rPr>
                <w:rFonts w:hint="default" w:ascii="Arial" w:hAnsi="Arial" w:eastAsia="宋体" w:cs="Arial"/>
                <w:color w:val="auto"/>
                <w:sz w:val="24"/>
                <w:szCs w:val="24"/>
              </w:rPr>
            </w:pPr>
            <w:r>
              <w:rPr>
                <w:rFonts w:hint="default" w:ascii="Arial" w:hAnsi="Arial" w:eastAsia="宋体" w:cs="Arial"/>
                <w:color w:val="auto"/>
                <w:sz w:val="24"/>
                <w:szCs w:val="24"/>
              </w:rPr>
              <w:t>从业人员</w:t>
            </w:r>
          </w:p>
        </w:tc>
        <w:tc>
          <w:tcPr>
            <w:tcW w:w="3243" w:type="dxa"/>
            <w:noWrap w:val="0"/>
            <w:vAlign w:val="center"/>
          </w:tcPr>
          <w:p w14:paraId="51378D66">
            <w:pPr>
              <w:jc w:val="center"/>
              <w:rPr>
                <w:rFonts w:hint="default" w:ascii="Arial" w:hAnsi="Arial" w:eastAsia="宋体" w:cs="Arial"/>
                <w:color w:val="auto"/>
                <w:sz w:val="24"/>
                <w:szCs w:val="24"/>
              </w:rPr>
            </w:pPr>
            <w:r>
              <w:rPr>
                <w:rFonts w:hint="default" w:ascii="Arial" w:hAnsi="Arial" w:eastAsia="宋体" w:cs="Arial"/>
                <w:color w:val="auto"/>
                <w:sz w:val="24"/>
                <w:szCs w:val="24"/>
              </w:rPr>
              <w:t>有从业人员核查材料</w:t>
            </w:r>
            <w:r>
              <w:rPr>
                <w:rFonts w:hint="default" w:ascii="Arial" w:hAnsi="Arial" w:eastAsia="宋体" w:cs="Arial"/>
                <w:color w:val="auto"/>
                <w:sz w:val="24"/>
                <w:szCs w:val="24"/>
                <w:lang w:val="en-US"/>
              </w:rPr>
              <w:t>及每日有晨检</w:t>
            </w:r>
            <w:r>
              <w:rPr>
                <w:rFonts w:hint="default" w:ascii="Arial" w:hAnsi="Arial" w:eastAsia="宋体" w:cs="Arial"/>
                <w:color w:val="auto"/>
                <w:sz w:val="24"/>
                <w:szCs w:val="24"/>
              </w:rPr>
              <w:t>。</w:t>
            </w:r>
          </w:p>
        </w:tc>
        <w:tc>
          <w:tcPr>
            <w:tcW w:w="634" w:type="dxa"/>
            <w:noWrap w:val="0"/>
            <w:vAlign w:val="center"/>
          </w:tcPr>
          <w:p w14:paraId="6E7901B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w:t>
            </w:r>
          </w:p>
        </w:tc>
        <w:tc>
          <w:tcPr>
            <w:tcW w:w="2264" w:type="dxa"/>
            <w:noWrap w:val="0"/>
            <w:vAlign w:val="center"/>
          </w:tcPr>
          <w:p w14:paraId="791EE67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发现一人未核查或未晨检扣</w:t>
            </w:r>
            <w:r>
              <w:rPr>
                <w:rFonts w:hint="default" w:ascii="Arial" w:hAnsi="Arial" w:eastAsia="宋体" w:cs="Arial"/>
                <w:color w:val="auto"/>
                <w:sz w:val="24"/>
                <w:szCs w:val="24"/>
                <w:lang w:val="en-US"/>
              </w:rPr>
              <w:t>1分。</w:t>
            </w:r>
          </w:p>
        </w:tc>
        <w:tc>
          <w:tcPr>
            <w:tcW w:w="747" w:type="dxa"/>
            <w:noWrap w:val="0"/>
            <w:vAlign w:val="center"/>
          </w:tcPr>
          <w:p w14:paraId="71AF73A6">
            <w:pPr>
              <w:rPr>
                <w:rFonts w:hint="default" w:ascii="Arial" w:hAnsi="Arial" w:eastAsia="宋体" w:cs="Arial"/>
                <w:color w:val="auto"/>
                <w:sz w:val="24"/>
                <w:szCs w:val="24"/>
              </w:rPr>
            </w:pPr>
          </w:p>
        </w:tc>
        <w:tc>
          <w:tcPr>
            <w:tcW w:w="763" w:type="dxa"/>
            <w:noWrap w:val="0"/>
            <w:vAlign w:val="center"/>
          </w:tcPr>
          <w:p w14:paraId="655BF489">
            <w:pPr>
              <w:rPr>
                <w:rFonts w:hint="default" w:ascii="Arial" w:hAnsi="Arial" w:eastAsia="宋体" w:cs="Arial"/>
                <w:color w:val="auto"/>
                <w:sz w:val="24"/>
                <w:szCs w:val="24"/>
              </w:rPr>
            </w:pPr>
          </w:p>
        </w:tc>
      </w:tr>
      <w:tr w14:paraId="3212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restart"/>
            <w:noWrap w:val="0"/>
            <w:vAlign w:val="center"/>
          </w:tcPr>
          <w:p w14:paraId="639BD249">
            <w:pPr>
              <w:jc w:val="center"/>
              <w:rPr>
                <w:rFonts w:hint="default" w:ascii="Arial" w:hAnsi="Arial" w:eastAsia="宋体" w:cs="Arial"/>
                <w:color w:val="auto"/>
                <w:sz w:val="24"/>
                <w:szCs w:val="24"/>
              </w:rPr>
            </w:pPr>
            <w:r>
              <w:rPr>
                <w:rFonts w:hint="default" w:ascii="Arial" w:hAnsi="Arial" w:eastAsia="宋体" w:cs="Arial"/>
                <w:color w:val="auto"/>
                <w:sz w:val="24"/>
                <w:szCs w:val="24"/>
              </w:rPr>
              <w:t>4</w:t>
            </w:r>
          </w:p>
        </w:tc>
        <w:tc>
          <w:tcPr>
            <w:tcW w:w="1281" w:type="dxa"/>
            <w:vMerge w:val="restart"/>
            <w:noWrap w:val="0"/>
            <w:vAlign w:val="center"/>
          </w:tcPr>
          <w:p w14:paraId="4A43C76B">
            <w:pPr>
              <w:jc w:val="center"/>
              <w:rPr>
                <w:rFonts w:hint="default" w:ascii="Arial" w:hAnsi="Arial" w:eastAsia="宋体" w:cs="Arial"/>
                <w:color w:val="auto"/>
                <w:sz w:val="24"/>
                <w:szCs w:val="24"/>
              </w:rPr>
            </w:pPr>
            <w:r>
              <w:rPr>
                <w:rFonts w:hint="default" w:ascii="Arial" w:hAnsi="Arial" w:eastAsia="宋体" w:cs="Arial"/>
                <w:color w:val="auto"/>
                <w:sz w:val="24"/>
                <w:szCs w:val="24"/>
              </w:rPr>
              <w:t>安全保障</w:t>
            </w:r>
          </w:p>
        </w:tc>
        <w:tc>
          <w:tcPr>
            <w:tcW w:w="3243" w:type="dxa"/>
            <w:noWrap w:val="0"/>
            <w:vAlign w:val="center"/>
          </w:tcPr>
          <w:p w14:paraId="057A9519">
            <w:pPr>
              <w:jc w:val="center"/>
              <w:rPr>
                <w:rFonts w:hint="default" w:ascii="Arial" w:hAnsi="Arial" w:eastAsia="宋体" w:cs="Arial"/>
                <w:color w:val="auto"/>
                <w:sz w:val="24"/>
                <w:szCs w:val="24"/>
              </w:rPr>
            </w:pPr>
            <w:r>
              <w:rPr>
                <w:rFonts w:hint="default" w:ascii="Arial" w:hAnsi="Arial" w:eastAsia="宋体" w:cs="Arial"/>
                <w:color w:val="auto"/>
                <w:sz w:val="24"/>
                <w:szCs w:val="24"/>
              </w:rPr>
              <w:t>领导小组、管理网络健全；配送车辆安全 (所有证件、保险单据齐全有效）；电路器材安全可靠，消防设施配置合理，有防盗措施。</w:t>
            </w:r>
          </w:p>
        </w:tc>
        <w:tc>
          <w:tcPr>
            <w:tcW w:w="634" w:type="dxa"/>
            <w:noWrap w:val="0"/>
            <w:vAlign w:val="center"/>
          </w:tcPr>
          <w:p w14:paraId="2C24F96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2624728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eastAsia="zh-CN"/>
              </w:rPr>
              <w:t>一个</w:t>
            </w:r>
            <w:r>
              <w:rPr>
                <w:rFonts w:hint="default" w:ascii="Arial" w:hAnsi="Arial" w:eastAsia="宋体" w:cs="Arial"/>
                <w:color w:val="auto"/>
                <w:sz w:val="24"/>
                <w:szCs w:val="24"/>
              </w:rPr>
              <w:t>问题扣</w:t>
            </w:r>
            <w:r>
              <w:rPr>
                <w:rFonts w:hint="default" w:ascii="Arial" w:hAnsi="Arial" w:eastAsia="宋体" w:cs="Arial"/>
                <w:color w:val="auto"/>
                <w:sz w:val="24"/>
                <w:szCs w:val="24"/>
                <w:lang w:val="en-US"/>
              </w:rPr>
              <w:t>1分。</w:t>
            </w:r>
          </w:p>
        </w:tc>
        <w:tc>
          <w:tcPr>
            <w:tcW w:w="747" w:type="dxa"/>
            <w:noWrap w:val="0"/>
            <w:vAlign w:val="center"/>
          </w:tcPr>
          <w:p w14:paraId="4F1DDDC1">
            <w:pPr>
              <w:rPr>
                <w:rFonts w:hint="default" w:ascii="Arial" w:hAnsi="Arial" w:eastAsia="宋体" w:cs="Arial"/>
                <w:color w:val="auto"/>
                <w:sz w:val="24"/>
                <w:szCs w:val="24"/>
              </w:rPr>
            </w:pPr>
          </w:p>
        </w:tc>
        <w:tc>
          <w:tcPr>
            <w:tcW w:w="763" w:type="dxa"/>
            <w:noWrap w:val="0"/>
            <w:vAlign w:val="center"/>
          </w:tcPr>
          <w:p w14:paraId="232F52A4">
            <w:pPr>
              <w:rPr>
                <w:rFonts w:hint="default" w:ascii="Arial" w:hAnsi="Arial" w:eastAsia="宋体" w:cs="Arial"/>
                <w:color w:val="auto"/>
                <w:sz w:val="24"/>
                <w:szCs w:val="24"/>
              </w:rPr>
            </w:pPr>
          </w:p>
        </w:tc>
      </w:tr>
      <w:tr w14:paraId="3014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0AA6F33D">
            <w:pPr>
              <w:jc w:val="center"/>
              <w:rPr>
                <w:rFonts w:hint="default" w:ascii="Arial" w:hAnsi="Arial" w:eastAsia="宋体" w:cs="Arial"/>
                <w:color w:val="auto"/>
                <w:sz w:val="24"/>
                <w:szCs w:val="24"/>
              </w:rPr>
            </w:pPr>
          </w:p>
        </w:tc>
        <w:tc>
          <w:tcPr>
            <w:tcW w:w="1281" w:type="dxa"/>
            <w:vMerge w:val="continue"/>
            <w:noWrap w:val="0"/>
            <w:vAlign w:val="center"/>
          </w:tcPr>
          <w:p w14:paraId="422484A1">
            <w:pPr>
              <w:jc w:val="center"/>
              <w:rPr>
                <w:rFonts w:hint="default" w:ascii="Arial" w:hAnsi="Arial" w:eastAsia="宋体" w:cs="Arial"/>
                <w:color w:val="auto"/>
                <w:sz w:val="24"/>
                <w:szCs w:val="24"/>
              </w:rPr>
            </w:pPr>
          </w:p>
        </w:tc>
        <w:tc>
          <w:tcPr>
            <w:tcW w:w="3243" w:type="dxa"/>
            <w:noWrap w:val="0"/>
            <w:vAlign w:val="center"/>
          </w:tcPr>
          <w:p w14:paraId="1BC2CE3C">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配送车辆入</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离校按照规定路线和时间要求进行</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确保人车分流</w:t>
            </w:r>
            <w:r>
              <w:rPr>
                <w:rFonts w:hint="default" w:ascii="Arial" w:hAnsi="Arial" w:eastAsia="宋体" w:cs="Arial"/>
                <w:color w:val="auto"/>
                <w:sz w:val="24"/>
                <w:szCs w:val="24"/>
                <w:lang w:eastAsia="zh-CN"/>
              </w:rPr>
              <w:t>。</w:t>
            </w:r>
          </w:p>
        </w:tc>
        <w:tc>
          <w:tcPr>
            <w:tcW w:w="634" w:type="dxa"/>
            <w:noWrap w:val="0"/>
            <w:vAlign w:val="center"/>
          </w:tcPr>
          <w:p w14:paraId="0C95BCE0">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221100D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rPr>
              <w:t>人车未分流</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lang w:val="en-US"/>
              </w:rPr>
              <w:t>发现一次扣</w:t>
            </w:r>
            <w:r>
              <w:rPr>
                <w:rFonts w:hint="default" w:ascii="Arial" w:hAnsi="Arial" w:eastAsia="宋体" w:cs="Arial"/>
                <w:color w:val="auto"/>
                <w:sz w:val="24"/>
                <w:szCs w:val="24"/>
                <w:lang w:val="en-US" w:eastAsia="zh-CN"/>
              </w:rPr>
              <w:t>3分。</w:t>
            </w:r>
          </w:p>
        </w:tc>
        <w:tc>
          <w:tcPr>
            <w:tcW w:w="747" w:type="dxa"/>
            <w:noWrap w:val="0"/>
            <w:vAlign w:val="center"/>
          </w:tcPr>
          <w:p w14:paraId="5A8EF309">
            <w:pPr>
              <w:rPr>
                <w:rFonts w:hint="default" w:ascii="Arial" w:hAnsi="Arial" w:eastAsia="宋体" w:cs="Arial"/>
                <w:color w:val="auto"/>
                <w:sz w:val="24"/>
                <w:szCs w:val="24"/>
              </w:rPr>
            </w:pPr>
          </w:p>
        </w:tc>
        <w:tc>
          <w:tcPr>
            <w:tcW w:w="763" w:type="dxa"/>
            <w:noWrap w:val="0"/>
            <w:vAlign w:val="center"/>
          </w:tcPr>
          <w:p w14:paraId="4EF4C432">
            <w:pPr>
              <w:rPr>
                <w:rFonts w:hint="default" w:ascii="Arial" w:hAnsi="Arial" w:eastAsia="宋体" w:cs="Arial"/>
                <w:color w:val="auto"/>
                <w:sz w:val="24"/>
                <w:szCs w:val="24"/>
              </w:rPr>
            </w:pPr>
          </w:p>
        </w:tc>
      </w:tr>
      <w:tr w14:paraId="63784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5389949">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5</w:t>
            </w:r>
          </w:p>
        </w:tc>
        <w:tc>
          <w:tcPr>
            <w:tcW w:w="1281" w:type="dxa"/>
            <w:noWrap w:val="0"/>
            <w:vAlign w:val="center"/>
          </w:tcPr>
          <w:p w14:paraId="5EEB30B6">
            <w:pPr>
              <w:jc w:val="center"/>
              <w:rPr>
                <w:rFonts w:hint="default" w:ascii="Arial" w:hAnsi="Arial" w:eastAsia="宋体" w:cs="Arial"/>
                <w:color w:val="auto"/>
                <w:sz w:val="24"/>
                <w:szCs w:val="24"/>
              </w:rPr>
            </w:pPr>
            <w:r>
              <w:rPr>
                <w:rFonts w:hint="default" w:ascii="Arial" w:hAnsi="Arial" w:eastAsia="宋体" w:cs="Arial"/>
                <w:color w:val="auto"/>
                <w:sz w:val="24"/>
                <w:szCs w:val="24"/>
              </w:rPr>
              <w:t>货源保障</w:t>
            </w:r>
          </w:p>
        </w:tc>
        <w:tc>
          <w:tcPr>
            <w:tcW w:w="3243" w:type="dxa"/>
            <w:noWrap w:val="0"/>
            <w:vAlign w:val="center"/>
          </w:tcPr>
          <w:p w14:paraId="0867912D">
            <w:pPr>
              <w:jc w:val="center"/>
              <w:rPr>
                <w:rFonts w:hint="default" w:ascii="Arial" w:hAnsi="Arial" w:eastAsia="宋体" w:cs="Arial"/>
                <w:color w:val="auto"/>
                <w:sz w:val="24"/>
                <w:szCs w:val="24"/>
              </w:rPr>
            </w:pPr>
            <w:r>
              <w:rPr>
                <w:rFonts w:hint="default" w:ascii="Arial" w:hAnsi="Arial" w:eastAsia="宋体" w:cs="Arial"/>
                <w:color w:val="auto"/>
                <w:sz w:val="24"/>
                <w:szCs w:val="24"/>
              </w:rPr>
              <w:t>所供食材原材料具有合格证、检疫证、检验报告等，有从符合资质的单位进货协议及资质证明材料，</w:t>
            </w:r>
            <w:r>
              <w:rPr>
                <w:rFonts w:hint="default" w:ascii="Arial" w:hAnsi="Arial" w:eastAsia="宋体" w:cs="Arial"/>
                <w:color w:val="auto"/>
                <w:sz w:val="24"/>
                <w:szCs w:val="24"/>
                <w:lang w:val="en-US"/>
              </w:rPr>
              <w:t>可溯源</w:t>
            </w:r>
            <w:r>
              <w:rPr>
                <w:rFonts w:hint="default" w:ascii="Arial" w:hAnsi="Arial" w:eastAsia="宋体" w:cs="Arial"/>
                <w:color w:val="auto"/>
                <w:sz w:val="24"/>
                <w:szCs w:val="24"/>
              </w:rPr>
              <w:t>。</w:t>
            </w:r>
          </w:p>
        </w:tc>
        <w:tc>
          <w:tcPr>
            <w:tcW w:w="634" w:type="dxa"/>
            <w:noWrap w:val="0"/>
            <w:vAlign w:val="center"/>
          </w:tcPr>
          <w:p w14:paraId="4CB5A288">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4</w:t>
            </w:r>
          </w:p>
        </w:tc>
        <w:tc>
          <w:tcPr>
            <w:tcW w:w="2264" w:type="dxa"/>
            <w:noWrap w:val="0"/>
            <w:vAlign w:val="center"/>
          </w:tcPr>
          <w:p w14:paraId="388128F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rPr>
              <w:t>一次购买无证材料扣</w:t>
            </w:r>
            <w:r>
              <w:rPr>
                <w:rFonts w:hint="default" w:ascii="Arial" w:hAnsi="Arial" w:eastAsia="宋体" w:cs="Arial"/>
                <w:color w:val="auto"/>
                <w:sz w:val="24"/>
                <w:szCs w:val="24"/>
                <w:lang w:val="en-US" w:eastAsia="zh-CN"/>
              </w:rPr>
              <w:t>4</w:t>
            </w:r>
            <w:r>
              <w:rPr>
                <w:rFonts w:hint="default" w:ascii="Arial" w:hAnsi="Arial" w:eastAsia="宋体" w:cs="Arial"/>
                <w:color w:val="auto"/>
                <w:sz w:val="24"/>
                <w:szCs w:val="24"/>
                <w:lang w:val="en-US"/>
              </w:rPr>
              <w:t>分。</w:t>
            </w:r>
          </w:p>
        </w:tc>
        <w:tc>
          <w:tcPr>
            <w:tcW w:w="747" w:type="dxa"/>
            <w:noWrap w:val="0"/>
            <w:vAlign w:val="center"/>
          </w:tcPr>
          <w:p w14:paraId="33CB0CC3">
            <w:pPr>
              <w:rPr>
                <w:rFonts w:hint="default" w:ascii="Arial" w:hAnsi="Arial" w:eastAsia="宋体" w:cs="Arial"/>
                <w:color w:val="auto"/>
                <w:sz w:val="24"/>
                <w:szCs w:val="24"/>
              </w:rPr>
            </w:pPr>
          </w:p>
        </w:tc>
        <w:tc>
          <w:tcPr>
            <w:tcW w:w="763" w:type="dxa"/>
            <w:noWrap w:val="0"/>
            <w:vAlign w:val="center"/>
          </w:tcPr>
          <w:p w14:paraId="0E1BED05">
            <w:pPr>
              <w:rPr>
                <w:rFonts w:hint="default" w:ascii="Arial" w:hAnsi="Arial" w:eastAsia="宋体" w:cs="Arial"/>
                <w:color w:val="auto"/>
                <w:sz w:val="24"/>
                <w:szCs w:val="24"/>
              </w:rPr>
            </w:pPr>
          </w:p>
        </w:tc>
      </w:tr>
      <w:tr w14:paraId="770E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restart"/>
            <w:noWrap w:val="0"/>
            <w:vAlign w:val="center"/>
          </w:tcPr>
          <w:p w14:paraId="57B7FC1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6</w:t>
            </w:r>
          </w:p>
        </w:tc>
        <w:tc>
          <w:tcPr>
            <w:tcW w:w="1281" w:type="dxa"/>
            <w:vMerge w:val="restart"/>
            <w:noWrap w:val="0"/>
            <w:vAlign w:val="center"/>
          </w:tcPr>
          <w:p w14:paraId="2D509797">
            <w:pPr>
              <w:jc w:val="center"/>
              <w:rPr>
                <w:rFonts w:hint="default" w:ascii="Arial" w:hAnsi="Arial" w:eastAsia="宋体" w:cs="Arial"/>
                <w:color w:val="auto"/>
                <w:sz w:val="24"/>
                <w:szCs w:val="24"/>
              </w:rPr>
            </w:pPr>
            <w:r>
              <w:rPr>
                <w:rFonts w:hint="default" w:ascii="Arial" w:hAnsi="Arial" w:eastAsia="宋体" w:cs="Arial"/>
                <w:color w:val="auto"/>
                <w:sz w:val="24"/>
                <w:szCs w:val="24"/>
              </w:rPr>
              <w:t>质量保障</w:t>
            </w:r>
          </w:p>
        </w:tc>
        <w:tc>
          <w:tcPr>
            <w:tcW w:w="3243" w:type="dxa"/>
            <w:noWrap w:val="0"/>
            <w:vAlign w:val="center"/>
          </w:tcPr>
          <w:p w14:paraId="12C2E032">
            <w:pPr>
              <w:jc w:val="center"/>
              <w:rPr>
                <w:rFonts w:hint="default" w:ascii="Arial" w:hAnsi="Arial" w:eastAsia="宋体" w:cs="Arial"/>
                <w:color w:val="auto"/>
                <w:sz w:val="24"/>
                <w:szCs w:val="24"/>
              </w:rPr>
            </w:pPr>
            <w:r>
              <w:rPr>
                <w:rFonts w:hint="default" w:ascii="Arial" w:hAnsi="Arial" w:eastAsia="宋体" w:cs="Arial"/>
                <w:color w:val="auto"/>
                <w:sz w:val="24"/>
                <w:szCs w:val="24"/>
              </w:rPr>
              <w:t>包装产品有 QS 或 SC 标志、散装产品有质量合格证明或检测报告，食材不得腐烂、变质，蔬菜无沙、虫烂叶，保鲜包装无破损</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w:t>
            </w:r>
          </w:p>
        </w:tc>
        <w:tc>
          <w:tcPr>
            <w:tcW w:w="634" w:type="dxa"/>
            <w:noWrap w:val="0"/>
            <w:vAlign w:val="center"/>
          </w:tcPr>
          <w:p w14:paraId="5BA27EB2">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10</w:t>
            </w:r>
          </w:p>
        </w:tc>
        <w:tc>
          <w:tcPr>
            <w:tcW w:w="2264" w:type="dxa"/>
            <w:noWrap w:val="0"/>
            <w:vAlign w:val="center"/>
          </w:tcPr>
          <w:p w14:paraId="75D85DA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发现一次无标志扣2分，无</w:t>
            </w:r>
            <w:r>
              <w:rPr>
                <w:rFonts w:hint="default" w:ascii="Arial" w:hAnsi="Arial" w:eastAsia="宋体" w:cs="Arial"/>
                <w:color w:val="auto"/>
                <w:sz w:val="24"/>
                <w:szCs w:val="24"/>
              </w:rPr>
              <w:t>合格证明或检测报告扣</w:t>
            </w:r>
            <w:r>
              <w:rPr>
                <w:rFonts w:hint="default" w:ascii="Arial" w:hAnsi="Arial" w:eastAsia="宋体" w:cs="Arial"/>
                <w:color w:val="auto"/>
                <w:sz w:val="24"/>
                <w:szCs w:val="24"/>
                <w:lang w:val="en-US"/>
              </w:rPr>
              <w:t>2分，</w:t>
            </w:r>
            <w:r>
              <w:rPr>
                <w:rFonts w:hint="default" w:ascii="Arial" w:hAnsi="Arial" w:eastAsia="宋体" w:cs="Arial"/>
                <w:color w:val="auto"/>
                <w:sz w:val="24"/>
                <w:szCs w:val="24"/>
              </w:rPr>
              <w:t>腐烂变质扣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rPr>
              <w:t>沙、虫、烂叶扣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rPr>
              <w:t>包装破损扣</w:t>
            </w:r>
            <w:r>
              <w:rPr>
                <w:rFonts w:hint="default" w:ascii="Arial" w:hAnsi="Arial" w:eastAsia="宋体" w:cs="Arial"/>
                <w:color w:val="auto"/>
                <w:sz w:val="24"/>
                <w:szCs w:val="24"/>
                <w:lang w:val="en-US"/>
              </w:rPr>
              <w:t>2分。</w:t>
            </w:r>
          </w:p>
        </w:tc>
        <w:tc>
          <w:tcPr>
            <w:tcW w:w="747" w:type="dxa"/>
            <w:noWrap w:val="0"/>
            <w:vAlign w:val="center"/>
          </w:tcPr>
          <w:p w14:paraId="7865FC7A">
            <w:pPr>
              <w:rPr>
                <w:rFonts w:hint="default" w:ascii="Arial" w:hAnsi="Arial" w:eastAsia="宋体" w:cs="Arial"/>
                <w:color w:val="auto"/>
                <w:sz w:val="24"/>
                <w:szCs w:val="24"/>
              </w:rPr>
            </w:pPr>
          </w:p>
        </w:tc>
        <w:tc>
          <w:tcPr>
            <w:tcW w:w="763" w:type="dxa"/>
            <w:noWrap w:val="0"/>
            <w:vAlign w:val="center"/>
          </w:tcPr>
          <w:p w14:paraId="19D23BB0">
            <w:pPr>
              <w:rPr>
                <w:rFonts w:hint="default" w:ascii="Arial" w:hAnsi="Arial" w:eastAsia="宋体" w:cs="Arial"/>
                <w:color w:val="auto"/>
                <w:sz w:val="24"/>
                <w:szCs w:val="24"/>
              </w:rPr>
            </w:pPr>
          </w:p>
        </w:tc>
      </w:tr>
      <w:tr w14:paraId="1C76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01E91091">
            <w:pPr>
              <w:jc w:val="center"/>
              <w:rPr>
                <w:rFonts w:hint="default" w:ascii="Arial" w:hAnsi="Arial" w:eastAsia="宋体" w:cs="Arial"/>
                <w:color w:val="auto"/>
                <w:sz w:val="24"/>
                <w:szCs w:val="24"/>
                <w:lang w:val="en-US"/>
              </w:rPr>
            </w:pPr>
          </w:p>
        </w:tc>
        <w:tc>
          <w:tcPr>
            <w:tcW w:w="1281" w:type="dxa"/>
            <w:vMerge w:val="continue"/>
            <w:noWrap w:val="0"/>
            <w:vAlign w:val="center"/>
          </w:tcPr>
          <w:p w14:paraId="28EE5A18">
            <w:pPr>
              <w:jc w:val="center"/>
              <w:rPr>
                <w:rFonts w:hint="default" w:ascii="Arial" w:hAnsi="Arial" w:eastAsia="宋体" w:cs="Arial"/>
                <w:color w:val="auto"/>
                <w:sz w:val="24"/>
                <w:szCs w:val="24"/>
              </w:rPr>
            </w:pPr>
          </w:p>
        </w:tc>
        <w:tc>
          <w:tcPr>
            <w:tcW w:w="3243" w:type="dxa"/>
            <w:noWrap w:val="0"/>
            <w:vAlign w:val="center"/>
          </w:tcPr>
          <w:p w14:paraId="3ADAAC41">
            <w:pPr>
              <w:jc w:val="center"/>
              <w:rPr>
                <w:rFonts w:hint="default" w:ascii="Arial" w:hAnsi="Arial" w:eastAsia="宋体" w:cs="Arial"/>
                <w:color w:val="auto"/>
                <w:sz w:val="24"/>
                <w:szCs w:val="24"/>
              </w:rPr>
            </w:pPr>
            <w:r>
              <w:rPr>
                <w:rFonts w:hint="default" w:ascii="Arial" w:hAnsi="Arial" w:eastAsia="宋体" w:cs="Arial"/>
                <w:color w:val="auto"/>
                <w:sz w:val="24"/>
                <w:szCs w:val="24"/>
              </w:rPr>
              <w:t>加工、烹饪过程应执行《餐饮服务食品安全操作规范》的相关要求，食品应烧熟煮透，中心温度应达到70℃以上</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送至学校食品中心温度不低于</w:t>
            </w:r>
            <w:r>
              <w:rPr>
                <w:rFonts w:hint="default" w:ascii="Arial" w:hAnsi="Arial" w:eastAsia="宋体" w:cs="Arial"/>
                <w:color w:val="auto"/>
                <w:sz w:val="24"/>
                <w:szCs w:val="24"/>
                <w:lang w:eastAsia="zh-CN"/>
              </w:rPr>
              <w:t>60</w:t>
            </w:r>
            <w:r>
              <w:rPr>
                <w:rFonts w:hint="default" w:ascii="Arial" w:hAnsi="Arial" w:eastAsia="宋体" w:cs="Arial"/>
                <w:color w:val="auto"/>
                <w:sz w:val="24"/>
                <w:szCs w:val="24"/>
              </w:rPr>
              <w:t>℃。</w:t>
            </w:r>
          </w:p>
        </w:tc>
        <w:tc>
          <w:tcPr>
            <w:tcW w:w="634" w:type="dxa"/>
            <w:noWrap w:val="0"/>
            <w:vAlign w:val="center"/>
          </w:tcPr>
          <w:p w14:paraId="634B3C8A">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349D7412">
            <w:pPr>
              <w:jc w:val="center"/>
              <w:rPr>
                <w:rFonts w:hint="default" w:ascii="Arial" w:hAnsi="Arial" w:eastAsia="宋体" w:cs="Arial"/>
                <w:color w:val="auto"/>
                <w:sz w:val="24"/>
                <w:szCs w:val="24"/>
              </w:rPr>
            </w:pPr>
            <w:r>
              <w:rPr>
                <w:rFonts w:hint="default" w:ascii="Arial" w:hAnsi="Arial" w:eastAsia="宋体" w:cs="Arial"/>
                <w:color w:val="auto"/>
                <w:sz w:val="24"/>
                <w:szCs w:val="24"/>
              </w:rPr>
              <w:t>每发现一次饭菜未熟透，或有异物的，一次扣</w:t>
            </w:r>
            <w:r>
              <w:rPr>
                <w:rFonts w:hint="default" w:ascii="Arial" w:hAnsi="Arial" w:eastAsia="宋体" w:cs="Arial"/>
                <w:color w:val="auto"/>
                <w:sz w:val="24"/>
                <w:szCs w:val="24"/>
                <w:lang w:eastAsia="zh-CN"/>
              </w:rPr>
              <w:t>3</w:t>
            </w:r>
            <w:r>
              <w:rPr>
                <w:rFonts w:hint="default" w:ascii="Arial" w:hAnsi="Arial" w:eastAsia="宋体" w:cs="Arial"/>
                <w:color w:val="auto"/>
                <w:sz w:val="24"/>
                <w:szCs w:val="24"/>
              </w:rPr>
              <w:t>分。</w:t>
            </w:r>
          </w:p>
        </w:tc>
        <w:tc>
          <w:tcPr>
            <w:tcW w:w="747" w:type="dxa"/>
            <w:noWrap w:val="0"/>
            <w:vAlign w:val="center"/>
          </w:tcPr>
          <w:p w14:paraId="38B9B3D1">
            <w:pPr>
              <w:rPr>
                <w:rFonts w:hint="default" w:ascii="Arial" w:hAnsi="Arial" w:eastAsia="宋体" w:cs="Arial"/>
                <w:color w:val="auto"/>
                <w:sz w:val="24"/>
                <w:szCs w:val="24"/>
              </w:rPr>
            </w:pPr>
          </w:p>
        </w:tc>
        <w:tc>
          <w:tcPr>
            <w:tcW w:w="763" w:type="dxa"/>
            <w:noWrap w:val="0"/>
            <w:vAlign w:val="center"/>
          </w:tcPr>
          <w:p w14:paraId="68BD582F">
            <w:pPr>
              <w:rPr>
                <w:rFonts w:hint="default" w:ascii="Arial" w:hAnsi="Arial" w:eastAsia="宋体" w:cs="Arial"/>
                <w:color w:val="auto"/>
                <w:sz w:val="24"/>
                <w:szCs w:val="24"/>
              </w:rPr>
            </w:pPr>
          </w:p>
        </w:tc>
      </w:tr>
      <w:tr w14:paraId="4603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5D18A2E7">
            <w:pPr>
              <w:jc w:val="center"/>
              <w:rPr>
                <w:rFonts w:hint="default" w:ascii="Arial" w:hAnsi="Arial" w:eastAsia="宋体" w:cs="Arial"/>
                <w:color w:val="auto"/>
                <w:sz w:val="24"/>
                <w:szCs w:val="24"/>
                <w:lang w:val="en-US"/>
              </w:rPr>
            </w:pPr>
          </w:p>
        </w:tc>
        <w:tc>
          <w:tcPr>
            <w:tcW w:w="1281" w:type="dxa"/>
            <w:vMerge w:val="continue"/>
            <w:noWrap w:val="0"/>
            <w:vAlign w:val="center"/>
          </w:tcPr>
          <w:p w14:paraId="123CA0D9">
            <w:pPr>
              <w:jc w:val="center"/>
              <w:rPr>
                <w:rFonts w:hint="default" w:ascii="Arial" w:hAnsi="Arial" w:eastAsia="宋体" w:cs="Arial"/>
                <w:color w:val="auto"/>
                <w:sz w:val="24"/>
                <w:szCs w:val="24"/>
              </w:rPr>
            </w:pPr>
          </w:p>
        </w:tc>
        <w:tc>
          <w:tcPr>
            <w:tcW w:w="3243" w:type="dxa"/>
            <w:noWrap w:val="0"/>
            <w:vAlign w:val="center"/>
          </w:tcPr>
          <w:p w14:paraId="5DA9AACA">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饭菜分量足</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熟食加工出锅和配送至学校时间符合规定要求</w:t>
            </w:r>
            <w:r>
              <w:rPr>
                <w:rFonts w:hint="default" w:ascii="Arial" w:hAnsi="Arial" w:eastAsia="宋体" w:cs="Arial"/>
                <w:color w:val="auto"/>
                <w:sz w:val="24"/>
                <w:szCs w:val="24"/>
                <w:lang w:eastAsia="zh-CN"/>
              </w:rPr>
              <w:t>。</w:t>
            </w:r>
          </w:p>
        </w:tc>
        <w:tc>
          <w:tcPr>
            <w:tcW w:w="634" w:type="dxa"/>
            <w:noWrap w:val="0"/>
            <w:vAlign w:val="center"/>
          </w:tcPr>
          <w:p w14:paraId="3FAFD492">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14FD9BDC">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出现一次分量不足扣</w:t>
            </w:r>
            <w:r>
              <w:rPr>
                <w:rFonts w:hint="default" w:ascii="Arial" w:hAnsi="Arial" w:eastAsia="宋体" w:cs="Arial"/>
                <w:color w:val="auto"/>
                <w:sz w:val="24"/>
                <w:szCs w:val="24"/>
                <w:lang w:eastAsia="zh-CN"/>
              </w:rPr>
              <w:t>1分，一次出锅和配送早于规定时间扣2分。</w:t>
            </w:r>
          </w:p>
        </w:tc>
        <w:tc>
          <w:tcPr>
            <w:tcW w:w="747" w:type="dxa"/>
            <w:noWrap w:val="0"/>
            <w:vAlign w:val="center"/>
          </w:tcPr>
          <w:p w14:paraId="0378B5A0">
            <w:pPr>
              <w:rPr>
                <w:rFonts w:hint="default" w:ascii="Arial" w:hAnsi="Arial" w:eastAsia="宋体" w:cs="Arial"/>
                <w:color w:val="auto"/>
                <w:sz w:val="24"/>
                <w:szCs w:val="24"/>
              </w:rPr>
            </w:pPr>
          </w:p>
        </w:tc>
        <w:tc>
          <w:tcPr>
            <w:tcW w:w="763" w:type="dxa"/>
            <w:noWrap w:val="0"/>
            <w:vAlign w:val="center"/>
          </w:tcPr>
          <w:p w14:paraId="3146A744">
            <w:pPr>
              <w:rPr>
                <w:rFonts w:hint="default" w:ascii="Arial" w:hAnsi="Arial" w:eastAsia="宋体" w:cs="Arial"/>
                <w:color w:val="auto"/>
                <w:sz w:val="24"/>
                <w:szCs w:val="24"/>
              </w:rPr>
            </w:pPr>
          </w:p>
        </w:tc>
      </w:tr>
      <w:tr w14:paraId="1095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4E238F8C">
            <w:pPr>
              <w:jc w:val="center"/>
              <w:rPr>
                <w:rFonts w:hint="default" w:ascii="Arial" w:hAnsi="Arial" w:eastAsia="宋体" w:cs="Arial"/>
                <w:color w:val="auto"/>
                <w:sz w:val="24"/>
                <w:szCs w:val="24"/>
                <w:lang w:val="en-US"/>
              </w:rPr>
            </w:pPr>
          </w:p>
        </w:tc>
        <w:tc>
          <w:tcPr>
            <w:tcW w:w="1281" w:type="dxa"/>
            <w:vMerge w:val="continue"/>
            <w:noWrap w:val="0"/>
            <w:vAlign w:val="center"/>
          </w:tcPr>
          <w:p w14:paraId="63ACD27B">
            <w:pPr>
              <w:jc w:val="center"/>
              <w:rPr>
                <w:rFonts w:hint="default" w:ascii="Arial" w:hAnsi="Arial" w:eastAsia="宋体" w:cs="Arial"/>
                <w:color w:val="auto"/>
                <w:sz w:val="24"/>
                <w:szCs w:val="24"/>
              </w:rPr>
            </w:pPr>
          </w:p>
        </w:tc>
        <w:tc>
          <w:tcPr>
            <w:tcW w:w="3243" w:type="dxa"/>
            <w:noWrap w:val="0"/>
            <w:vAlign w:val="center"/>
          </w:tcPr>
          <w:p w14:paraId="49DFF632">
            <w:pPr>
              <w:jc w:val="center"/>
              <w:rPr>
                <w:rFonts w:hint="default" w:ascii="Arial" w:hAnsi="Arial" w:eastAsia="宋体" w:cs="Arial"/>
                <w:color w:val="auto"/>
                <w:sz w:val="24"/>
                <w:szCs w:val="24"/>
              </w:rPr>
            </w:pPr>
            <w:r>
              <w:rPr>
                <w:rFonts w:hint="default" w:ascii="Arial" w:hAnsi="Arial" w:eastAsia="宋体" w:cs="Arial"/>
                <w:color w:val="auto"/>
                <w:sz w:val="24"/>
                <w:szCs w:val="24"/>
              </w:rPr>
              <w:t>未使用冷冻食品</w:t>
            </w:r>
            <w:r>
              <w:rPr>
                <w:rFonts w:hint="default" w:ascii="Arial" w:hAnsi="Arial" w:eastAsia="宋体" w:cs="Arial"/>
                <w:color w:val="auto"/>
                <w:sz w:val="24"/>
                <w:szCs w:val="24"/>
                <w:lang w:eastAsia="zh-CN"/>
              </w:rPr>
              <w:t>。</w:t>
            </w:r>
          </w:p>
        </w:tc>
        <w:tc>
          <w:tcPr>
            <w:tcW w:w="634" w:type="dxa"/>
            <w:noWrap w:val="0"/>
            <w:vAlign w:val="center"/>
          </w:tcPr>
          <w:p w14:paraId="2BF7E220">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w:t>
            </w:r>
          </w:p>
        </w:tc>
        <w:tc>
          <w:tcPr>
            <w:tcW w:w="2264" w:type="dxa"/>
            <w:noWrap w:val="0"/>
            <w:vAlign w:val="center"/>
          </w:tcPr>
          <w:p w14:paraId="23952A9E">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出现一次使用冷冻食品扣</w:t>
            </w:r>
            <w:r>
              <w:rPr>
                <w:rFonts w:hint="default" w:ascii="Arial" w:hAnsi="Arial" w:eastAsia="宋体" w:cs="Arial"/>
                <w:color w:val="auto"/>
                <w:sz w:val="24"/>
                <w:szCs w:val="24"/>
                <w:lang w:eastAsia="zh-CN"/>
              </w:rPr>
              <w:t>2分。</w:t>
            </w:r>
          </w:p>
        </w:tc>
        <w:tc>
          <w:tcPr>
            <w:tcW w:w="747" w:type="dxa"/>
            <w:noWrap w:val="0"/>
            <w:vAlign w:val="center"/>
          </w:tcPr>
          <w:p w14:paraId="316698BB">
            <w:pPr>
              <w:rPr>
                <w:rFonts w:hint="default" w:ascii="Arial" w:hAnsi="Arial" w:eastAsia="宋体" w:cs="Arial"/>
                <w:color w:val="auto"/>
                <w:sz w:val="24"/>
                <w:szCs w:val="24"/>
              </w:rPr>
            </w:pPr>
          </w:p>
        </w:tc>
        <w:tc>
          <w:tcPr>
            <w:tcW w:w="763" w:type="dxa"/>
            <w:noWrap w:val="0"/>
            <w:vAlign w:val="center"/>
          </w:tcPr>
          <w:p w14:paraId="0DA34871">
            <w:pPr>
              <w:rPr>
                <w:rFonts w:hint="default" w:ascii="Arial" w:hAnsi="Arial" w:eastAsia="宋体" w:cs="Arial"/>
                <w:color w:val="auto"/>
                <w:sz w:val="24"/>
                <w:szCs w:val="24"/>
              </w:rPr>
            </w:pPr>
          </w:p>
        </w:tc>
      </w:tr>
      <w:tr w14:paraId="65D1F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2DA1D5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7</w:t>
            </w:r>
          </w:p>
        </w:tc>
        <w:tc>
          <w:tcPr>
            <w:tcW w:w="1281" w:type="dxa"/>
            <w:noWrap w:val="0"/>
            <w:vAlign w:val="center"/>
          </w:tcPr>
          <w:p w14:paraId="3F578DA7">
            <w:pPr>
              <w:jc w:val="center"/>
              <w:rPr>
                <w:rFonts w:hint="default" w:ascii="Arial" w:hAnsi="Arial" w:eastAsia="宋体" w:cs="Arial"/>
                <w:color w:val="auto"/>
                <w:sz w:val="24"/>
                <w:szCs w:val="24"/>
              </w:rPr>
            </w:pPr>
            <w:r>
              <w:rPr>
                <w:rFonts w:hint="default" w:ascii="Arial" w:hAnsi="Arial" w:eastAsia="宋体" w:cs="Arial"/>
                <w:color w:val="auto"/>
                <w:sz w:val="24"/>
                <w:szCs w:val="24"/>
              </w:rPr>
              <w:t>环境卫生</w:t>
            </w:r>
          </w:p>
        </w:tc>
        <w:tc>
          <w:tcPr>
            <w:tcW w:w="3243" w:type="dxa"/>
            <w:noWrap w:val="0"/>
            <w:vAlign w:val="center"/>
          </w:tcPr>
          <w:p w14:paraId="67731938">
            <w:pPr>
              <w:jc w:val="center"/>
              <w:rPr>
                <w:rFonts w:hint="default" w:ascii="Arial" w:hAnsi="Arial" w:eastAsia="宋体" w:cs="Arial"/>
                <w:color w:val="auto"/>
                <w:sz w:val="24"/>
                <w:szCs w:val="24"/>
              </w:rPr>
            </w:pPr>
            <w:r>
              <w:rPr>
                <w:rFonts w:hint="default" w:ascii="Arial" w:hAnsi="Arial" w:eastAsia="宋体" w:cs="Arial"/>
                <w:color w:val="auto"/>
                <w:sz w:val="24"/>
                <w:szCs w:val="24"/>
              </w:rPr>
              <w:t>配送车辆、</w:t>
            </w:r>
            <w:r>
              <w:rPr>
                <w:rFonts w:hint="default" w:ascii="Arial" w:hAnsi="Arial" w:eastAsia="宋体" w:cs="Arial"/>
                <w:color w:val="auto"/>
                <w:sz w:val="24"/>
                <w:szCs w:val="24"/>
                <w:lang w:eastAsia="zh-CN"/>
              </w:rPr>
              <w:t>熟食加工</w:t>
            </w:r>
            <w:r>
              <w:rPr>
                <w:rFonts w:hint="default" w:ascii="Arial" w:hAnsi="Arial" w:eastAsia="宋体" w:cs="Arial"/>
                <w:color w:val="auto"/>
                <w:sz w:val="24"/>
                <w:szCs w:val="24"/>
              </w:rPr>
              <w:t>中心场地干净整洁，</w:t>
            </w:r>
            <w:r>
              <w:rPr>
                <w:rFonts w:hint="default" w:ascii="Arial" w:hAnsi="Arial" w:eastAsia="宋体" w:cs="Arial"/>
                <w:color w:val="auto"/>
                <w:sz w:val="24"/>
                <w:szCs w:val="24"/>
                <w:lang w:val="en-US"/>
              </w:rPr>
              <w:t>设备卫生干净</w:t>
            </w:r>
            <w:r>
              <w:rPr>
                <w:rFonts w:hint="default" w:ascii="Arial" w:hAnsi="Arial" w:eastAsia="宋体" w:cs="Arial"/>
                <w:color w:val="auto"/>
                <w:sz w:val="24"/>
                <w:szCs w:val="24"/>
              </w:rPr>
              <w:t>，每日清洗消毒</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w:t>
            </w:r>
          </w:p>
        </w:tc>
        <w:tc>
          <w:tcPr>
            <w:tcW w:w="634" w:type="dxa"/>
            <w:noWrap w:val="0"/>
            <w:vAlign w:val="center"/>
          </w:tcPr>
          <w:p w14:paraId="3834704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3C3CDB6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eastAsia="zh-CN"/>
              </w:rPr>
              <w:t>一次</w:t>
            </w:r>
            <w:r>
              <w:rPr>
                <w:rFonts w:hint="default" w:ascii="Arial" w:hAnsi="Arial" w:eastAsia="宋体" w:cs="Arial"/>
                <w:color w:val="auto"/>
                <w:sz w:val="24"/>
                <w:szCs w:val="24"/>
                <w:lang w:val="en-US"/>
              </w:rPr>
              <w:t>环境卫生不符合要求的</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lang w:val="en-US"/>
              </w:rPr>
              <w:t>或未每日消毒的扣</w:t>
            </w:r>
            <w:r>
              <w:rPr>
                <w:rFonts w:hint="default" w:ascii="Arial" w:hAnsi="Arial" w:eastAsia="宋体" w:cs="Arial"/>
                <w:color w:val="auto"/>
                <w:sz w:val="24"/>
                <w:szCs w:val="24"/>
                <w:lang w:val="en-US" w:eastAsia="zh-CN"/>
              </w:rPr>
              <w:t>1分。</w:t>
            </w:r>
          </w:p>
        </w:tc>
        <w:tc>
          <w:tcPr>
            <w:tcW w:w="747" w:type="dxa"/>
            <w:noWrap w:val="0"/>
            <w:vAlign w:val="center"/>
          </w:tcPr>
          <w:p w14:paraId="506111D3">
            <w:pPr>
              <w:rPr>
                <w:rFonts w:hint="default" w:ascii="Arial" w:hAnsi="Arial" w:eastAsia="宋体" w:cs="Arial"/>
                <w:color w:val="auto"/>
                <w:sz w:val="24"/>
                <w:szCs w:val="24"/>
              </w:rPr>
            </w:pPr>
          </w:p>
        </w:tc>
        <w:tc>
          <w:tcPr>
            <w:tcW w:w="763" w:type="dxa"/>
            <w:noWrap w:val="0"/>
            <w:vAlign w:val="center"/>
          </w:tcPr>
          <w:p w14:paraId="769CE2D7">
            <w:pPr>
              <w:rPr>
                <w:rFonts w:hint="default" w:ascii="Arial" w:hAnsi="Arial" w:eastAsia="宋体" w:cs="Arial"/>
                <w:color w:val="auto"/>
                <w:sz w:val="24"/>
                <w:szCs w:val="24"/>
              </w:rPr>
            </w:pPr>
          </w:p>
        </w:tc>
      </w:tr>
      <w:tr w14:paraId="3B65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C2A2C3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8</w:t>
            </w:r>
          </w:p>
        </w:tc>
        <w:tc>
          <w:tcPr>
            <w:tcW w:w="1281" w:type="dxa"/>
            <w:noWrap w:val="0"/>
            <w:vAlign w:val="center"/>
          </w:tcPr>
          <w:p w14:paraId="70736BB4">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食谱</w:t>
            </w:r>
          </w:p>
        </w:tc>
        <w:tc>
          <w:tcPr>
            <w:tcW w:w="3243" w:type="dxa"/>
            <w:noWrap w:val="0"/>
            <w:vAlign w:val="center"/>
          </w:tcPr>
          <w:p w14:paraId="18FB19AB">
            <w:pPr>
              <w:jc w:val="center"/>
              <w:rPr>
                <w:rFonts w:hint="default" w:ascii="Arial" w:hAnsi="Arial" w:eastAsia="宋体" w:cs="Arial"/>
                <w:color w:val="auto"/>
                <w:sz w:val="24"/>
                <w:szCs w:val="24"/>
              </w:rPr>
            </w:pPr>
            <w:r>
              <w:rPr>
                <w:rFonts w:hint="default" w:ascii="Arial" w:hAnsi="Arial" w:eastAsia="宋体" w:cs="Arial"/>
                <w:color w:val="auto"/>
                <w:sz w:val="24"/>
                <w:szCs w:val="24"/>
              </w:rPr>
              <w:t>按确定好食谱进行原材料采购和熟食配送，未经同意不得随意更改食谱。</w:t>
            </w:r>
          </w:p>
        </w:tc>
        <w:tc>
          <w:tcPr>
            <w:tcW w:w="634" w:type="dxa"/>
            <w:noWrap w:val="0"/>
            <w:vAlign w:val="center"/>
          </w:tcPr>
          <w:p w14:paraId="31488A28">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4</w:t>
            </w:r>
          </w:p>
        </w:tc>
        <w:tc>
          <w:tcPr>
            <w:tcW w:w="2264" w:type="dxa"/>
            <w:noWrap w:val="0"/>
            <w:vAlign w:val="center"/>
          </w:tcPr>
          <w:p w14:paraId="078445F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发现未经同意更改材料采购或变更食谱的</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一次扣</w:t>
            </w:r>
            <w:r>
              <w:rPr>
                <w:rFonts w:hint="default" w:ascii="Arial" w:hAnsi="Arial" w:eastAsia="宋体" w:cs="Arial"/>
                <w:color w:val="auto"/>
                <w:sz w:val="24"/>
                <w:szCs w:val="24"/>
                <w:lang w:val="en-US" w:eastAsia="zh-CN"/>
              </w:rPr>
              <w:t>4</w:t>
            </w:r>
            <w:r>
              <w:rPr>
                <w:rFonts w:hint="default" w:ascii="Arial" w:hAnsi="Arial" w:eastAsia="宋体" w:cs="Arial"/>
                <w:color w:val="auto"/>
                <w:sz w:val="24"/>
                <w:szCs w:val="24"/>
                <w:lang w:val="en-US"/>
              </w:rPr>
              <w:t>分。</w:t>
            </w:r>
          </w:p>
        </w:tc>
        <w:tc>
          <w:tcPr>
            <w:tcW w:w="747" w:type="dxa"/>
            <w:noWrap w:val="0"/>
            <w:vAlign w:val="center"/>
          </w:tcPr>
          <w:p w14:paraId="01524DE0">
            <w:pPr>
              <w:rPr>
                <w:rFonts w:hint="default" w:ascii="Arial" w:hAnsi="Arial" w:eastAsia="宋体" w:cs="Arial"/>
                <w:color w:val="auto"/>
                <w:sz w:val="24"/>
                <w:szCs w:val="24"/>
              </w:rPr>
            </w:pPr>
          </w:p>
        </w:tc>
        <w:tc>
          <w:tcPr>
            <w:tcW w:w="763" w:type="dxa"/>
            <w:noWrap w:val="0"/>
            <w:vAlign w:val="center"/>
          </w:tcPr>
          <w:p w14:paraId="2D018927">
            <w:pPr>
              <w:rPr>
                <w:rFonts w:hint="default" w:ascii="Arial" w:hAnsi="Arial" w:eastAsia="宋体" w:cs="Arial"/>
                <w:color w:val="auto"/>
                <w:sz w:val="24"/>
                <w:szCs w:val="24"/>
              </w:rPr>
            </w:pPr>
          </w:p>
        </w:tc>
      </w:tr>
      <w:tr w14:paraId="08BA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7309A5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9</w:t>
            </w:r>
          </w:p>
        </w:tc>
        <w:tc>
          <w:tcPr>
            <w:tcW w:w="1281" w:type="dxa"/>
            <w:noWrap w:val="0"/>
            <w:vAlign w:val="center"/>
          </w:tcPr>
          <w:p w14:paraId="568021B1">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配送车</w:t>
            </w:r>
          </w:p>
        </w:tc>
        <w:tc>
          <w:tcPr>
            <w:tcW w:w="3243" w:type="dxa"/>
            <w:noWrap w:val="0"/>
            <w:vAlign w:val="center"/>
          </w:tcPr>
          <w:p w14:paraId="636940CB">
            <w:pPr>
              <w:jc w:val="center"/>
              <w:rPr>
                <w:rFonts w:hint="default" w:ascii="Arial" w:hAnsi="Arial" w:eastAsia="宋体" w:cs="Arial"/>
                <w:color w:val="auto"/>
                <w:sz w:val="24"/>
                <w:szCs w:val="24"/>
              </w:rPr>
            </w:pPr>
            <w:r>
              <w:rPr>
                <w:rFonts w:hint="default" w:ascii="Arial" w:hAnsi="Arial" w:eastAsia="宋体" w:cs="Arial"/>
                <w:color w:val="auto"/>
                <w:sz w:val="24"/>
                <w:szCs w:val="24"/>
              </w:rPr>
              <w:t>对运输车辆进行全程监控的。</w:t>
            </w:r>
          </w:p>
        </w:tc>
        <w:tc>
          <w:tcPr>
            <w:tcW w:w="634" w:type="dxa"/>
            <w:noWrap w:val="0"/>
            <w:vAlign w:val="center"/>
          </w:tcPr>
          <w:p w14:paraId="584CE91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34A2F6A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不能</w:t>
            </w:r>
            <w:r>
              <w:rPr>
                <w:rFonts w:hint="default" w:ascii="Arial" w:hAnsi="Arial" w:eastAsia="宋体" w:cs="Arial"/>
                <w:color w:val="auto"/>
                <w:sz w:val="24"/>
                <w:szCs w:val="24"/>
              </w:rPr>
              <w:t>GPS</w:t>
            </w:r>
            <w:r>
              <w:rPr>
                <w:rFonts w:hint="default" w:ascii="Arial" w:hAnsi="Arial" w:eastAsia="宋体" w:cs="Arial"/>
                <w:color w:val="auto"/>
                <w:sz w:val="24"/>
                <w:szCs w:val="24"/>
                <w:lang w:val="en-US"/>
              </w:rPr>
              <w:t>全程定位监控扣2分</w:t>
            </w:r>
            <w:r>
              <w:rPr>
                <w:rFonts w:hint="default" w:ascii="Arial" w:hAnsi="Arial" w:eastAsia="宋体" w:cs="Arial"/>
                <w:color w:val="auto"/>
                <w:sz w:val="24"/>
                <w:szCs w:val="24"/>
                <w:lang w:val="en-US" w:eastAsia="zh-CN"/>
              </w:rPr>
              <w:t>。</w:t>
            </w:r>
          </w:p>
        </w:tc>
        <w:tc>
          <w:tcPr>
            <w:tcW w:w="747" w:type="dxa"/>
            <w:noWrap w:val="0"/>
            <w:vAlign w:val="center"/>
          </w:tcPr>
          <w:p w14:paraId="2DEB4C5A">
            <w:pPr>
              <w:rPr>
                <w:rFonts w:hint="default" w:ascii="Arial" w:hAnsi="Arial" w:eastAsia="宋体" w:cs="Arial"/>
                <w:color w:val="auto"/>
                <w:sz w:val="24"/>
                <w:szCs w:val="24"/>
              </w:rPr>
            </w:pPr>
          </w:p>
        </w:tc>
        <w:tc>
          <w:tcPr>
            <w:tcW w:w="763" w:type="dxa"/>
            <w:noWrap w:val="0"/>
            <w:vAlign w:val="center"/>
          </w:tcPr>
          <w:p w14:paraId="5562A05C">
            <w:pPr>
              <w:rPr>
                <w:rFonts w:hint="default" w:ascii="Arial" w:hAnsi="Arial" w:eastAsia="宋体" w:cs="Arial"/>
                <w:color w:val="auto"/>
                <w:sz w:val="24"/>
                <w:szCs w:val="24"/>
              </w:rPr>
            </w:pPr>
          </w:p>
        </w:tc>
      </w:tr>
      <w:tr w14:paraId="66F1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FF3AD7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10</w:t>
            </w:r>
          </w:p>
        </w:tc>
        <w:tc>
          <w:tcPr>
            <w:tcW w:w="1281" w:type="dxa"/>
            <w:noWrap w:val="0"/>
            <w:vAlign w:val="center"/>
          </w:tcPr>
          <w:p w14:paraId="4AB3055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检测设备</w:t>
            </w:r>
          </w:p>
        </w:tc>
        <w:tc>
          <w:tcPr>
            <w:tcW w:w="3243" w:type="dxa"/>
            <w:noWrap w:val="0"/>
            <w:vAlign w:val="center"/>
          </w:tcPr>
          <w:p w14:paraId="6DF71547">
            <w:pPr>
              <w:jc w:val="center"/>
              <w:rPr>
                <w:rFonts w:hint="default" w:ascii="Arial" w:hAnsi="Arial" w:eastAsia="宋体" w:cs="Arial"/>
                <w:color w:val="auto"/>
                <w:sz w:val="24"/>
                <w:szCs w:val="24"/>
              </w:rPr>
            </w:pPr>
            <w:r>
              <w:rPr>
                <w:rFonts w:hint="default" w:ascii="Arial" w:hAnsi="Arial" w:eastAsia="宋体" w:cs="Arial"/>
                <w:color w:val="auto"/>
                <w:sz w:val="24"/>
                <w:szCs w:val="24"/>
              </w:rPr>
              <w:t>不得</w:t>
            </w:r>
            <w:r>
              <w:rPr>
                <w:rFonts w:hint="default" w:ascii="Arial" w:hAnsi="Arial" w:eastAsia="宋体" w:cs="Arial"/>
                <w:color w:val="auto"/>
                <w:sz w:val="24"/>
                <w:szCs w:val="24"/>
                <w:lang w:val="en-US" w:eastAsia="zh-CN"/>
              </w:rPr>
              <w:t>使用不合格的</w:t>
            </w:r>
            <w:r>
              <w:rPr>
                <w:rFonts w:hint="default" w:ascii="Arial" w:hAnsi="Arial" w:eastAsia="宋体" w:cs="Arial"/>
                <w:color w:val="auto"/>
                <w:sz w:val="24"/>
                <w:szCs w:val="24"/>
              </w:rPr>
              <w:t>检测设备</w:t>
            </w:r>
            <w:r>
              <w:rPr>
                <w:rFonts w:hint="default" w:ascii="Arial" w:hAnsi="Arial" w:eastAsia="宋体" w:cs="Arial"/>
                <w:color w:val="auto"/>
                <w:sz w:val="24"/>
                <w:szCs w:val="24"/>
                <w:lang w:val="en-US" w:eastAsia="zh-CN"/>
              </w:rPr>
              <w:t>进行检测</w:t>
            </w:r>
            <w:r>
              <w:rPr>
                <w:rFonts w:hint="default" w:ascii="Arial" w:hAnsi="Arial" w:eastAsia="宋体" w:cs="Arial"/>
                <w:color w:val="auto"/>
                <w:sz w:val="24"/>
                <w:szCs w:val="24"/>
              </w:rPr>
              <w:t>。</w:t>
            </w:r>
          </w:p>
        </w:tc>
        <w:tc>
          <w:tcPr>
            <w:tcW w:w="634" w:type="dxa"/>
            <w:noWrap w:val="0"/>
            <w:vAlign w:val="center"/>
          </w:tcPr>
          <w:p w14:paraId="273B881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0DAE1E6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eastAsia="zh-CN"/>
              </w:rPr>
              <w:t>一台</w:t>
            </w:r>
            <w:r>
              <w:rPr>
                <w:rFonts w:hint="default" w:ascii="Arial" w:hAnsi="Arial" w:eastAsia="宋体" w:cs="Arial"/>
                <w:color w:val="auto"/>
                <w:sz w:val="24"/>
                <w:szCs w:val="24"/>
              </w:rPr>
              <w:t>扣</w:t>
            </w:r>
            <w:r>
              <w:rPr>
                <w:rFonts w:hint="default" w:ascii="Arial" w:hAnsi="Arial" w:eastAsia="宋体" w:cs="Arial"/>
                <w:color w:val="auto"/>
                <w:sz w:val="24"/>
                <w:szCs w:val="24"/>
                <w:lang w:val="en-US"/>
              </w:rPr>
              <w:t>2分。</w:t>
            </w:r>
          </w:p>
        </w:tc>
        <w:tc>
          <w:tcPr>
            <w:tcW w:w="747" w:type="dxa"/>
            <w:noWrap w:val="0"/>
            <w:vAlign w:val="center"/>
          </w:tcPr>
          <w:p w14:paraId="2E091AE9">
            <w:pPr>
              <w:rPr>
                <w:rFonts w:hint="default" w:ascii="Arial" w:hAnsi="Arial" w:eastAsia="宋体" w:cs="Arial"/>
                <w:color w:val="auto"/>
                <w:sz w:val="24"/>
                <w:szCs w:val="24"/>
              </w:rPr>
            </w:pPr>
          </w:p>
        </w:tc>
        <w:tc>
          <w:tcPr>
            <w:tcW w:w="763" w:type="dxa"/>
            <w:noWrap w:val="0"/>
            <w:vAlign w:val="center"/>
          </w:tcPr>
          <w:p w14:paraId="481DD90B">
            <w:pPr>
              <w:rPr>
                <w:rFonts w:hint="default" w:ascii="Arial" w:hAnsi="Arial" w:eastAsia="宋体" w:cs="Arial"/>
                <w:color w:val="auto"/>
                <w:sz w:val="24"/>
                <w:szCs w:val="24"/>
              </w:rPr>
            </w:pPr>
          </w:p>
        </w:tc>
      </w:tr>
      <w:tr w14:paraId="00CF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02B118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11</w:t>
            </w:r>
          </w:p>
        </w:tc>
        <w:tc>
          <w:tcPr>
            <w:tcW w:w="1281" w:type="dxa"/>
            <w:noWrap w:val="0"/>
            <w:vAlign w:val="center"/>
          </w:tcPr>
          <w:p w14:paraId="52D04C38">
            <w:pPr>
              <w:jc w:val="center"/>
              <w:rPr>
                <w:rFonts w:hint="default" w:ascii="Arial" w:hAnsi="Arial" w:eastAsia="宋体" w:cs="Arial"/>
                <w:color w:val="auto"/>
                <w:sz w:val="24"/>
                <w:szCs w:val="24"/>
              </w:rPr>
            </w:pPr>
            <w:r>
              <w:rPr>
                <w:rFonts w:hint="default" w:ascii="Arial" w:hAnsi="Arial" w:eastAsia="宋体" w:cs="Arial"/>
                <w:color w:val="auto"/>
                <w:sz w:val="24"/>
                <w:szCs w:val="24"/>
              </w:rPr>
              <w:t>应急预案</w:t>
            </w:r>
          </w:p>
        </w:tc>
        <w:tc>
          <w:tcPr>
            <w:tcW w:w="3243" w:type="dxa"/>
            <w:noWrap w:val="0"/>
            <w:vAlign w:val="center"/>
          </w:tcPr>
          <w:p w14:paraId="030A3DE0">
            <w:pPr>
              <w:jc w:val="center"/>
              <w:rPr>
                <w:rFonts w:hint="default" w:ascii="Arial" w:hAnsi="Arial" w:eastAsia="宋体" w:cs="Arial"/>
                <w:color w:val="auto"/>
                <w:sz w:val="24"/>
                <w:szCs w:val="24"/>
              </w:rPr>
            </w:pPr>
            <w:r>
              <w:rPr>
                <w:rFonts w:hint="default" w:ascii="Arial" w:hAnsi="Arial" w:eastAsia="宋体" w:cs="Arial"/>
                <w:color w:val="auto"/>
                <w:sz w:val="24"/>
                <w:szCs w:val="24"/>
              </w:rPr>
              <w:t>可保障熟食按时按地配送。</w:t>
            </w:r>
          </w:p>
        </w:tc>
        <w:tc>
          <w:tcPr>
            <w:tcW w:w="634" w:type="dxa"/>
            <w:noWrap w:val="0"/>
            <w:vAlign w:val="center"/>
          </w:tcPr>
          <w:p w14:paraId="69A74209">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75E4E9F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除不可抗因素外，出现一次熟食无法保证按时按地配送的扣</w:t>
            </w:r>
            <w:r>
              <w:rPr>
                <w:rFonts w:hint="default" w:ascii="Arial" w:hAnsi="Arial" w:eastAsia="宋体" w:cs="Arial"/>
                <w:color w:val="auto"/>
                <w:sz w:val="24"/>
                <w:szCs w:val="24"/>
                <w:lang w:val="en-US" w:eastAsia="zh-CN"/>
              </w:rPr>
              <w:t>3</w:t>
            </w:r>
            <w:r>
              <w:rPr>
                <w:rFonts w:hint="default" w:ascii="Arial" w:hAnsi="Arial" w:eastAsia="宋体" w:cs="Arial"/>
                <w:color w:val="auto"/>
                <w:sz w:val="24"/>
                <w:szCs w:val="24"/>
                <w:lang w:val="en-US"/>
              </w:rPr>
              <w:t>分。</w:t>
            </w:r>
          </w:p>
        </w:tc>
        <w:tc>
          <w:tcPr>
            <w:tcW w:w="747" w:type="dxa"/>
            <w:noWrap w:val="0"/>
            <w:vAlign w:val="center"/>
          </w:tcPr>
          <w:p w14:paraId="35B7AF17">
            <w:pPr>
              <w:rPr>
                <w:rFonts w:hint="default" w:ascii="Arial" w:hAnsi="Arial" w:eastAsia="宋体" w:cs="Arial"/>
                <w:color w:val="auto"/>
                <w:sz w:val="24"/>
                <w:szCs w:val="24"/>
              </w:rPr>
            </w:pPr>
          </w:p>
        </w:tc>
        <w:tc>
          <w:tcPr>
            <w:tcW w:w="763" w:type="dxa"/>
            <w:noWrap w:val="0"/>
            <w:vAlign w:val="center"/>
          </w:tcPr>
          <w:p w14:paraId="65884AD2">
            <w:pPr>
              <w:rPr>
                <w:rFonts w:hint="default" w:ascii="Arial" w:hAnsi="Arial" w:eastAsia="宋体" w:cs="Arial"/>
                <w:color w:val="auto"/>
                <w:sz w:val="24"/>
                <w:szCs w:val="24"/>
              </w:rPr>
            </w:pPr>
          </w:p>
        </w:tc>
      </w:tr>
      <w:tr w14:paraId="2225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495499E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12</w:t>
            </w:r>
          </w:p>
        </w:tc>
        <w:tc>
          <w:tcPr>
            <w:tcW w:w="1281" w:type="dxa"/>
            <w:noWrap w:val="0"/>
            <w:vAlign w:val="center"/>
          </w:tcPr>
          <w:p w14:paraId="43E9DD22">
            <w:pPr>
              <w:jc w:val="center"/>
              <w:rPr>
                <w:rFonts w:hint="default" w:ascii="Arial" w:hAnsi="Arial" w:eastAsia="宋体" w:cs="Arial"/>
                <w:color w:val="auto"/>
                <w:sz w:val="24"/>
                <w:szCs w:val="24"/>
              </w:rPr>
            </w:pPr>
            <w:r>
              <w:rPr>
                <w:rFonts w:hint="default" w:ascii="Arial" w:hAnsi="Arial" w:eastAsia="宋体" w:cs="Arial"/>
                <w:color w:val="auto"/>
                <w:sz w:val="24"/>
                <w:szCs w:val="24"/>
              </w:rPr>
              <w:t>配送时效</w:t>
            </w:r>
          </w:p>
        </w:tc>
        <w:tc>
          <w:tcPr>
            <w:tcW w:w="3243" w:type="dxa"/>
            <w:noWrap w:val="0"/>
            <w:vAlign w:val="center"/>
          </w:tcPr>
          <w:p w14:paraId="0C33ADC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按合同约定时间和地点进行配送。</w:t>
            </w:r>
          </w:p>
        </w:tc>
        <w:tc>
          <w:tcPr>
            <w:tcW w:w="634" w:type="dxa"/>
            <w:noWrap w:val="0"/>
            <w:vAlign w:val="center"/>
          </w:tcPr>
          <w:p w14:paraId="075038B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245CEF0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除不可抗力因素外</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熟食迟到</w:t>
            </w:r>
            <w:r>
              <w:rPr>
                <w:rFonts w:hint="default" w:ascii="Arial" w:hAnsi="Arial" w:eastAsia="宋体" w:cs="Arial"/>
                <w:color w:val="auto"/>
                <w:sz w:val="24"/>
                <w:szCs w:val="24"/>
                <w:lang w:val="en-US"/>
              </w:rPr>
              <w:t>30分钟以内进行配送扣1分，之后每增加30分钟扣2分。</w:t>
            </w:r>
          </w:p>
        </w:tc>
        <w:tc>
          <w:tcPr>
            <w:tcW w:w="747" w:type="dxa"/>
            <w:noWrap w:val="0"/>
            <w:vAlign w:val="center"/>
          </w:tcPr>
          <w:p w14:paraId="4958FE81">
            <w:pPr>
              <w:rPr>
                <w:rFonts w:hint="default" w:ascii="Arial" w:hAnsi="Arial" w:eastAsia="宋体" w:cs="Arial"/>
                <w:color w:val="auto"/>
                <w:sz w:val="24"/>
                <w:szCs w:val="24"/>
              </w:rPr>
            </w:pPr>
          </w:p>
        </w:tc>
        <w:tc>
          <w:tcPr>
            <w:tcW w:w="763" w:type="dxa"/>
            <w:noWrap w:val="0"/>
            <w:vAlign w:val="center"/>
          </w:tcPr>
          <w:p w14:paraId="4370B4DB">
            <w:pPr>
              <w:rPr>
                <w:rFonts w:hint="default" w:ascii="Arial" w:hAnsi="Arial" w:eastAsia="宋体" w:cs="Arial"/>
                <w:color w:val="auto"/>
                <w:sz w:val="24"/>
                <w:szCs w:val="24"/>
              </w:rPr>
            </w:pPr>
          </w:p>
        </w:tc>
      </w:tr>
      <w:tr w14:paraId="47C5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159144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13</w:t>
            </w:r>
          </w:p>
        </w:tc>
        <w:tc>
          <w:tcPr>
            <w:tcW w:w="1281" w:type="dxa"/>
            <w:noWrap w:val="0"/>
            <w:vAlign w:val="center"/>
          </w:tcPr>
          <w:p w14:paraId="12E613B5">
            <w:pPr>
              <w:jc w:val="center"/>
              <w:rPr>
                <w:rFonts w:hint="default" w:ascii="Arial" w:hAnsi="Arial" w:eastAsia="宋体" w:cs="Arial"/>
                <w:color w:val="auto"/>
                <w:sz w:val="24"/>
                <w:szCs w:val="24"/>
              </w:rPr>
            </w:pPr>
            <w:r>
              <w:rPr>
                <w:rFonts w:hint="default" w:ascii="Arial" w:hAnsi="Arial" w:eastAsia="宋体" w:cs="Arial"/>
                <w:color w:val="auto"/>
                <w:sz w:val="24"/>
                <w:szCs w:val="24"/>
              </w:rPr>
              <w:t>对接本地扶贫合作社（种养基地）</w:t>
            </w:r>
          </w:p>
        </w:tc>
        <w:tc>
          <w:tcPr>
            <w:tcW w:w="3243" w:type="dxa"/>
            <w:noWrap w:val="0"/>
            <w:vAlign w:val="center"/>
          </w:tcPr>
          <w:p w14:paraId="006F31F4">
            <w:pPr>
              <w:jc w:val="center"/>
              <w:rPr>
                <w:rFonts w:hint="default" w:ascii="Arial" w:hAnsi="Arial" w:eastAsia="宋体" w:cs="Arial"/>
                <w:color w:val="auto"/>
                <w:sz w:val="24"/>
                <w:szCs w:val="24"/>
              </w:rPr>
            </w:pPr>
            <w:r>
              <w:rPr>
                <w:rFonts w:hint="default" w:ascii="Arial" w:hAnsi="Arial" w:eastAsia="宋体" w:cs="Arial"/>
                <w:color w:val="auto"/>
                <w:sz w:val="24"/>
                <w:szCs w:val="24"/>
              </w:rPr>
              <w:t>在同质同价情况下，优先采购本地扶贫合作社（种养基地）的蔬菜或肉类</w:t>
            </w:r>
            <w:r>
              <w:rPr>
                <w:rFonts w:hint="default" w:ascii="Arial" w:hAnsi="Arial" w:eastAsia="宋体" w:cs="Arial"/>
                <w:color w:val="auto"/>
                <w:sz w:val="24"/>
                <w:szCs w:val="24"/>
                <w:lang w:val="en-US"/>
              </w:rPr>
              <w:t>采购</w:t>
            </w:r>
            <w:r>
              <w:rPr>
                <w:rFonts w:hint="default" w:ascii="Arial" w:hAnsi="Arial" w:eastAsia="宋体" w:cs="Arial"/>
                <w:color w:val="auto"/>
                <w:sz w:val="24"/>
                <w:szCs w:val="24"/>
              </w:rPr>
              <w:t>总额的</w:t>
            </w:r>
            <w:r>
              <w:rPr>
                <w:rFonts w:hint="default" w:ascii="Arial" w:hAnsi="Arial" w:eastAsia="宋体" w:cs="Arial"/>
                <w:color w:val="auto"/>
                <w:sz w:val="24"/>
                <w:szCs w:val="24"/>
                <w:lang w:val="en-US"/>
              </w:rPr>
              <w:t>10%</w:t>
            </w:r>
            <w:r>
              <w:rPr>
                <w:rFonts w:hint="default" w:ascii="Arial" w:hAnsi="Arial" w:eastAsia="宋体" w:cs="Arial"/>
                <w:color w:val="auto"/>
                <w:sz w:val="24"/>
                <w:szCs w:val="24"/>
              </w:rPr>
              <w:t>。</w:t>
            </w:r>
          </w:p>
        </w:tc>
        <w:tc>
          <w:tcPr>
            <w:tcW w:w="634" w:type="dxa"/>
            <w:noWrap w:val="0"/>
            <w:vAlign w:val="center"/>
          </w:tcPr>
          <w:p w14:paraId="0ABB597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p>
        </w:tc>
        <w:tc>
          <w:tcPr>
            <w:tcW w:w="2264" w:type="dxa"/>
            <w:noWrap w:val="0"/>
            <w:vAlign w:val="center"/>
          </w:tcPr>
          <w:p w14:paraId="51391BB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低于</w:t>
            </w:r>
            <w:r>
              <w:rPr>
                <w:rFonts w:hint="default" w:ascii="Arial" w:hAnsi="Arial" w:eastAsia="宋体" w:cs="Arial"/>
                <w:color w:val="auto"/>
                <w:sz w:val="24"/>
                <w:szCs w:val="24"/>
                <w:lang w:val="en-US"/>
              </w:rPr>
              <w:t>10%的，每低于1个百分点扣</w:t>
            </w:r>
            <w:r>
              <w:rPr>
                <w:rFonts w:hint="default" w:ascii="Arial" w:hAnsi="Arial" w:eastAsia="宋体" w:cs="Arial"/>
                <w:color w:val="auto"/>
                <w:sz w:val="24"/>
                <w:szCs w:val="24"/>
                <w:lang w:val="en-US" w:eastAsia="zh-CN"/>
              </w:rPr>
              <w:t>0.5</w:t>
            </w:r>
            <w:r>
              <w:rPr>
                <w:rFonts w:hint="default" w:ascii="Arial" w:hAnsi="Arial" w:eastAsia="宋体" w:cs="Arial"/>
                <w:color w:val="auto"/>
                <w:sz w:val="24"/>
                <w:szCs w:val="24"/>
                <w:lang w:val="en-US"/>
              </w:rPr>
              <w:t>分。</w:t>
            </w:r>
          </w:p>
        </w:tc>
        <w:tc>
          <w:tcPr>
            <w:tcW w:w="747" w:type="dxa"/>
            <w:noWrap w:val="0"/>
            <w:vAlign w:val="center"/>
          </w:tcPr>
          <w:p w14:paraId="53299B9C">
            <w:pPr>
              <w:rPr>
                <w:rFonts w:hint="default" w:ascii="Arial" w:hAnsi="Arial" w:eastAsia="宋体" w:cs="Arial"/>
                <w:color w:val="auto"/>
                <w:sz w:val="24"/>
                <w:szCs w:val="24"/>
              </w:rPr>
            </w:pPr>
          </w:p>
        </w:tc>
        <w:tc>
          <w:tcPr>
            <w:tcW w:w="763" w:type="dxa"/>
            <w:noWrap w:val="0"/>
            <w:vAlign w:val="center"/>
          </w:tcPr>
          <w:p w14:paraId="309FAC5D">
            <w:pPr>
              <w:rPr>
                <w:rFonts w:hint="default" w:ascii="Arial" w:hAnsi="Arial" w:eastAsia="宋体" w:cs="Arial"/>
                <w:color w:val="auto"/>
                <w:sz w:val="24"/>
                <w:szCs w:val="24"/>
              </w:rPr>
            </w:pPr>
          </w:p>
        </w:tc>
      </w:tr>
      <w:tr w14:paraId="49D8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A0B48D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14</w:t>
            </w:r>
          </w:p>
        </w:tc>
        <w:tc>
          <w:tcPr>
            <w:tcW w:w="1281" w:type="dxa"/>
            <w:noWrap w:val="0"/>
            <w:vAlign w:val="center"/>
          </w:tcPr>
          <w:p w14:paraId="441EC9B9">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台帐建立</w:t>
            </w:r>
          </w:p>
        </w:tc>
        <w:tc>
          <w:tcPr>
            <w:tcW w:w="3243" w:type="dxa"/>
            <w:noWrap w:val="0"/>
            <w:vAlign w:val="center"/>
          </w:tcPr>
          <w:p w14:paraId="324E9F58">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有进出</w:t>
            </w:r>
            <w:r>
              <w:rPr>
                <w:rFonts w:hint="default" w:ascii="Arial" w:hAnsi="Arial" w:eastAsia="宋体" w:cs="Arial"/>
                <w:color w:val="auto"/>
                <w:sz w:val="24"/>
                <w:szCs w:val="24"/>
                <w:lang w:val="en-US"/>
              </w:rPr>
              <w:t>库</w:t>
            </w:r>
            <w:r>
              <w:rPr>
                <w:rFonts w:hint="default" w:ascii="Arial" w:hAnsi="Arial" w:eastAsia="宋体" w:cs="Arial"/>
                <w:color w:val="auto"/>
                <w:sz w:val="24"/>
                <w:szCs w:val="24"/>
              </w:rPr>
              <w:t>记录，</w:t>
            </w:r>
            <w:r>
              <w:rPr>
                <w:rFonts w:hint="default" w:ascii="Arial" w:hAnsi="Arial" w:eastAsia="宋体" w:cs="Arial"/>
                <w:color w:val="auto"/>
                <w:sz w:val="24"/>
                <w:szCs w:val="24"/>
                <w:lang w:val="en-US"/>
              </w:rPr>
              <w:t>48小时留样记录、原材料采购台账、购买票据等。</w:t>
            </w:r>
          </w:p>
        </w:tc>
        <w:tc>
          <w:tcPr>
            <w:tcW w:w="634" w:type="dxa"/>
            <w:noWrap w:val="0"/>
            <w:vAlign w:val="center"/>
          </w:tcPr>
          <w:p w14:paraId="21D4126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19CECB61">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发现缺一项扣</w:t>
            </w:r>
            <w:r>
              <w:rPr>
                <w:rFonts w:hint="default" w:ascii="Arial" w:hAnsi="Arial" w:eastAsia="宋体" w:cs="Arial"/>
                <w:color w:val="auto"/>
                <w:sz w:val="24"/>
                <w:szCs w:val="24"/>
                <w:lang w:val="en-US"/>
              </w:rPr>
              <w:t>1分</w:t>
            </w:r>
            <w:r>
              <w:rPr>
                <w:rFonts w:hint="default" w:ascii="Arial" w:hAnsi="Arial" w:eastAsia="宋体" w:cs="Arial"/>
                <w:color w:val="auto"/>
                <w:sz w:val="24"/>
                <w:szCs w:val="24"/>
                <w:lang w:val="en-US" w:eastAsia="zh-CN"/>
              </w:rPr>
              <w:t>，一项</w:t>
            </w:r>
            <w:r>
              <w:rPr>
                <w:rFonts w:hint="default" w:ascii="Arial" w:hAnsi="Arial" w:eastAsia="宋体" w:cs="Arial"/>
                <w:color w:val="auto"/>
                <w:sz w:val="24"/>
                <w:szCs w:val="24"/>
                <w:lang w:val="en-US"/>
              </w:rPr>
              <w:t>不规范扣</w:t>
            </w:r>
            <w:r>
              <w:rPr>
                <w:rFonts w:hint="default" w:ascii="Arial" w:hAnsi="Arial" w:eastAsia="宋体" w:cs="Arial"/>
                <w:color w:val="auto"/>
                <w:sz w:val="24"/>
                <w:szCs w:val="24"/>
                <w:lang w:val="en-US" w:eastAsia="zh-CN"/>
              </w:rPr>
              <w:t>1分</w:t>
            </w:r>
            <w:r>
              <w:rPr>
                <w:rFonts w:hint="default" w:ascii="Arial" w:hAnsi="Arial" w:eastAsia="宋体" w:cs="Arial"/>
                <w:color w:val="auto"/>
                <w:sz w:val="24"/>
                <w:szCs w:val="24"/>
                <w:lang w:val="en-US"/>
              </w:rPr>
              <w:t>。</w:t>
            </w:r>
          </w:p>
        </w:tc>
        <w:tc>
          <w:tcPr>
            <w:tcW w:w="747" w:type="dxa"/>
            <w:noWrap w:val="0"/>
            <w:vAlign w:val="center"/>
          </w:tcPr>
          <w:p w14:paraId="0ADBB02E">
            <w:pPr>
              <w:rPr>
                <w:rFonts w:hint="default" w:ascii="Arial" w:hAnsi="Arial" w:eastAsia="宋体" w:cs="Arial"/>
                <w:color w:val="auto"/>
                <w:sz w:val="24"/>
                <w:szCs w:val="24"/>
              </w:rPr>
            </w:pPr>
          </w:p>
        </w:tc>
        <w:tc>
          <w:tcPr>
            <w:tcW w:w="763" w:type="dxa"/>
            <w:noWrap w:val="0"/>
            <w:vAlign w:val="center"/>
          </w:tcPr>
          <w:p w14:paraId="6C90C3EB">
            <w:pPr>
              <w:rPr>
                <w:rFonts w:hint="default" w:ascii="Arial" w:hAnsi="Arial" w:eastAsia="宋体" w:cs="Arial"/>
                <w:color w:val="auto"/>
                <w:sz w:val="24"/>
                <w:szCs w:val="24"/>
              </w:rPr>
            </w:pPr>
          </w:p>
        </w:tc>
      </w:tr>
      <w:tr w14:paraId="29FC3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3B4C5E5">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15</w:t>
            </w:r>
          </w:p>
        </w:tc>
        <w:tc>
          <w:tcPr>
            <w:tcW w:w="1281" w:type="dxa"/>
            <w:noWrap w:val="0"/>
            <w:vAlign w:val="center"/>
          </w:tcPr>
          <w:p w14:paraId="618EAED7">
            <w:pPr>
              <w:jc w:val="center"/>
              <w:rPr>
                <w:rFonts w:hint="default" w:ascii="Arial" w:hAnsi="Arial" w:eastAsia="宋体" w:cs="Arial"/>
                <w:color w:val="auto"/>
                <w:sz w:val="24"/>
                <w:szCs w:val="24"/>
              </w:rPr>
            </w:pPr>
            <w:r>
              <w:rPr>
                <w:rFonts w:hint="default" w:ascii="Arial" w:hAnsi="Arial" w:eastAsia="宋体" w:cs="Arial"/>
                <w:color w:val="auto"/>
                <w:sz w:val="24"/>
                <w:szCs w:val="24"/>
              </w:rPr>
              <w:t>配送服务质量</w:t>
            </w:r>
          </w:p>
        </w:tc>
        <w:tc>
          <w:tcPr>
            <w:tcW w:w="3243" w:type="dxa"/>
            <w:noWrap w:val="0"/>
            <w:vAlign w:val="center"/>
          </w:tcPr>
          <w:p w14:paraId="524682B3">
            <w:pPr>
              <w:jc w:val="center"/>
              <w:rPr>
                <w:rFonts w:hint="default" w:ascii="Arial" w:hAnsi="Arial" w:eastAsia="宋体" w:cs="Arial"/>
                <w:color w:val="auto"/>
                <w:sz w:val="24"/>
                <w:szCs w:val="24"/>
              </w:rPr>
            </w:pPr>
            <w:r>
              <w:rPr>
                <w:rFonts w:hint="default" w:ascii="Arial" w:hAnsi="Arial" w:eastAsia="宋体" w:cs="Arial"/>
                <w:color w:val="auto"/>
                <w:sz w:val="24"/>
                <w:szCs w:val="24"/>
              </w:rPr>
              <w:t>配送驾驶人员无酒驾</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情形，</w:t>
            </w:r>
            <w:r>
              <w:rPr>
                <w:rFonts w:hint="default" w:ascii="Arial" w:hAnsi="Arial" w:eastAsia="宋体" w:cs="Arial"/>
                <w:color w:val="auto"/>
                <w:sz w:val="24"/>
                <w:szCs w:val="24"/>
                <w:lang w:val="en-US"/>
              </w:rPr>
              <w:t>按学校要求进入校园，</w:t>
            </w:r>
            <w:r>
              <w:rPr>
                <w:rFonts w:hint="default" w:ascii="Arial" w:hAnsi="Arial" w:eastAsia="宋体" w:cs="Arial"/>
                <w:color w:val="auto"/>
                <w:sz w:val="24"/>
                <w:szCs w:val="24"/>
              </w:rPr>
              <w:t>配合学校卸货，</w:t>
            </w:r>
            <w:r>
              <w:rPr>
                <w:rFonts w:hint="default" w:ascii="Arial" w:hAnsi="Arial" w:eastAsia="宋体" w:cs="Arial"/>
                <w:color w:val="auto"/>
                <w:sz w:val="24"/>
                <w:szCs w:val="24"/>
                <w:lang w:val="en-US"/>
              </w:rPr>
              <w:t>采纳学校合理意见，服务态度良好等</w:t>
            </w:r>
            <w:r>
              <w:rPr>
                <w:rFonts w:hint="default" w:ascii="Arial" w:hAnsi="Arial" w:eastAsia="宋体" w:cs="Arial"/>
                <w:color w:val="auto"/>
                <w:sz w:val="24"/>
                <w:szCs w:val="24"/>
              </w:rPr>
              <w:t>。</w:t>
            </w:r>
          </w:p>
        </w:tc>
        <w:tc>
          <w:tcPr>
            <w:tcW w:w="634" w:type="dxa"/>
            <w:noWrap w:val="0"/>
            <w:vAlign w:val="center"/>
          </w:tcPr>
          <w:p w14:paraId="6618A8B8">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3A21398F">
            <w:pPr>
              <w:jc w:val="center"/>
              <w:rPr>
                <w:rFonts w:hint="default" w:ascii="Arial" w:hAnsi="Arial" w:eastAsia="宋体" w:cs="Arial"/>
                <w:color w:val="auto"/>
                <w:sz w:val="24"/>
                <w:szCs w:val="24"/>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rPr>
              <w:t>一次不按规定执行扣1分。</w:t>
            </w:r>
          </w:p>
        </w:tc>
        <w:tc>
          <w:tcPr>
            <w:tcW w:w="747" w:type="dxa"/>
            <w:noWrap w:val="0"/>
            <w:vAlign w:val="center"/>
          </w:tcPr>
          <w:p w14:paraId="6062B9B1">
            <w:pPr>
              <w:rPr>
                <w:rFonts w:hint="default" w:ascii="Arial" w:hAnsi="Arial" w:eastAsia="宋体" w:cs="Arial"/>
                <w:color w:val="auto"/>
                <w:sz w:val="24"/>
                <w:szCs w:val="24"/>
              </w:rPr>
            </w:pPr>
          </w:p>
        </w:tc>
        <w:tc>
          <w:tcPr>
            <w:tcW w:w="763" w:type="dxa"/>
            <w:noWrap w:val="0"/>
            <w:vAlign w:val="center"/>
          </w:tcPr>
          <w:p w14:paraId="0BFB556A">
            <w:pPr>
              <w:rPr>
                <w:rFonts w:hint="default" w:ascii="Arial" w:hAnsi="Arial" w:eastAsia="宋体" w:cs="Arial"/>
                <w:color w:val="auto"/>
                <w:sz w:val="24"/>
                <w:szCs w:val="24"/>
              </w:rPr>
            </w:pPr>
          </w:p>
        </w:tc>
      </w:tr>
      <w:tr w14:paraId="344C4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BBA101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16</w:t>
            </w:r>
          </w:p>
        </w:tc>
        <w:tc>
          <w:tcPr>
            <w:tcW w:w="1281" w:type="dxa"/>
            <w:noWrap w:val="0"/>
            <w:vAlign w:val="center"/>
          </w:tcPr>
          <w:p w14:paraId="3C825BE6">
            <w:pPr>
              <w:jc w:val="center"/>
              <w:rPr>
                <w:rFonts w:hint="default" w:ascii="Arial" w:hAnsi="Arial" w:eastAsia="宋体" w:cs="Arial"/>
                <w:color w:val="auto"/>
                <w:sz w:val="24"/>
                <w:szCs w:val="24"/>
              </w:rPr>
            </w:pPr>
            <w:r>
              <w:rPr>
                <w:rFonts w:hint="default" w:ascii="Arial" w:hAnsi="Arial" w:eastAsia="宋体" w:cs="Arial"/>
                <w:color w:val="auto"/>
                <w:sz w:val="24"/>
                <w:szCs w:val="24"/>
              </w:rPr>
              <w:t>视频监控</w:t>
            </w:r>
          </w:p>
        </w:tc>
        <w:tc>
          <w:tcPr>
            <w:tcW w:w="3243" w:type="dxa"/>
            <w:noWrap w:val="0"/>
            <w:vAlign w:val="center"/>
          </w:tcPr>
          <w:p w14:paraId="5F7E9E8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不定时对</w:t>
            </w:r>
            <w:r>
              <w:rPr>
                <w:rFonts w:hint="default" w:ascii="Arial" w:hAnsi="Arial" w:eastAsia="宋体" w:cs="Arial"/>
                <w:color w:val="auto"/>
                <w:sz w:val="24"/>
                <w:szCs w:val="24"/>
                <w:lang w:val="en-US"/>
              </w:rPr>
              <w:t>智慧监控平台进行监控调取。</w:t>
            </w:r>
          </w:p>
        </w:tc>
        <w:tc>
          <w:tcPr>
            <w:tcW w:w="634" w:type="dxa"/>
            <w:noWrap w:val="0"/>
            <w:vAlign w:val="center"/>
          </w:tcPr>
          <w:p w14:paraId="6A6D636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5831103E">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发现监控影像丢失、未按要求保存监控30天以上的扣2分。</w:t>
            </w:r>
          </w:p>
        </w:tc>
        <w:tc>
          <w:tcPr>
            <w:tcW w:w="747" w:type="dxa"/>
            <w:noWrap w:val="0"/>
            <w:vAlign w:val="center"/>
          </w:tcPr>
          <w:p w14:paraId="7AE6FDDB">
            <w:pPr>
              <w:rPr>
                <w:rFonts w:hint="default" w:ascii="Arial" w:hAnsi="Arial" w:eastAsia="宋体" w:cs="Arial"/>
                <w:color w:val="auto"/>
                <w:sz w:val="24"/>
                <w:szCs w:val="24"/>
              </w:rPr>
            </w:pPr>
          </w:p>
        </w:tc>
        <w:tc>
          <w:tcPr>
            <w:tcW w:w="763" w:type="dxa"/>
            <w:noWrap w:val="0"/>
            <w:vAlign w:val="center"/>
          </w:tcPr>
          <w:p w14:paraId="6DE0248B">
            <w:pPr>
              <w:rPr>
                <w:rFonts w:hint="default" w:ascii="Arial" w:hAnsi="Arial" w:eastAsia="宋体" w:cs="Arial"/>
                <w:color w:val="auto"/>
                <w:sz w:val="24"/>
                <w:szCs w:val="24"/>
              </w:rPr>
            </w:pPr>
          </w:p>
        </w:tc>
      </w:tr>
      <w:tr w14:paraId="6898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101D364">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17</w:t>
            </w:r>
          </w:p>
        </w:tc>
        <w:tc>
          <w:tcPr>
            <w:tcW w:w="1281" w:type="dxa"/>
            <w:noWrap w:val="0"/>
            <w:vAlign w:val="center"/>
          </w:tcPr>
          <w:p w14:paraId="2FB919B7">
            <w:pPr>
              <w:jc w:val="center"/>
              <w:rPr>
                <w:rFonts w:hint="default" w:ascii="Arial" w:hAnsi="Arial" w:eastAsia="宋体" w:cs="Arial"/>
                <w:color w:val="auto"/>
                <w:sz w:val="24"/>
                <w:szCs w:val="24"/>
              </w:rPr>
            </w:pPr>
            <w:r>
              <w:rPr>
                <w:rFonts w:hint="default" w:ascii="Arial" w:hAnsi="Arial" w:eastAsia="宋体" w:cs="Arial"/>
                <w:color w:val="auto"/>
                <w:sz w:val="24"/>
                <w:szCs w:val="24"/>
              </w:rPr>
              <w:t>安全责任</w:t>
            </w:r>
          </w:p>
        </w:tc>
        <w:tc>
          <w:tcPr>
            <w:tcW w:w="3243" w:type="dxa"/>
            <w:noWrap w:val="0"/>
            <w:vAlign w:val="center"/>
          </w:tcPr>
          <w:p w14:paraId="2C961527">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rPr>
              <w:t>按照招标文件承诺购买食品安全责任险</w:t>
            </w:r>
            <w:r>
              <w:rPr>
                <w:rFonts w:hint="default" w:ascii="Arial" w:hAnsi="Arial" w:eastAsia="宋体" w:cs="Arial"/>
                <w:color w:val="auto"/>
                <w:sz w:val="24"/>
                <w:szCs w:val="24"/>
                <w:lang w:val="en-US" w:eastAsia="zh-CN"/>
              </w:rPr>
              <w:t>及安排人员看护就餐学生。</w:t>
            </w:r>
          </w:p>
        </w:tc>
        <w:tc>
          <w:tcPr>
            <w:tcW w:w="634" w:type="dxa"/>
            <w:noWrap w:val="0"/>
            <w:vAlign w:val="center"/>
          </w:tcPr>
          <w:p w14:paraId="3475ACA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0BBEBD10">
            <w:pPr>
              <w:jc w:val="center"/>
              <w:rPr>
                <w:rFonts w:hint="default" w:ascii="Arial" w:hAnsi="Arial" w:eastAsia="宋体" w:cs="Arial"/>
                <w:color w:val="auto"/>
                <w:sz w:val="24"/>
                <w:szCs w:val="24"/>
              </w:rPr>
            </w:pPr>
            <w:r>
              <w:rPr>
                <w:rFonts w:hint="default" w:ascii="Arial" w:hAnsi="Arial" w:eastAsia="宋体" w:cs="Arial"/>
                <w:color w:val="auto"/>
                <w:sz w:val="24"/>
                <w:szCs w:val="24"/>
              </w:rPr>
              <w:t>擅自减少保额或不按时购买，发现一次扣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lang w:val="en-US" w:eastAsia="zh-CN"/>
              </w:rPr>
              <w:t>；发现一次未安排人员看护就餐学生的扣2分</w:t>
            </w:r>
            <w:r>
              <w:rPr>
                <w:rFonts w:hint="default" w:ascii="Arial" w:hAnsi="Arial" w:eastAsia="宋体" w:cs="Arial"/>
                <w:color w:val="auto"/>
                <w:sz w:val="24"/>
                <w:szCs w:val="24"/>
              </w:rPr>
              <w:t>。</w:t>
            </w:r>
          </w:p>
        </w:tc>
        <w:tc>
          <w:tcPr>
            <w:tcW w:w="747" w:type="dxa"/>
            <w:noWrap w:val="0"/>
            <w:vAlign w:val="center"/>
          </w:tcPr>
          <w:p w14:paraId="3363D7DD">
            <w:pPr>
              <w:rPr>
                <w:rFonts w:hint="default" w:ascii="Arial" w:hAnsi="Arial" w:eastAsia="宋体" w:cs="Arial"/>
                <w:color w:val="auto"/>
                <w:sz w:val="24"/>
                <w:szCs w:val="24"/>
              </w:rPr>
            </w:pPr>
          </w:p>
        </w:tc>
        <w:tc>
          <w:tcPr>
            <w:tcW w:w="763" w:type="dxa"/>
            <w:noWrap w:val="0"/>
            <w:vAlign w:val="center"/>
          </w:tcPr>
          <w:p w14:paraId="52FC158F">
            <w:pPr>
              <w:rPr>
                <w:rFonts w:hint="default" w:ascii="Arial" w:hAnsi="Arial" w:eastAsia="宋体" w:cs="Arial"/>
                <w:color w:val="auto"/>
                <w:sz w:val="24"/>
                <w:szCs w:val="24"/>
              </w:rPr>
            </w:pPr>
          </w:p>
        </w:tc>
      </w:tr>
      <w:tr w14:paraId="623C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633E52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18</w:t>
            </w:r>
          </w:p>
        </w:tc>
        <w:tc>
          <w:tcPr>
            <w:tcW w:w="1281" w:type="dxa"/>
            <w:noWrap w:val="0"/>
            <w:vAlign w:val="center"/>
          </w:tcPr>
          <w:p w14:paraId="1DD495A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eastAsia="zh-CN"/>
              </w:rPr>
              <w:t>食材</w:t>
            </w:r>
            <w:r>
              <w:rPr>
                <w:rFonts w:hint="default" w:ascii="Arial" w:hAnsi="Arial" w:eastAsia="宋体" w:cs="Arial"/>
                <w:color w:val="auto"/>
                <w:sz w:val="24"/>
                <w:szCs w:val="24"/>
                <w:lang w:val="en-US"/>
              </w:rPr>
              <w:t>检测</w:t>
            </w:r>
          </w:p>
        </w:tc>
        <w:tc>
          <w:tcPr>
            <w:tcW w:w="3243" w:type="dxa"/>
            <w:noWrap w:val="0"/>
            <w:vAlign w:val="center"/>
          </w:tcPr>
          <w:p w14:paraId="3E5D8A5E">
            <w:pPr>
              <w:jc w:val="center"/>
              <w:rPr>
                <w:rFonts w:hint="default" w:ascii="Arial" w:hAnsi="Arial" w:eastAsia="宋体" w:cs="Arial"/>
                <w:color w:val="auto"/>
                <w:sz w:val="24"/>
                <w:szCs w:val="24"/>
              </w:rPr>
            </w:pPr>
            <w:r>
              <w:rPr>
                <w:rFonts w:hint="default" w:ascii="Arial" w:hAnsi="Arial" w:eastAsia="宋体" w:cs="Arial"/>
                <w:color w:val="auto"/>
                <w:sz w:val="24"/>
                <w:szCs w:val="24"/>
              </w:rPr>
              <w:t>根据食品安全法律、法规，自行或者委托第三方专业机构开展食品安全检测。</w:t>
            </w:r>
          </w:p>
        </w:tc>
        <w:tc>
          <w:tcPr>
            <w:tcW w:w="634" w:type="dxa"/>
            <w:noWrap w:val="0"/>
            <w:vAlign w:val="center"/>
          </w:tcPr>
          <w:p w14:paraId="04A84927">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w:t>
            </w:r>
          </w:p>
        </w:tc>
        <w:tc>
          <w:tcPr>
            <w:tcW w:w="2264" w:type="dxa"/>
            <w:noWrap w:val="0"/>
            <w:vAlign w:val="center"/>
          </w:tcPr>
          <w:p w14:paraId="45717AE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发现一次未进行食品安全</w:t>
            </w:r>
            <w:r>
              <w:rPr>
                <w:rFonts w:hint="default" w:ascii="Arial" w:hAnsi="Arial" w:eastAsia="宋体" w:cs="Arial"/>
                <w:color w:val="auto"/>
                <w:sz w:val="24"/>
                <w:szCs w:val="24"/>
                <w:lang w:val="en-US" w:eastAsia="zh-CN"/>
              </w:rPr>
              <w:t>检测</w:t>
            </w:r>
            <w:r>
              <w:rPr>
                <w:rFonts w:hint="default" w:ascii="Arial" w:hAnsi="Arial" w:eastAsia="宋体" w:cs="Arial"/>
                <w:color w:val="auto"/>
                <w:sz w:val="24"/>
                <w:szCs w:val="24"/>
                <w:lang w:val="en-US"/>
              </w:rPr>
              <w:t>的，扣</w:t>
            </w:r>
            <w:r>
              <w:rPr>
                <w:rFonts w:hint="default" w:ascii="Arial" w:hAnsi="Arial" w:eastAsia="宋体" w:cs="Arial"/>
                <w:color w:val="auto"/>
                <w:sz w:val="24"/>
                <w:szCs w:val="24"/>
                <w:lang w:val="en-US" w:eastAsia="zh-CN"/>
              </w:rPr>
              <w:t>1</w:t>
            </w:r>
            <w:r>
              <w:rPr>
                <w:rFonts w:hint="default" w:ascii="Arial" w:hAnsi="Arial" w:eastAsia="宋体" w:cs="Arial"/>
                <w:color w:val="auto"/>
                <w:sz w:val="24"/>
                <w:szCs w:val="24"/>
                <w:lang w:val="en-US"/>
              </w:rPr>
              <w:t>分。</w:t>
            </w:r>
          </w:p>
        </w:tc>
        <w:tc>
          <w:tcPr>
            <w:tcW w:w="747" w:type="dxa"/>
            <w:noWrap w:val="0"/>
            <w:vAlign w:val="center"/>
          </w:tcPr>
          <w:p w14:paraId="2F8AEFF7">
            <w:pPr>
              <w:rPr>
                <w:rFonts w:hint="default" w:ascii="Arial" w:hAnsi="Arial" w:eastAsia="宋体" w:cs="Arial"/>
                <w:color w:val="auto"/>
                <w:sz w:val="24"/>
                <w:szCs w:val="24"/>
              </w:rPr>
            </w:pPr>
          </w:p>
        </w:tc>
        <w:tc>
          <w:tcPr>
            <w:tcW w:w="763" w:type="dxa"/>
            <w:noWrap w:val="0"/>
            <w:vAlign w:val="center"/>
          </w:tcPr>
          <w:p w14:paraId="4C3B914A">
            <w:pPr>
              <w:rPr>
                <w:rFonts w:hint="default" w:ascii="Arial" w:hAnsi="Arial" w:eastAsia="宋体" w:cs="Arial"/>
                <w:color w:val="auto"/>
                <w:sz w:val="24"/>
                <w:szCs w:val="24"/>
              </w:rPr>
            </w:pPr>
          </w:p>
        </w:tc>
      </w:tr>
      <w:tr w14:paraId="5DB9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072223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19</w:t>
            </w:r>
          </w:p>
        </w:tc>
        <w:tc>
          <w:tcPr>
            <w:tcW w:w="1281" w:type="dxa"/>
            <w:noWrap w:val="0"/>
            <w:vAlign w:val="center"/>
          </w:tcPr>
          <w:p w14:paraId="7345650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违法行为</w:t>
            </w:r>
          </w:p>
        </w:tc>
        <w:tc>
          <w:tcPr>
            <w:tcW w:w="3243" w:type="dxa"/>
            <w:noWrap w:val="0"/>
            <w:vAlign w:val="center"/>
          </w:tcPr>
          <w:p w14:paraId="0098D3D0">
            <w:pPr>
              <w:jc w:val="center"/>
              <w:rPr>
                <w:rFonts w:hint="default" w:ascii="Arial" w:hAnsi="Arial" w:eastAsia="宋体" w:cs="Arial"/>
                <w:color w:val="auto"/>
                <w:sz w:val="24"/>
                <w:szCs w:val="24"/>
              </w:rPr>
            </w:pPr>
            <w:r>
              <w:rPr>
                <w:rFonts w:hint="default" w:ascii="Arial" w:hAnsi="Arial" w:eastAsia="宋体" w:cs="Arial"/>
                <w:color w:val="auto"/>
                <w:sz w:val="24"/>
                <w:szCs w:val="24"/>
              </w:rPr>
              <w:t>配送单位出现被</w:t>
            </w:r>
            <w:r>
              <w:rPr>
                <w:rFonts w:hint="default" w:ascii="Arial" w:hAnsi="Arial" w:eastAsia="宋体" w:cs="Arial"/>
                <w:color w:val="auto"/>
                <w:sz w:val="24"/>
                <w:szCs w:val="24"/>
                <w:lang w:val="en-US"/>
              </w:rPr>
              <w:t>监管部门查处的。</w:t>
            </w:r>
          </w:p>
        </w:tc>
        <w:tc>
          <w:tcPr>
            <w:tcW w:w="634" w:type="dxa"/>
            <w:noWrap w:val="0"/>
            <w:vAlign w:val="center"/>
          </w:tcPr>
          <w:p w14:paraId="4B61C2D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5E8834E4">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有违法违规行为</w:t>
            </w:r>
            <w:r>
              <w:rPr>
                <w:rFonts w:hint="default" w:ascii="Arial" w:hAnsi="Arial" w:eastAsia="宋体" w:cs="Arial"/>
                <w:color w:val="auto"/>
                <w:sz w:val="24"/>
                <w:szCs w:val="24"/>
                <w:lang w:eastAsia="zh-CN"/>
              </w:rPr>
              <w:t>被</w:t>
            </w:r>
            <w:r>
              <w:rPr>
                <w:rFonts w:hint="default" w:ascii="Arial" w:hAnsi="Arial" w:eastAsia="宋体" w:cs="Arial"/>
                <w:color w:val="auto"/>
                <w:sz w:val="24"/>
                <w:szCs w:val="24"/>
                <w:lang w:val="en-US"/>
              </w:rPr>
              <w:t>监管部门查处的，每次扣4分。</w:t>
            </w:r>
          </w:p>
        </w:tc>
        <w:tc>
          <w:tcPr>
            <w:tcW w:w="747" w:type="dxa"/>
            <w:noWrap w:val="0"/>
            <w:vAlign w:val="center"/>
          </w:tcPr>
          <w:p w14:paraId="29BCD220">
            <w:pPr>
              <w:rPr>
                <w:rFonts w:hint="default" w:ascii="Arial" w:hAnsi="Arial" w:eastAsia="宋体" w:cs="Arial"/>
                <w:color w:val="auto"/>
                <w:sz w:val="24"/>
                <w:szCs w:val="24"/>
              </w:rPr>
            </w:pPr>
          </w:p>
        </w:tc>
        <w:tc>
          <w:tcPr>
            <w:tcW w:w="763" w:type="dxa"/>
            <w:noWrap w:val="0"/>
            <w:vAlign w:val="center"/>
          </w:tcPr>
          <w:p w14:paraId="2E15C9FD">
            <w:pPr>
              <w:rPr>
                <w:rFonts w:hint="default" w:ascii="Arial" w:hAnsi="Arial" w:eastAsia="宋体" w:cs="Arial"/>
                <w:color w:val="auto"/>
                <w:sz w:val="24"/>
                <w:szCs w:val="24"/>
              </w:rPr>
            </w:pPr>
          </w:p>
        </w:tc>
      </w:tr>
      <w:tr w14:paraId="76E3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629" w:type="dxa"/>
            <w:gridSpan w:val="6"/>
            <w:noWrap w:val="0"/>
            <w:vAlign w:val="center"/>
          </w:tcPr>
          <w:p w14:paraId="20D2A9AC">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满意度测评（教师、学生代表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w:t>
            </w:r>
            <w:r>
              <w:rPr>
                <w:rFonts w:hint="default" w:ascii="Arial" w:hAnsi="Arial" w:eastAsia="宋体" w:cs="Arial"/>
                <w:color w:val="auto"/>
                <w:sz w:val="24"/>
                <w:szCs w:val="24"/>
              </w:rPr>
              <w:t>（</w:t>
            </w:r>
            <w:r>
              <w:rPr>
                <w:rFonts w:hint="default" w:ascii="Arial" w:hAnsi="Arial" w:eastAsia="宋体" w:cs="Arial"/>
                <w:color w:val="auto"/>
                <w:sz w:val="24"/>
                <w:szCs w:val="24"/>
                <w:lang w:val="en-US"/>
              </w:rPr>
              <w:t>30分</w:t>
            </w:r>
            <w:r>
              <w:rPr>
                <w:rFonts w:hint="default" w:ascii="Arial" w:hAnsi="Arial" w:eastAsia="宋体" w:cs="Arial"/>
                <w:color w:val="auto"/>
                <w:sz w:val="24"/>
                <w:szCs w:val="24"/>
              </w:rPr>
              <w:t>）</w:t>
            </w:r>
          </w:p>
        </w:tc>
        <w:tc>
          <w:tcPr>
            <w:tcW w:w="763" w:type="dxa"/>
            <w:noWrap w:val="0"/>
            <w:vAlign w:val="center"/>
          </w:tcPr>
          <w:p w14:paraId="19502DA9">
            <w:pPr>
              <w:rPr>
                <w:rFonts w:hint="default" w:ascii="Arial" w:hAnsi="Arial" w:eastAsia="宋体" w:cs="Arial"/>
                <w:color w:val="auto"/>
                <w:sz w:val="24"/>
                <w:szCs w:val="24"/>
              </w:rPr>
            </w:pPr>
          </w:p>
        </w:tc>
      </w:tr>
      <w:tr w14:paraId="3D0E0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05A5C4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20</w:t>
            </w:r>
          </w:p>
        </w:tc>
        <w:tc>
          <w:tcPr>
            <w:tcW w:w="1281" w:type="dxa"/>
            <w:noWrap w:val="0"/>
            <w:vAlign w:val="center"/>
          </w:tcPr>
          <w:p w14:paraId="3FC2B8C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食材份量</w:t>
            </w:r>
          </w:p>
        </w:tc>
        <w:tc>
          <w:tcPr>
            <w:tcW w:w="3243" w:type="dxa"/>
            <w:noWrap w:val="0"/>
            <w:vAlign w:val="center"/>
          </w:tcPr>
          <w:p w14:paraId="7B7A32C3">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r>
              <w:rPr>
                <w:rFonts w:hint="default" w:ascii="Arial" w:hAnsi="Arial" w:eastAsia="宋体" w:cs="Arial"/>
                <w:color w:val="auto"/>
                <w:sz w:val="24"/>
                <w:szCs w:val="24"/>
                <w:lang w:val="en-US" w:eastAsia="zh-CN"/>
              </w:rPr>
              <w:t>。</w:t>
            </w:r>
          </w:p>
        </w:tc>
        <w:tc>
          <w:tcPr>
            <w:tcW w:w="634" w:type="dxa"/>
            <w:noWrap w:val="0"/>
            <w:vAlign w:val="center"/>
          </w:tcPr>
          <w:p w14:paraId="510F739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r>
              <w:rPr>
                <w:rFonts w:hint="default" w:ascii="Arial" w:hAnsi="Arial" w:eastAsia="宋体" w:cs="Arial"/>
                <w:color w:val="auto"/>
                <w:sz w:val="24"/>
                <w:szCs w:val="24"/>
                <w:lang w:val="en-US" w:eastAsia="zh-CN"/>
              </w:rPr>
              <w:t>0</w:t>
            </w:r>
          </w:p>
        </w:tc>
        <w:tc>
          <w:tcPr>
            <w:tcW w:w="2264" w:type="dxa"/>
            <w:noWrap w:val="0"/>
            <w:vAlign w:val="center"/>
          </w:tcPr>
          <w:p w14:paraId="23B093CE">
            <w:pPr>
              <w:jc w:val="center"/>
              <w:rPr>
                <w:rFonts w:hint="default" w:ascii="Arial" w:hAnsi="Arial" w:eastAsia="宋体" w:cs="Arial"/>
                <w:color w:val="auto"/>
                <w:sz w:val="24"/>
                <w:szCs w:val="24"/>
              </w:rPr>
            </w:pPr>
          </w:p>
        </w:tc>
        <w:tc>
          <w:tcPr>
            <w:tcW w:w="747" w:type="dxa"/>
            <w:noWrap w:val="0"/>
            <w:vAlign w:val="center"/>
          </w:tcPr>
          <w:p w14:paraId="618EA017">
            <w:pPr>
              <w:rPr>
                <w:rFonts w:hint="default" w:ascii="Arial" w:hAnsi="Arial" w:eastAsia="宋体" w:cs="Arial"/>
                <w:color w:val="auto"/>
                <w:sz w:val="24"/>
                <w:szCs w:val="24"/>
              </w:rPr>
            </w:pPr>
          </w:p>
        </w:tc>
        <w:tc>
          <w:tcPr>
            <w:tcW w:w="763" w:type="dxa"/>
            <w:noWrap w:val="0"/>
            <w:vAlign w:val="center"/>
          </w:tcPr>
          <w:p w14:paraId="61AD5C15">
            <w:pPr>
              <w:rPr>
                <w:rFonts w:hint="default" w:ascii="Arial" w:hAnsi="Arial" w:eastAsia="宋体" w:cs="Arial"/>
                <w:color w:val="auto"/>
                <w:sz w:val="24"/>
                <w:szCs w:val="24"/>
              </w:rPr>
            </w:pPr>
          </w:p>
        </w:tc>
      </w:tr>
      <w:tr w14:paraId="64D79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C518F3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21</w:t>
            </w:r>
          </w:p>
        </w:tc>
        <w:tc>
          <w:tcPr>
            <w:tcW w:w="1281" w:type="dxa"/>
            <w:noWrap w:val="0"/>
            <w:vAlign w:val="center"/>
          </w:tcPr>
          <w:p w14:paraId="3145AAC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熟食口感质量、新鲜度</w:t>
            </w:r>
          </w:p>
        </w:tc>
        <w:tc>
          <w:tcPr>
            <w:tcW w:w="3243" w:type="dxa"/>
            <w:noWrap w:val="0"/>
            <w:vAlign w:val="center"/>
          </w:tcPr>
          <w:p w14:paraId="023A3F99">
            <w:pPr>
              <w:jc w:val="center"/>
              <w:rPr>
                <w:rFonts w:hint="default" w:ascii="Arial" w:hAnsi="Arial" w:eastAsia="宋体" w:cs="Arial"/>
                <w:color w:val="auto"/>
                <w:sz w:val="24"/>
                <w:szCs w:val="24"/>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p>
        </w:tc>
        <w:tc>
          <w:tcPr>
            <w:tcW w:w="634" w:type="dxa"/>
            <w:noWrap w:val="0"/>
            <w:vAlign w:val="center"/>
          </w:tcPr>
          <w:p w14:paraId="5B7C7560">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r>
              <w:rPr>
                <w:rFonts w:hint="default" w:ascii="Arial" w:hAnsi="Arial" w:eastAsia="宋体" w:cs="Arial"/>
                <w:color w:val="auto"/>
                <w:sz w:val="24"/>
                <w:szCs w:val="24"/>
                <w:lang w:val="en-US" w:eastAsia="zh-CN"/>
              </w:rPr>
              <w:t>0</w:t>
            </w:r>
          </w:p>
        </w:tc>
        <w:tc>
          <w:tcPr>
            <w:tcW w:w="2264" w:type="dxa"/>
            <w:noWrap w:val="0"/>
            <w:vAlign w:val="center"/>
          </w:tcPr>
          <w:p w14:paraId="3DA655C7">
            <w:pPr>
              <w:jc w:val="center"/>
              <w:rPr>
                <w:rFonts w:hint="default" w:ascii="Arial" w:hAnsi="Arial" w:eastAsia="宋体" w:cs="Arial"/>
                <w:color w:val="auto"/>
                <w:sz w:val="24"/>
                <w:szCs w:val="24"/>
              </w:rPr>
            </w:pPr>
          </w:p>
        </w:tc>
        <w:tc>
          <w:tcPr>
            <w:tcW w:w="747" w:type="dxa"/>
            <w:noWrap w:val="0"/>
            <w:vAlign w:val="center"/>
          </w:tcPr>
          <w:p w14:paraId="4520E60F">
            <w:pPr>
              <w:rPr>
                <w:rFonts w:hint="default" w:ascii="Arial" w:hAnsi="Arial" w:eastAsia="宋体" w:cs="Arial"/>
                <w:color w:val="auto"/>
                <w:sz w:val="24"/>
                <w:szCs w:val="24"/>
              </w:rPr>
            </w:pPr>
          </w:p>
        </w:tc>
        <w:tc>
          <w:tcPr>
            <w:tcW w:w="763" w:type="dxa"/>
            <w:noWrap w:val="0"/>
            <w:vAlign w:val="center"/>
          </w:tcPr>
          <w:p w14:paraId="7812CE2C">
            <w:pPr>
              <w:rPr>
                <w:rFonts w:hint="default" w:ascii="Arial" w:hAnsi="Arial" w:eastAsia="宋体" w:cs="Arial"/>
                <w:color w:val="auto"/>
                <w:sz w:val="24"/>
                <w:szCs w:val="24"/>
              </w:rPr>
            </w:pPr>
          </w:p>
        </w:tc>
      </w:tr>
      <w:tr w14:paraId="5549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F5382A3">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22</w:t>
            </w:r>
          </w:p>
        </w:tc>
        <w:tc>
          <w:tcPr>
            <w:tcW w:w="1281" w:type="dxa"/>
            <w:noWrap w:val="0"/>
            <w:vAlign w:val="center"/>
          </w:tcPr>
          <w:p w14:paraId="6F4D6B50">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综合评价</w:t>
            </w:r>
          </w:p>
        </w:tc>
        <w:tc>
          <w:tcPr>
            <w:tcW w:w="3243" w:type="dxa"/>
            <w:noWrap w:val="0"/>
            <w:vAlign w:val="center"/>
          </w:tcPr>
          <w:p w14:paraId="76F32332">
            <w:pPr>
              <w:jc w:val="center"/>
              <w:rPr>
                <w:rFonts w:hint="default" w:ascii="Arial" w:hAnsi="Arial" w:eastAsia="宋体" w:cs="Arial"/>
                <w:color w:val="auto"/>
                <w:sz w:val="24"/>
                <w:szCs w:val="24"/>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、家长代表就服务态度</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卫生保洁</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工作衔接等工作</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p>
        </w:tc>
        <w:tc>
          <w:tcPr>
            <w:tcW w:w="634" w:type="dxa"/>
            <w:noWrap w:val="0"/>
            <w:vAlign w:val="center"/>
          </w:tcPr>
          <w:p w14:paraId="0000F6C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10</w:t>
            </w:r>
          </w:p>
        </w:tc>
        <w:tc>
          <w:tcPr>
            <w:tcW w:w="2264" w:type="dxa"/>
            <w:noWrap w:val="0"/>
            <w:vAlign w:val="center"/>
          </w:tcPr>
          <w:p w14:paraId="37E06B4D">
            <w:pPr>
              <w:jc w:val="center"/>
              <w:rPr>
                <w:rFonts w:hint="default" w:ascii="Arial" w:hAnsi="Arial" w:eastAsia="宋体" w:cs="Arial"/>
                <w:color w:val="auto"/>
                <w:sz w:val="24"/>
                <w:szCs w:val="24"/>
              </w:rPr>
            </w:pPr>
          </w:p>
        </w:tc>
        <w:tc>
          <w:tcPr>
            <w:tcW w:w="747" w:type="dxa"/>
            <w:noWrap w:val="0"/>
            <w:vAlign w:val="center"/>
          </w:tcPr>
          <w:p w14:paraId="3748ADD3">
            <w:pPr>
              <w:rPr>
                <w:rFonts w:hint="default" w:ascii="Arial" w:hAnsi="Arial" w:eastAsia="宋体" w:cs="Arial"/>
                <w:color w:val="auto"/>
                <w:sz w:val="24"/>
                <w:szCs w:val="24"/>
              </w:rPr>
            </w:pPr>
          </w:p>
        </w:tc>
        <w:tc>
          <w:tcPr>
            <w:tcW w:w="763" w:type="dxa"/>
            <w:noWrap w:val="0"/>
            <w:vAlign w:val="center"/>
          </w:tcPr>
          <w:p w14:paraId="206D921A">
            <w:pPr>
              <w:rPr>
                <w:rFonts w:hint="default" w:ascii="Arial" w:hAnsi="Arial" w:eastAsia="宋体" w:cs="Arial"/>
                <w:color w:val="auto"/>
                <w:sz w:val="24"/>
                <w:szCs w:val="24"/>
              </w:rPr>
            </w:pPr>
          </w:p>
        </w:tc>
      </w:tr>
      <w:tr w14:paraId="1865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84" w:type="dxa"/>
            <w:gridSpan w:val="3"/>
            <w:noWrap w:val="0"/>
            <w:vAlign w:val="center"/>
          </w:tcPr>
          <w:p w14:paraId="3A8EB521">
            <w:pPr>
              <w:jc w:val="center"/>
              <w:rPr>
                <w:rFonts w:hint="default" w:ascii="Arial" w:hAnsi="Arial" w:eastAsia="宋体" w:cs="Arial"/>
                <w:color w:val="auto"/>
                <w:sz w:val="24"/>
                <w:szCs w:val="24"/>
              </w:rPr>
            </w:pPr>
            <w:r>
              <w:rPr>
                <w:rFonts w:hint="default" w:ascii="Arial" w:hAnsi="Arial" w:eastAsia="宋体" w:cs="Arial"/>
                <w:color w:val="auto"/>
                <w:sz w:val="24"/>
                <w:szCs w:val="24"/>
              </w:rPr>
              <w:t>总分</w:t>
            </w:r>
          </w:p>
        </w:tc>
        <w:tc>
          <w:tcPr>
            <w:tcW w:w="4408" w:type="dxa"/>
            <w:gridSpan w:val="4"/>
            <w:noWrap w:val="0"/>
            <w:vAlign w:val="center"/>
          </w:tcPr>
          <w:p w14:paraId="50FE1DA1">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100分</w:t>
            </w:r>
          </w:p>
        </w:tc>
      </w:tr>
    </w:tbl>
    <w:p w14:paraId="784825BC">
      <w:pPr>
        <w:keepNext w:val="0"/>
        <w:keepLines w:val="0"/>
        <w:pageBreakBefore w:val="0"/>
        <w:widowControl/>
        <w:kinsoku/>
        <w:wordWrap/>
        <w:overflowPunct/>
        <w:topLinePunct w:val="0"/>
        <w:autoSpaceDE/>
        <w:autoSpaceDN/>
        <w:bidi w:val="0"/>
        <w:adjustRightInd w:val="0"/>
        <w:snapToGrid/>
        <w:spacing w:line="360" w:lineRule="auto"/>
        <w:ind w:left="0" w:right="0" w:firstLine="482" w:firstLineChars="200"/>
        <w:textAlignment w:val="baseline"/>
        <w:rPr>
          <w:rFonts w:hint="default" w:ascii="Arial" w:hAnsi="Arial" w:eastAsia="宋体" w:cs="Arial"/>
          <w:b/>
          <w:bCs/>
          <w:snapToGrid w:val="0"/>
          <w:color w:val="auto"/>
          <w:kern w:val="0"/>
          <w:sz w:val="24"/>
          <w:szCs w:val="24"/>
          <w:lang w:val="en-US" w:eastAsia="zh-CN"/>
        </w:rPr>
      </w:pPr>
      <w:r>
        <w:rPr>
          <w:rFonts w:hint="default" w:ascii="Arial" w:hAnsi="Arial" w:eastAsia="宋体" w:cs="Arial"/>
          <w:b/>
          <w:bCs/>
          <w:snapToGrid w:val="0"/>
          <w:color w:val="auto"/>
          <w:kern w:val="0"/>
          <w:sz w:val="24"/>
          <w:szCs w:val="24"/>
          <w:lang w:val="en-US" w:eastAsia="zh-CN"/>
        </w:rPr>
        <w:t>四</w:t>
      </w:r>
      <w:r>
        <w:rPr>
          <w:rFonts w:hint="default" w:ascii="Arial" w:hAnsi="Arial" w:eastAsia="宋体" w:cs="Arial"/>
          <w:b/>
          <w:bCs/>
          <w:snapToGrid w:val="0"/>
          <w:color w:val="auto"/>
          <w:kern w:val="0"/>
          <w:sz w:val="24"/>
          <w:szCs w:val="24"/>
        </w:rPr>
        <w:t>、商务</w:t>
      </w:r>
      <w:r>
        <w:rPr>
          <w:rFonts w:hint="eastAsia" w:ascii="Arial" w:hAnsi="Arial" w:eastAsia="宋体" w:cs="Arial"/>
          <w:b/>
          <w:bCs/>
          <w:snapToGrid w:val="0"/>
          <w:color w:val="auto"/>
          <w:kern w:val="0"/>
          <w:sz w:val="24"/>
          <w:szCs w:val="24"/>
          <w:lang w:val="en-US" w:eastAsia="zh-CN"/>
        </w:rPr>
        <w:t>条款</w:t>
      </w:r>
    </w:p>
    <w:p w14:paraId="45F78356">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1</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配送地点：</w:t>
      </w:r>
      <w:r>
        <w:rPr>
          <w:rFonts w:hint="eastAsia" w:ascii="Arial" w:hAnsi="Arial" w:eastAsia="宋体" w:cs="Arial"/>
          <w:snapToGrid w:val="0"/>
          <w:color w:val="auto"/>
          <w:kern w:val="0"/>
          <w:sz w:val="24"/>
          <w:szCs w:val="24"/>
          <w:lang w:val="en-US" w:eastAsia="zh-CN"/>
        </w:rPr>
        <w:t>遂川县</w:t>
      </w:r>
      <w:r>
        <w:rPr>
          <w:rFonts w:hint="eastAsia" w:eastAsia="宋体" w:cs="Arial"/>
          <w:snapToGrid w:val="0"/>
          <w:color w:val="auto"/>
          <w:kern w:val="0"/>
          <w:sz w:val="24"/>
          <w:szCs w:val="24"/>
          <w:lang w:val="en-US" w:eastAsia="zh-CN"/>
        </w:rPr>
        <w:t>泉江</w:t>
      </w:r>
      <w:r>
        <w:rPr>
          <w:rFonts w:hint="eastAsia" w:ascii="Arial" w:hAnsi="Arial" w:eastAsia="宋体" w:cs="Arial"/>
          <w:snapToGrid w:val="0"/>
          <w:color w:val="auto"/>
          <w:kern w:val="0"/>
          <w:sz w:val="24"/>
          <w:szCs w:val="24"/>
          <w:lang w:val="en-US" w:eastAsia="zh-CN"/>
        </w:rPr>
        <w:t>小学、</w:t>
      </w:r>
      <w:r>
        <w:rPr>
          <w:rFonts w:hint="eastAsia" w:eastAsia="宋体" w:cs="Arial"/>
          <w:snapToGrid w:val="0"/>
          <w:color w:val="auto"/>
          <w:kern w:val="0"/>
          <w:sz w:val="24"/>
          <w:szCs w:val="24"/>
          <w:lang w:val="en-US" w:eastAsia="zh-CN"/>
        </w:rPr>
        <w:t>八角楼</w:t>
      </w:r>
      <w:r>
        <w:rPr>
          <w:rFonts w:hint="eastAsia" w:ascii="Arial" w:hAnsi="Arial" w:eastAsia="宋体" w:cs="Arial"/>
          <w:snapToGrid w:val="0"/>
          <w:color w:val="auto"/>
          <w:kern w:val="0"/>
          <w:sz w:val="24"/>
          <w:szCs w:val="24"/>
          <w:lang w:val="en-US" w:eastAsia="zh-CN"/>
        </w:rPr>
        <w:t>小学</w:t>
      </w:r>
      <w:r>
        <w:rPr>
          <w:rFonts w:hint="default" w:ascii="Arial" w:hAnsi="Arial" w:eastAsia="宋体" w:cs="Arial"/>
          <w:snapToGrid w:val="0"/>
          <w:color w:val="auto"/>
          <w:kern w:val="0"/>
          <w:sz w:val="24"/>
          <w:szCs w:val="24"/>
        </w:rPr>
        <w:t>。</w:t>
      </w:r>
    </w:p>
    <w:p w14:paraId="5E6BAC13">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2</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服务期限：</w:t>
      </w:r>
      <w:r>
        <w:rPr>
          <w:rFonts w:hint="eastAsia" w:ascii="Arial" w:hAnsi="Arial" w:eastAsia="Arial" w:cs="Arial"/>
          <w:snapToGrid w:val="0"/>
          <w:color w:val="auto"/>
          <w:kern w:val="0"/>
          <w:sz w:val="24"/>
          <w:szCs w:val="24"/>
          <w:highlight w:val="none"/>
          <w:lang w:val="en-US" w:eastAsia="zh-CN"/>
        </w:rPr>
        <w:t>壹年，具体起始时间以签订合同为准</w:t>
      </w:r>
      <w:r>
        <w:rPr>
          <w:rFonts w:hint="default" w:ascii="Arial" w:hAnsi="Arial" w:eastAsia="宋体" w:cs="Arial"/>
          <w:color w:val="auto"/>
          <w:sz w:val="24"/>
          <w:szCs w:val="24"/>
        </w:rPr>
        <w:t>。</w:t>
      </w:r>
    </w:p>
    <w:p w14:paraId="071FB683">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3</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订餐和餐费结算：实行自愿订餐。有订餐意愿的学生，在每月初自主选定当月用餐食谱，家长在赣服通缴订餐费，</w:t>
      </w:r>
      <w:r>
        <w:rPr>
          <w:rFonts w:hint="default" w:ascii="Arial" w:hAnsi="Arial" w:eastAsia="宋体" w:cs="Arial"/>
          <w:snapToGrid w:val="0"/>
          <w:color w:val="auto"/>
          <w:kern w:val="0"/>
          <w:sz w:val="24"/>
          <w:szCs w:val="24"/>
          <w:lang w:val="en-US" w:eastAsia="zh-CN"/>
        </w:rPr>
        <w:t>中标人</w:t>
      </w:r>
      <w:r>
        <w:rPr>
          <w:rFonts w:hint="default" w:ascii="Arial" w:hAnsi="Arial" w:eastAsia="宋体" w:cs="Arial"/>
          <w:snapToGrid w:val="0"/>
          <w:color w:val="auto"/>
          <w:kern w:val="0"/>
          <w:sz w:val="24"/>
          <w:szCs w:val="24"/>
        </w:rPr>
        <w:t>通过学校按月报账。一般以一个月或一个学期为一个订餐周期。</w:t>
      </w:r>
    </w:p>
    <w:p w14:paraId="5F4A1DED">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4</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中标人确定后，采购人将根据实际情况向中标人采购其所需服务或食品，但采购人不保证向中标人采购的具体数额，本项目的采购预算金额仅作参考，具体以每个月采购的数量为准。结算方式：按实际供货量结算。(注：</w:t>
      </w:r>
      <w:r>
        <w:rPr>
          <w:rFonts w:hint="default" w:ascii="Arial" w:hAnsi="Arial" w:eastAsia="宋体" w:cs="Arial"/>
          <w:snapToGrid w:val="0"/>
          <w:color w:val="auto"/>
          <w:kern w:val="0"/>
          <w:sz w:val="24"/>
          <w:szCs w:val="24"/>
          <w:lang w:val="en-US" w:eastAsia="zh-CN"/>
        </w:rPr>
        <w:t>中标</w:t>
      </w:r>
      <w:r>
        <w:rPr>
          <w:rFonts w:hint="default" w:ascii="Arial" w:hAnsi="Arial" w:eastAsia="宋体" w:cs="Arial"/>
          <w:snapToGrid w:val="0"/>
          <w:color w:val="auto"/>
          <w:kern w:val="0"/>
          <w:sz w:val="24"/>
          <w:szCs w:val="24"/>
        </w:rPr>
        <w:t>资格的取得并不意味着食品(服务)的售出，采购人无法保证向中标人采购的数量)。</w:t>
      </w:r>
    </w:p>
    <w:p w14:paraId="1605F3E9">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5</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临时配送服务：根据实际情况计划内和临时配送并存，特别在采购人临时有任务时，为保障采购人的用餐需要，中标人应予以全力配合，能提供临时配餐服务。</w:t>
      </w:r>
    </w:p>
    <w:p w14:paraId="70802535">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报价包含中标人的食品成本、配送费、保险费、食品安全检验费、食品安全责任风险费、利润及税金等本项目一切可能发生的费用。</w:t>
      </w:r>
    </w:p>
    <w:p w14:paraId="7F23AD4B">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中标人应加强相应安全管理，中标人在项目实施或服务过程中发生的任何安全事故均由中标人承担，采购人不承担任何法律及经济责任。</w:t>
      </w:r>
    </w:p>
    <w:p w14:paraId="4D8727E6">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8</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lang w:val="en-US" w:eastAsia="zh-CN"/>
        </w:rPr>
        <w:t>在合同履行期间，如因中标人原因无法继续履行合同或按照招标文件规定被采购人取消其配送资格的，在合格投标人符合法定数量时，采购人有权顺延评审排序第二的投标人签订午餐集中配餐合同或重新组织招标。</w:t>
      </w:r>
    </w:p>
    <w:p w14:paraId="7885CDFC">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9</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投标人应全面了解本项目情况，并自行承担一切可能存在的潜在风险。</w:t>
      </w:r>
    </w:p>
    <w:p w14:paraId="68C71124">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10</w:t>
      </w:r>
      <w:r>
        <w:rPr>
          <w:rFonts w:hint="default" w:ascii="Arial" w:hAnsi="Arial" w:eastAsia="宋体" w:cs="Arial"/>
          <w:bCs/>
          <w:color w:val="auto"/>
          <w:sz w:val="24"/>
          <w:szCs w:val="24"/>
        </w:rPr>
        <w:t>、其他未尽事宜，请与采购人联系，以合同签订为准。</w:t>
      </w:r>
    </w:p>
    <w:p w14:paraId="4C75097D">
      <w:pPr>
        <w:pStyle w:val="2"/>
        <w:rPr>
          <w:rFonts w:hint="default" w:ascii="Arial" w:hAnsi="Arial" w:eastAsia="宋体" w:cs="Arial"/>
          <w:bCs/>
          <w:color w:val="auto"/>
          <w:sz w:val="24"/>
          <w:szCs w:val="24"/>
        </w:rPr>
      </w:pPr>
    </w:p>
    <w:p w14:paraId="41E190AD">
      <w:pPr>
        <w:rPr>
          <w:rFonts w:hint="default" w:ascii="Arial" w:hAnsi="Arial" w:eastAsia="宋体" w:cs="Arial"/>
          <w:bCs/>
          <w:color w:val="auto"/>
          <w:sz w:val="24"/>
          <w:szCs w:val="24"/>
        </w:rPr>
      </w:pPr>
    </w:p>
    <w:p w14:paraId="683F8DBD">
      <w:pPr>
        <w:pStyle w:val="2"/>
        <w:rPr>
          <w:rFonts w:hint="default" w:ascii="Arial" w:hAnsi="Arial" w:eastAsia="宋体" w:cs="Arial"/>
          <w:bCs/>
          <w:color w:val="auto"/>
          <w:sz w:val="24"/>
          <w:szCs w:val="24"/>
        </w:rPr>
      </w:pPr>
    </w:p>
    <w:p w14:paraId="5CAA26E3">
      <w:pPr>
        <w:rPr>
          <w:rFonts w:hint="default" w:ascii="Arial" w:hAnsi="Arial" w:eastAsia="宋体" w:cs="Arial"/>
          <w:bCs/>
          <w:color w:val="auto"/>
          <w:sz w:val="24"/>
          <w:szCs w:val="24"/>
        </w:rPr>
      </w:pPr>
    </w:p>
    <w:p w14:paraId="0A9495BA">
      <w:pPr>
        <w:pStyle w:val="2"/>
        <w:rPr>
          <w:rFonts w:hint="default" w:ascii="Arial" w:hAnsi="Arial" w:eastAsia="宋体" w:cs="Arial"/>
          <w:bCs/>
          <w:color w:val="auto"/>
          <w:sz w:val="24"/>
          <w:szCs w:val="24"/>
        </w:rPr>
      </w:pPr>
    </w:p>
    <w:p w14:paraId="7E8CEE63">
      <w:pPr>
        <w:rPr>
          <w:rFonts w:hint="default" w:ascii="Arial" w:hAnsi="Arial" w:eastAsia="宋体" w:cs="Arial"/>
          <w:bCs/>
          <w:color w:val="auto"/>
          <w:sz w:val="24"/>
          <w:szCs w:val="24"/>
        </w:rPr>
      </w:pPr>
    </w:p>
    <w:p w14:paraId="5794E6C0">
      <w:pPr>
        <w:pStyle w:val="2"/>
        <w:rPr>
          <w:rFonts w:hint="default" w:ascii="Arial" w:hAnsi="Arial" w:eastAsia="宋体" w:cs="Arial"/>
          <w:bCs/>
          <w:color w:val="auto"/>
          <w:sz w:val="24"/>
          <w:szCs w:val="24"/>
        </w:rPr>
      </w:pPr>
    </w:p>
    <w:p w14:paraId="23604A9F">
      <w:pPr>
        <w:rPr>
          <w:rFonts w:hint="default" w:ascii="Arial" w:hAnsi="Arial" w:eastAsia="宋体" w:cs="Arial"/>
          <w:bCs/>
          <w:color w:val="auto"/>
          <w:sz w:val="24"/>
          <w:szCs w:val="24"/>
        </w:rPr>
      </w:pPr>
    </w:p>
    <w:p w14:paraId="734AAEBF">
      <w:pPr>
        <w:pStyle w:val="2"/>
        <w:rPr>
          <w:rFonts w:hint="default" w:ascii="Arial" w:hAnsi="Arial" w:eastAsia="宋体" w:cs="Arial"/>
          <w:bCs/>
          <w:color w:val="auto"/>
          <w:sz w:val="24"/>
          <w:szCs w:val="24"/>
        </w:rPr>
      </w:pPr>
    </w:p>
    <w:p w14:paraId="215FE38F">
      <w:pPr>
        <w:rPr>
          <w:rFonts w:hint="default" w:ascii="Arial" w:hAnsi="Arial" w:eastAsia="宋体" w:cs="Arial"/>
          <w:bCs/>
          <w:color w:val="auto"/>
          <w:sz w:val="24"/>
          <w:szCs w:val="24"/>
        </w:rPr>
      </w:pPr>
    </w:p>
    <w:p w14:paraId="0A10FF3E">
      <w:pPr>
        <w:pStyle w:val="2"/>
        <w:rPr>
          <w:rFonts w:hint="default"/>
        </w:rPr>
      </w:pPr>
    </w:p>
    <w:p w14:paraId="48C897DE">
      <w:pPr>
        <w:bidi w:val="0"/>
        <w:rPr>
          <w:rFonts w:hint="default"/>
        </w:rPr>
      </w:pPr>
    </w:p>
    <w:p w14:paraId="6B6DB80D">
      <w:pPr>
        <w:pStyle w:val="4"/>
        <w:jc w:val="both"/>
        <w:rPr>
          <w:rFonts w:hint="default"/>
        </w:rPr>
      </w:pPr>
    </w:p>
    <w:p w14:paraId="2CDE0B9C">
      <w:pPr>
        <w:pageBreakBefore w:val="0"/>
        <w:widowControl w:val="0"/>
        <w:numPr>
          <w:ilvl w:val="0"/>
          <w:numId w:val="8"/>
        </w:numPr>
        <w:wordWrap/>
        <w:overflowPunct/>
        <w:topLinePunct w:val="0"/>
        <w:bidi w:val="0"/>
        <w:spacing w:before="63" w:line="224" w:lineRule="auto"/>
        <w:jc w:val="center"/>
        <w:outlineLvl w:val="0"/>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pPr>
      <w:bookmarkStart w:id="363" w:name="_Toc15450"/>
      <w:bookmarkStart w:id="364" w:name="_Toc505955294"/>
      <w:bookmarkStart w:id="365" w:name="_Toc24752"/>
      <w:bookmarkStart w:id="366" w:name="_Toc5677_WPSOffice_Level1"/>
      <w:bookmarkStart w:id="367" w:name="_Toc22353"/>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评审标准</w:t>
      </w:r>
      <w:bookmarkEnd w:id="363"/>
      <w:bookmarkEnd w:id="364"/>
    </w:p>
    <w:p w14:paraId="48D9E3BE">
      <w:pPr>
        <w:pStyle w:val="8"/>
        <w:numPr>
          <w:ilvl w:val="0"/>
          <w:numId w:val="0"/>
        </w:numPr>
        <w:rPr>
          <w:rFonts w:hint="eastAsia"/>
          <w:color w:val="auto"/>
          <w:highlight w:val="none"/>
          <w:lang w:eastAsia="zh-CN"/>
        </w:rPr>
      </w:pPr>
    </w:p>
    <w:p w14:paraId="377EE3E8">
      <w:pPr>
        <w:pageBreakBefore w:val="0"/>
        <w:widowControl w:val="0"/>
        <w:wordWrap/>
        <w:overflowPunct/>
        <w:topLinePunct w:val="0"/>
        <w:bidi w:val="0"/>
        <w:spacing w:before="78" w:line="220" w:lineRule="auto"/>
        <w:outlineLvl w:val="1"/>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pPr>
      <w:bookmarkStart w:id="368" w:name="_Toc31089"/>
      <w:bookmarkStart w:id="369" w:name="_Toc28125"/>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一、符合性审查</w:t>
      </w:r>
      <w:bookmarkEnd w:id="368"/>
      <w:bookmarkEnd w:id="369"/>
    </w:p>
    <w:p w14:paraId="777CF15C">
      <w:pPr>
        <w:spacing w:line="400" w:lineRule="exact"/>
        <w:ind w:left="563" w:leftChars="114" w:hanging="324" w:hangingChars="135"/>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出现</w:t>
      </w:r>
      <w:r>
        <w:rPr>
          <w:rFonts w:hint="eastAsia" w:ascii="宋体" w:hAnsi="宋体" w:cs="宋体"/>
          <w:b/>
          <w:color w:val="auto"/>
          <w:sz w:val="24"/>
          <w:szCs w:val="24"/>
          <w:highlight w:val="none"/>
        </w:rPr>
        <w:t>下列情况之一的，其</w:t>
      </w:r>
      <w:r>
        <w:rPr>
          <w:rFonts w:hint="eastAsia" w:ascii="宋体" w:hAnsi="宋体" w:cs="宋体"/>
          <w:b/>
          <w:color w:val="auto"/>
          <w:sz w:val="24"/>
          <w:szCs w:val="24"/>
          <w:highlight w:val="none"/>
          <w:lang w:val="en-US" w:eastAsia="zh-CN"/>
        </w:rPr>
        <w:t>响应文件</w:t>
      </w:r>
      <w:r>
        <w:rPr>
          <w:rFonts w:hint="eastAsia" w:ascii="宋体" w:hAnsi="宋体" w:cs="宋体"/>
          <w:b/>
          <w:color w:val="auto"/>
          <w:sz w:val="24"/>
          <w:szCs w:val="24"/>
          <w:highlight w:val="none"/>
        </w:rPr>
        <w:t>将作无效</w:t>
      </w:r>
      <w:r>
        <w:rPr>
          <w:rFonts w:hint="eastAsia" w:ascii="宋体" w:hAnsi="宋体" w:cs="宋体"/>
          <w:b/>
          <w:color w:val="auto"/>
          <w:sz w:val="24"/>
          <w:szCs w:val="24"/>
          <w:highlight w:val="none"/>
          <w:lang w:val="en-US" w:eastAsia="zh-CN"/>
        </w:rPr>
        <w:t>响应</w:t>
      </w:r>
      <w:r>
        <w:rPr>
          <w:rFonts w:hint="eastAsia" w:ascii="宋体" w:hAnsi="宋体" w:cs="宋体"/>
          <w:b/>
          <w:color w:val="auto"/>
          <w:sz w:val="24"/>
          <w:szCs w:val="24"/>
          <w:highlight w:val="none"/>
        </w:rPr>
        <w:t>处理：</w:t>
      </w:r>
    </w:p>
    <w:p w14:paraId="5B8C200C">
      <w:pPr>
        <w:spacing w:line="400" w:lineRule="exact"/>
        <w:outlineLvl w:val="2"/>
        <w:rPr>
          <w:rFonts w:ascii="宋体" w:hAnsi="宋体" w:cs="宋体"/>
          <w:color w:val="auto"/>
          <w:sz w:val="24"/>
          <w:szCs w:val="24"/>
          <w:highlight w:val="none"/>
        </w:rPr>
      </w:pPr>
      <w:bookmarkStart w:id="370" w:name="_Toc9503"/>
      <w:bookmarkStart w:id="371" w:name="_Toc29964"/>
      <w:r>
        <w:rPr>
          <w:rFonts w:hint="eastAsia" w:ascii="宋体" w:hAnsi="宋体" w:cs="宋体"/>
          <w:color w:val="auto"/>
          <w:sz w:val="24"/>
          <w:szCs w:val="24"/>
          <w:highlight w:val="none"/>
        </w:rPr>
        <w:t xml:space="preserve">1) </w:t>
      </w:r>
      <w:bookmarkEnd w:id="370"/>
      <w:bookmarkEnd w:id="371"/>
      <w:r>
        <w:rPr>
          <w:rFonts w:hint="eastAsia" w:ascii="宋体" w:hAnsi="宋体" w:cs="宋体"/>
          <w:color w:val="auto"/>
          <w:sz w:val="24"/>
          <w:szCs w:val="24"/>
          <w:highlight w:val="none"/>
          <w:lang w:val="en-US" w:eastAsia="zh-CN"/>
        </w:rPr>
        <w:t>未</w:t>
      </w:r>
      <w:r>
        <w:rPr>
          <w:rFonts w:hint="eastAsia" w:ascii="宋体" w:hAnsi="宋体" w:cs="宋体"/>
          <w:color w:val="auto"/>
          <w:sz w:val="24"/>
          <w:szCs w:val="24"/>
          <w:highlight w:val="none"/>
        </w:rPr>
        <w:t>提交</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一览表；</w:t>
      </w:r>
    </w:p>
    <w:p w14:paraId="72266C76">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GB"/>
        </w:rPr>
        <w:t>未提供磋商保证金或金额不足，磋商保证金形式不符合磋商文件要求的；</w:t>
      </w:r>
      <w:r>
        <w:rPr>
          <w:rFonts w:hint="eastAsia" w:ascii="宋体" w:hAnsi="宋体" w:cs="宋体"/>
          <w:color w:val="auto"/>
          <w:sz w:val="24"/>
          <w:szCs w:val="24"/>
          <w:highlight w:val="none"/>
        </w:rPr>
        <w:t xml:space="preserve"> </w:t>
      </w:r>
    </w:p>
    <w:p w14:paraId="240C91E2">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GB"/>
        </w:rPr>
        <w:t>未按磋商</w:t>
      </w:r>
      <w:r>
        <w:rPr>
          <w:rFonts w:hint="eastAsia" w:ascii="宋体" w:hAnsi="宋体" w:cs="宋体"/>
          <w:color w:val="auto"/>
          <w:sz w:val="24"/>
          <w:szCs w:val="24"/>
          <w:highlight w:val="none"/>
        </w:rPr>
        <w:t>文件“第四章 响应文件格式”的规定提供</w:t>
      </w:r>
      <w:r>
        <w:rPr>
          <w:rFonts w:hint="eastAsia" w:ascii="宋体" w:hAnsi="宋体" w:cs="宋体"/>
          <w:color w:val="auto"/>
          <w:sz w:val="24"/>
          <w:szCs w:val="24"/>
          <w:highlight w:val="none"/>
          <w:lang w:val="en-GB"/>
        </w:rPr>
        <w:t>资格、资信证明文件的；</w:t>
      </w:r>
    </w:p>
    <w:p w14:paraId="2CFF51C0">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4）未按磋商文件要求签字、签章的，或签字（签章）人无法定代表人有效委托的；</w:t>
      </w:r>
    </w:p>
    <w:p w14:paraId="2F871A8C">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GB"/>
        </w:rPr>
        <w:t>磋商有效期响应不足的；</w:t>
      </w:r>
    </w:p>
    <w:p w14:paraId="32B31D97">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GB"/>
        </w:rPr>
        <w:t>技术文件技术规格中的响应与事实不符或虚假响应的；</w:t>
      </w:r>
    </w:p>
    <w:p w14:paraId="19C63BA7">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rPr>
        <w:t>7）超过了采购项目预算或最高限价的；</w:t>
      </w:r>
    </w:p>
    <w:p w14:paraId="0F656100">
      <w:pPr>
        <w:spacing w:line="400" w:lineRule="exact"/>
        <w:rPr>
          <w:rFonts w:ascii="宋体" w:hAnsi="宋体" w:cs="宋体"/>
          <w:b/>
          <w:color w:val="auto"/>
          <w:sz w:val="32"/>
          <w:szCs w:val="32"/>
          <w:highlight w:val="none"/>
        </w:rPr>
      </w:pPr>
      <w:r>
        <w:rPr>
          <w:rFonts w:hint="eastAsia" w:ascii="宋体" w:hAnsi="宋体" w:cs="宋体"/>
          <w:color w:val="auto"/>
          <w:sz w:val="24"/>
          <w:szCs w:val="24"/>
          <w:highlight w:val="none"/>
        </w:rPr>
        <w:t>8）磋商文件规定的其他响应无效条款。</w:t>
      </w:r>
    </w:p>
    <w:p w14:paraId="412CE625">
      <w:pPr>
        <w:rPr>
          <w:rFonts w:ascii="宋体" w:hAnsi="宋体" w:cs="宋体"/>
          <w:color w:val="auto"/>
          <w:highlight w:val="none"/>
        </w:rPr>
      </w:pPr>
    </w:p>
    <w:p w14:paraId="1711F1E3">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废标情形</w:t>
      </w:r>
    </w:p>
    <w:p w14:paraId="0BA4C129">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采购中，出现下列情形之一的，应予</w:t>
      </w:r>
      <w:r>
        <w:rPr>
          <w:rFonts w:hint="eastAsia" w:ascii="宋体" w:hAnsi="宋体" w:cs="宋体"/>
          <w:color w:val="auto"/>
          <w:sz w:val="24"/>
          <w:szCs w:val="24"/>
          <w:highlight w:val="none"/>
          <w:lang w:val="en-US" w:eastAsia="zh-CN"/>
        </w:rPr>
        <w:t>终止采购活动</w:t>
      </w:r>
      <w:r>
        <w:rPr>
          <w:rFonts w:hint="eastAsia" w:ascii="宋体" w:hAnsi="宋体" w:cs="宋体"/>
          <w:color w:val="auto"/>
          <w:sz w:val="24"/>
          <w:szCs w:val="24"/>
          <w:highlight w:val="none"/>
        </w:rPr>
        <w:t>：</w:t>
      </w:r>
    </w:p>
    <w:p w14:paraId="3A31F2DF">
      <w:pPr>
        <w:spacing w:line="44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1）符合专业条件的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或者对</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作实质响应的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不足三家的；政府购买服务项目（含政府和社会资本合作项目），在采购过程中符合要求的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（社会资本）只有2家的，磋商采购活动可以继续进行，采购过程中符合要求的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（社会资本）只有1家的，采购人或者采购代理机构应当终止磋商采购活动</w:t>
      </w:r>
      <w:r>
        <w:rPr>
          <w:rFonts w:hint="eastAsia" w:ascii="宋体" w:hAnsi="宋体" w:eastAsia="宋体" w:cs="宋体"/>
          <w:color w:val="auto"/>
          <w:sz w:val="24"/>
          <w:szCs w:val="24"/>
          <w:highlight w:val="none"/>
          <w:lang w:eastAsia="zh-CN"/>
        </w:rPr>
        <w:t>；</w:t>
      </w:r>
    </w:p>
    <w:p w14:paraId="2F273998">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5B2398B1">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服务商</w:t>
      </w:r>
      <w:r>
        <w:rPr>
          <w:rFonts w:hint="eastAsia" w:ascii="宋体" w:hAnsi="宋体" w:cs="宋体"/>
          <w:color w:val="auto"/>
          <w:sz w:val="24"/>
          <w:szCs w:val="24"/>
          <w:highlight w:val="none"/>
        </w:rPr>
        <w:t>的报价均超过了采购预算，采购人不能支付的；</w:t>
      </w:r>
    </w:p>
    <w:p w14:paraId="67BF5EF1">
      <w:pPr>
        <w:spacing w:line="440" w:lineRule="exact"/>
        <w:ind w:firstLine="240" w:firstLineChars="100"/>
        <w:rPr>
          <w:rFonts w:cs="仿宋" w:asciiTheme="minorEastAsia" w:hAnsiTheme="minorEastAsia" w:eastAsiaTheme="minorEastAsia"/>
          <w:b/>
          <w:color w:val="auto"/>
          <w:sz w:val="24"/>
          <w:szCs w:val="24"/>
          <w:highlight w:val="none"/>
        </w:rPr>
      </w:pPr>
      <w:r>
        <w:rPr>
          <w:rFonts w:hint="eastAsia" w:ascii="宋体" w:hAnsi="宋体" w:cs="宋体"/>
          <w:color w:val="auto"/>
          <w:sz w:val="24"/>
          <w:szCs w:val="24"/>
          <w:highlight w:val="none"/>
        </w:rPr>
        <w:t>4）因重大变故，采购任务取消。</w:t>
      </w:r>
    </w:p>
    <w:p w14:paraId="57341A6F">
      <w:pPr>
        <w:spacing w:line="460" w:lineRule="exact"/>
        <w:ind w:firstLine="361" w:firstLineChars="150"/>
        <w:jc w:val="left"/>
        <w:outlineLvl w:val="9"/>
        <w:rPr>
          <w:rFonts w:hint="eastAsia" w:asciiTheme="minorEastAsia" w:hAnsiTheme="minorEastAsia" w:eastAsiaTheme="minorEastAsia" w:cstheme="minorEastAsia"/>
          <w:b/>
          <w:bCs/>
          <w:color w:val="auto"/>
          <w:sz w:val="24"/>
          <w:highlight w:val="none"/>
        </w:rPr>
      </w:pPr>
      <w:bookmarkStart w:id="372" w:name="_Toc500258558"/>
      <w:bookmarkStart w:id="373" w:name="_Toc505020183"/>
      <w:bookmarkStart w:id="374" w:name="_Toc499818239"/>
      <w:bookmarkStart w:id="375" w:name="_Toc504641993"/>
    </w:p>
    <w:bookmarkEnd w:id="372"/>
    <w:bookmarkEnd w:id="373"/>
    <w:bookmarkEnd w:id="374"/>
    <w:bookmarkEnd w:id="375"/>
    <w:p w14:paraId="171A0593">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EC5C725">
      <w:pPr>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241" w:firstLineChars="100"/>
        <w:textAlignment w:val="baseline"/>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376" w:name="_Toc20116"/>
      <w:bookmarkStart w:id="377" w:name="_Toc32336"/>
      <w:r>
        <w:rPr>
          <w:rFonts w:hint="eastAsia" w:ascii="宋体" w:hAnsi="宋体" w:eastAsia="宋体"/>
          <w:b/>
          <w:bCs/>
          <w:color w:val="auto"/>
          <w:sz w:val="24"/>
          <w:szCs w:val="24"/>
          <w:lang w:val="en-US" w:eastAsia="zh-CN"/>
        </w:rPr>
        <w:t>附件：</w:t>
      </w:r>
      <w:r>
        <w:rPr>
          <w:rFonts w:hint="eastAsia" w:ascii="宋体" w:hAnsi="宋体"/>
          <w:b/>
          <w:bCs/>
          <w:color w:val="auto"/>
          <w:sz w:val="24"/>
          <w:szCs w:val="24"/>
        </w:rPr>
        <w:t>评标细则及标准（综合评分法）</w:t>
      </w:r>
    </w:p>
    <w:bookmarkEnd w:id="362"/>
    <w:bookmarkEnd w:id="365"/>
    <w:bookmarkEnd w:id="366"/>
    <w:bookmarkEnd w:id="367"/>
    <w:bookmarkEnd w:id="376"/>
    <w:bookmarkEnd w:id="377"/>
    <w:tbl>
      <w:tblPr>
        <w:tblStyle w:val="21"/>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1050"/>
        <w:gridCol w:w="6887"/>
        <w:gridCol w:w="765"/>
      </w:tblGrid>
      <w:tr w14:paraId="07E4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870" w:type="dxa"/>
            <w:gridSpan w:val="2"/>
            <w:noWrap w:val="0"/>
            <w:vAlign w:val="center"/>
          </w:tcPr>
          <w:p w14:paraId="1E2AB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评分项目</w:t>
            </w:r>
          </w:p>
        </w:tc>
        <w:tc>
          <w:tcPr>
            <w:tcW w:w="6887" w:type="dxa"/>
            <w:noWrap w:val="0"/>
            <w:vAlign w:val="center"/>
          </w:tcPr>
          <w:p w14:paraId="35ABF6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评分细则</w:t>
            </w:r>
          </w:p>
        </w:tc>
        <w:tc>
          <w:tcPr>
            <w:tcW w:w="765" w:type="dxa"/>
            <w:noWrap w:val="0"/>
            <w:vAlign w:val="center"/>
          </w:tcPr>
          <w:p w14:paraId="1817EB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分值</w:t>
            </w:r>
          </w:p>
        </w:tc>
      </w:tr>
      <w:tr w14:paraId="786C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restart"/>
            <w:noWrap w:val="0"/>
            <w:vAlign w:val="center"/>
          </w:tcPr>
          <w:p w14:paraId="52957B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技术部分</w:t>
            </w:r>
          </w:p>
          <w:p w14:paraId="0CA137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w:t>
            </w:r>
            <w:r>
              <w:rPr>
                <w:rFonts w:hint="default" w:ascii="Arial" w:hAnsi="Arial" w:cs="Arial"/>
                <w:color w:val="auto"/>
                <w:sz w:val="24"/>
                <w:szCs w:val="24"/>
                <w:highlight w:val="none"/>
                <w:lang w:val="en-US" w:eastAsia="zh-CN"/>
              </w:rPr>
              <w:t>8</w:t>
            </w:r>
            <w:r>
              <w:rPr>
                <w:rFonts w:hint="eastAsia" w:ascii="Arial" w:hAnsi="Arial" w:cs="Arial"/>
                <w:color w:val="auto"/>
                <w:sz w:val="24"/>
                <w:szCs w:val="24"/>
                <w:highlight w:val="none"/>
                <w:lang w:val="en-US" w:eastAsia="zh-CN"/>
              </w:rPr>
              <w:t>0</w:t>
            </w:r>
            <w:r>
              <w:rPr>
                <w:rFonts w:hint="default" w:ascii="Arial" w:hAnsi="Arial" w:cs="Arial"/>
                <w:color w:val="auto"/>
                <w:sz w:val="24"/>
                <w:szCs w:val="24"/>
                <w:highlight w:val="none"/>
              </w:rPr>
              <w:t>分）</w:t>
            </w:r>
          </w:p>
        </w:tc>
        <w:tc>
          <w:tcPr>
            <w:tcW w:w="1050" w:type="dxa"/>
            <w:noWrap w:val="0"/>
            <w:vAlign w:val="center"/>
          </w:tcPr>
          <w:p w14:paraId="41823B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技术基础分</w:t>
            </w:r>
          </w:p>
        </w:tc>
        <w:tc>
          <w:tcPr>
            <w:tcW w:w="6887" w:type="dxa"/>
            <w:noWrap w:val="0"/>
            <w:vAlign w:val="center"/>
          </w:tcPr>
          <w:p w14:paraId="30098C6A">
            <w:pPr>
              <w:pageBreakBefore w:val="0"/>
              <w:widowControl/>
              <w:kinsoku w:val="0"/>
              <w:wordWrap/>
              <w:overflowPunct/>
              <w:topLinePunct w:val="0"/>
              <w:autoSpaceDE w:val="0"/>
              <w:autoSpaceDN w:val="0"/>
              <w:bidi w:val="0"/>
              <w:adjustRightInd w:val="0"/>
              <w:snapToGrid/>
              <w:spacing w:line="360" w:lineRule="auto"/>
              <w:ind w:left="0" w:right="0" w:firstLine="240" w:firstLineChars="100"/>
              <w:jc w:val="both"/>
              <w:textAlignment w:val="baseline"/>
              <w:rPr>
                <w:rFonts w:hint="eastAsia" w:ascii="宋体" w:hAnsi="宋体" w:eastAsia="宋体" w:cs="宋体"/>
                <w:color w:val="auto"/>
                <w:sz w:val="24"/>
                <w:szCs w:val="24"/>
                <w:highlight w:val="none"/>
                <w:lang w:val="en-US" w:eastAsia="zh-CN"/>
              </w:rPr>
            </w:pPr>
            <w:r>
              <w:rPr>
                <w:rFonts w:hint="default" w:ascii="Arial" w:hAnsi="Arial" w:cs="Arial"/>
                <w:color w:val="auto"/>
                <w:sz w:val="24"/>
                <w:szCs w:val="24"/>
                <w:highlight w:val="none"/>
              </w:rPr>
              <w:t>投标人须完全</w:t>
            </w:r>
            <w:r>
              <w:rPr>
                <w:rFonts w:hint="eastAsia" w:ascii="宋体" w:hAnsi="宋体" w:eastAsia="宋体" w:cs="宋体"/>
                <w:color w:val="auto"/>
                <w:sz w:val="24"/>
                <w:szCs w:val="24"/>
                <w:highlight w:val="none"/>
                <w:lang w:val="en-US" w:eastAsia="zh-CN"/>
              </w:rPr>
              <w:t>满足磋商文件“第五章采购需求”中全部要求的得59分，</w:t>
            </w:r>
            <w:r>
              <w:rPr>
                <w:rFonts w:hint="eastAsia" w:ascii="宋体" w:hAnsi="宋体" w:eastAsia="宋体" w:cs="宋体"/>
                <w:b/>
                <w:bCs/>
                <w:color w:val="auto"/>
                <w:sz w:val="24"/>
                <w:szCs w:val="24"/>
                <w:highlight w:val="none"/>
                <w:lang w:val="en-US" w:eastAsia="zh-CN"/>
              </w:rPr>
              <w:t>任意一条不满足作无效响应处理。</w:t>
            </w:r>
          </w:p>
          <w:p w14:paraId="5B538CB2">
            <w:pPr>
              <w:pStyle w:val="4"/>
              <w:ind w:left="1205" w:hanging="1201" w:hangingChars="500"/>
              <w:jc w:val="left"/>
              <w:rPr>
                <w:rFonts w:hint="default"/>
              </w:rPr>
            </w:pPr>
            <w:r>
              <w:rPr>
                <w:rFonts w:hint="eastAsia" w:ascii="Arial" w:hAnsi="Arial" w:eastAsia="Arial" w:cs="Arial"/>
                <w:b/>
                <w:bCs/>
                <w:snapToGrid w:val="0"/>
                <w:color w:val="auto"/>
                <w:kern w:val="0"/>
                <w:sz w:val="24"/>
                <w:szCs w:val="24"/>
                <w:highlight w:val="none"/>
                <w:lang w:val="en-US" w:eastAsia="zh-CN"/>
              </w:rPr>
              <w:t>评审依据：根据服务商提供的《服务要求响应/偏离表》、《商务响应/偏离表》。</w:t>
            </w:r>
          </w:p>
        </w:tc>
        <w:tc>
          <w:tcPr>
            <w:tcW w:w="765" w:type="dxa"/>
            <w:noWrap w:val="0"/>
            <w:vAlign w:val="center"/>
          </w:tcPr>
          <w:p w14:paraId="69E912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eastAsia" w:ascii="Arial" w:hAnsi="Arial" w:cs="Arial"/>
                <w:color w:val="auto"/>
                <w:sz w:val="24"/>
                <w:szCs w:val="24"/>
                <w:highlight w:val="none"/>
                <w:lang w:val="en-US" w:eastAsia="zh-CN"/>
              </w:rPr>
              <w:t>59</w:t>
            </w:r>
            <w:r>
              <w:rPr>
                <w:rFonts w:hint="default" w:ascii="Arial" w:hAnsi="Arial" w:cs="Arial"/>
                <w:color w:val="auto"/>
                <w:sz w:val="24"/>
                <w:szCs w:val="24"/>
                <w:highlight w:val="none"/>
              </w:rPr>
              <w:t>分</w:t>
            </w:r>
          </w:p>
        </w:tc>
      </w:tr>
      <w:tr w14:paraId="443DB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3DAF1C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restart"/>
            <w:noWrap w:val="0"/>
            <w:vAlign w:val="center"/>
          </w:tcPr>
          <w:p w14:paraId="0B87F9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4</w:t>
            </w:r>
          </w:p>
        </w:tc>
        <w:tc>
          <w:tcPr>
            <w:tcW w:w="6887" w:type="dxa"/>
            <w:noWrap w:val="0"/>
            <w:vAlign w:val="center"/>
          </w:tcPr>
          <w:p w14:paraId="0F37FE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.投标人集体配餐企业熟食加工面积不低于</w:t>
            </w:r>
            <w:r>
              <w:rPr>
                <w:rFonts w:hint="eastAsia" w:eastAsia="宋体" w:cs="Arial"/>
                <w:color w:val="auto"/>
                <w:sz w:val="24"/>
                <w:szCs w:val="24"/>
                <w:highlight w:val="none"/>
                <w:lang w:val="en-US" w:eastAsia="zh-CN"/>
              </w:rPr>
              <w:t>4</w:t>
            </w:r>
            <w:r>
              <w:rPr>
                <w:rFonts w:hint="eastAsia" w:ascii="Arial" w:hAnsi="Arial" w:cs="Arial"/>
                <w:color w:val="auto"/>
                <w:sz w:val="24"/>
                <w:szCs w:val="24"/>
                <w:highlight w:val="none"/>
              </w:rPr>
              <w:t>00㎡得3分，否则不得分。</w:t>
            </w:r>
          </w:p>
          <w:p w14:paraId="19A2C8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lang w:val="en-US" w:eastAsia="zh-CN"/>
              </w:rPr>
            </w:pPr>
            <w:r>
              <w:rPr>
                <w:rFonts w:hint="eastAsia" w:ascii="Arial" w:hAnsi="Arial" w:cs="Arial"/>
                <w:b/>
                <w:bCs/>
                <w:color w:val="auto"/>
                <w:sz w:val="24"/>
                <w:szCs w:val="24"/>
                <w:highlight w:val="none"/>
              </w:rPr>
              <w:t>评审依据：投标文件中提供配送企业现有场地的面积示意图加盖公章。</w:t>
            </w:r>
          </w:p>
        </w:tc>
        <w:tc>
          <w:tcPr>
            <w:tcW w:w="765" w:type="dxa"/>
            <w:noWrap w:val="0"/>
            <w:vAlign w:val="center"/>
          </w:tcPr>
          <w:p w14:paraId="7CADE0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3分</w:t>
            </w:r>
          </w:p>
        </w:tc>
      </w:tr>
      <w:tr w14:paraId="408D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68CA9AE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0944F9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7B3BAF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Arial"/>
                <w:color w:val="auto"/>
                <w:sz w:val="24"/>
                <w:szCs w:val="24"/>
                <w:highlight w:val="none"/>
                <w:lang w:eastAsia="zh-CN"/>
              </w:rPr>
            </w:pPr>
            <w:r>
              <w:rPr>
                <w:rFonts w:hint="eastAsia" w:eastAsia="宋体" w:cs="Arial"/>
                <w:color w:val="auto"/>
                <w:sz w:val="24"/>
                <w:szCs w:val="24"/>
                <w:highlight w:val="none"/>
                <w:lang w:val="en-US" w:eastAsia="zh-CN"/>
              </w:rPr>
              <w:t>2</w:t>
            </w:r>
            <w:r>
              <w:rPr>
                <w:rFonts w:hint="eastAsia" w:ascii="Arial" w:hAnsi="Arial" w:cs="Arial"/>
                <w:color w:val="auto"/>
                <w:sz w:val="24"/>
                <w:szCs w:val="24"/>
                <w:highlight w:val="none"/>
              </w:rPr>
              <w:t>.投标人配备了食品安全检测检验设备</w:t>
            </w:r>
            <w:r>
              <w:rPr>
                <w:rFonts w:hint="eastAsia" w:ascii="Arial" w:hAnsi="Arial" w:cs="Arial"/>
                <w:color w:val="auto"/>
                <w:sz w:val="24"/>
                <w:szCs w:val="24"/>
                <w:highlight w:val="none"/>
                <w:lang w:eastAsia="zh-CN"/>
              </w:rPr>
              <w:t>二</w:t>
            </w:r>
            <w:r>
              <w:rPr>
                <w:rFonts w:hint="eastAsia" w:ascii="Arial" w:hAnsi="Arial" w:cs="Arial"/>
                <w:color w:val="auto"/>
                <w:sz w:val="24"/>
                <w:szCs w:val="24"/>
                <w:highlight w:val="none"/>
              </w:rPr>
              <w:t>套【快速检测农药残留、重金属残留检测】的得2分</w:t>
            </w:r>
            <w:r>
              <w:rPr>
                <w:rFonts w:hint="eastAsia" w:eastAsia="宋体" w:cs="Arial"/>
                <w:color w:val="auto"/>
                <w:sz w:val="24"/>
                <w:szCs w:val="24"/>
                <w:highlight w:val="none"/>
                <w:lang w:eastAsia="zh-CN"/>
              </w:rPr>
              <w:t>。</w:t>
            </w:r>
          </w:p>
          <w:p w14:paraId="39BD7A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lang w:val="en-US" w:eastAsia="zh-CN"/>
              </w:rPr>
            </w:pPr>
            <w:r>
              <w:rPr>
                <w:rFonts w:hint="eastAsia" w:ascii="Arial" w:hAnsi="Arial" w:cs="Arial"/>
                <w:b/>
                <w:bCs/>
                <w:color w:val="auto"/>
                <w:sz w:val="24"/>
                <w:szCs w:val="24"/>
                <w:highlight w:val="none"/>
              </w:rPr>
              <w:t>评审依据：投标文件中提供配送企业现有设施的现场照片和有效购买票据加盖公章。</w:t>
            </w:r>
          </w:p>
        </w:tc>
        <w:tc>
          <w:tcPr>
            <w:tcW w:w="765" w:type="dxa"/>
            <w:noWrap w:val="0"/>
            <w:vAlign w:val="center"/>
          </w:tcPr>
          <w:p w14:paraId="114F91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2分</w:t>
            </w:r>
          </w:p>
        </w:tc>
      </w:tr>
      <w:tr w14:paraId="07BC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06CF93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0D6918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21DB47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3</w:t>
            </w:r>
            <w:r>
              <w:rPr>
                <w:rFonts w:hint="eastAsia" w:ascii="Arial" w:hAnsi="Arial" w:cs="Arial"/>
                <w:color w:val="auto"/>
                <w:sz w:val="24"/>
                <w:szCs w:val="24"/>
                <w:highlight w:val="none"/>
              </w:rPr>
              <w:t>.自有具备技术标准的熟食配送车辆</w:t>
            </w:r>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辆，（熟食配送车辆为箱式，核定载重量≥0.95吨及以上，配有调温装置，可保持车厢内温度稳定，符合蔬菜、水果类和熟食最适宜保温温度，加装了GPS定位设备且能对运输车辆进行全程监控的）的得</w:t>
            </w:r>
            <w:r>
              <w:rPr>
                <w:rFonts w:hint="eastAsia" w:ascii="Arial" w:hAnsi="Arial" w:cs="Arial"/>
                <w:color w:val="auto"/>
                <w:sz w:val="24"/>
                <w:szCs w:val="24"/>
                <w:highlight w:val="none"/>
                <w:lang w:val="en-US" w:eastAsia="zh-CN"/>
              </w:rPr>
              <w:t>2</w:t>
            </w:r>
            <w:r>
              <w:rPr>
                <w:rFonts w:hint="eastAsia" w:ascii="Arial" w:hAnsi="Arial" w:cs="Arial"/>
                <w:color w:val="auto"/>
                <w:sz w:val="24"/>
                <w:szCs w:val="24"/>
                <w:highlight w:val="none"/>
              </w:rPr>
              <w:t>分。</w:t>
            </w:r>
          </w:p>
          <w:p w14:paraId="04DB01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b/>
                <w:bCs/>
                <w:color w:val="auto"/>
                <w:sz w:val="24"/>
                <w:szCs w:val="24"/>
                <w:highlight w:val="none"/>
              </w:rPr>
            </w:pPr>
            <w:r>
              <w:rPr>
                <w:rFonts w:hint="eastAsia" w:ascii="Arial" w:hAnsi="Arial" w:cs="Arial"/>
                <w:b/>
                <w:bCs/>
                <w:color w:val="auto"/>
                <w:sz w:val="24"/>
                <w:szCs w:val="24"/>
                <w:highlight w:val="none"/>
              </w:rPr>
              <w:t>评审依据：投标文件中提供配送企业现有设施的现场照片、有效购买票据加盖公章。</w:t>
            </w:r>
          </w:p>
        </w:tc>
        <w:tc>
          <w:tcPr>
            <w:tcW w:w="765" w:type="dxa"/>
            <w:noWrap w:val="0"/>
            <w:vAlign w:val="center"/>
          </w:tcPr>
          <w:p w14:paraId="67FC64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cs="Arial"/>
                <w:color w:val="auto"/>
                <w:sz w:val="24"/>
                <w:szCs w:val="24"/>
                <w:highlight w:val="none"/>
                <w:lang w:val="en-US" w:eastAsia="zh-CN"/>
              </w:rPr>
              <w:t>2</w:t>
            </w:r>
            <w:r>
              <w:rPr>
                <w:rFonts w:hint="eastAsia" w:ascii="Arial" w:hAnsi="Arial" w:cs="Arial"/>
                <w:color w:val="auto"/>
                <w:sz w:val="24"/>
                <w:szCs w:val="24"/>
                <w:highlight w:val="none"/>
                <w:lang w:val="en-US" w:eastAsia="zh-CN"/>
              </w:rPr>
              <w:t>分</w:t>
            </w:r>
          </w:p>
        </w:tc>
      </w:tr>
      <w:tr w14:paraId="6DAB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66B239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62EF98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1E90AF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4</w:t>
            </w:r>
            <w:r>
              <w:rPr>
                <w:rFonts w:hint="eastAsia" w:ascii="Arial" w:hAnsi="Arial" w:cs="Arial"/>
                <w:color w:val="auto"/>
                <w:sz w:val="24"/>
                <w:szCs w:val="24"/>
                <w:highlight w:val="none"/>
              </w:rPr>
              <w:t>.生产设备：①</w:t>
            </w:r>
            <w:r>
              <w:rPr>
                <w:rFonts w:hint="eastAsia" w:eastAsia="宋体" w:cs="Arial"/>
                <w:color w:val="auto"/>
                <w:sz w:val="24"/>
                <w:szCs w:val="24"/>
                <w:highlight w:val="none"/>
                <w:lang w:val="en-US" w:eastAsia="zh-CN"/>
              </w:rPr>
              <w:t>5</w:t>
            </w:r>
            <w:r>
              <w:rPr>
                <w:rFonts w:hint="eastAsia" w:ascii="Arial" w:hAnsi="Arial" w:cs="Arial"/>
                <w:color w:val="auto"/>
                <w:sz w:val="24"/>
                <w:szCs w:val="24"/>
                <w:highlight w:val="none"/>
              </w:rPr>
              <w:t>个及以上炒锅灶具，</w:t>
            </w:r>
            <w:r>
              <w:rPr>
                <w:rFonts w:hint="eastAsia" w:eastAsia="宋体" w:cs="Arial"/>
                <w:color w:val="auto"/>
                <w:sz w:val="24"/>
                <w:szCs w:val="24"/>
                <w:highlight w:val="none"/>
                <w:lang w:val="en-US" w:eastAsia="zh-CN"/>
              </w:rPr>
              <w:t>2</w:t>
            </w:r>
            <w:r>
              <w:rPr>
                <w:rFonts w:hint="eastAsia" w:ascii="Arial" w:hAnsi="Arial" w:cs="Arial"/>
                <w:color w:val="auto"/>
                <w:sz w:val="24"/>
                <w:szCs w:val="24"/>
                <w:highlight w:val="none"/>
              </w:rPr>
              <w:t>个及以上汤锅；②自动洗碗机③餐具消毒设施设备；④冻库（不少于60立方米）。①②③④生产设备能满足</w:t>
            </w:r>
            <w:r>
              <w:rPr>
                <w:rFonts w:hint="eastAsia" w:eastAsia="宋体" w:cs="Arial"/>
                <w:color w:val="auto"/>
                <w:sz w:val="24"/>
                <w:szCs w:val="24"/>
                <w:highlight w:val="none"/>
                <w:lang w:val="en-US" w:eastAsia="zh-CN"/>
              </w:rPr>
              <w:t>500</w:t>
            </w:r>
            <w:r>
              <w:rPr>
                <w:rFonts w:hint="eastAsia" w:ascii="Arial" w:hAnsi="Arial" w:cs="Arial"/>
                <w:color w:val="auto"/>
                <w:sz w:val="24"/>
                <w:szCs w:val="24"/>
                <w:highlight w:val="none"/>
              </w:rPr>
              <w:t xml:space="preserve">及以上学生人数的熟食加工、清洗、消毒的使用需求，每提供一种得1分，不重复计分，本项最高得4分。 </w:t>
            </w:r>
          </w:p>
          <w:p w14:paraId="794B90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b/>
                <w:bCs/>
                <w:color w:val="auto"/>
                <w:sz w:val="24"/>
                <w:szCs w:val="24"/>
                <w:highlight w:val="none"/>
              </w:rPr>
            </w:pPr>
            <w:r>
              <w:rPr>
                <w:rFonts w:hint="eastAsia" w:ascii="Arial" w:hAnsi="Arial" w:cs="Arial"/>
                <w:b/>
                <w:bCs/>
                <w:color w:val="auto"/>
                <w:sz w:val="24"/>
                <w:szCs w:val="24"/>
                <w:highlight w:val="none"/>
              </w:rPr>
              <w:t>评审依据：投标文件中提供配送企业现有设施的现场照片加盖公章。</w:t>
            </w:r>
          </w:p>
        </w:tc>
        <w:tc>
          <w:tcPr>
            <w:tcW w:w="765" w:type="dxa"/>
            <w:noWrap w:val="0"/>
            <w:vAlign w:val="center"/>
          </w:tcPr>
          <w:p w14:paraId="36DAB2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4分</w:t>
            </w:r>
          </w:p>
        </w:tc>
      </w:tr>
      <w:tr w14:paraId="1E33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58171B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50E3C9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服务方案</w:t>
            </w:r>
          </w:p>
        </w:tc>
        <w:tc>
          <w:tcPr>
            <w:tcW w:w="6887" w:type="dxa"/>
            <w:noWrap w:val="0"/>
            <w:vAlign w:val="top"/>
          </w:tcPr>
          <w:p w14:paraId="4C246FCB">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评审委员会针对投标人提供的本项目服务方案：如管理组织机构、从业人员结构、食品安全管理、学校服务</w:t>
            </w:r>
            <w:r>
              <w:rPr>
                <w:rFonts w:hint="default" w:ascii="Arial" w:hAnsi="Arial" w:cs="Arial"/>
                <w:color w:val="auto"/>
                <w:sz w:val="24"/>
                <w:szCs w:val="24"/>
                <w:highlight w:val="none"/>
                <w:lang w:val="en-US" w:eastAsia="zh-CN"/>
              </w:rPr>
              <w:t>等内容</w:t>
            </w:r>
            <w:r>
              <w:rPr>
                <w:rFonts w:hint="default" w:ascii="Arial" w:hAnsi="Arial" w:cs="Arial"/>
                <w:color w:val="auto"/>
                <w:sz w:val="24"/>
                <w:szCs w:val="24"/>
                <w:highlight w:val="none"/>
              </w:rPr>
              <w:t xml:space="preserve">进行打分： </w:t>
            </w:r>
          </w:p>
          <w:p w14:paraId="57776C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（1）投标人提供的方案包含但不限于管理组织机构、从业人员结构、食品安全管理、学校服务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个方面，承诺合同履约期间配送能力强，不存在延时或提前送餐现象，项目组配备人员与岗位专业需求相匹配，食品品质监控水平高；食品采购渠道多元，保障力强的得</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 xml:space="preserve">分； </w:t>
            </w:r>
          </w:p>
          <w:p w14:paraId="4D4CC9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b w:val="0"/>
                <w:bCs w:val="0"/>
                <w:color w:val="auto"/>
                <w:sz w:val="24"/>
                <w:szCs w:val="24"/>
                <w:highlight w:val="none"/>
              </w:rPr>
            </w:pPr>
            <w:r>
              <w:rPr>
                <w:rFonts w:hint="default" w:ascii="Arial" w:hAnsi="Arial" w:cs="Arial"/>
                <w:color w:val="auto"/>
                <w:sz w:val="24"/>
                <w:szCs w:val="24"/>
                <w:highlight w:val="none"/>
              </w:rPr>
              <w:t>（2）投标人提供的方案包含但不限于管理组织机构、从业人员结构、食品安全管理、学校服务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个方面，承诺合同履约期间的延时或提前送餐现象控制在2次以内，项目组配备人员与岗位专业需求相匹配较强，食品品质监控水平较高；食品采购渠道畅通，保障力较强的</w:t>
            </w:r>
            <w:r>
              <w:rPr>
                <w:rFonts w:hint="default" w:ascii="Arial" w:hAnsi="Arial" w:cs="Arial"/>
                <w:b w:val="0"/>
                <w:bCs w:val="0"/>
                <w:color w:val="auto"/>
                <w:sz w:val="24"/>
                <w:szCs w:val="24"/>
                <w:highlight w:val="none"/>
              </w:rPr>
              <w:t xml:space="preserve">得 </w:t>
            </w:r>
            <w:r>
              <w:rPr>
                <w:rFonts w:hint="default" w:ascii="Arial" w:hAnsi="Arial" w:cs="Arial"/>
                <w:b w:val="0"/>
                <w:bCs w:val="0"/>
                <w:color w:val="auto"/>
                <w:sz w:val="24"/>
                <w:szCs w:val="24"/>
                <w:highlight w:val="none"/>
                <w:lang w:val="en-US" w:eastAsia="zh-CN"/>
              </w:rPr>
              <w:t>3</w:t>
            </w:r>
            <w:r>
              <w:rPr>
                <w:rFonts w:hint="default" w:ascii="Arial" w:hAnsi="Arial" w:cs="Arial"/>
                <w:b w:val="0"/>
                <w:bCs w:val="0"/>
                <w:color w:val="auto"/>
                <w:sz w:val="24"/>
                <w:szCs w:val="24"/>
                <w:highlight w:val="none"/>
              </w:rPr>
              <w:t>分。</w:t>
            </w:r>
          </w:p>
          <w:p w14:paraId="2B43B3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b w:val="0"/>
                <w:bCs w:val="0"/>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个方面，承诺合同履约期间的延时或提前送餐现象控制在</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次以内，项目组配备人员与岗位专业需求相匹配</w:t>
            </w:r>
            <w:r>
              <w:rPr>
                <w:rFonts w:hint="default" w:ascii="Arial" w:hAnsi="Arial" w:cs="Arial"/>
                <w:color w:val="auto"/>
                <w:sz w:val="24"/>
                <w:szCs w:val="24"/>
                <w:highlight w:val="none"/>
                <w:lang w:val="en-US" w:eastAsia="zh-CN"/>
              </w:rPr>
              <w:t>中等</w:t>
            </w:r>
            <w:r>
              <w:rPr>
                <w:rFonts w:hint="default" w:ascii="Arial" w:hAnsi="Arial" w:cs="Arial"/>
                <w:color w:val="auto"/>
                <w:sz w:val="24"/>
                <w:szCs w:val="24"/>
                <w:highlight w:val="none"/>
              </w:rPr>
              <w:t>，食品品质监控水平</w:t>
            </w:r>
            <w:r>
              <w:rPr>
                <w:rFonts w:hint="default" w:ascii="Arial" w:hAnsi="Arial" w:cs="Arial"/>
                <w:color w:val="auto"/>
                <w:sz w:val="24"/>
                <w:szCs w:val="24"/>
                <w:highlight w:val="none"/>
                <w:lang w:val="en-US" w:eastAsia="zh-CN"/>
              </w:rPr>
              <w:t>一般</w:t>
            </w:r>
            <w:r>
              <w:rPr>
                <w:rFonts w:hint="default" w:ascii="Arial" w:hAnsi="Arial" w:cs="Arial"/>
                <w:color w:val="auto"/>
                <w:sz w:val="24"/>
                <w:szCs w:val="24"/>
                <w:highlight w:val="none"/>
              </w:rPr>
              <w:t>；食品采购渠道</w:t>
            </w:r>
            <w:r>
              <w:rPr>
                <w:rFonts w:hint="default" w:ascii="Arial" w:hAnsi="Arial" w:cs="Arial"/>
                <w:color w:val="auto"/>
                <w:sz w:val="24"/>
                <w:szCs w:val="24"/>
                <w:highlight w:val="none"/>
                <w:lang w:val="en-US" w:eastAsia="zh-CN"/>
              </w:rPr>
              <w:t>单一</w:t>
            </w:r>
            <w:r>
              <w:rPr>
                <w:rFonts w:hint="default" w:ascii="Arial" w:hAnsi="Arial" w:cs="Arial"/>
                <w:color w:val="auto"/>
                <w:sz w:val="24"/>
                <w:szCs w:val="24"/>
                <w:highlight w:val="none"/>
              </w:rPr>
              <w:t>，保障力较</w:t>
            </w:r>
            <w:r>
              <w:rPr>
                <w:rFonts w:hint="default" w:ascii="Arial" w:hAnsi="Arial" w:cs="Arial"/>
                <w:color w:val="auto"/>
                <w:sz w:val="24"/>
                <w:szCs w:val="24"/>
                <w:highlight w:val="none"/>
                <w:lang w:val="en-US" w:eastAsia="zh-CN"/>
              </w:rPr>
              <w:t>一般</w:t>
            </w:r>
            <w:r>
              <w:rPr>
                <w:rFonts w:hint="default" w:ascii="Arial" w:hAnsi="Arial" w:cs="Arial"/>
                <w:color w:val="auto"/>
                <w:sz w:val="24"/>
                <w:szCs w:val="24"/>
                <w:highlight w:val="none"/>
              </w:rPr>
              <w:t>的</w:t>
            </w:r>
            <w:r>
              <w:rPr>
                <w:rFonts w:hint="default" w:ascii="Arial" w:hAnsi="Arial" w:cs="Arial"/>
                <w:b w:val="0"/>
                <w:bCs w:val="0"/>
                <w:color w:val="auto"/>
                <w:sz w:val="24"/>
                <w:szCs w:val="24"/>
                <w:highlight w:val="none"/>
              </w:rPr>
              <w:t>得</w:t>
            </w:r>
            <w:r>
              <w:rPr>
                <w:rFonts w:hint="default" w:ascii="Arial" w:hAnsi="Arial" w:cs="Arial"/>
                <w:b w:val="0"/>
                <w:bCs w:val="0"/>
                <w:color w:val="auto"/>
                <w:sz w:val="24"/>
                <w:szCs w:val="24"/>
                <w:highlight w:val="none"/>
                <w:lang w:val="en-US" w:eastAsia="zh-CN"/>
              </w:rPr>
              <w:t>1</w:t>
            </w:r>
            <w:r>
              <w:rPr>
                <w:rFonts w:hint="default" w:ascii="Arial" w:hAnsi="Arial" w:cs="Arial"/>
                <w:b w:val="0"/>
                <w:bCs w:val="0"/>
                <w:color w:val="auto"/>
                <w:sz w:val="24"/>
                <w:szCs w:val="24"/>
                <w:highlight w:val="none"/>
              </w:rPr>
              <w:t>分。</w:t>
            </w:r>
          </w:p>
          <w:p w14:paraId="7DCD53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lang w:val="en-US" w:eastAsia="zh-CN"/>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4</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未提供的不得分。</w:t>
            </w:r>
          </w:p>
          <w:p w14:paraId="2AEB4F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评审依据：提供服务方案。</w:t>
            </w:r>
          </w:p>
        </w:tc>
        <w:tc>
          <w:tcPr>
            <w:tcW w:w="765" w:type="dxa"/>
            <w:noWrap w:val="0"/>
            <w:vAlign w:val="center"/>
          </w:tcPr>
          <w:p w14:paraId="75FD79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5分</w:t>
            </w:r>
          </w:p>
        </w:tc>
      </w:tr>
      <w:tr w14:paraId="6171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20" w:type="dxa"/>
            <w:vMerge w:val="continue"/>
            <w:noWrap w:val="0"/>
            <w:vAlign w:val="center"/>
          </w:tcPr>
          <w:p w14:paraId="5199AA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28F8C1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应急预案</w:t>
            </w:r>
          </w:p>
        </w:tc>
        <w:tc>
          <w:tcPr>
            <w:tcW w:w="6887" w:type="dxa"/>
            <w:noWrap w:val="0"/>
            <w:vAlign w:val="top"/>
          </w:tcPr>
          <w:p w14:paraId="4AF363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评审委员会针对投标单位提供的应急预案：针对恶劣天气等不可抗力因素造成熟食配送的应急保障措施，食物中毒或食源性疾病突发事件的应急处置措施</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其他</w:t>
            </w:r>
            <w:r>
              <w:rPr>
                <w:rFonts w:hint="default" w:ascii="Arial" w:hAnsi="Arial" w:cs="Arial"/>
                <w:color w:val="auto"/>
                <w:sz w:val="24"/>
                <w:szCs w:val="24"/>
                <w:highlight w:val="none"/>
                <w:lang w:eastAsia="zh-CN"/>
              </w:rPr>
              <w:t>食品安全事故处理（置）应急预案</w:t>
            </w:r>
            <w:r>
              <w:rPr>
                <w:rFonts w:hint="default" w:ascii="Arial" w:hAnsi="Arial" w:cs="Arial"/>
                <w:color w:val="auto"/>
                <w:sz w:val="24"/>
                <w:szCs w:val="24"/>
                <w:highlight w:val="none"/>
                <w:lang w:val="en-US" w:eastAsia="zh-CN"/>
              </w:rPr>
              <w:t>等内容</w:t>
            </w:r>
            <w:r>
              <w:rPr>
                <w:rFonts w:hint="default" w:ascii="Arial" w:hAnsi="Arial" w:cs="Arial"/>
                <w:color w:val="auto"/>
                <w:sz w:val="24"/>
                <w:szCs w:val="24"/>
                <w:highlight w:val="none"/>
              </w:rPr>
              <w:t>进行打分：</w:t>
            </w:r>
          </w:p>
          <w:p w14:paraId="1393D8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预案内容详细，涉及不可抗力因素、食物中毒、食源性疾病及其他食品安全事故的全面应对措施</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应急响应程序设计合理，能够迅速启动，并有效地进行危机应对</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资源调配计划科学，确保在紧急情况下能够迅速调配所需资源</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应急处理措施高效，能够针对具体情况快速作出反应，有效降低损失</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预案的针对性强，能够根据不同情况制定相应的应对策略</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p>
          <w:p w14:paraId="62D2AA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宋体" w:cs="Arial"/>
                <w:color w:val="auto"/>
                <w:sz w:val="24"/>
                <w:szCs w:val="24"/>
                <w:highlight w:val="none"/>
                <w:lang w:eastAsia="zh-CN"/>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2</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预案内容覆盖所有必要的应急情况，无缺漏</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应急响应程序能够迅速启动，并具备基本的应对能力</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资源调配计划基本合适，能够满足大部分应急需求</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应急处理措施恰当，能够应对常见的食品安全事故</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预案的针对性较强，但可能缺乏针对特定情况的深入考虑</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p>
          <w:p w14:paraId="5FBEF0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预案内容基本完整，包含主要的应急情况</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有明确的应急响应程序，但可能不够迅速</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资源调配和应急处理措施有规划，但可能不够详细或全面</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预案的针对性一般，能够满足基本的应急需求，但缺乏深度和针对性</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rPr>
              <w:t>分。</w:t>
            </w:r>
          </w:p>
          <w:p w14:paraId="1BB202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4</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未提供的不得分。</w:t>
            </w:r>
          </w:p>
          <w:p w14:paraId="0B7756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评审依据：应急预案。</w:t>
            </w:r>
          </w:p>
        </w:tc>
        <w:tc>
          <w:tcPr>
            <w:tcW w:w="765" w:type="dxa"/>
            <w:noWrap w:val="0"/>
            <w:vAlign w:val="center"/>
          </w:tcPr>
          <w:p w14:paraId="72A6E5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分</w:t>
            </w:r>
          </w:p>
        </w:tc>
      </w:tr>
      <w:tr w14:paraId="6360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restart"/>
            <w:noWrap w:val="0"/>
            <w:vAlign w:val="center"/>
          </w:tcPr>
          <w:p w14:paraId="70C6C7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商务部分</w:t>
            </w:r>
          </w:p>
          <w:p w14:paraId="7A0ABC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w:t>
            </w:r>
            <w:r>
              <w:rPr>
                <w:rFonts w:hint="eastAsia" w:ascii="Arial" w:hAnsi="Arial" w:cs="Arial"/>
                <w:color w:val="auto"/>
                <w:sz w:val="24"/>
                <w:szCs w:val="24"/>
                <w:highlight w:val="none"/>
                <w:lang w:val="en-US" w:eastAsia="zh-CN"/>
              </w:rPr>
              <w:t>20</w:t>
            </w:r>
            <w:r>
              <w:rPr>
                <w:rFonts w:hint="default" w:ascii="Arial" w:hAnsi="Arial" w:cs="Arial"/>
                <w:color w:val="auto"/>
                <w:sz w:val="24"/>
                <w:szCs w:val="24"/>
                <w:highlight w:val="none"/>
              </w:rPr>
              <w:t>分）</w:t>
            </w:r>
          </w:p>
        </w:tc>
        <w:tc>
          <w:tcPr>
            <w:tcW w:w="1050" w:type="dxa"/>
            <w:noWrap w:val="0"/>
            <w:vAlign w:val="center"/>
          </w:tcPr>
          <w:p w14:paraId="783527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业绩</w:t>
            </w:r>
          </w:p>
        </w:tc>
        <w:tc>
          <w:tcPr>
            <w:tcW w:w="6887" w:type="dxa"/>
            <w:noWrap w:val="0"/>
            <w:vAlign w:val="top"/>
          </w:tcPr>
          <w:p w14:paraId="160EA5DF">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eastAsia="宋体" w:cs="Arial"/>
                <w:color w:val="auto"/>
                <w:sz w:val="24"/>
                <w:szCs w:val="24"/>
                <w:highlight w:val="none"/>
                <w:lang w:val="en-US" w:eastAsia="zh-CN"/>
              </w:rPr>
            </w:pPr>
            <w:r>
              <w:rPr>
                <w:rFonts w:hint="default" w:ascii="Arial" w:hAnsi="Arial" w:cs="Arial"/>
                <w:color w:val="auto"/>
                <w:sz w:val="24"/>
                <w:szCs w:val="24"/>
                <w:highlight w:val="none"/>
                <w:lang w:val="en-US" w:eastAsia="zh-CN"/>
              </w:rPr>
              <w:t>投标人</w:t>
            </w:r>
            <w:r>
              <w:rPr>
                <w:rFonts w:hint="default" w:ascii="Arial" w:hAnsi="Arial" w:cs="Arial"/>
                <w:color w:val="auto"/>
                <w:sz w:val="24"/>
                <w:szCs w:val="24"/>
                <w:highlight w:val="none"/>
              </w:rPr>
              <w:t>自20</w:t>
            </w:r>
            <w:r>
              <w:rPr>
                <w:rFonts w:hint="default" w:ascii="Arial" w:hAnsi="Arial" w:cs="Arial"/>
                <w:color w:val="auto"/>
                <w:sz w:val="24"/>
                <w:szCs w:val="24"/>
                <w:highlight w:val="none"/>
                <w:lang w:val="en-US" w:eastAsia="zh-CN"/>
              </w:rPr>
              <w:t>21</w:t>
            </w:r>
            <w:r>
              <w:rPr>
                <w:rFonts w:hint="default" w:ascii="Arial" w:hAnsi="Arial" w:cs="Arial"/>
                <w:color w:val="auto"/>
                <w:sz w:val="24"/>
                <w:szCs w:val="24"/>
                <w:highlight w:val="none"/>
              </w:rPr>
              <w:t>年01月01 日以来（以签订合同时间为准）承担过学校熟食集中配送项目的</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每提供一个</w:t>
            </w:r>
            <w:r>
              <w:rPr>
                <w:rFonts w:hint="default" w:ascii="Arial" w:hAnsi="Arial" w:cs="Arial"/>
                <w:color w:val="auto"/>
                <w:sz w:val="24"/>
                <w:szCs w:val="24"/>
                <w:highlight w:val="none"/>
              </w:rPr>
              <w:t>得</w:t>
            </w:r>
            <w:r>
              <w:rPr>
                <w:rFonts w:hint="eastAsia" w:ascii="Arial" w:hAnsi="Arial" w:cs="Arial"/>
                <w:color w:val="auto"/>
                <w:sz w:val="24"/>
                <w:szCs w:val="24"/>
                <w:highlight w:val="none"/>
                <w:lang w:val="en-US" w:eastAsia="zh-CN"/>
              </w:rPr>
              <w:t>2</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最多得</w:t>
            </w:r>
            <w:r>
              <w:rPr>
                <w:rFonts w:hint="eastAsia" w:ascii="Arial" w:hAnsi="Arial" w:cs="Arial"/>
                <w:color w:val="auto"/>
                <w:sz w:val="24"/>
                <w:szCs w:val="24"/>
                <w:highlight w:val="none"/>
                <w:lang w:val="en-US" w:eastAsia="zh-CN"/>
              </w:rPr>
              <w:t>8</w:t>
            </w:r>
            <w:r>
              <w:rPr>
                <w:rFonts w:hint="default" w:ascii="Arial" w:hAnsi="Arial" w:cs="Arial"/>
                <w:color w:val="auto"/>
                <w:sz w:val="24"/>
                <w:szCs w:val="24"/>
                <w:highlight w:val="none"/>
                <w:lang w:val="en-US" w:eastAsia="zh-CN"/>
              </w:rPr>
              <w:t>分。</w:t>
            </w:r>
          </w:p>
          <w:p w14:paraId="530CD8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评审依据：投标文件中提供合同复印件加盖公章，原件评审现场核查。</w:t>
            </w:r>
          </w:p>
        </w:tc>
        <w:tc>
          <w:tcPr>
            <w:tcW w:w="765" w:type="dxa"/>
            <w:noWrap w:val="0"/>
            <w:vAlign w:val="center"/>
          </w:tcPr>
          <w:p w14:paraId="59C370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eastAsia" w:ascii="Arial" w:hAnsi="Arial" w:cs="Arial"/>
                <w:color w:val="auto"/>
                <w:sz w:val="24"/>
                <w:szCs w:val="24"/>
                <w:highlight w:val="none"/>
                <w:lang w:val="en-US" w:eastAsia="zh-CN"/>
              </w:rPr>
              <w:t>8</w:t>
            </w:r>
            <w:r>
              <w:rPr>
                <w:rFonts w:hint="default" w:ascii="Arial" w:hAnsi="Arial" w:cs="Arial"/>
                <w:color w:val="auto"/>
                <w:sz w:val="24"/>
                <w:szCs w:val="24"/>
                <w:highlight w:val="none"/>
              </w:rPr>
              <w:t>分</w:t>
            </w:r>
          </w:p>
        </w:tc>
      </w:tr>
      <w:tr w14:paraId="7BF5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5B7470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36B642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企业实力</w:t>
            </w:r>
          </w:p>
        </w:tc>
        <w:tc>
          <w:tcPr>
            <w:tcW w:w="6887" w:type="dxa"/>
            <w:noWrap w:val="0"/>
            <w:vAlign w:val="top"/>
          </w:tcPr>
          <w:p w14:paraId="1C2CE293">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投标人</w:t>
            </w:r>
            <w:r>
              <w:rPr>
                <w:rFonts w:hint="default" w:ascii="Arial" w:hAnsi="Arial" w:eastAsia="宋体" w:cs="Arial"/>
                <w:color w:val="auto"/>
                <w:sz w:val="24"/>
                <w:szCs w:val="24"/>
                <w:lang w:val="en-US" w:eastAsia="zh-CN"/>
              </w:rPr>
              <w:t>具有有效的</w:t>
            </w:r>
            <w:r>
              <w:rPr>
                <w:rFonts w:hint="default" w:ascii="Arial" w:hAnsi="Arial" w:eastAsia="宋体" w:cs="Arial"/>
                <w:color w:val="auto"/>
                <w:sz w:val="24"/>
                <w:szCs w:val="24"/>
                <w:lang w:val="en-US"/>
              </w:rPr>
              <w:t>ISO9001质量管理体系认证、ISO22000食品安全管理体系认证、ISO14001环境质量管理体系认证</w:t>
            </w:r>
            <w:r>
              <w:rPr>
                <w:rFonts w:hint="default" w:ascii="Arial" w:hAnsi="Arial" w:eastAsia="宋体" w:cs="Arial"/>
                <w:color w:val="auto"/>
                <w:sz w:val="24"/>
                <w:szCs w:val="24"/>
                <w:lang w:val="en-US" w:eastAsia="zh-CN"/>
              </w:rPr>
              <w:t>的，每提供一个得2分，最多得6分。</w:t>
            </w:r>
          </w:p>
          <w:p w14:paraId="09401D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仿宋_GB2312" w:cs="Arial"/>
                <w:b/>
                <w:bCs/>
                <w:color w:val="auto"/>
                <w:sz w:val="24"/>
                <w:szCs w:val="24"/>
                <w:highlight w:val="none"/>
                <w:lang w:val="en-US" w:eastAsia="zh-CN"/>
              </w:rPr>
            </w:pPr>
            <w:r>
              <w:rPr>
                <w:rFonts w:hint="default" w:ascii="Arial" w:hAnsi="Arial" w:eastAsia="宋体" w:cs="Arial"/>
                <w:b/>
                <w:bCs/>
                <w:color w:val="auto"/>
                <w:sz w:val="24"/>
                <w:szCs w:val="24"/>
                <w:highlight w:val="none"/>
                <w:shd w:val="clear" w:color="auto" w:fill="auto"/>
                <w:lang w:val="en-US" w:eastAsia="zh-CN"/>
              </w:rPr>
              <w:t>评审依据：提供中国国家认证认可监督管理委员会认可认证机构出具的认证</w:t>
            </w:r>
            <w:r>
              <w:rPr>
                <w:rFonts w:hint="default" w:ascii="Arial" w:hAnsi="Arial" w:cs="Arial"/>
                <w:b/>
                <w:bCs/>
                <w:color w:val="auto"/>
                <w:sz w:val="24"/>
                <w:szCs w:val="24"/>
                <w:highlight w:val="none"/>
                <w:shd w:val="clear" w:color="auto" w:fill="auto"/>
                <w:lang w:val="en-US" w:eastAsia="zh-CN"/>
              </w:rPr>
              <w:t>证书</w:t>
            </w:r>
            <w:r>
              <w:rPr>
                <w:rFonts w:hint="default" w:ascii="Arial" w:hAnsi="Arial" w:eastAsia="宋体" w:cs="Arial"/>
                <w:b/>
                <w:bCs/>
                <w:color w:val="auto"/>
                <w:sz w:val="24"/>
                <w:szCs w:val="24"/>
                <w:highlight w:val="none"/>
                <w:shd w:val="clear" w:color="auto" w:fill="auto"/>
                <w:lang w:val="en-US" w:eastAsia="zh-CN"/>
              </w:rPr>
              <w:t>复印件、证书查询网址及证书网上查询截图加盖公章</w:t>
            </w:r>
            <w:r>
              <w:rPr>
                <w:rFonts w:hint="default" w:ascii="Arial" w:hAnsi="Arial" w:cs="Arial"/>
                <w:b/>
                <w:bCs/>
                <w:color w:val="auto"/>
                <w:sz w:val="24"/>
                <w:szCs w:val="24"/>
                <w:highlight w:val="none"/>
              </w:rPr>
              <w:t>，</w:t>
            </w:r>
            <w:r>
              <w:rPr>
                <w:rFonts w:hint="default" w:ascii="Arial" w:hAnsi="Arial" w:cs="Arial"/>
                <w:b/>
                <w:bCs/>
                <w:color w:val="auto"/>
                <w:sz w:val="24"/>
                <w:szCs w:val="24"/>
                <w:highlight w:val="none"/>
                <w:lang w:val="en-US" w:eastAsia="zh-CN"/>
              </w:rPr>
              <w:t>证书</w:t>
            </w:r>
            <w:r>
              <w:rPr>
                <w:rFonts w:hint="default" w:ascii="Arial" w:hAnsi="Arial" w:cs="Arial"/>
                <w:b/>
                <w:bCs/>
                <w:color w:val="auto"/>
                <w:sz w:val="24"/>
                <w:szCs w:val="24"/>
                <w:highlight w:val="none"/>
              </w:rPr>
              <w:t>原件评审现场核查</w:t>
            </w:r>
            <w:r>
              <w:rPr>
                <w:rFonts w:hint="default" w:ascii="Arial" w:hAnsi="Arial" w:eastAsia="宋体" w:cs="Arial"/>
                <w:color w:val="auto"/>
                <w:sz w:val="24"/>
                <w:szCs w:val="24"/>
                <w:highlight w:val="none"/>
                <w:shd w:val="clear" w:color="auto" w:fill="auto"/>
                <w:lang w:val="en-US" w:eastAsia="zh-CN"/>
              </w:rPr>
              <w:t>。</w:t>
            </w:r>
          </w:p>
        </w:tc>
        <w:tc>
          <w:tcPr>
            <w:tcW w:w="765" w:type="dxa"/>
            <w:noWrap w:val="0"/>
            <w:vAlign w:val="center"/>
          </w:tcPr>
          <w:p w14:paraId="37D0B8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6分</w:t>
            </w:r>
          </w:p>
        </w:tc>
      </w:tr>
      <w:tr w14:paraId="2F8C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307D6B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5B5C08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服务时效性</w:t>
            </w:r>
          </w:p>
        </w:tc>
        <w:tc>
          <w:tcPr>
            <w:tcW w:w="6887" w:type="dxa"/>
            <w:noWrap w:val="0"/>
            <w:vAlign w:val="top"/>
          </w:tcPr>
          <w:p w14:paraId="283A6A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Arial"/>
                <w:color w:val="auto"/>
                <w:sz w:val="24"/>
                <w:szCs w:val="24"/>
                <w:lang w:val="en-US"/>
              </w:rPr>
            </w:pPr>
            <w:r>
              <w:rPr>
                <w:rFonts w:hint="eastAsia" w:ascii="Arial" w:hAnsi="Arial" w:eastAsia="宋体" w:cs="Arial"/>
                <w:color w:val="auto"/>
                <w:sz w:val="24"/>
                <w:szCs w:val="24"/>
                <w:lang w:val="en-US"/>
              </w:rPr>
              <w:t>投标人熟食加工配送中心离</w:t>
            </w:r>
            <w:r>
              <w:rPr>
                <w:rFonts w:hint="eastAsia" w:eastAsia="宋体" w:cs="Arial"/>
                <w:color w:val="auto"/>
                <w:sz w:val="24"/>
                <w:szCs w:val="24"/>
                <w:lang w:val="en-US" w:eastAsia="zh-CN"/>
              </w:rPr>
              <w:t>遂川</w:t>
            </w:r>
            <w:r>
              <w:rPr>
                <w:rFonts w:hint="eastAsia" w:ascii="Arial" w:hAnsi="Arial" w:eastAsia="宋体" w:cs="Arial"/>
                <w:color w:val="auto"/>
                <w:sz w:val="24"/>
                <w:szCs w:val="24"/>
                <w:lang w:val="en-US"/>
              </w:rPr>
              <w:t>县人民政府中心位置公路交通距离0＜A≤</w:t>
            </w:r>
            <w:r>
              <w:rPr>
                <w:rFonts w:hint="eastAsia" w:eastAsia="宋体" w:cs="Arial"/>
                <w:color w:val="auto"/>
                <w:sz w:val="24"/>
                <w:szCs w:val="24"/>
                <w:lang w:val="en-US" w:eastAsia="zh-CN"/>
              </w:rPr>
              <w:t>25</w:t>
            </w:r>
            <w:r>
              <w:rPr>
                <w:rFonts w:hint="eastAsia" w:ascii="Arial" w:hAnsi="Arial" w:eastAsia="宋体" w:cs="Arial"/>
                <w:color w:val="auto"/>
                <w:sz w:val="24"/>
                <w:szCs w:val="24"/>
                <w:lang w:val="en-US"/>
              </w:rPr>
              <w:t>公里的得</w:t>
            </w:r>
            <w:r>
              <w:rPr>
                <w:rFonts w:hint="eastAsia" w:eastAsia="宋体" w:cs="Arial"/>
                <w:color w:val="auto"/>
                <w:sz w:val="24"/>
                <w:szCs w:val="24"/>
                <w:lang w:val="en-US" w:eastAsia="zh-CN"/>
              </w:rPr>
              <w:t>6</w:t>
            </w:r>
            <w:r>
              <w:rPr>
                <w:rFonts w:hint="eastAsia" w:ascii="Arial" w:hAnsi="Arial" w:eastAsia="宋体" w:cs="Arial"/>
                <w:color w:val="auto"/>
                <w:sz w:val="24"/>
                <w:szCs w:val="24"/>
                <w:lang w:val="en-US"/>
              </w:rPr>
              <w:t>分，</w:t>
            </w:r>
            <w:r>
              <w:rPr>
                <w:rFonts w:hint="eastAsia" w:eastAsia="宋体" w:cs="Arial"/>
                <w:color w:val="auto"/>
                <w:sz w:val="24"/>
                <w:szCs w:val="24"/>
                <w:lang w:val="en-US" w:eastAsia="zh-CN"/>
              </w:rPr>
              <w:t>25</w:t>
            </w:r>
            <w:r>
              <w:rPr>
                <w:rFonts w:hint="eastAsia" w:ascii="Arial" w:hAnsi="Arial" w:eastAsia="宋体" w:cs="Arial"/>
                <w:color w:val="auto"/>
                <w:sz w:val="24"/>
                <w:szCs w:val="24"/>
                <w:lang w:val="en-US"/>
              </w:rPr>
              <w:t>＜A≤</w:t>
            </w:r>
            <w:r>
              <w:rPr>
                <w:rFonts w:hint="eastAsia" w:eastAsia="宋体" w:cs="Arial"/>
                <w:color w:val="auto"/>
                <w:sz w:val="24"/>
                <w:szCs w:val="24"/>
                <w:lang w:val="en-US" w:eastAsia="zh-CN"/>
              </w:rPr>
              <w:t>30</w:t>
            </w:r>
            <w:r>
              <w:rPr>
                <w:rFonts w:hint="eastAsia" w:ascii="Arial" w:hAnsi="Arial" w:eastAsia="宋体" w:cs="Arial"/>
                <w:color w:val="auto"/>
                <w:sz w:val="24"/>
                <w:szCs w:val="24"/>
                <w:lang w:val="en-US"/>
              </w:rPr>
              <w:t>公里的得4分，</w:t>
            </w:r>
            <w:r>
              <w:rPr>
                <w:rFonts w:hint="eastAsia" w:eastAsia="宋体" w:cs="Arial"/>
                <w:color w:val="auto"/>
                <w:sz w:val="24"/>
                <w:szCs w:val="24"/>
                <w:lang w:val="en-US" w:eastAsia="zh-CN"/>
              </w:rPr>
              <w:t>30</w:t>
            </w:r>
            <w:r>
              <w:rPr>
                <w:rFonts w:hint="eastAsia" w:ascii="Arial" w:hAnsi="Arial" w:eastAsia="宋体" w:cs="Arial"/>
                <w:color w:val="auto"/>
                <w:sz w:val="24"/>
                <w:szCs w:val="24"/>
                <w:lang w:val="en-US"/>
              </w:rPr>
              <w:t>＜A≤</w:t>
            </w:r>
            <w:r>
              <w:rPr>
                <w:rFonts w:hint="eastAsia" w:eastAsia="宋体" w:cs="Arial"/>
                <w:color w:val="auto"/>
                <w:sz w:val="24"/>
                <w:szCs w:val="24"/>
                <w:lang w:val="en-US" w:eastAsia="zh-CN"/>
              </w:rPr>
              <w:t>35</w:t>
            </w:r>
            <w:r>
              <w:rPr>
                <w:rFonts w:hint="eastAsia" w:ascii="Arial" w:hAnsi="Arial" w:eastAsia="宋体" w:cs="Arial"/>
                <w:color w:val="auto"/>
                <w:sz w:val="24"/>
                <w:szCs w:val="24"/>
                <w:lang w:val="en-US"/>
              </w:rPr>
              <w:t>公里的得2分。</w:t>
            </w:r>
          </w:p>
          <w:p w14:paraId="130797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宋体" w:cs="Arial"/>
                <w:b/>
                <w:bCs/>
                <w:color w:val="auto"/>
                <w:sz w:val="24"/>
                <w:szCs w:val="24"/>
                <w:highlight w:val="none"/>
                <w:shd w:val="clear" w:color="auto" w:fill="auto"/>
                <w:lang w:val="en-US" w:eastAsia="zh-CN"/>
              </w:rPr>
            </w:pPr>
            <w:r>
              <w:rPr>
                <w:rFonts w:hint="eastAsia" w:ascii="Arial" w:hAnsi="Arial" w:eastAsia="宋体" w:cs="Arial"/>
                <w:color w:val="auto"/>
                <w:sz w:val="24"/>
                <w:szCs w:val="24"/>
                <w:lang w:val="en-US"/>
              </w:rPr>
              <w:t>评审依据：提供</w:t>
            </w:r>
            <w:r>
              <w:rPr>
                <w:rFonts w:hint="eastAsia" w:eastAsia="宋体" w:cs="Arial"/>
                <w:color w:val="auto"/>
                <w:sz w:val="24"/>
                <w:szCs w:val="24"/>
                <w:lang w:val="en-US" w:eastAsia="zh-CN"/>
              </w:rPr>
              <w:t>遂川</w:t>
            </w:r>
            <w:r>
              <w:rPr>
                <w:rFonts w:hint="eastAsia" w:ascii="Arial" w:hAnsi="Arial" w:eastAsia="宋体" w:cs="Arial"/>
                <w:color w:val="auto"/>
                <w:sz w:val="24"/>
                <w:szCs w:val="24"/>
                <w:lang w:val="en-US"/>
              </w:rPr>
              <w:t>县政府至投标人熟食加工配送中心的导航截图加盖公章。</w:t>
            </w:r>
          </w:p>
        </w:tc>
        <w:tc>
          <w:tcPr>
            <w:tcW w:w="765" w:type="dxa"/>
            <w:noWrap w:val="0"/>
            <w:vAlign w:val="center"/>
          </w:tcPr>
          <w:p w14:paraId="3FE2FB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6分</w:t>
            </w:r>
          </w:p>
        </w:tc>
      </w:tr>
    </w:tbl>
    <w:p w14:paraId="1481AA75">
      <w:pPr>
        <w:ind w:firstLine="560" w:firstLineChars="200"/>
        <w:jc w:val="both"/>
        <w:rPr>
          <w:rFonts w:hint="eastAsia"/>
          <w:color w:val="auto"/>
          <w:sz w:val="28"/>
          <w:szCs w:val="28"/>
          <w:highlight w:val="white"/>
          <w:lang w:eastAsia="zh-CN"/>
        </w:rPr>
      </w:pPr>
    </w:p>
    <w:p w14:paraId="3094A779">
      <w:pPr>
        <w:ind w:firstLine="560" w:firstLineChars="200"/>
        <w:jc w:val="both"/>
        <w:rPr>
          <w:rFonts w:hint="eastAsia"/>
          <w:color w:val="auto"/>
          <w:sz w:val="28"/>
          <w:szCs w:val="28"/>
          <w:highlight w:val="white"/>
          <w:lang w:eastAsia="zh-CN"/>
        </w:rPr>
      </w:pPr>
    </w:p>
    <w:p w14:paraId="785BAA1E">
      <w:pPr>
        <w:ind w:firstLine="560" w:firstLineChars="200"/>
        <w:jc w:val="both"/>
        <w:rPr>
          <w:rFonts w:hint="eastAsia"/>
          <w:color w:val="auto"/>
          <w:sz w:val="28"/>
          <w:szCs w:val="28"/>
          <w:highlight w:val="white"/>
          <w:lang w:eastAsia="zh-CN"/>
        </w:rPr>
      </w:pPr>
    </w:p>
    <w:p w14:paraId="76C32405">
      <w:pPr>
        <w:ind w:firstLine="560" w:firstLineChars="200"/>
        <w:jc w:val="both"/>
        <w:rPr>
          <w:rFonts w:hint="eastAsia"/>
          <w:color w:val="auto"/>
          <w:sz w:val="28"/>
          <w:szCs w:val="28"/>
          <w:highlight w:val="white"/>
          <w:lang w:eastAsia="zh-CN"/>
        </w:rPr>
      </w:pPr>
    </w:p>
    <w:p w14:paraId="1A9BFB50">
      <w:pPr>
        <w:ind w:firstLine="560" w:firstLineChars="200"/>
        <w:jc w:val="both"/>
        <w:rPr>
          <w:rFonts w:hint="eastAsia"/>
          <w:color w:val="auto"/>
          <w:sz w:val="28"/>
          <w:szCs w:val="28"/>
          <w:highlight w:val="white"/>
          <w:lang w:eastAsia="zh-CN"/>
        </w:rPr>
      </w:pPr>
    </w:p>
    <w:p w14:paraId="48475856">
      <w:pPr>
        <w:ind w:firstLine="560" w:firstLineChars="200"/>
        <w:jc w:val="both"/>
        <w:rPr>
          <w:rFonts w:hint="eastAsia"/>
          <w:color w:val="auto"/>
          <w:sz w:val="28"/>
          <w:szCs w:val="28"/>
          <w:highlight w:val="white"/>
          <w:lang w:eastAsia="zh-CN"/>
        </w:rPr>
      </w:pPr>
    </w:p>
    <w:p w14:paraId="12DBEB80">
      <w:pPr>
        <w:ind w:firstLine="560" w:firstLineChars="200"/>
        <w:jc w:val="both"/>
        <w:rPr>
          <w:rFonts w:hint="eastAsia"/>
          <w:color w:val="auto"/>
          <w:sz w:val="28"/>
          <w:szCs w:val="28"/>
          <w:highlight w:val="white"/>
          <w:lang w:eastAsia="zh-CN"/>
        </w:rPr>
      </w:pPr>
    </w:p>
    <w:p w14:paraId="48EDE9EF">
      <w:pPr>
        <w:ind w:firstLine="560" w:firstLineChars="200"/>
        <w:jc w:val="both"/>
        <w:rPr>
          <w:rFonts w:hint="eastAsia"/>
          <w:color w:val="auto"/>
          <w:sz w:val="28"/>
          <w:szCs w:val="28"/>
          <w:highlight w:val="white"/>
          <w:lang w:eastAsia="zh-CN"/>
        </w:rPr>
      </w:pPr>
    </w:p>
    <w:p w14:paraId="0D66C695">
      <w:pPr>
        <w:ind w:firstLine="560" w:firstLineChars="200"/>
        <w:jc w:val="both"/>
        <w:rPr>
          <w:rFonts w:hint="eastAsia"/>
          <w:color w:val="auto"/>
          <w:sz w:val="28"/>
          <w:szCs w:val="28"/>
          <w:highlight w:val="white"/>
          <w:lang w:eastAsia="zh-CN"/>
        </w:rPr>
      </w:pPr>
    </w:p>
    <w:p w14:paraId="1481340C">
      <w:pPr>
        <w:ind w:firstLine="560" w:firstLineChars="200"/>
        <w:jc w:val="both"/>
        <w:rPr>
          <w:rFonts w:hint="eastAsia"/>
          <w:color w:val="auto"/>
          <w:sz w:val="28"/>
          <w:szCs w:val="28"/>
          <w:highlight w:val="white"/>
          <w:lang w:eastAsia="zh-CN"/>
        </w:rPr>
      </w:pPr>
    </w:p>
    <w:p w14:paraId="70D720DE">
      <w:pPr>
        <w:ind w:firstLine="560" w:firstLineChars="200"/>
        <w:jc w:val="both"/>
        <w:rPr>
          <w:rFonts w:hint="eastAsia"/>
          <w:color w:val="auto"/>
          <w:sz w:val="28"/>
          <w:szCs w:val="28"/>
          <w:highlight w:val="white"/>
          <w:lang w:eastAsia="zh-CN"/>
        </w:rPr>
      </w:pPr>
    </w:p>
    <w:p w14:paraId="62397A72">
      <w:pPr>
        <w:ind w:firstLine="560" w:firstLineChars="200"/>
        <w:jc w:val="both"/>
        <w:rPr>
          <w:rFonts w:hint="eastAsia"/>
          <w:color w:val="auto"/>
          <w:sz w:val="28"/>
          <w:szCs w:val="28"/>
          <w:highlight w:val="white"/>
          <w:lang w:eastAsia="zh-CN"/>
        </w:rPr>
      </w:pPr>
    </w:p>
    <w:p w14:paraId="31121220">
      <w:pPr>
        <w:jc w:val="both"/>
        <w:rPr>
          <w:rFonts w:hint="eastAsia"/>
          <w:color w:val="auto"/>
          <w:sz w:val="28"/>
          <w:szCs w:val="28"/>
          <w:highlight w:val="white"/>
          <w:lang w:eastAsia="zh-CN"/>
        </w:rPr>
      </w:pPr>
    </w:p>
    <w:p w14:paraId="2943DD74">
      <w:pPr>
        <w:ind w:firstLine="560" w:firstLineChars="200"/>
        <w:jc w:val="both"/>
        <w:rPr>
          <w:rFonts w:hint="eastAsia"/>
          <w:color w:val="auto"/>
          <w:sz w:val="28"/>
          <w:szCs w:val="28"/>
          <w:highlight w:val="white"/>
        </w:rPr>
      </w:pPr>
      <w:r>
        <w:rPr>
          <w:rFonts w:hint="eastAsia"/>
          <w:color w:val="auto"/>
          <w:sz w:val="28"/>
          <w:szCs w:val="28"/>
          <w:highlight w:val="white"/>
          <w:lang w:eastAsia="zh-CN"/>
        </w:rPr>
        <w:t>仁远采字SC-【202</w:t>
      </w:r>
      <w:r>
        <w:rPr>
          <w:rFonts w:hint="eastAsia"/>
          <w:color w:val="auto"/>
          <w:sz w:val="28"/>
          <w:szCs w:val="28"/>
          <w:highlight w:val="white"/>
          <w:lang w:val="en-US" w:eastAsia="zh-CN"/>
        </w:rPr>
        <w:t>6</w:t>
      </w:r>
      <w:r>
        <w:rPr>
          <w:rFonts w:hint="eastAsia"/>
          <w:color w:val="auto"/>
          <w:sz w:val="28"/>
          <w:szCs w:val="28"/>
          <w:highlight w:val="white"/>
          <w:lang w:eastAsia="zh-CN"/>
        </w:rPr>
        <w:t>】</w:t>
      </w:r>
      <w:r>
        <w:rPr>
          <w:rFonts w:hint="eastAsia"/>
          <w:color w:val="auto"/>
          <w:sz w:val="28"/>
          <w:szCs w:val="28"/>
          <w:highlight w:val="white"/>
          <w:lang w:val="en-US" w:eastAsia="zh-CN"/>
        </w:rPr>
        <w:t>003</w:t>
      </w:r>
      <w:r>
        <w:rPr>
          <w:rFonts w:hint="eastAsia"/>
          <w:color w:val="auto"/>
          <w:sz w:val="28"/>
          <w:szCs w:val="28"/>
          <w:highlight w:val="white"/>
          <w:lang w:eastAsia="zh-CN"/>
        </w:rPr>
        <w:t>号</w:t>
      </w:r>
      <w:r>
        <w:rPr>
          <w:rFonts w:hint="eastAsia"/>
          <w:color w:val="auto"/>
          <w:sz w:val="28"/>
          <w:szCs w:val="28"/>
          <w:highlight w:val="white"/>
        </w:rPr>
        <w:t>竞争性磋商公告及竞争性磋商文件</w:t>
      </w:r>
    </w:p>
    <w:p w14:paraId="08F3D528">
      <w:pPr>
        <w:jc w:val="center"/>
        <w:rPr>
          <w:rFonts w:hint="eastAsia"/>
          <w:color w:val="auto"/>
          <w:sz w:val="28"/>
          <w:szCs w:val="28"/>
          <w:highlight w:val="white"/>
        </w:rPr>
      </w:pPr>
      <w:r>
        <w:rPr>
          <w:rFonts w:hint="eastAsia"/>
          <w:color w:val="auto"/>
          <w:sz w:val="28"/>
          <w:szCs w:val="28"/>
          <w:highlight w:val="white"/>
        </w:rPr>
        <w:t>审批意见</w:t>
      </w:r>
    </w:p>
    <w:tbl>
      <w:tblPr>
        <w:tblStyle w:val="21"/>
        <w:tblpPr w:leftFromText="180" w:rightFromText="180" w:vertAnchor="text" w:horzAnchor="page" w:tblpXSpec="center" w:tblpY="141"/>
        <w:tblOverlap w:val="never"/>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850"/>
      </w:tblGrid>
      <w:tr w14:paraId="7120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1109" w:type="dxa"/>
            <w:noWrap w:val="0"/>
            <w:vAlign w:val="center"/>
          </w:tcPr>
          <w:p w14:paraId="705CDE95">
            <w:pPr>
              <w:jc w:val="center"/>
              <w:rPr>
                <w:rFonts w:ascii="宋体" w:hAnsi="宋体" w:cs="宋体"/>
                <w:b/>
                <w:color w:val="auto"/>
                <w:sz w:val="28"/>
                <w:szCs w:val="28"/>
              </w:rPr>
            </w:pPr>
            <w:r>
              <w:rPr>
                <w:rFonts w:hint="eastAsia" w:ascii="宋体" w:hAnsi="宋体" w:cs="宋体"/>
                <w:color w:val="auto"/>
                <w:sz w:val="28"/>
                <w:szCs w:val="28"/>
                <w:highlight w:val="white"/>
              </w:rPr>
              <w:t>采购代理机构</w:t>
            </w:r>
          </w:p>
        </w:tc>
        <w:tc>
          <w:tcPr>
            <w:tcW w:w="8850" w:type="dxa"/>
            <w:noWrap w:val="0"/>
            <w:vAlign w:val="top"/>
          </w:tcPr>
          <w:p w14:paraId="4431A01F">
            <w:pPr>
              <w:rPr>
                <w:color w:val="auto"/>
                <w:sz w:val="28"/>
                <w:szCs w:val="28"/>
              </w:rPr>
            </w:pPr>
            <w:r>
              <w:rPr>
                <w:rFonts w:hint="eastAsia"/>
                <w:color w:val="auto"/>
                <w:sz w:val="28"/>
                <w:szCs w:val="28"/>
                <w:highlight w:val="white"/>
              </w:rPr>
              <w:t>采购代理机构：</w:t>
            </w:r>
            <w:r>
              <w:rPr>
                <w:rFonts w:hint="eastAsia"/>
                <w:color w:val="auto"/>
                <w:sz w:val="28"/>
                <w:szCs w:val="28"/>
                <w:highlight w:val="white"/>
                <w:u w:val="thick"/>
              </w:rPr>
              <w:t>文件编制完成，请采购人审核。</w:t>
            </w:r>
          </w:p>
          <w:p w14:paraId="6A9FFDFD">
            <w:pPr>
              <w:jc w:val="center"/>
              <w:rPr>
                <w:color w:val="auto"/>
                <w:sz w:val="28"/>
                <w:szCs w:val="28"/>
              </w:rPr>
            </w:pPr>
            <w:r>
              <w:rPr>
                <w:rFonts w:hint="eastAsia"/>
                <w:color w:val="auto"/>
                <w:sz w:val="28"/>
                <w:szCs w:val="28"/>
                <w:highlight w:val="white"/>
              </w:rPr>
              <w:t>（章）</w:t>
            </w:r>
          </w:p>
          <w:p w14:paraId="775E988F">
            <w:pPr>
              <w:pStyle w:val="8"/>
              <w:rPr>
                <w:color w:val="auto"/>
              </w:rPr>
            </w:pPr>
          </w:p>
          <w:p w14:paraId="575C16EC">
            <w:pPr>
              <w:rPr>
                <w:rFonts w:hint="eastAsia" w:eastAsia="宋体"/>
                <w:color w:val="auto"/>
                <w:lang w:eastAsia="zh-CN"/>
              </w:rPr>
            </w:pPr>
            <w:r>
              <w:rPr>
                <w:rFonts w:hint="eastAsia" w:eastAsia="宋体"/>
                <w:color w:val="auto"/>
                <w:lang w:eastAsia="zh-CN"/>
              </w:rPr>
              <w:t>、</w:t>
            </w:r>
          </w:p>
          <w:p w14:paraId="158BC78B">
            <w:pPr>
              <w:rPr>
                <w:rFonts w:hint="eastAsia" w:eastAsia="宋体"/>
                <w:color w:val="auto"/>
                <w:lang w:eastAsia="zh-CN"/>
              </w:rPr>
            </w:pPr>
          </w:p>
          <w:p w14:paraId="5EC16AE4">
            <w:pPr>
              <w:rPr>
                <w:rFonts w:hint="eastAsia" w:eastAsia="宋体"/>
                <w:color w:val="auto"/>
                <w:lang w:eastAsia="zh-CN"/>
              </w:rPr>
            </w:pPr>
          </w:p>
          <w:p w14:paraId="5DFFBE40">
            <w:pPr>
              <w:rPr>
                <w:color w:val="auto"/>
                <w:sz w:val="28"/>
                <w:szCs w:val="28"/>
              </w:rPr>
            </w:pPr>
            <w:r>
              <w:rPr>
                <w:rFonts w:hint="eastAsia"/>
                <w:color w:val="auto"/>
                <w:sz w:val="28"/>
                <w:szCs w:val="28"/>
                <w:highlight w:val="white"/>
              </w:rPr>
              <w:t>编制人：</w:t>
            </w:r>
            <w:r>
              <w:rPr>
                <w:color w:val="auto"/>
                <w:sz w:val="28"/>
                <w:szCs w:val="28"/>
                <w:highlight w:val="white"/>
              </w:rPr>
              <w:t xml:space="preserve"> </w:t>
            </w:r>
          </w:p>
          <w:p w14:paraId="0D3908E7">
            <w:pPr>
              <w:jc w:val="right"/>
              <w:rPr>
                <w:color w:val="auto"/>
                <w:sz w:val="28"/>
                <w:szCs w:val="28"/>
              </w:rPr>
            </w:pPr>
            <w:r>
              <w:rPr>
                <w:rFonts w:hint="eastAsia"/>
                <w:color w:val="auto"/>
                <w:sz w:val="28"/>
                <w:szCs w:val="28"/>
                <w:highlight w:val="white"/>
              </w:rPr>
              <w:t>202</w:t>
            </w:r>
            <w:r>
              <w:rPr>
                <w:rFonts w:hint="eastAsia" w:eastAsia="宋体"/>
                <w:color w:val="auto"/>
                <w:sz w:val="28"/>
                <w:szCs w:val="28"/>
                <w:highlight w:val="white"/>
                <w:lang w:val="en-US" w:eastAsia="zh-CN"/>
              </w:rPr>
              <w:t>6</w:t>
            </w:r>
            <w:r>
              <w:rPr>
                <w:rFonts w:hint="eastAsia"/>
                <w:color w:val="auto"/>
                <w:sz w:val="28"/>
                <w:szCs w:val="28"/>
                <w:highlight w:val="white"/>
              </w:rPr>
              <w:t>年</w:t>
            </w:r>
            <w:r>
              <w:rPr>
                <w:rFonts w:hint="eastAsia" w:eastAsia="宋体"/>
                <w:color w:val="auto"/>
                <w:sz w:val="28"/>
                <w:szCs w:val="28"/>
                <w:highlight w:val="white"/>
                <w:lang w:val="en-US" w:eastAsia="zh-CN"/>
              </w:rPr>
              <w:t>2</w:t>
            </w:r>
            <w:r>
              <w:rPr>
                <w:rFonts w:hint="eastAsia"/>
                <w:color w:val="auto"/>
                <w:sz w:val="28"/>
                <w:szCs w:val="28"/>
                <w:highlight w:val="white"/>
              </w:rPr>
              <w:t>月</w:t>
            </w:r>
            <w:r>
              <w:rPr>
                <w:rFonts w:hint="eastAsia" w:eastAsia="宋体"/>
                <w:color w:val="auto"/>
                <w:sz w:val="28"/>
                <w:szCs w:val="28"/>
                <w:highlight w:val="white"/>
                <w:lang w:val="en-US" w:eastAsia="zh-CN"/>
              </w:rPr>
              <w:t>9</w:t>
            </w:r>
            <w:r>
              <w:rPr>
                <w:rFonts w:hint="eastAsia"/>
                <w:color w:val="auto"/>
                <w:sz w:val="28"/>
                <w:szCs w:val="28"/>
                <w:highlight w:val="white"/>
              </w:rPr>
              <w:t>日</w:t>
            </w:r>
          </w:p>
        </w:tc>
      </w:tr>
      <w:tr w14:paraId="6CD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1109" w:type="dxa"/>
            <w:noWrap w:val="0"/>
            <w:vAlign w:val="center"/>
          </w:tcPr>
          <w:p w14:paraId="4280BE3F">
            <w:pPr>
              <w:jc w:val="center"/>
              <w:rPr>
                <w:rFonts w:ascii="宋体" w:hAnsi="宋体" w:cs="宋体"/>
                <w:color w:val="auto"/>
                <w:sz w:val="28"/>
                <w:szCs w:val="28"/>
              </w:rPr>
            </w:pPr>
            <w:r>
              <w:rPr>
                <w:rFonts w:hint="eastAsia" w:ascii="宋体" w:hAnsi="宋体" w:cs="宋体"/>
                <w:color w:val="auto"/>
                <w:sz w:val="28"/>
                <w:szCs w:val="28"/>
                <w:highlight w:val="white"/>
              </w:rPr>
              <w:t>采</w:t>
            </w:r>
          </w:p>
          <w:p w14:paraId="3AD5EF8B">
            <w:pPr>
              <w:jc w:val="center"/>
              <w:rPr>
                <w:rFonts w:ascii="宋体" w:hAnsi="宋体" w:cs="宋体"/>
                <w:color w:val="auto"/>
                <w:sz w:val="28"/>
                <w:szCs w:val="28"/>
              </w:rPr>
            </w:pPr>
            <w:r>
              <w:rPr>
                <w:rFonts w:hint="eastAsia" w:ascii="宋体" w:hAnsi="宋体" w:cs="宋体"/>
                <w:color w:val="auto"/>
                <w:sz w:val="28"/>
                <w:szCs w:val="28"/>
                <w:highlight w:val="white"/>
              </w:rPr>
              <w:t>购</w:t>
            </w:r>
          </w:p>
          <w:p w14:paraId="1DD8DBE0">
            <w:pPr>
              <w:jc w:val="center"/>
              <w:rPr>
                <w:rFonts w:ascii="宋体" w:hAnsi="宋体" w:cs="宋体"/>
                <w:color w:val="auto"/>
                <w:sz w:val="28"/>
                <w:szCs w:val="28"/>
              </w:rPr>
            </w:pPr>
            <w:r>
              <w:rPr>
                <w:rFonts w:hint="eastAsia" w:ascii="宋体" w:hAnsi="宋体" w:cs="宋体"/>
                <w:color w:val="auto"/>
                <w:sz w:val="28"/>
                <w:szCs w:val="28"/>
                <w:highlight w:val="white"/>
              </w:rPr>
              <w:t>单</w:t>
            </w:r>
          </w:p>
          <w:p w14:paraId="3E8B4FD3">
            <w:pPr>
              <w:ind w:firstLine="280" w:firstLineChars="100"/>
              <w:rPr>
                <w:rFonts w:ascii="宋体" w:hAnsi="宋体" w:cs="宋体"/>
                <w:b/>
                <w:color w:val="auto"/>
                <w:sz w:val="28"/>
                <w:szCs w:val="28"/>
              </w:rPr>
            </w:pPr>
            <w:r>
              <w:rPr>
                <w:rFonts w:hint="eastAsia" w:ascii="宋体" w:hAnsi="宋体" w:cs="宋体"/>
                <w:color w:val="auto"/>
                <w:sz w:val="28"/>
                <w:szCs w:val="28"/>
                <w:highlight w:val="white"/>
              </w:rPr>
              <w:t>位</w:t>
            </w:r>
          </w:p>
        </w:tc>
        <w:tc>
          <w:tcPr>
            <w:tcW w:w="8850" w:type="dxa"/>
            <w:noWrap w:val="0"/>
            <w:vAlign w:val="top"/>
          </w:tcPr>
          <w:p w14:paraId="5A1B93C3">
            <w:pPr>
              <w:rPr>
                <w:color w:val="auto"/>
                <w:sz w:val="28"/>
                <w:szCs w:val="28"/>
              </w:rPr>
            </w:pPr>
            <w:r>
              <w:rPr>
                <w:rFonts w:hint="eastAsia"/>
                <w:color w:val="auto"/>
                <w:sz w:val="28"/>
                <w:szCs w:val="28"/>
                <w:highlight w:val="white"/>
              </w:rPr>
              <w:t>采购单位意见：</w:t>
            </w:r>
            <w:r>
              <w:rPr>
                <w:rFonts w:hint="eastAsia"/>
                <w:color w:val="auto"/>
                <w:sz w:val="28"/>
                <w:szCs w:val="28"/>
                <w:highlight w:val="white"/>
                <w:u w:val="thick"/>
              </w:rPr>
              <w:t>审核通过，同意挂网。</w:t>
            </w:r>
          </w:p>
          <w:p w14:paraId="20F16FE9">
            <w:pPr>
              <w:pStyle w:val="8"/>
              <w:jc w:val="center"/>
              <w:rPr>
                <w:rFonts w:ascii="Calibri"/>
                <w:color w:val="auto"/>
                <w:sz w:val="28"/>
                <w:szCs w:val="28"/>
              </w:rPr>
            </w:pPr>
            <w:r>
              <w:rPr>
                <w:rFonts w:ascii="Calibri"/>
                <w:color w:val="auto"/>
                <w:sz w:val="28"/>
                <w:szCs w:val="28"/>
                <w:highlight w:val="white"/>
              </w:rPr>
              <w:t>（章）</w:t>
            </w:r>
          </w:p>
          <w:p w14:paraId="1AB9FC90">
            <w:pPr>
              <w:pStyle w:val="3"/>
              <w:rPr>
                <w:bCs/>
                <w:color w:val="auto"/>
                <w:szCs w:val="28"/>
              </w:rPr>
            </w:pPr>
          </w:p>
          <w:p w14:paraId="70ED8C21">
            <w:pPr>
              <w:rPr>
                <w:rFonts w:hint="eastAsia"/>
                <w:bCs/>
                <w:color w:val="auto"/>
                <w:sz w:val="28"/>
                <w:szCs w:val="28"/>
                <w:highlight w:val="white"/>
              </w:rPr>
            </w:pPr>
          </w:p>
          <w:p w14:paraId="0FBCFEBB">
            <w:pPr>
              <w:rPr>
                <w:bCs/>
                <w:color w:val="auto"/>
                <w:sz w:val="28"/>
                <w:szCs w:val="28"/>
              </w:rPr>
            </w:pPr>
            <w:r>
              <w:rPr>
                <w:rFonts w:hint="eastAsia"/>
                <w:bCs/>
                <w:color w:val="auto"/>
                <w:sz w:val="28"/>
                <w:szCs w:val="28"/>
                <w:highlight w:val="white"/>
              </w:rPr>
              <w:t>法定代表人（签字或盖章）：</w:t>
            </w:r>
          </w:p>
          <w:p w14:paraId="714DE09D">
            <w:pPr>
              <w:pStyle w:val="31"/>
              <w:ind w:firstLine="578"/>
              <w:rPr>
                <w:bCs/>
                <w:color w:val="auto"/>
                <w:sz w:val="28"/>
              </w:rPr>
            </w:pPr>
          </w:p>
          <w:p w14:paraId="165EBC45">
            <w:pPr>
              <w:jc w:val="right"/>
              <w:rPr>
                <w:color w:val="auto"/>
                <w:sz w:val="28"/>
                <w:szCs w:val="28"/>
              </w:rPr>
            </w:pPr>
          </w:p>
          <w:p w14:paraId="645A7D8E">
            <w:pPr>
              <w:wordWrap w:val="0"/>
              <w:jc w:val="right"/>
              <w:rPr>
                <w:color w:val="auto"/>
                <w:sz w:val="28"/>
                <w:szCs w:val="28"/>
              </w:rPr>
            </w:pPr>
            <w:r>
              <w:rPr>
                <w:rFonts w:hint="eastAsia"/>
                <w:color w:val="auto"/>
                <w:sz w:val="28"/>
                <w:szCs w:val="28"/>
                <w:highlight w:val="white"/>
              </w:rPr>
              <w:t>202</w:t>
            </w:r>
            <w:r>
              <w:rPr>
                <w:rFonts w:hint="eastAsia" w:eastAsia="宋体"/>
                <w:color w:val="auto"/>
                <w:sz w:val="28"/>
                <w:szCs w:val="28"/>
                <w:highlight w:val="white"/>
                <w:lang w:val="en-US" w:eastAsia="zh-CN"/>
              </w:rPr>
              <w:t>6</w:t>
            </w:r>
            <w:r>
              <w:rPr>
                <w:rFonts w:hint="eastAsia"/>
                <w:color w:val="auto"/>
                <w:sz w:val="28"/>
                <w:szCs w:val="28"/>
                <w:highlight w:val="white"/>
              </w:rPr>
              <w:t>年</w:t>
            </w:r>
            <w:r>
              <w:rPr>
                <w:rFonts w:hint="eastAsia" w:eastAsia="宋体"/>
                <w:color w:val="auto"/>
                <w:sz w:val="28"/>
                <w:szCs w:val="28"/>
                <w:highlight w:val="white"/>
                <w:lang w:val="en-US" w:eastAsia="zh-CN"/>
              </w:rPr>
              <w:t>2</w:t>
            </w:r>
            <w:r>
              <w:rPr>
                <w:rFonts w:hint="eastAsia"/>
                <w:color w:val="auto"/>
                <w:sz w:val="28"/>
                <w:szCs w:val="28"/>
                <w:highlight w:val="white"/>
              </w:rPr>
              <w:t>月</w:t>
            </w:r>
            <w:r>
              <w:rPr>
                <w:rFonts w:hint="eastAsia" w:eastAsia="宋体"/>
                <w:color w:val="auto"/>
                <w:sz w:val="28"/>
                <w:szCs w:val="28"/>
                <w:highlight w:val="white"/>
                <w:lang w:val="en-US" w:eastAsia="zh-CN"/>
              </w:rPr>
              <w:t>9</w:t>
            </w:r>
            <w:r>
              <w:rPr>
                <w:rFonts w:hint="eastAsia"/>
                <w:color w:val="auto"/>
                <w:sz w:val="28"/>
                <w:szCs w:val="28"/>
                <w:highlight w:val="white"/>
              </w:rPr>
              <w:t>日</w:t>
            </w:r>
          </w:p>
        </w:tc>
      </w:tr>
    </w:tbl>
    <w:p w14:paraId="7AC3674A">
      <w:pPr>
        <w:pStyle w:val="30"/>
        <w:rPr>
          <w:rFonts w:hint="eastAsia" w:ascii="宋体" w:hAnsi="宋体" w:cs="宋体"/>
          <w:b/>
          <w:color w:val="auto"/>
        </w:rPr>
      </w:pPr>
    </w:p>
    <w:p w14:paraId="0B1DB5C8">
      <w:pPr>
        <w:pStyle w:val="30"/>
        <w:rPr>
          <w:rFonts w:hint="eastAsia" w:ascii="宋体" w:hAnsi="宋体" w:cs="宋体"/>
          <w:b/>
          <w:color w:val="auto"/>
        </w:rPr>
      </w:pPr>
    </w:p>
    <w:p w14:paraId="34CEFD92">
      <w:pPr>
        <w:pStyle w:val="4"/>
        <w:numPr>
          <w:ilvl w:val="0"/>
          <w:numId w:val="0"/>
        </w:numPr>
        <w:jc w:val="left"/>
        <w:rPr>
          <w:color w:val="auto"/>
        </w:rPr>
      </w:pPr>
    </w:p>
    <w:p w14:paraId="0633C358">
      <w:pPr>
        <w:rPr>
          <w:color w:val="auto"/>
        </w:rPr>
      </w:pPr>
    </w:p>
    <w:sectPr>
      <w:headerReference r:id="rId18" w:type="default"/>
      <w:footerReference r:id="rId19" w:type="default"/>
      <w:pgSz w:w="11906" w:h="16838"/>
      <w:pgMar w:top="1440" w:right="1236" w:bottom="1174" w:left="1236" w:header="851" w:footer="73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ZFangSong-Z02">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DB7C">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FBC73">
                          <w:pPr>
                            <w:pStyle w:val="12"/>
                            <w:rPr>
                              <w:rStyle w:val="25"/>
                            </w:rPr>
                          </w:pPr>
                          <w:r>
                            <w:fldChar w:fldCharType="begin"/>
                          </w:r>
                          <w:r>
                            <w:rPr>
                              <w:rStyle w:val="25"/>
                              <w:highlight w:val="white"/>
                            </w:rPr>
                            <w:instrText xml:space="preserve">PAGE  </w:instrText>
                          </w:r>
                          <w:r>
                            <w:fldChar w:fldCharType="separate"/>
                          </w:r>
                          <w:r>
                            <w:rPr>
                              <w:rStyle w:val="25"/>
                              <w:highlight w:val="white"/>
                            </w:rPr>
                            <w:t>21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39DFBC73">
                    <w:pPr>
                      <w:pStyle w:val="12"/>
                      <w:rPr>
                        <w:rStyle w:val="25"/>
                      </w:rPr>
                    </w:pPr>
                    <w:r>
                      <w:fldChar w:fldCharType="begin"/>
                    </w:r>
                    <w:r>
                      <w:rPr>
                        <w:rStyle w:val="25"/>
                        <w:highlight w:val="white"/>
                      </w:rPr>
                      <w:instrText xml:space="preserve">PAGE  </w:instrText>
                    </w:r>
                    <w:r>
                      <w:fldChar w:fldCharType="separate"/>
                    </w:r>
                    <w:r>
                      <w:rPr>
                        <w:rStyle w:val="25"/>
                        <w:highlight w:val="white"/>
                      </w:rPr>
                      <w:t>21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C191">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118C1">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BB118C1">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A8E0">
    <w:pPr>
      <w:pStyle w:val="12"/>
      <w:framePr w:wrap="around" w:vAnchor="text" w:hAnchor="margin" w:xAlign="center" w:y="1"/>
      <w:rPr>
        <w:rStyle w:val="25"/>
      </w:rPr>
    </w:pPr>
    <w:r>
      <w:fldChar w:fldCharType="begin"/>
    </w:r>
    <w:r>
      <w:rPr>
        <w:rStyle w:val="25"/>
        <w:highlight w:val="white"/>
      </w:rPr>
      <w:instrText xml:space="preserve">PAGE  </w:instrText>
    </w:r>
    <w:r>
      <w:fldChar w:fldCharType="separate"/>
    </w:r>
    <w:r>
      <w:rPr>
        <w:rStyle w:val="25"/>
        <w:highlight w:val="white"/>
      </w:rPr>
      <w:t xml:space="preserve"> </w:t>
    </w:r>
    <w:r>
      <w:fldChar w:fldCharType="end"/>
    </w:r>
  </w:p>
  <w:p w14:paraId="3E82AB7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D525">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2EC848">
                          <w:pPr>
                            <w:pStyle w:val="12"/>
                            <w:rPr>
                              <w:rStyle w:val="25"/>
                              <w:color w:val="FFFFFF"/>
                            </w:rPr>
                          </w:pPr>
                          <w:r>
                            <w:rPr>
                              <w:color w:val="FFFFFF"/>
                            </w:rPr>
                            <w:fldChar w:fldCharType="begin"/>
                          </w:r>
                          <w:r>
                            <w:rPr>
                              <w:rStyle w:val="25"/>
                              <w:color w:val="FFFFFF"/>
                              <w:highlight w:val="white"/>
                            </w:rPr>
                            <w:instrText xml:space="preserve">PAGE  </w:instrText>
                          </w:r>
                          <w:r>
                            <w:rPr>
                              <w:color w:val="FFFFFF"/>
                            </w:rPr>
                            <w:fldChar w:fldCharType="separate"/>
                          </w:r>
                          <w:r>
                            <w:rPr>
                              <w:rStyle w:val="25"/>
                              <w:color w:val="FFFFFF"/>
                              <w:highlight w:val="white"/>
                            </w:rPr>
                            <w:t>1</w:t>
                          </w:r>
                          <w:r>
                            <w:rPr>
                              <w:color w:val="FFFFFF"/>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22EC848">
                    <w:pPr>
                      <w:pStyle w:val="12"/>
                      <w:rPr>
                        <w:rStyle w:val="25"/>
                        <w:color w:val="FFFFFF"/>
                      </w:rPr>
                    </w:pPr>
                    <w:r>
                      <w:rPr>
                        <w:color w:val="FFFFFF"/>
                      </w:rPr>
                      <w:fldChar w:fldCharType="begin"/>
                    </w:r>
                    <w:r>
                      <w:rPr>
                        <w:rStyle w:val="25"/>
                        <w:color w:val="FFFFFF"/>
                        <w:highlight w:val="white"/>
                      </w:rPr>
                      <w:instrText xml:space="preserve">PAGE  </w:instrText>
                    </w:r>
                    <w:r>
                      <w:rPr>
                        <w:color w:val="FFFFFF"/>
                      </w:rPr>
                      <w:fldChar w:fldCharType="separate"/>
                    </w:r>
                    <w:r>
                      <w:rPr>
                        <w:rStyle w:val="25"/>
                        <w:color w:val="FFFFFF"/>
                        <w:highlight w:val="white"/>
                      </w:rPr>
                      <w:t>1</w:t>
                    </w:r>
                    <w:r>
                      <w:rPr>
                        <w:color w:val="FFFFFF"/>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CFA6">
    <w:pPr>
      <w:pStyle w:val="12"/>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C4605">
                          <w:pPr>
                            <w:pStyle w:val="12"/>
                            <w:rPr>
                              <w:rStyle w:val="25"/>
                            </w:rPr>
                          </w:pPr>
                          <w:r>
                            <w:fldChar w:fldCharType="begin"/>
                          </w:r>
                          <w:r>
                            <w:rPr>
                              <w:rStyle w:val="25"/>
                              <w:highlight w:val="white"/>
                            </w:rPr>
                            <w:instrText xml:space="preserve">PAGE  </w:instrText>
                          </w:r>
                          <w:r>
                            <w:fldChar w:fldCharType="separate"/>
                          </w:r>
                          <w:r>
                            <w:rPr>
                              <w:rStyle w:val="25"/>
                              <w:highlight w:val="white"/>
                            </w:rPr>
                            <w:t>35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1C1C4605">
                    <w:pPr>
                      <w:pStyle w:val="12"/>
                      <w:rPr>
                        <w:rStyle w:val="25"/>
                      </w:rPr>
                    </w:pPr>
                    <w:r>
                      <w:fldChar w:fldCharType="begin"/>
                    </w:r>
                    <w:r>
                      <w:rPr>
                        <w:rStyle w:val="25"/>
                        <w:highlight w:val="white"/>
                      </w:rPr>
                      <w:instrText xml:space="preserve">PAGE  </w:instrText>
                    </w:r>
                    <w:r>
                      <w:fldChar w:fldCharType="separate"/>
                    </w:r>
                    <w:r>
                      <w:rPr>
                        <w:rStyle w:val="25"/>
                        <w:highlight w:val="white"/>
                      </w:rPr>
                      <w:t>35</w:t>
                    </w:r>
                    <w:r>
                      <w:fldChar w:fldCharType="end"/>
                    </w:r>
                  </w:p>
                </w:txbxContent>
              </v:textbox>
            </v:shape>
          </w:pict>
        </mc:Fallback>
      </mc:AlternateContent>
    </w:r>
    <w:r>
      <w:rPr>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626B">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1BB46">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E41BB46">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D06EB">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10E41">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F110E41">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DD3B8">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6119">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9546119">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FE4E">
    <w:pPr>
      <w:pStyle w:val="12"/>
      <w:rPr>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7A4C0">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1B7A4C0">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C398">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DDB23">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8CDDB23">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0232">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385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90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07E3">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FAC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ABF8"/>
    <w:multiLevelType w:val="singleLevel"/>
    <w:tmpl w:val="8295ABF8"/>
    <w:lvl w:ilvl="0" w:tentative="0">
      <w:start w:val="6"/>
      <w:numFmt w:val="chineseCounting"/>
      <w:suff w:val="space"/>
      <w:lvlText w:val="第%1章"/>
      <w:lvlJc w:val="left"/>
      <w:rPr>
        <w:rFonts w:hint="eastAsia"/>
      </w:rPr>
    </w:lvl>
  </w:abstractNum>
  <w:abstractNum w:abstractNumId="1">
    <w:nsid w:val="00000027"/>
    <w:multiLevelType w:val="multilevel"/>
    <w:tmpl w:val="00000027"/>
    <w:lvl w:ilvl="0" w:tentative="0">
      <w:start w:val="7"/>
      <w:numFmt w:val="decimal"/>
      <w:lvlText w:val="%1."/>
      <w:lvlJc w:val="left"/>
      <w:pPr>
        <w:tabs>
          <w:tab w:val="left" w:pos="425"/>
        </w:tabs>
        <w:ind w:left="425" w:hanging="425"/>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pStyle w:val="6"/>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00B546C2"/>
    <w:multiLevelType w:val="singleLevel"/>
    <w:tmpl w:val="00B546C2"/>
    <w:lvl w:ilvl="0" w:tentative="0">
      <w:start w:val="12"/>
      <w:numFmt w:val="decimal"/>
      <w:suff w:val="nothing"/>
      <w:lvlText w:val="%1、"/>
      <w:lvlJc w:val="left"/>
    </w:lvl>
  </w:abstractNum>
  <w:abstractNum w:abstractNumId="3">
    <w:nsid w:val="1EF1BDF2"/>
    <w:multiLevelType w:val="singleLevel"/>
    <w:tmpl w:val="1EF1BDF2"/>
    <w:lvl w:ilvl="0" w:tentative="0">
      <w:start w:val="6"/>
      <w:numFmt w:val="chineseCounting"/>
      <w:suff w:val="nothing"/>
      <w:lvlText w:val="%1、"/>
      <w:lvlJc w:val="left"/>
      <w:rPr>
        <w:rFonts w:hint="eastAsia"/>
      </w:rPr>
    </w:lvl>
  </w:abstractNum>
  <w:abstractNum w:abstractNumId="4">
    <w:nsid w:val="38E53C67"/>
    <w:multiLevelType w:val="singleLevel"/>
    <w:tmpl w:val="38E53C67"/>
    <w:lvl w:ilvl="0" w:tentative="0">
      <w:start w:val="3"/>
      <w:numFmt w:val="chineseCounting"/>
      <w:suff w:val="space"/>
      <w:lvlText w:val="第%1章"/>
      <w:lvlJc w:val="left"/>
      <w:rPr>
        <w:rFonts w:hint="eastAsia"/>
      </w:rPr>
    </w:lvl>
  </w:abstractNum>
  <w:abstractNum w:abstractNumId="5">
    <w:nsid w:val="4C77EF61"/>
    <w:multiLevelType w:val="singleLevel"/>
    <w:tmpl w:val="4C77EF61"/>
    <w:lvl w:ilvl="0" w:tentative="0">
      <w:start w:val="11"/>
      <w:numFmt w:val="decimal"/>
      <w:suff w:val="nothing"/>
      <w:lvlText w:val="%1、"/>
      <w:lvlJc w:val="left"/>
    </w:lvl>
  </w:abstractNum>
  <w:abstractNum w:abstractNumId="6">
    <w:nsid w:val="75C5BF45"/>
    <w:multiLevelType w:val="singleLevel"/>
    <w:tmpl w:val="75C5BF45"/>
    <w:lvl w:ilvl="0" w:tentative="0">
      <w:start w:val="2"/>
      <w:numFmt w:val="chineseCounting"/>
      <w:suff w:val="nothing"/>
      <w:lvlText w:val="%1、"/>
      <w:lvlJc w:val="left"/>
      <w:rPr>
        <w:rFonts w:hint="eastAsia"/>
      </w:rPr>
    </w:lvl>
  </w:abstractNum>
  <w:abstractNum w:abstractNumId="7">
    <w:nsid w:val="79E807EE"/>
    <w:multiLevelType w:val="singleLevel"/>
    <w:tmpl w:val="79E807EE"/>
    <w:lvl w:ilvl="0" w:tentative="0">
      <w:start w:val="1"/>
      <w:numFmt w:val="decimal"/>
      <w:suff w:val="nothing"/>
      <w:lvlText w:val="（%1）"/>
      <w:lvlJc w:val="left"/>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DIzNzgwYjY2YjhhNmE1NjUyZjZhMTk0Mjc3YjAifQ=="/>
  </w:docVars>
  <w:rsids>
    <w:rsidRoot w:val="00000000"/>
    <w:rsid w:val="001434CE"/>
    <w:rsid w:val="0050638A"/>
    <w:rsid w:val="00534C41"/>
    <w:rsid w:val="0055574E"/>
    <w:rsid w:val="00833A65"/>
    <w:rsid w:val="00A91E23"/>
    <w:rsid w:val="00A97848"/>
    <w:rsid w:val="01003B8B"/>
    <w:rsid w:val="012C702F"/>
    <w:rsid w:val="013034FD"/>
    <w:rsid w:val="01722330"/>
    <w:rsid w:val="01AA2EE4"/>
    <w:rsid w:val="02225B04"/>
    <w:rsid w:val="02354ACF"/>
    <w:rsid w:val="02502671"/>
    <w:rsid w:val="02587777"/>
    <w:rsid w:val="027C16B8"/>
    <w:rsid w:val="02A34F36"/>
    <w:rsid w:val="0322321A"/>
    <w:rsid w:val="032A37DD"/>
    <w:rsid w:val="03582B96"/>
    <w:rsid w:val="03C2759E"/>
    <w:rsid w:val="03DB2954"/>
    <w:rsid w:val="03E1761F"/>
    <w:rsid w:val="03E272F9"/>
    <w:rsid w:val="03F6739B"/>
    <w:rsid w:val="04477AA3"/>
    <w:rsid w:val="04504BAA"/>
    <w:rsid w:val="045414F0"/>
    <w:rsid w:val="04E62105"/>
    <w:rsid w:val="04FD7CD5"/>
    <w:rsid w:val="04FE2CB8"/>
    <w:rsid w:val="04FF212C"/>
    <w:rsid w:val="05697ACB"/>
    <w:rsid w:val="05A0746B"/>
    <w:rsid w:val="05D37841"/>
    <w:rsid w:val="05DF3F5E"/>
    <w:rsid w:val="05E41E7A"/>
    <w:rsid w:val="05EC445F"/>
    <w:rsid w:val="05F66B26"/>
    <w:rsid w:val="060534C2"/>
    <w:rsid w:val="06177E24"/>
    <w:rsid w:val="06265483"/>
    <w:rsid w:val="062A1ADC"/>
    <w:rsid w:val="064217FF"/>
    <w:rsid w:val="066F5090"/>
    <w:rsid w:val="066F769B"/>
    <w:rsid w:val="06792EF5"/>
    <w:rsid w:val="069E2E9F"/>
    <w:rsid w:val="06D93E02"/>
    <w:rsid w:val="06F23CF7"/>
    <w:rsid w:val="06FD15E5"/>
    <w:rsid w:val="07317CA5"/>
    <w:rsid w:val="075229E7"/>
    <w:rsid w:val="076E3484"/>
    <w:rsid w:val="07D21289"/>
    <w:rsid w:val="081144B5"/>
    <w:rsid w:val="08480813"/>
    <w:rsid w:val="08730E67"/>
    <w:rsid w:val="08862D93"/>
    <w:rsid w:val="08940DDD"/>
    <w:rsid w:val="08A454C4"/>
    <w:rsid w:val="08AE1482"/>
    <w:rsid w:val="08BC2EB3"/>
    <w:rsid w:val="08CB2A51"/>
    <w:rsid w:val="08F31370"/>
    <w:rsid w:val="0913264A"/>
    <w:rsid w:val="09212671"/>
    <w:rsid w:val="09555E2F"/>
    <w:rsid w:val="095A2027"/>
    <w:rsid w:val="097417BC"/>
    <w:rsid w:val="09ED2E9B"/>
    <w:rsid w:val="09F077B4"/>
    <w:rsid w:val="09F65F44"/>
    <w:rsid w:val="09F97D63"/>
    <w:rsid w:val="0A027D77"/>
    <w:rsid w:val="0A1044B8"/>
    <w:rsid w:val="0A143C98"/>
    <w:rsid w:val="0A2F0DBE"/>
    <w:rsid w:val="0A343FE2"/>
    <w:rsid w:val="0A660C97"/>
    <w:rsid w:val="0AAA0DF0"/>
    <w:rsid w:val="0AB75AB6"/>
    <w:rsid w:val="0ACC2AB1"/>
    <w:rsid w:val="0AD23CD2"/>
    <w:rsid w:val="0AE4604C"/>
    <w:rsid w:val="0AE54ED3"/>
    <w:rsid w:val="0B212DFC"/>
    <w:rsid w:val="0B37444E"/>
    <w:rsid w:val="0B427E69"/>
    <w:rsid w:val="0B6D6042"/>
    <w:rsid w:val="0BA57B0A"/>
    <w:rsid w:val="0BC01BF6"/>
    <w:rsid w:val="0BF04195"/>
    <w:rsid w:val="0BFE313E"/>
    <w:rsid w:val="0C1666FF"/>
    <w:rsid w:val="0C1C1816"/>
    <w:rsid w:val="0C264442"/>
    <w:rsid w:val="0C282741"/>
    <w:rsid w:val="0C3864B3"/>
    <w:rsid w:val="0C394176"/>
    <w:rsid w:val="0C53540B"/>
    <w:rsid w:val="0C6D2071"/>
    <w:rsid w:val="0C7E4404"/>
    <w:rsid w:val="0C7F7735"/>
    <w:rsid w:val="0C831611"/>
    <w:rsid w:val="0C891C9C"/>
    <w:rsid w:val="0C9862ED"/>
    <w:rsid w:val="0CB437FC"/>
    <w:rsid w:val="0CD465F8"/>
    <w:rsid w:val="0D05113D"/>
    <w:rsid w:val="0D096F1D"/>
    <w:rsid w:val="0D1F15BD"/>
    <w:rsid w:val="0D3037CB"/>
    <w:rsid w:val="0D3144E1"/>
    <w:rsid w:val="0D32797F"/>
    <w:rsid w:val="0D5C45C0"/>
    <w:rsid w:val="0D985869"/>
    <w:rsid w:val="0DB37F58"/>
    <w:rsid w:val="0DD24882"/>
    <w:rsid w:val="0DDD307C"/>
    <w:rsid w:val="0DE77C19"/>
    <w:rsid w:val="0DF01CA5"/>
    <w:rsid w:val="0E161C1D"/>
    <w:rsid w:val="0E2C21E4"/>
    <w:rsid w:val="0E67321C"/>
    <w:rsid w:val="0E7924CB"/>
    <w:rsid w:val="0EA87391"/>
    <w:rsid w:val="0EAB6E2F"/>
    <w:rsid w:val="0EB9159E"/>
    <w:rsid w:val="0EC91BAB"/>
    <w:rsid w:val="0EDE2DB2"/>
    <w:rsid w:val="0F1F4A5F"/>
    <w:rsid w:val="0F2729AB"/>
    <w:rsid w:val="0F5B4DF4"/>
    <w:rsid w:val="0FB9772B"/>
    <w:rsid w:val="0FE863E6"/>
    <w:rsid w:val="10307656"/>
    <w:rsid w:val="10953945"/>
    <w:rsid w:val="10A927A7"/>
    <w:rsid w:val="10DA70EF"/>
    <w:rsid w:val="113D5C31"/>
    <w:rsid w:val="114A2981"/>
    <w:rsid w:val="117F087D"/>
    <w:rsid w:val="11AD1C39"/>
    <w:rsid w:val="11C12C43"/>
    <w:rsid w:val="11EF7A73"/>
    <w:rsid w:val="120E1C01"/>
    <w:rsid w:val="12644CAA"/>
    <w:rsid w:val="126F6B43"/>
    <w:rsid w:val="12891287"/>
    <w:rsid w:val="12B24C82"/>
    <w:rsid w:val="12C549B5"/>
    <w:rsid w:val="12FC7CAB"/>
    <w:rsid w:val="130A061A"/>
    <w:rsid w:val="133319F9"/>
    <w:rsid w:val="13561AB1"/>
    <w:rsid w:val="13AA5959"/>
    <w:rsid w:val="13BA74A1"/>
    <w:rsid w:val="13C900A7"/>
    <w:rsid w:val="14117786"/>
    <w:rsid w:val="14196AC8"/>
    <w:rsid w:val="143234A3"/>
    <w:rsid w:val="144F7614"/>
    <w:rsid w:val="14522AD6"/>
    <w:rsid w:val="145E0C1D"/>
    <w:rsid w:val="1462367A"/>
    <w:rsid w:val="14700951"/>
    <w:rsid w:val="147246C9"/>
    <w:rsid w:val="14726477"/>
    <w:rsid w:val="147615D8"/>
    <w:rsid w:val="14DB1649"/>
    <w:rsid w:val="150F3CC6"/>
    <w:rsid w:val="151F5A1F"/>
    <w:rsid w:val="15307F46"/>
    <w:rsid w:val="153A39C3"/>
    <w:rsid w:val="15627B30"/>
    <w:rsid w:val="156A1844"/>
    <w:rsid w:val="15793835"/>
    <w:rsid w:val="159D2116"/>
    <w:rsid w:val="159D7523"/>
    <w:rsid w:val="15D05B4B"/>
    <w:rsid w:val="15EA64E1"/>
    <w:rsid w:val="16124175"/>
    <w:rsid w:val="16303CB5"/>
    <w:rsid w:val="1642631D"/>
    <w:rsid w:val="168F1B3A"/>
    <w:rsid w:val="16B54D41"/>
    <w:rsid w:val="16FF4A88"/>
    <w:rsid w:val="170B2BB3"/>
    <w:rsid w:val="171657DF"/>
    <w:rsid w:val="173739A8"/>
    <w:rsid w:val="174165D4"/>
    <w:rsid w:val="177B1AE6"/>
    <w:rsid w:val="178214F4"/>
    <w:rsid w:val="17DD3781"/>
    <w:rsid w:val="185540E5"/>
    <w:rsid w:val="18710C23"/>
    <w:rsid w:val="187847E6"/>
    <w:rsid w:val="188A04FE"/>
    <w:rsid w:val="18B05D12"/>
    <w:rsid w:val="18CE5C46"/>
    <w:rsid w:val="18F57676"/>
    <w:rsid w:val="19153875"/>
    <w:rsid w:val="191C2448"/>
    <w:rsid w:val="19231263"/>
    <w:rsid w:val="19375EE1"/>
    <w:rsid w:val="19436634"/>
    <w:rsid w:val="195A572B"/>
    <w:rsid w:val="19A370D2"/>
    <w:rsid w:val="19E33973"/>
    <w:rsid w:val="19FB6F0E"/>
    <w:rsid w:val="1A02204B"/>
    <w:rsid w:val="1A077661"/>
    <w:rsid w:val="1A0C4C78"/>
    <w:rsid w:val="1A174755"/>
    <w:rsid w:val="1A2A15A2"/>
    <w:rsid w:val="1A2F17B7"/>
    <w:rsid w:val="1A420712"/>
    <w:rsid w:val="1ADC289C"/>
    <w:rsid w:val="1B1C538E"/>
    <w:rsid w:val="1B226A29"/>
    <w:rsid w:val="1B4913E4"/>
    <w:rsid w:val="1B754A9E"/>
    <w:rsid w:val="1B927638"/>
    <w:rsid w:val="1BC85FA4"/>
    <w:rsid w:val="1BCF0653"/>
    <w:rsid w:val="1BD833E5"/>
    <w:rsid w:val="1BDB6FF7"/>
    <w:rsid w:val="1BFD529F"/>
    <w:rsid w:val="1C2E35CB"/>
    <w:rsid w:val="1C43089F"/>
    <w:rsid w:val="1C7F3E11"/>
    <w:rsid w:val="1C8036FB"/>
    <w:rsid w:val="1C8B457A"/>
    <w:rsid w:val="1C9B22E3"/>
    <w:rsid w:val="1CAC0C8C"/>
    <w:rsid w:val="1D080227"/>
    <w:rsid w:val="1D2B2EE7"/>
    <w:rsid w:val="1D4D1FE3"/>
    <w:rsid w:val="1D582CC3"/>
    <w:rsid w:val="1D5C7CC4"/>
    <w:rsid w:val="1D5F77B4"/>
    <w:rsid w:val="1D993E2D"/>
    <w:rsid w:val="1DB16262"/>
    <w:rsid w:val="1DDE2DCF"/>
    <w:rsid w:val="1DE204BB"/>
    <w:rsid w:val="1E095FF1"/>
    <w:rsid w:val="1E180666"/>
    <w:rsid w:val="1E4C7D38"/>
    <w:rsid w:val="1E544E3F"/>
    <w:rsid w:val="1E672DC4"/>
    <w:rsid w:val="1E71154D"/>
    <w:rsid w:val="1ECC0E79"/>
    <w:rsid w:val="1F3031B6"/>
    <w:rsid w:val="1F5556F4"/>
    <w:rsid w:val="1F5D7E50"/>
    <w:rsid w:val="1F5E5F75"/>
    <w:rsid w:val="1F5F3A9B"/>
    <w:rsid w:val="1F6E5609"/>
    <w:rsid w:val="1F870137"/>
    <w:rsid w:val="1F990304"/>
    <w:rsid w:val="1FAA0861"/>
    <w:rsid w:val="1FC57DA2"/>
    <w:rsid w:val="1FD3406A"/>
    <w:rsid w:val="1FDA4D78"/>
    <w:rsid w:val="202B0253"/>
    <w:rsid w:val="20390790"/>
    <w:rsid w:val="2040567B"/>
    <w:rsid w:val="20576E2A"/>
    <w:rsid w:val="206F41B2"/>
    <w:rsid w:val="209D6559"/>
    <w:rsid w:val="20AF45AF"/>
    <w:rsid w:val="20D56714"/>
    <w:rsid w:val="20D927D9"/>
    <w:rsid w:val="20DC4EA8"/>
    <w:rsid w:val="21132D8F"/>
    <w:rsid w:val="211A5ECC"/>
    <w:rsid w:val="211C6F9B"/>
    <w:rsid w:val="211F34E2"/>
    <w:rsid w:val="21277724"/>
    <w:rsid w:val="21294AD8"/>
    <w:rsid w:val="21393C05"/>
    <w:rsid w:val="21456377"/>
    <w:rsid w:val="218B501C"/>
    <w:rsid w:val="219C2D85"/>
    <w:rsid w:val="21A954A2"/>
    <w:rsid w:val="21B97F3B"/>
    <w:rsid w:val="21C30C68"/>
    <w:rsid w:val="21E43D2A"/>
    <w:rsid w:val="21F26E49"/>
    <w:rsid w:val="22352475"/>
    <w:rsid w:val="22486A69"/>
    <w:rsid w:val="225D293E"/>
    <w:rsid w:val="226C6BFB"/>
    <w:rsid w:val="22771104"/>
    <w:rsid w:val="22D8603F"/>
    <w:rsid w:val="22FD7853"/>
    <w:rsid w:val="232A6259"/>
    <w:rsid w:val="23447A36"/>
    <w:rsid w:val="23692D78"/>
    <w:rsid w:val="23A423C5"/>
    <w:rsid w:val="23AC2C4F"/>
    <w:rsid w:val="23C12F77"/>
    <w:rsid w:val="23E0268C"/>
    <w:rsid w:val="23E9602A"/>
    <w:rsid w:val="241800FE"/>
    <w:rsid w:val="241F37F9"/>
    <w:rsid w:val="24231856"/>
    <w:rsid w:val="24311EAA"/>
    <w:rsid w:val="243674C1"/>
    <w:rsid w:val="24474DD8"/>
    <w:rsid w:val="24523E00"/>
    <w:rsid w:val="246B6F7D"/>
    <w:rsid w:val="24826318"/>
    <w:rsid w:val="248C1C53"/>
    <w:rsid w:val="249D12EE"/>
    <w:rsid w:val="24BE74B6"/>
    <w:rsid w:val="24D82141"/>
    <w:rsid w:val="24F350DC"/>
    <w:rsid w:val="25273672"/>
    <w:rsid w:val="255A0F8D"/>
    <w:rsid w:val="25781413"/>
    <w:rsid w:val="25877A4B"/>
    <w:rsid w:val="25C7239A"/>
    <w:rsid w:val="25CC37D6"/>
    <w:rsid w:val="26105AEF"/>
    <w:rsid w:val="26193D88"/>
    <w:rsid w:val="267047E0"/>
    <w:rsid w:val="26971D6D"/>
    <w:rsid w:val="26B97F35"/>
    <w:rsid w:val="26C32B07"/>
    <w:rsid w:val="26DF344C"/>
    <w:rsid w:val="27007912"/>
    <w:rsid w:val="270C496D"/>
    <w:rsid w:val="273121C1"/>
    <w:rsid w:val="273E668C"/>
    <w:rsid w:val="276C4FA7"/>
    <w:rsid w:val="279C0217"/>
    <w:rsid w:val="27C93CEC"/>
    <w:rsid w:val="287E31E4"/>
    <w:rsid w:val="28CB3F50"/>
    <w:rsid w:val="28F416F8"/>
    <w:rsid w:val="28FB65E3"/>
    <w:rsid w:val="292C2C40"/>
    <w:rsid w:val="293B7327"/>
    <w:rsid w:val="296F6A1D"/>
    <w:rsid w:val="29852E3C"/>
    <w:rsid w:val="29913223"/>
    <w:rsid w:val="29946A38"/>
    <w:rsid w:val="299E0E1F"/>
    <w:rsid w:val="29A176D7"/>
    <w:rsid w:val="29F55728"/>
    <w:rsid w:val="29F6324E"/>
    <w:rsid w:val="2A075F37"/>
    <w:rsid w:val="2A2E0C3A"/>
    <w:rsid w:val="2A4B10BF"/>
    <w:rsid w:val="2A90047E"/>
    <w:rsid w:val="2AB54EB7"/>
    <w:rsid w:val="2ACF0FD7"/>
    <w:rsid w:val="2B5027DF"/>
    <w:rsid w:val="2B6342F1"/>
    <w:rsid w:val="2B786611"/>
    <w:rsid w:val="2B793663"/>
    <w:rsid w:val="2BA75CE6"/>
    <w:rsid w:val="2BAA26FD"/>
    <w:rsid w:val="2BB40EAC"/>
    <w:rsid w:val="2BB469D4"/>
    <w:rsid w:val="2BFF63EA"/>
    <w:rsid w:val="2C520C10"/>
    <w:rsid w:val="2C5524AE"/>
    <w:rsid w:val="2C576367"/>
    <w:rsid w:val="2C5D1363"/>
    <w:rsid w:val="2CF0667B"/>
    <w:rsid w:val="2D095047"/>
    <w:rsid w:val="2D3447B9"/>
    <w:rsid w:val="2D5C5ABE"/>
    <w:rsid w:val="2D6D7CCB"/>
    <w:rsid w:val="2D744BB6"/>
    <w:rsid w:val="2D7566A7"/>
    <w:rsid w:val="2D9C5EBB"/>
    <w:rsid w:val="2DC25921"/>
    <w:rsid w:val="2DCA5054"/>
    <w:rsid w:val="2DEC0BF0"/>
    <w:rsid w:val="2DF9440E"/>
    <w:rsid w:val="2E076D20"/>
    <w:rsid w:val="2E0E500A"/>
    <w:rsid w:val="2E4E3BF1"/>
    <w:rsid w:val="2E604F12"/>
    <w:rsid w:val="2E625356"/>
    <w:rsid w:val="2EAD4823"/>
    <w:rsid w:val="2EC5607C"/>
    <w:rsid w:val="2EFB6E53"/>
    <w:rsid w:val="2F044886"/>
    <w:rsid w:val="2F095E06"/>
    <w:rsid w:val="2F302D5E"/>
    <w:rsid w:val="2F430CE4"/>
    <w:rsid w:val="2F4D3614"/>
    <w:rsid w:val="2F7E4ECF"/>
    <w:rsid w:val="2F8D6403"/>
    <w:rsid w:val="2FA84FEB"/>
    <w:rsid w:val="2FB44542"/>
    <w:rsid w:val="2FEA573B"/>
    <w:rsid w:val="300F6E18"/>
    <w:rsid w:val="3023045A"/>
    <w:rsid w:val="30757275"/>
    <w:rsid w:val="309679D4"/>
    <w:rsid w:val="30ED76B3"/>
    <w:rsid w:val="30F40186"/>
    <w:rsid w:val="31445CC7"/>
    <w:rsid w:val="31684A32"/>
    <w:rsid w:val="31796C3F"/>
    <w:rsid w:val="319420BE"/>
    <w:rsid w:val="31AD02FA"/>
    <w:rsid w:val="31F759BC"/>
    <w:rsid w:val="32330288"/>
    <w:rsid w:val="326048C3"/>
    <w:rsid w:val="326414E5"/>
    <w:rsid w:val="3276723B"/>
    <w:rsid w:val="327B6E8F"/>
    <w:rsid w:val="3293788C"/>
    <w:rsid w:val="32CB171C"/>
    <w:rsid w:val="32F10A57"/>
    <w:rsid w:val="330850D6"/>
    <w:rsid w:val="331035D3"/>
    <w:rsid w:val="331D7A9E"/>
    <w:rsid w:val="334A7F99"/>
    <w:rsid w:val="33761079"/>
    <w:rsid w:val="33DD1EDF"/>
    <w:rsid w:val="34353F2B"/>
    <w:rsid w:val="34523E99"/>
    <w:rsid w:val="347F5F8B"/>
    <w:rsid w:val="34F30113"/>
    <w:rsid w:val="351729F7"/>
    <w:rsid w:val="35444D73"/>
    <w:rsid w:val="35553C88"/>
    <w:rsid w:val="359F0C3E"/>
    <w:rsid w:val="35BE10C4"/>
    <w:rsid w:val="35D51C91"/>
    <w:rsid w:val="35DE2F5E"/>
    <w:rsid w:val="36211653"/>
    <w:rsid w:val="36304799"/>
    <w:rsid w:val="363739C4"/>
    <w:rsid w:val="36633529"/>
    <w:rsid w:val="36956160"/>
    <w:rsid w:val="369D111E"/>
    <w:rsid w:val="36AC53C0"/>
    <w:rsid w:val="36BA08DC"/>
    <w:rsid w:val="36C54A71"/>
    <w:rsid w:val="36D05553"/>
    <w:rsid w:val="36DA325F"/>
    <w:rsid w:val="36DB3EF8"/>
    <w:rsid w:val="36E20DE2"/>
    <w:rsid w:val="36FE2AB0"/>
    <w:rsid w:val="37404D66"/>
    <w:rsid w:val="37427AD3"/>
    <w:rsid w:val="374C4924"/>
    <w:rsid w:val="37796730"/>
    <w:rsid w:val="37C624B2"/>
    <w:rsid w:val="37D64E89"/>
    <w:rsid w:val="37DC23C9"/>
    <w:rsid w:val="381B27FE"/>
    <w:rsid w:val="3882287D"/>
    <w:rsid w:val="38A16EFE"/>
    <w:rsid w:val="38C31AEA"/>
    <w:rsid w:val="3902576C"/>
    <w:rsid w:val="39175DF0"/>
    <w:rsid w:val="392751D2"/>
    <w:rsid w:val="393D0CB0"/>
    <w:rsid w:val="39613805"/>
    <w:rsid w:val="39754190"/>
    <w:rsid w:val="39A71E6F"/>
    <w:rsid w:val="39B50A30"/>
    <w:rsid w:val="3A040A87"/>
    <w:rsid w:val="3A201D1F"/>
    <w:rsid w:val="3A2529A6"/>
    <w:rsid w:val="3A363B0D"/>
    <w:rsid w:val="3A4A38B8"/>
    <w:rsid w:val="3A581B5A"/>
    <w:rsid w:val="3A742699"/>
    <w:rsid w:val="3A744447"/>
    <w:rsid w:val="3AAA1C17"/>
    <w:rsid w:val="3BAE3989"/>
    <w:rsid w:val="3BB56AC5"/>
    <w:rsid w:val="3C067E6D"/>
    <w:rsid w:val="3C3E4D0D"/>
    <w:rsid w:val="3C4165AB"/>
    <w:rsid w:val="3C4D7792"/>
    <w:rsid w:val="3C597D99"/>
    <w:rsid w:val="3CC42D2E"/>
    <w:rsid w:val="3CE20885"/>
    <w:rsid w:val="3CE30E59"/>
    <w:rsid w:val="3D1B4E29"/>
    <w:rsid w:val="3D28417B"/>
    <w:rsid w:val="3D3A3633"/>
    <w:rsid w:val="3D74475E"/>
    <w:rsid w:val="3D8C1AA8"/>
    <w:rsid w:val="3DD84CED"/>
    <w:rsid w:val="3E021D6A"/>
    <w:rsid w:val="3E832EAB"/>
    <w:rsid w:val="3E8338F9"/>
    <w:rsid w:val="3EC27CA4"/>
    <w:rsid w:val="3F051B12"/>
    <w:rsid w:val="3F12062C"/>
    <w:rsid w:val="3F20694C"/>
    <w:rsid w:val="3F3643C1"/>
    <w:rsid w:val="3F3F70EE"/>
    <w:rsid w:val="3F55797D"/>
    <w:rsid w:val="3F9B06C8"/>
    <w:rsid w:val="3FA117A6"/>
    <w:rsid w:val="3FAD7E35"/>
    <w:rsid w:val="3FDB0AC5"/>
    <w:rsid w:val="4010076E"/>
    <w:rsid w:val="401F2997"/>
    <w:rsid w:val="40210A0A"/>
    <w:rsid w:val="403A3F17"/>
    <w:rsid w:val="4048797A"/>
    <w:rsid w:val="4053524B"/>
    <w:rsid w:val="40586B08"/>
    <w:rsid w:val="40770789"/>
    <w:rsid w:val="407B3AD1"/>
    <w:rsid w:val="407E7DCE"/>
    <w:rsid w:val="408E056E"/>
    <w:rsid w:val="409C39F6"/>
    <w:rsid w:val="40E74215"/>
    <w:rsid w:val="41314E40"/>
    <w:rsid w:val="413C4049"/>
    <w:rsid w:val="41781EE4"/>
    <w:rsid w:val="41A878FC"/>
    <w:rsid w:val="41D36635"/>
    <w:rsid w:val="42084D83"/>
    <w:rsid w:val="422157C0"/>
    <w:rsid w:val="42224789"/>
    <w:rsid w:val="4222708E"/>
    <w:rsid w:val="42487538"/>
    <w:rsid w:val="42637BBF"/>
    <w:rsid w:val="4264765A"/>
    <w:rsid w:val="42D40179"/>
    <w:rsid w:val="42EA174A"/>
    <w:rsid w:val="4315434D"/>
    <w:rsid w:val="433D0425"/>
    <w:rsid w:val="434564DD"/>
    <w:rsid w:val="434D05AF"/>
    <w:rsid w:val="43671FE0"/>
    <w:rsid w:val="43770B04"/>
    <w:rsid w:val="43C37AAF"/>
    <w:rsid w:val="43F57F40"/>
    <w:rsid w:val="44156D87"/>
    <w:rsid w:val="443F68DF"/>
    <w:rsid w:val="444902A0"/>
    <w:rsid w:val="4469092A"/>
    <w:rsid w:val="448F085F"/>
    <w:rsid w:val="449221E8"/>
    <w:rsid w:val="44A41DCD"/>
    <w:rsid w:val="44B738AE"/>
    <w:rsid w:val="452C63A7"/>
    <w:rsid w:val="452D591E"/>
    <w:rsid w:val="45352A25"/>
    <w:rsid w:val="454B52AB"/>
    <w:rsid w:val="454D4212"/>
    <w:rsid w:val="455530C7"/>
    <w:rsid w:val="45950BD3"/>
    <w:rsid w:val="459B31D0"/>
    <w:rsid w:val="45B60A1A"/>
    <w:rsid w:val="45F34DBA"/>
    <w:rsid w:val="45FC3543"/>
    <w:rsid w:val="46085A8D"/>
    <w:rsid w:val="466E2692"/>
    <w:rsid w:val="4690085B"/>
    <w:rsid w:val="46911EDD"/>
    <w:rsid w:val="46B52EE1"/>
    <w:rsid w:val="46B856BC"/>
    <w:rsid w:val="47133D28"/>
    <w:rsid w:val="473E2065"/>
    <w:rsid w:val="47575380"/>
    <w:rsid w:val="476E221E"/>
    <w:rsid w:val="477E30E1"/>
    <w:rsid w:val="479D6A21"/>
    <w:rsid w:val="479F084D"/>
    <w:rsid w:val="47AD2DFF"/>
    <w:rsid w:val="47B24801"/>
    <w:rsid w:val="480762A7"/>
    <w:rsid w:val="482374AD"/>
    <w:rsid w:val="485D651B"/>
    <w:rsid w:val="487D3261"/>
    <w:rsid w:val="488F0DE5"/>
    <w:rsid w:val="48BF5427"/>
    <w:rsid w:val="48CC18F2"/>
    <w:rsid w:val="48DA5DBD"/>
    <w:rsid w:val="48EC5391"/>
    <w:rsid w:val="492D05E3"/>
    <w:rsid w:val="493A4AAE"/>
    <w:rsid w:val="49624009"/>
    <w:rsid w:val="49627B61"/>
    <w:rsid w:val="497074B0"/>
    <w:rsid w:val="498B70B7"/>
    <w:rsid w:val="49B44860"/>
    <w:rsid w:val="49DB1DED"/>
    <w:rsid w:val="49E046AA"/>
    <w:rsid w:val="49FD6207"/>
    <w:rsid w:val="4A10395E"/>
    <w:rsid w:val="4A497872"/>
    <w:rsid w:val="4A586FB6"/>
    <w:rsid w:val="4A9D52F4"/>
    <w:rsid w:val="4A9E066B"/>
    <w:rsid w:val="4B05076D"/>
    <w:rsid w:val="4B206D94"/>
    <w:rsid w:val="4B217CD3"/>
    <w:rsid w:val="4B281665"/>
    <w:rsid w:val="4B2C79A9"/>
    <w:rsid w:val="4B4E4840"/>
    <w:rsid w:val="4B5826AD"/>
    <w:rsid w:val="4B683B54"/>
    <w:rsid w:val="4B6978CC"/>
    <w:rsid w:val="4B6C4B6D"/>
    <w:rsid w:val="4BD411EA"/>
    <w:rsid w:val="4C075088"/>
    <w:rsid w:val="4C15535E"/>
    <w:rsid w:val="4C453703"/>
    <w:rsid w:val="4C6A7458"/>
    <w:rsid w:val="4C981A71"/>
    <w:rsid w:val="4C9B1D07"/>
    <w:rsid w:val="4CB101C6"/>
    <w:rsid w:val="4CB42A04"/>
    <w:rsid w:val="4CB836A9"/>
    <w:rsid w:val="4CC2096C"/>
    <w:rsid w:val="4CCF720B"/>
    <w:rsid w:val="4CE7337C"/>
    <w:rsid w:val="4CEF46B1"/>
    <w:rsid w:val="4D2409BE"/>
    <w:rsid w:val="4D2C71A7"/>
    <w:rsid w:val="4D3B1A90"/>
    <w:rsid w:val="4D5E6418"/>
    <w:rsid w:val="4D6E7E97"/>
    <w:rsid w:val="4D831061"/>
    <w:rsid w:val="4DB841F3"/>
    <w:rsid w:val="4E046558"/>
    <w:rsid w:val="4E157897"/>
    <w:rsid w:val="4E21623C"/>
    <w:rsid w:val="4E4E2F3A"/>
    <w:rsid w:val="4E522680"/>
    <w:rsid w:val="4E61488B"/>
    <w:rsid w:val="4F621A86"/>
    <w:rsid w:val="4FB55E52"/>
    <w:rsid w:val="4FC15CC5"/>
    <w:rsid w:val="4FC275AB"/>
    <w:rsid w:val="500B3BC6"/>
    <w:rsid w:val="501A2F43"/>
    <w:rsid w:val="503B1837"/>
    <w:rsid w:val="503E1E40"/>
    <w:rsid w:val="505E72D4"/>
    <w:rsid w:val="50637D72"/>
    <w:rsid w:val="506B7C43"/>
    <w:rsid w:val="50966A6E"/>
    <w:rsid w:val="50C03AEB"/>
    <w:rsid w:val="510A745C"/>
    <w:rsid w:val="512F2A1E"/>
    <w:rsid w:val="51782BCC"/>
    <w:rsid w:val="51905BB3"/>
    <w:rsid w:val="51D861C8"/>
    <w:rsid w:val="51F44197"/>
    <w:rsid w:val="521E25E6"/>
    <w:rsid w:val="5248023B"/>
    <w:rsid w:val="5256749B"/>
    <w:rsid w:val="52B03B43"/>
    <w:rsid w:val="52BF7DD2"/>
    <w:rsid w:val="52E71802"/>
    <w:rsid w:val="52FE4D9E"/>
    <w:rsid w:val="532A7D5E"/>
    <w:rsid w:val="53364538"/>
    <w:rsid w:val="533B1B4E"/>
    <w:rsid w:val="53774870"/>
    <w:rsid w:val="539246F5"/>
    <w:rsid w:val="539802E4"/>
    <w:rsid w:val="539D196A"/>
    <w:rsid w:val="53A617C6"/>
    <w:rsid w:val="53AC47FA"/>
    <w:rsid w:val="53B06098"/>
    <w:rsid w:val="53BA5D7F"/>
    <w:rsid w:val="53E67D0C"/>
    <w:rsid w:val="53EA4849"/>
    <w:rsid w:val="53FB0B46"/>
    <w:rsid w:val="53FC4219"/>
    <w:rsid w:val="54200B73"/>
    <w:rsid w:val="54644702"/>
    <w:rsid w:val="54710D8B"/>
    <w:rsid w:val="547A48F8"/>
    <w:rsid w:val="549534E0"/>
    <w:rsid w:val="54D2203E"/>
    <w:rsid w:val="54E34857"/>
    <w:rsid w:val="54F441BF"/>
    <w:rsid w:val="551A3CA4"/>
    <w:rsid w:val="552D196B"/>
    <w:rsid w:val="552F7491"/>
    <w:rsid w:val="55A439DB"/>
    <w:rsid w:val="55B668EA"/>
    <w:rsid w:val="56233BCC"/>
    <w:rsid w:val="5627460C"/>
    <w:rsid w:val="56275994"/>
    <w:rsid w:val="563F0D76"/>
    <w:rsid w:val="5661367A"/>
    <w:rsid w:val="56614C8A"/>
    <w:rsid w:val="56694C24"/>
    <w:rsid w:val="567649A8"/>
    <w:rsid w:val="56B0015D"/>
    <w:rsid w:val="56B934B6"/>
    <w:rsid w:val="56B9759F"/>
    <w:rsid w:val="56BA6F7D"/>
    <w:rsid w:val="56E12A50"/>
    <w:rsid w:val="56E524FD"/>
    <w:rsid w:val="570F0DF7"/>
    <w:rsid w:val="57214C5C"/>
    <w:rsid w:val="573B54C6"/>
    <w:rsid w:val="573B586D"/>
    <w:rsid w:val="57925AB5"/>
    <w:rsid w:val="57980853"/>
    <w:rsid w:val="57EC1669"/>
    <w:rsid w:val="57FD5624"/>
    <w:rsid w:val="581110D0"/>
    <w:rsid w:val="582039C1"/>
    <w:rsid w:val="582C5F09"/>
    <w:rsid w:val="582E57DE"/>
    <w:rsid w:val="583D0117"/>
    <w:rsid w:val="584973D1"/>
    <w:rsid w:val="58CB127E"/>
    <w:rsid w:val="58DD0FB2"/>
    <w:rsid w:val="591E7A48"/>
    <w:rsid w:val="591F781C"/>
    <w:rsid w:val="59246BE1"/>
    <w:rsid w:val="592737C0"/>
    <w:rsid w:val="592D018B"/>
    <w:rsid w:val="5939381B"/>
    <w:rsid w:val="597933D0"/>
    <w:rsid w:val="59A32580"/>
    <w:rsid w:val="59AF6DF2"/>
    <w:rsid w:val="59B461B6"/>
    <w:rsid w:val="59EB23C3"/>
    <w:rsid w:val="5A0E1D6B"/>
    <w:rsid w:val="5A222DD6"/>
    <w:rsid w:val="5A241EC3"/>
    <w:rsid w:val="5A3B0686"/>
    <w:rsid w:val="5A3D4F8B"/>
    <w:rsid w:val="5A851901"/>
    <w:rsid w:val="5A9B2ED2"/>
    <w:rsid w:val="5AB346C0"/>
    <w:rsid w:val="5ABA611B"/>
    <w:rsid w:val="5ABA68D0"/>
    <w:rsid w:val="5AD92379"/>
    <w:rsid w:val="5ADC59C5"/>
    <w:rsid w:val="5B340651"/>
    <w:rsid w:val="5B667B2F"/>
    <w:rsid w:val="5B8E499B"/>
    <w:rsid w:val="5BCD355F"/>
    <w:rsid w:val="5BD112A2"/>
    <w:rsid w:val="5BDF45BD"/>
    <w:rsid w:val="5BE865EB"/>
    <w:rsid w:val="5C1974A6"/>
    <w:rsid w:val="5C1F025F"/>
    <w:rsid w:val="5C545A2F"/>
    <w:rsid w:val="5C891B7C"/>
    <w:rsid w:val="5CAC604F"/>
    <w:rsid w:val="5CCB4A8E"/>
    <w:rsid w:val="5CEB2095"/>
    <w:rsid w:val="5CED5C47"/>
    <w:rsid w:val="5D215911"/>
    <w:rsid w:val="5D2B5384"/>
    <w:rsid w:val="5D5932FD"/>
    <w:rsid w:val="5D7C7B73"/>
    <w:rsid w:val="5D876203"/>
    <w:rsid w:val="5D883BE2"/>
    <w:rsid w:val="5D997B9D"/>
    <w:rsid w:val="5DAA3E0E"/>
    <w:rsid w:val="5DE66B5A"/>
    <w:rsid w:val="5DE8778B"/>
    <w:rsid w:val="5DFE3EA4"/>
    <w:rsid w:val="5E143455"/>
    <w:rsid w:val="5E317DD6"/>
    <w:rsid w:val="5E36363E"/>
    <w:rsid w:val="5E3653EC"/>
    <w:rsid w:val="5E706136"/>
    <w:rsid w:val="5E9345EC"/>
    <w:rsid w:val="5ECF7B51"/>
    <w:rsid w:val="5EDE6EBE"/>
    <w:rsid w:val="5EFD263A"/>
    <w:rsid w:val="5F08468D"/>
    <w:rsid w:val="5F1F6DAD"/>
    <w:rsid w:val="5F2D59D7"/>
    <w:rsid w:val="5F322057"/>
    <w:rsid w:val="5F3F766F"/>
    <w:rsid w:val="5F731642"/>
    <w:rsid w:val="5FF16B41"/>
    <w:rsid w:val="6005151A"/>
    <w:rsid w:val="601259E5"/>
    <w:rsid w:val="60126868"/>
    <w:rsid w:val="60667058"/>
    <w:rsid w:val="60711994"/>
    <w:rsid w:val="60787F3E"/>
    <w:rsid w:val="617007F7"/>
    <w:rsid w:val="61757D37"/>
    <w:rsid w:val="61A03F76"/>
    <w:rsid w:val="61A433D8"/>
    <w:rsid w:val="61BF394A"/>
    <w:rsid w:val="61EB125E"/>
    <w:rsid w:val="61ED7B84"/>
    <w:rsid w:val="62360F7F"/>
    <w:rsid w:val="62780D32"/>
    <w:rsid w:val="62FA10DE"/>
    <w:rsid w:val="630C7132"/>
    <w:rsid w:val="63212B00"/>
    <w:rsid w:val="6356208C"/>
    <w:rsid w:val="637054FD"/>
    <w:rsid w:val="639257BA"/>
    <w:rsid w:val="6393508F"/>
    <w:rsid w:val="63A137C1"/>
    <w:rsid w:val="63B55005"/>
    <w:rsid w:val="63C4349A"/>
    <w:rsid w:val="63C81B5F"/>
    <w:rsid w:val="63CE11F1"/>
    <w:rsid w:val="63D75258"/>
    <w:rsid w:val="63F537E6"/>
    <w:rsid w:val="63F7386F"/>
    <w:rsid w:val="63FA0743"/>
    <w:rsid w:val="64030466"/>
    <w:rsid w:val="64393A1C"/>
    <w:rsid w:val="64395C36"/>
    <w:rsid w:val="643B7C00"/>
    <w:rsid w:val="645A1FF5"/>
    <w:rsid w:val="64A62BA0"/>
    <w:rsid w:val="64D025D1"/>
    <w:rsid w:val="64F34037"/>
    <w:rsid w:val="650F11A4"/>
    <w:rsid w:val="651858F6"/>
    <w:rsid w:val="651D2E62"/>
    <w:rsid w:val="65335CBC"/>
    <w:rsid w:val="65436640"/>
    <w:rsid w:val="65462486"/>
    <w:rsid w:val="65586590"/>
    <w:rsid w:val="655E340F"/>
    <w:rsid w:val="656071F2"/>
    <w:rsid w:val="657B69CF"/>
    <w:rsid w:val="65A2780B"/>
    <w:rsid w:val="65AC2438"/>
    <w:rsid w:val="65ED4F2A"/>
    <w:rsid w:val="6607489F"/>
    <w:rsid w:val="660758C0"/>
    <w:rsid w:val="66311BBA"/>
    <w:rsid w:val="665458E3"/>
    <w:rsid w:val="665D1B75"/>
    <w:rsid w:val="667F0F74"/>
    <w:rsid w:val="668138C4"/>
    <w:rsid w:val="668533B4"/>
    <w:rsid w:val="66867C11"/>
    <w:rsid w:val="66A575B3"/>
    <w:rsid w:val="66EE3541"/>
    <w:rsid w:val="66F833BD"/>
    <w:rsid w:val="6710264E"/>
    <w:rsid w:val="67172B47"/>
    <w:rsid w:val="673D5A3D"/>
    <w:rsid w:val="674C3707"/>
    <w:rsid w:val="67A21D44"/>
    <w:rsid w:val="67DF6AF4"/>
    <w:rsid w:val="67F307F2"/>
    <w:rsid w:val="683926CE"/>
    <w:rsid w:val="68675EC9"/>
    <w:rsid w:val="68975F8E"/>
    <w:rsid w:val="69146C72"/>
    <w:rsid w:val="694F6427"/>
    <w:rsid w:val="694F66CE"/>
    <w:rsid w:val="695847ED"/>
    <w:rsid w:val="696314F4"/>
    <w:rsid w:val="69690D6B"/>
    <w:rsid w:val="69774840"/>
    <w:rsid w:val="69A476D9"/>
    <w:rsid w:val="69AB1384"/>
    <w:rsid w:val="69AF492B"/>
    <w:rsid w:val="69E14DA6"/>
    <w:rsid w:val="6A470981"/>
    <w:rsid w:val="6AC045C5"/>
    <w:rsid w:val="6AC16985"/>
    <w:rsid w:val="6B2A1DC6"/>
    <w:rsid w:val="6B657311"/>
    <w:rsid w:val="6B826114"/>
    <w:rsid w:val="6BC02799"/>
    <w:rsid w:val="6BD5099E"/>
    <w:rsid w:val="6C17303C"/>
    <w:rsid w:val="6C496C32"/>
    <w:rsid w:val="6C566FC6"/>
    <w:rsid w:val="6C8A20AB"/>
    <w:rsid w:val="6CC03F92"/>
    <w:rsid w:val="6CD417E7"/>
    <w:rsid w:val="6D0A65A2"/>
    <w:rsid w:val="6D16395B"/>
    <w:rsid w:val="6D21195D"/>
    <w:rsid w:val="6D5A3D43"/>
    <w:rsid w:val="6D704099"/>
    <w:rsid w:val="6D761CA9"/>
    <w:rsid w:val="6D853DB6"/>
    <w:rsid w:val="6DA317DD"/>
    <w:rsid w:val="6DBC7DE8"/>
    <w:rsid w:val="6DD54C21"/>
    <w:rsid w:val="6E192ED7"/>
    <w:rsid w:val="6E331948"/>
    <w:rsid w:val="6E3631E6"/>
    <w:rsid w:val="6E4B4EE4"/>
    <w:rsid w:val="6EED4B84"/>
    <w:rsid w:val="6EF2535F"/>
    <w:rsid w:val="6EFE3D04"/>
    <w:rsid w:val="6F2968A7"/>
    <w:rsid w:val="6F3E67F6"/>
    <w:rsid w:val="6F4E5D12"/>
    <w:rsid w:val="6F540B15"/>
    <w:rsid w:val="6F5863B7"/>
    <w:rsid w:val="6F9208F0"/>
    <w:rsid w:val="6FB92579"/>
    <w:rsid w:val="6FCC795E"/>
    <w:rsid w:val="6FE3224A"/>
    <w:rsid w:val="703758EF"/>
    <w:rsid w:val="70585696"/>
    <w:rsid w:val="709D754D"/>
    <w:rsid w:val="70C742EB"/>
    <w:rsid w:val="70CA3C94"/>
    <w:rsid w:val="71145A61"/>
    <w:rsid w:val="712F289B"/>
    <w:rsid w:val="7141612A"/>
    <w:rsid w:val="716943CA"/>
    <w:rsid w:val="71AD1673"/>
    <w:rsid w:val="71B13377"/>
    <w:rsid w:val="71B96608"/>
    <w:rsid w:val="71F87A89"/>
    <w:rsid w:val="723170D9"/>
    <w:rsid w:val="729910FD"/>
    <w:rsid w:val="72A46970"/>
    <w:rsid w:val="72AB5DE3"/>
    <w:rsid w:val="72BB6421"/>
    <w:rsid w:val="72CE4DC3"/>
    <w:rsid w:val="72DF3E4C"/>
    <w:rsid w:val="72DF6B7C"/>
    <w:rsid w:val="72EC6569"/>
    <w:rsid w:val="735C1BE4"/>
    <w:rsid w:val="7395275D"/>
    <w:rsid w:val="73A86934"/>
    <w:rsid w:val="73AF2114"/>
    <w:rsid w:val="73B501CF"/>
    <w:rsid w:val="73BC23E0"/>
    <w:rsid w:val="73BD70F1"/>
    <w:rsid w:val="73D536C0"/>
    <w:rsid w:val="743553DE"/>
    <w:rsid w:val="7447757F"/>
    <w:rsid w:val="746F3611"/>
    <w:rsid w:val="747B4698"/>
    <w:rsid w:val="74B35591"/>
    <w:rsid w:val="74BF3F35"/>
    <w:rsid w:val="74C47F37"/>
    <w:rsid w:val="74FB6386"/>
    <w:rsid w:val="752B78DD"/>
    <w:rsid w:val="75355FA6"/>
    <w:rsid w:val="754361E3"/>
    <w:rsid w:val="754A6DC0"/>
    <w:rsid w:val="7592428D"/>
    <w:rsid w:val="75BD117E"/>
    <w:rsid w:val="76690275"/>
    <w:rsid w:val="76BE528D"/>
    <w:rsid w:val="76BF021D"/>
    <w:rsid w:val="770A5210"/>
    <w:rsid w:val="770B3462"/>
    <w:rsid w:val="77422BFC"/>
    <w:rsid w:val="774C5829"/>
    <w:rsid w:val="77521091"/>
    <w:rsid w:val="776E57A4"/>
    <w:rsid w:val="77876861"/>
    <w:rsid w:val="778E5E41"/>
    <w:rsid w:val="77B25A30"/>
    <w:rsid w:val="77DB4477"/>
    <w:rsid w:val="77E617D9"/>
    <w:rsid w:val="77FC4433"/>
    <w:rsid w:val="783B1B25"/>
    <w:rsid w:val="78A74CC3"/>
    <w:rsid w:val="78A91184"/>
    <w:rsid w:val="78B01E02"/>
    <w:rsid w:val="78B86ADB"/>
    <w:rsid w:val="78C30775"/>
    <w:rsid w:val="78D01B3B"/>
    <w:rsid w:val="79002077"/>
    <w:rsid w:val="793A1DDD"/>
    <w:rsid w:val="79520DC7"/>
    <w:rsid w:val="79667075"/>
    <w:rsid w:val="797D28DB"/>
    <w:rsid w:val="79922AD0"/>
    <w:rsid w:val="799B31CF"/>
    <w:rsid w:val="79B871A5"/>
    <w:rsid w:val="7A1639A0"/>
    <w:rsid w:val="7A2B7977"/>
    <w:rsid w:val="7A2D7B93"/>
    <w:rsid w:val="7A396538"/>
    <w:rsid w:val="7A454EDD"/>
    <w:rsid w:val="7A597759"/>
    <w:rsid w:val="7A721A4A"/>
    <w:rsid w:val="7A7C7511"/>
    <w:rsid w:val="7AC2408A"/>
    <w:rsid w:val="7AD63B30"/>
    <w:rsid w:val="7AE2272C"/>
    <w:rsid w:val="7AEE7323"/>
    <w:rsid w:val="7B022DCE"/>
    <w:rsid w:val="7B587A97"/>
    <w:rsid w:val="7B5B0CC1"/>
    <w:rsid w:val="7B5F3D7C"/>
    <w:rsid w:val="7BBF1F64"/>
    <w:rsid w:val="7BE35E80"/>
    <w:rsid w:val="7BED75DA"/>
    <w:rsid w:val="7C084414"/>
    <w:rsid w:val="7C683105"/>
    <w:rsid w:val="7C686E45"/>
    <w:rsid w:val="7C8415C1"/>
    <w:rsid w:val="7C9A0DE4"/>
    <w:rsid w:val="7CA35EEB"/>
    <w:rsid w:val="7CA659DB"/>
    <w:rsid w:val="7CAD3B1A"/>
    <w:rsid w:val="7CCD2F68"/>
    <w:rsid w:val="7D0746CC"/>
    <w:rsid w:val="7DD02D0F"/>
    <w:rsid w:val="7DD0522A"/>
    <w:rsid w:val="7DE3274C"/>
    <w:rsid w:val="7E68397F"/>
    <w:rsid w:val="7E6C2038"/>
    <w:rsid w:val="7E6C31A8"/>
    <w:rsid w:val="7ED26C70"/>
    <w:rsid w:val="7EF742CC"/>
    <w:rsid w:val="7F201A75"/>
    <w:rsid w:val="7F207CC7"/>
    <w:rsid w:val="7F250E39"/>
    <w:rsid w:val="7F283980"/>
    <w:rsid w:val="7F315A30"/>
    <w:rsid w:val="7F376DBE"/>
    <w:rsid w:val="7F472988"/>
    <w:rsid w:val="7F4A6AF1"/>
    <w:rsid w:val="7F933DC1"/>
    <w:rsid w:val="7FA33145"/>
    <w:rsid w:val="7FA65BD6"/>
    <w:rsid w:val="7FA91A6A"/>
    <w:rsid w:val="7FB93413"/>
    <w:rsid w:val="7FC3060F"/>
    <w:rsid w:val="7FC95C68"/>
    <w:rsid w:val="7FD735F4"/>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autoRedefine/>
    <w:qFormat/>
    <w:uiPriority w:val="0"/>
    <w:pPr>
      <w:keepNext/>
      <w:widowControl w:val="0"/>
      <w:outlineLvl w:val="0"/>
    </w:pPr>
    <w:rPr>
      <w:rFonts w:ascii="宋体"/>
      <w:sz w:val="28"/>
      <w:szCs w:val="20"/>
    </w:rPr>
  </w:style>
  <w:style w:type="paragraph" w:styleId="4">
    <w:name w:val="heading 2"/>
    <w:basedOn w:val="1"/>
    <w:next w:val="5"/>
    <w:autoRedefine/>
    <w:qFormat/>
    <w:uiPriority w:val="9"/>
    <w:pPr>
      <w:keepNext/>
      <w:keepLines/>
      <w:spacing w:before="120" w:line="300" w:lineRule="auto"/>
      <w:jc w:val="center"/>
      <w:outlineLvl w:val="1"/>
    </w:pPr>
    <w:rPr>
      <w:rFonts w:eastAsia="黑体"/>
      <w:b/>
      <w:sz w:val="3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autoRedefine/>
    <w:qFormat/>
    <w:uiPriority w:val="0"/>
    <w:pPr>
      <w:keepNext/>
      <w:keepLines/>
      <w:widowControl/>
      <w:numPr>
        <w:ilvl w:val="7"/>
        <w:numId w:val="1"/>
      </w:numPr>
      <w:tabs>
        <w:tab w:val="left" w:pos="1440"/>
        <w:tab w:val="clear" w:pos="3840"/>
      </w:tabs>
      <w:spacing w:before="240" w:beforeLines="0" w:after="64" w:afterLines="0" w:line="316" w:lineRule="auto"/>
      <w:jc w:val="left"/>
      <w:outlineLvl w:val="7"/>
    </w:pPr>
    <w:rPr>
      <w:rFonts w:ascii="Arial" w:hAnsi="Arial" w:eastAsia="黑体"/>
      <w:kern w:val="0"/>
      <w:sz w:val="24"/>
      <w:szCs w:val="24"/>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200" w:firstLineChars="200"/>
    </w:pPr>
    <w:rPr>
      <w:szCs w:val="24"/>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widowControl/>
      <w:spacing w:after="120" w:afterLines="0"/>
      <w:jc w:val="left"/>
    </w:pPr>
    <w:rPr>
      <w:kern w:val="0"/>
    </w:rPr>
  </w:style>
  <w:style w:type="paragraph" w:styleId="9">
    <w:name w:val="Body Text Indent"/>
    <w:basedOn w:val="1"/>
    <w:next w:val="10"/>
    <w:autoRedefine/>
    <w:qFormat/>
    <w:uiPriority w:val="0"/>
    <w:pPr>
      <w:autoSpaceDE w:val="0"/>
      <w:autoSpaceDN w:val="0"/>
      <w:adjustRightInd w:val="0"/>
      <w:spacing w:line="360" w:lineRule="auto"/>
      <w:ind w:firstLine="480"/>
      <w:jc w:val="left"/>
    </w:pPr>
    <w:rPr>
      <w:rFonts w:ascii="宋体"/>
      <w:kern w:val="0"/>
      <w:sz w:val="24"/>
    </w:rPr>
  </w:style>
  <w:style w:type="paragraph" w:styleId="10">
    <w:name w:val="Body Text First Indent 2"/>
    <w:basedOn w:val="9"/>
    <w:autoRedefine/>
    <w:qFormat/>
    <w:uiPriority w:val="0"/>
    <w:pPr>
      <w:autoSpaceDE/>
      <w:autoSpaceDN/>
      <w:adjustRightInd/>
      <w:snapToGrid w:val="0"/>
      <w:spacing w:after="120" w:afterLines="0"/>
      <w:ind w:left="420" w:firstLine="200" w:firstLineChars="200"/>
      <w:jc w:val="both"/>
    </w:pPr>
    <w:rPr>
      <w:rFonts w:ascii="Tahoma" w:hAnsi="Tahoma"/>
      <w:kern w:val="2"/>
      <w:sz w:val="28"/>
      <w:szCs w:val="24"/>
    </w:rPr>
  </w:style>
  <w:style w:type="paragraph" w:styleId="11">
    <w:name w:val="Plain Text"/>
    <w:basedOn w:val="1"/>
    <w:next w:val="1"/>
    <w:autoRedefine/>
    <w:qFormat/>
    <w:uiPriority w:val="0"/>
    <w:pPr>
      <w:spacing w:line="360" w:lineRule="auto"/>
    </w:pPr>
    <w:rPr>
      <w:rFonts w:ascii="楷体_GB2312" w:eastAsia="楷体_GB2312"/>
      <w:sz w:val="24"/>
      <w:szCs w:val="20"/>
    </w:rPr>
  </w:style>
  <w:style w:type="paragraph" w:styleId="12">
    <w:name w:val="footer"/>
    <w:basedOn w:val="1"/>
    <w:autoRedefine/>
    <w:qFormat/>
    <w:uiPriority w:val="0"/>
    <w:pPr>
      <w:tabs>
        <w:tab w:val="center" w:pos="4153"/>
        <w:tab w:val="right" w:pos="8306"/>
      </w:tabs>
      <w:snapToGrid w:val="0"/>
      <w:jc w:val="left"/>
    </w:pPr>
    <w:rPr>
      <w:sz w:val="18"/>
      <w:szCs w:val="20"/>
    </w:rPr>
  </w:style>
  <w:style w:type="paragraph" w:styleId="13">
    <w:name w:val="envelope return"/>
    <w:basedOn w:val="1"/>
    <w:autoRedefine/>
    <w:qFormat/>
    <w:uiPriority w:val="0"/>
    <w:pPr>
      <w:snapToGrid w:val="0"/>
    </w:pPr>
    <w:rPr>
      <w:rFonts w:ascii="Arial" w:hAnsi="Arial" w:cs="Arial"/>
      <w:sz w:val="34"/>
      <w:szCs w:val="24"/>
      <w:lang w:bidi="ar-SA"/>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9000"/>
      </w:tabs>
      <w:adjustRightInd w:val="0"/>
      <w:snapToGrid w:val="0"/>
      <w:spacing w:line="440" w:lineRule="exact"/>
      <w:ind w:right="69" w:rightChars="33"/>
    </w:pPr>
  </w:style>
  <w:style w:type="paragraph" w:styleId="16">
    <w:name w:val="Subtitle"/>
    <w:basedOn w:val="1"/>
    <w:next w:val="1"/>
    <w:autoRedefine/>
    <w:qFormat/>
    <w:uiPriority w:val="0"/>
    <w:pPr>
      <w:widowControl/>
      <w:autoSpaceDE/>
      <w:autoSpaceDN/>
      <w:jc w:val="center"/>
    </w:pPr>
    <w:rPr>
      <w:rFonts w:ascii="Calibri" w:hAnsi="Calibri" w:cs="Times New Roman"/>
      <w:sz w:val="24"/>
      <w:szCs w:val="24"/>
    </w:rPr>
  </w:style>
  <w:style w:type="paragraph" w:styleId="17">
    <w:name w:val="toc 2"/>
    <w:basedOn w:val="1"/>
    <w:next w:val="1"/>
    <w:autoRedefine/>
    <w:qFormat/>
    <w:uiPriority w:val="39"/>
    <w:pPr>
      <w:tabs>
        <w:tab w:val="right" w:leader="dot" w:pos="9629"/>
      </w:tabs>
    </w:pPr>
  </w:style>
  <w:style w:type="paragraph" w:styleId="18">
    <w:name w:val="Body Text 2"/>
    <w:basedOn w:val="1"/>
    <w:autoRedefine/>
    <w:qFormat/>
    <w:uiPriority w:val="0"/>
    <w:pPr>
      <w:spacing w:line="360" w:lineRule="auto"/>
    </w:pPr>
    <w:rPr>
      <w:rFonts w:eastAsia="仿宋_GB2312"/>
      <w:b/>
      <w:bCs/>
      <w:kern w:val="0"/>
      <w:sz w:val="24"/>
    </w:rPr>
  </w:style>
  <w:style w:type="paragraph" w:styleId="19">
    <w:name w:val="Normal (Web)"/>
    <w:basedOn w:val="1"/>
    <w:autoRedefine/>
    <w:qFormat/>
    <w:uiPriority w:val="0"/>
    <w:rPr>
      <w:sz w:val="24"/>
    </w:rPr>
  </w:style>
  <w:style w:type="paragraph" w:styleId="20">
    <w:name w:val="Body Text First Indent"/>
    <w:basedOn w:val="8"/>
    <w:autoRedefine/>
    <w:qFormat/>
    <w:uiPriority w:val="0"/>
    <w:pPr>
      <w:widowControl w:val="0"/>
      <w:spacing w:after="0" w:afterLines="0" w:line="360" w:lineRule="auto"/>
      <w:ind w:firstLine="425"/>
      <w:jc w:val="both"/>
    </w:pPr>
    <w:rPr>
      <w:kern w:val="2"/>
      <w:sz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autoRedefine/>
    <w:qFormat/>
    <w:uiPriority w:val="0"/>
  </w:style>
  <w:style w:type="paragraph" w:customStyle="1" w:styleId="26">
    <w:name w:val="缩进正文"/>
    <w:basedOn w:val="1"/>
    <w:unhideWhenUsed/>
    <w:qFormat/>
    <w:uiPriority w:val="0"/>
    <w:pPr>
      <w:spacing w:beforeLines="0" w:afterLines="0"/>
      <w:ind w:firstLine="200" w:firstLineChars="200"/>
      <w:jc w:val="both"/>
    </w:pPr>
    <w:rPr>
      <w:rFonts w:hint="default"/>
      <w:sz w:val="24"/>
      <w:szCs w:val="22"/>
    </w:rPr>
  </w:style>
  <w:style w:type="paragraph" w:customStyle="1" w:styleId="27">
    <w:name w:val="Fließtext"/>
    <w:basedOn w:val="1"/>
    <w:autoRedefine/>
    <w:qFormat/>
    <w:uiPriority w:val="99"/>
    <w:pPr>
      <w:overflowPunct w:val="0"/>
      <w:autoSpaceDE w:val="0"/>
      <w:autoSpaceDN w:val="0"/>
      <w:adjustRightInd w:val="0"/>
      <w:textAlignment w:val="baseline"/>
    </w:pPr>
    <w:rPr>
      <w:kern w:val="28"/>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样式 (中文) 黑体 小初 行距: 2 倍行距"/>
    <w:basedOn w:val="1"/>
    <w:autoRedefine/>
    <w:qFormat/>
    <w:uiPriority w:val="0"/>
    <w:pPr>
      <w:spacing w:line="480" w:lineRule="auto"/>
    </w:pPr>
    <w:rPr>
      <w:rFonts w:cs="宋体"/>
      <w:sz w:val="24"/>
    </w:rPr>
  </w:style>
  <w:style w:type="paragraph" w:customStyle="1" w:styleId="30">
    <w:name w:val="表格文字"/>
    <w:basedOn w:val="1"/>
    <w:autoRedefine/>
    <w:qFormat/>
    <w:uiPriority w:val="0"/>
    <w:pPr>
      <w:spacing w:before="25" w:beforeLines="0" w:after="25" w:afterLines="0" w:line="300" w:lineRule="auto"/>
    </w:pPr>
    <w:rPr>
      <w:rFonts w:ascii="Times" w:hAnsi="Times"/>
      <w:spacing w:val="10"/>
      <w:kern w:val="0"/>
      <w:sz w:val="24"/>
    </w:rPr>
  </w:style>
  <w:style w:type="paragraph" w:customStyle="1" w:styleId="31">
    <w:name w:val="BodyText1I2"/>
    <w:basedOn w:val="32"/>
    <w:autoRedefine/>
    <w:qFormat/>
    <w:uiPriority w:val="0"/>
    <w:pPr>
      <w:spacing w:after="120" w:line="240" w:lineRule="auto"/>
      <w:ind w:left="420" w:leftChars="200" w:firstLine="420" w:firstLineChars="200"/>
    </w:pPr>
    <w:rPr>
      <w:rFonts w:ascii="Times New Roman"/>
      <w:sz w:val="21"/>
    </w:rPr>
  </w:style>
  <w:style w:type="paragraph" w:customStyle="1" w:styleId="32">
    <w:name w:val="BodyTextIndent"/>
    <w:basedOn w:val="1"/>
    <w:next w:val="31"/>
    <w:autoRedefine/>
    <w:qFormat/>
    <w:uiPriority w:val="0"/>
    <w:pPr>
      <w:ind w:firstLine="480"/>
      <w:textAlignment w:val="baseline"/>
    </w:pPr>
    <w:rPr>
      <w:rFonts w:hAnsi="宋体" w:eastAsia="仿宋_GB2312"/>
      <w:b/>
      <w:spacing w:val="4"/>
      <w:sz w:val="24"/>
      <w:szCs w:val="28"/>
    </w:rPr>
  </w:style>
  <w:style w:type="paragraph" w:customStyle="1" w:styleId="33">
    <w:name w:val="默认段落字体 Para Char Char Char Char Char Char Char Char Char1 Char Char Char Char"/>
    <w:basedOn w:val="1"/>
    <w:autoRedefine/>
    <w:qFormat/>
    <w:uiPriority w:val="99"/>
    <w:rPr>
      <w:rFonts w:ascii="Tahoma" w:hAnsi="Tahoma"/>
      <w:sz w:val="24"/>
      <w:szCs w:val="20"/>
    </w:rPr>
  </w:style>
  <w:style w:type="paragraph" w:customStyle="1" w:styleId="34">
    <w:name w:val="标准"/>
    <w:basedOn w:val="1"/>
    <w:next w:val="35"/>
    <w:autoRedefine/>
    <w:qFormat/>
    <w:uiPriority w:val="0"/>
    <w:pPr>
      <w:spacing w:line="0" w:lineRule="atLeast"/>
      <w:ind w:left="480" w:firstLine="425"/>
      <w:jc w:val="right"/>
    </w:pPr>
    <w:rPr>
      <w:rFonts w:ascii="宋体"/>
      <w:sz w:val="24"/>
    </w:rPr>
  </w:style>
  <w:style w:type="paragraph" w:styleId="35">
    <w:name w:val="List Paragraph"/>
    <w:basedOn w:val="1"/>
    <w:autoRedefine/>
    <w:qFormat/>
    <w:uiPriority w:val="99"/>
    <w:pPr>
      <w:spacing w:line="360" w:lineRule="auto"/>
      <w:ind w:firstLine="200" w:firstLineChars="200"/>
    </w:pPr>
    <w:rPr>
      <w:sz w:val="24"/>
      <w:szCs w:val="24"/>
    </w:rPr>
  </w:style>
  <w:style w:type="paragraph" w:customStyle="1" w:styleId="36">
    <w:name w:val="标题 Char Char"/>
    <w:basedOn w:val="1"/>
    <w:next w:val="16"/>
    <w:autoRedefine/>
    <w:qFormat/>
    <w:uiPriority w:val="99"/>
    <w:pPr>
      <w:jc w:val="center"/>
      <w:outlineLvl w:val="0"/>
    </w:pPr>
    <w:rPr>
      <w:rFonts w:ascii="Arial" w:hAnsi="Arial" w:cs="Arial"/>
      <w:b/>
      <w:bCs/>
      <w:sz w:val="32"/>
      <w:szCs w:val="32"/>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标题 2_0"/>
    <w:basedOn w:val="39"/>
    <w:next w:val="39"/>
    <w:autoRedefine/>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customStyle="1" w:styleId="39">
    <w:name w:val="正文_1"/>
    <w:next w:val="38"/>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样式 样式 行距: 1.5 倍行距 + 首行缩进:  2 字符"/>
    <w:next w:val="8"/>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1">
    <w:name w:val="Body text|1"/>
    <w:basedOn w:val="1"/>
    <w:autoRedefine/>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42">
    <w:name w:val="Table Text"/>
    <w:basedOn w:val="1"/>
    <w:autoRedefine/>
    <w:semiHidden/>
    <w:qFormat/>
    <w:uiPriority w:val="0"/>
    <w:rPr>
      <w:rFonts w:ascii="宋体" w:hAnsi="宋体" w:eastAsia="宋体" w:cs="宋体"/>
      <w:sz w:val="24"/>
      <w:szCs w:val="24"/>
      <w:lang w:val="en-US" w:eastAsia="en-US" w:bidi="ar-SA"/>
    </w:rPr>
  </w:style>
  <w:style w:type="character" w:customStyle="1" w:styleId="43">
    <w:name w:val="font11"/>
    <w:basedOn w:val="23"/>
    <w:autoRedefine/>
    <w:qFormat/>
    <w:uiPriority w:val="0"/>
    <w:rPr>
      <w:rFonts w:hint="eastAsia" w:ascii="宋体" w:hAnsi="宋体" w:eastAsia="宋体" w:cs="宋体"/>
      <w:b/>
      <w:bCs/>
      <w:color w:val="000000"/>
      <w:sz w:val="24"/>
      <w:szCs w:val="24"/>
      <w:u w:val="none"/>
    </w:rPr>
  </w:style>
  <w:style w:type="paragraph" w:customStyle="1" w:styleId="44">
    <w:name w:val="Table Paragraph"/>
    <w:basedOn w:val="1"/>
    <w:autoRedefine/>
    <w:qFormat/>
    <w:uiPriority w:val="0"/>
    <w:pPr>
      <w:autoSpaceDE w:val="0"/>
      <w:autoSpaceDN w:val="0"/>
      <w:spacing w:line="274" w:lineRule="exact"/>
      <w:ind w:left="103"/>
    </w:pPr>
    <w:rPr>
      <w:rFonts w:ascii="宋体" w:hAnsi="宋体"/>
      <w:kern w:val="0"/>
      <w:sz w:val="22"/>
      <w:lang w:eastAsia="en-US"/>
    </w:rPr>
  </w:style>
  <w:style w:type="paragraph" w:customStyle="1" w:styleId="45">
    <w:name w:val="Normal Indent"/>
    <w:basedOn w:val="1"/>
    <w:qFormat/>
    <w:uiPriority w:val="0"/>
    <w:pPr>
      <w:widowControl/>
      <w:ind w:firstLine="420" w:firstLineChars="200"/>
    </w:pPr>
  </w:style>
  <w:style w:type="character" w:customStyle="1" w:styleId="46">
    <w:name w:val="NormalCharacter"/>
    <w:autoRedefine/>
    <w:qFormat/>
    <w:uiPriority w:val="0"/>
  </w:style>
  <w:style w:type="paragraph" w:customStyle="1" w:styleId="4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48">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139</Words>
  <Characters>276</Characters>
  <Lines>0</Lines>
  <Paragraphs>0</Paragraphs>
  <TotalTime>0</TotalTime>
  <ScaleCrop>false</ScaleCrop>
  <LinksUpToDate>false</LinksUpToDate>
  <CharactersWithSpaces>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2023-10-19T08:44:00Z</dcterms:created>
  <dc:creator>Administrator</dc:creator>
  <cp:lastModifiedBy>lenvo</cp:lastModifiedBy>
  <cp:lastPrinted>2026-01-30T02:23:00Z</cp:lastPrinted>
  <dcterms:modified xsi:type="dcterms:W3CDTF">2026-02-09T03:16:50Z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ADB485698E82422189974826482D7743_13</vt:lpwstr>
  </property>
  <property fmtid="{D5CDD505-2E9C-101B-9397-08002B2CF9AE}" pid="4" name="KSOTemplateDocerSaveRecord">
    <vt:lpwstr>eyJoZGlkIjoiYmQ0Mjc0ODg3N2ZkOGU4ZTJhMzZhNzhmYzY2Y2ZjZGEiLCJ1c2VySWQiOiI1MjE0NzE2NzAifQ==</vt:lpwstr>
  </property>
</Properties>
</file>