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8B43C">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77280F3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7"/>
        <w:gridCol w:w="1466"/>
        <w:gridCol w:w="2460"/>
        <w:gridCol w:w="1680"/>
        <w:gridCol w:w="1080"/>
        <w:gridCol w:w="2415"/>
        <w:gridCol w:w="639"/>
      </w:tblGrid>
      <w:tr w14:paraId="5F28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2210BF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0566E8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6F7C1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68396A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C095B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7F6B98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7F877A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2325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noWrap w:val="0"/>
            <w:vAlign w:val="center"/>
          </w:tcPr>
          <w:p w14:paraId="797575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F84C7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五官科</w:t>
            </w:r>
          </w:p>
        </w:tc>
        <w:tc>
          <w:tcPr>
            <w:tcW w:w="2460" w:type="dxa"/>
            <w:tcBorders>
              <w:top w:val="single" w:color="000000" w:sz="4" w:space="0"/>
              <w:left w:val="single" w:color="000000" w:sz="4" w:space="0"/>
              <w:bottom w:val="single" w:color="000000" w:sz="4" w:space="0"/>
              <w:right w:val="single" w:color="000000" w:sz="4" w:space="0"/>
            </w:tcBorders>
            <w:noWrap w:val="0"/>
            <w:vAlign w:val="center"/>
          </w:tcPr>
          <w:p w14:paraId="003BAAFD">
            <w:pPr>
              <w:keepNext w:val="0"/>
              <w:keepLines w:val="0"/>
              <w:widowControl/>
              <w:suppressLineNumbers w:val="0"/>
              <w:ind w:left="0" w:leftChars="0" w:firstLine="0" w:firstLineChars="0"/>
              <w:jc w:val="both"/>
              <w:textAlignment w:val="center"/>
              <w:rPr>
                <w:rFonts w:hint="default" w:ascii="仿宋_GB2312" w:hAnsi="宋体" w:eastAsia="仿宋_GB2312" w:cs="仿宋_GB2312"/>
                <w:i w:val="0"/>
                <w:iCs w:val="0"/>
                <w:color w:val="000000"/>
                <w:kern w:val="2"/>
                <w:sz w:val="21"/>
                <w:szCs w:val="21"/>
                <w:u w:val="none"/>
                <w:lang w:val="en-US" w:eastAsia="zh-CN" w:bidi="ar-SA"/>
              </w:rPr>
            </w:pPr>
            <w:r>
              <w:rPr>
                <w:rFonts w:hint="default" w:ascii="仿宋_GB2312" w:hAnsi="宋体" w:eastAsia="仿宋_GB2312" w:cs="仿宋_GB2312"/>
                <w:i w:val="0"/>
                <w:iCs w:val="0"/>
                <w:color w:val="000000"/>
                <w:kern w:val="2"/>
                <w:sz w:val="21"/>
                <w:szCs w:val="21"/>
                <w:u w:val="none"/>
                <w:lang w:val="en-US" w:eastAsia="zh-CN" w:bidi="ar-SA"/>
              </w:rPr>
              <w:t>聚维酮碘溶液</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14:paraId="7392EB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default" w:ascii="仿宋_GB2312" w:hAnsi="宋体" w:eastAsia="仿宋_GB2312" w:cs="仿宋_GB2312"/>
                <w:i w:val="0"/>
                <w:iCs w:val="0"/>
                <w:color w:val="000000"/>
                <w:kern w:val="2"/>
                <w:sz w:val="21"/>
                <w:szCs w:val="21"/>
                <w:u w:val="none"/>
                <w:lang w:val="en-US" w:eastAsia="zh-CN" w:bidi="ar-SA"/>
              </w:rPr>
              <w:t>2.5%（100ml/瓶）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EC38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25瓶</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39D8E1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广东在田药业</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211F8F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5DE93186">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484348A8">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2ADB15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39C1FD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61F1727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1F50E67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08B73A93">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53BEB92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459A1C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08DDCF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04DEFA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63B0575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196763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2A34089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5D4E42F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5BF734F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195FAB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BD9BC5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7ED855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61EAD82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44A1AC7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2C96051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1C1864C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0334AE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231A6E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6EA9BF4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32376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6D5208B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3E6AB2A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77811F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231188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70C8FF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7AF7FD6E">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4B8C6B8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2BA73ED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7170C92">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2008FBE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136740B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3A0ED0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335C9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522D6AA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0FE0A2F7">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910E855">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w:t>
      </w:r>
      <w:r>
        <w:rPr>
          <w:rFonts w:hint="eastAsia" w:ascii="仿宋_GB2312" w:hAnsi="仿宋_GB2312" w:cs="仿宋_GB2312"/>
          <w:color w:val="auto"/>
          <w:sz w:val="28"/>
          <w:szCs w:val="28"/>
          <w:highlight w:val="yellow"/>
          <w:lang w:val="en-US" w:eastAsia="zh-CN"/>
        </w:rPr>
        <w:t>6</w:t>
      </w:r>
      <w:r>
        <w:rPr>
          <w:rFonts w:hint="eastAsia" w:ascii="仿宋_GB2312" w:hAnsi="仿宋_GB2312" w:eastAsia="仿宋_GB2312" w:cs="仿宋_GB2312"/>
          <w:color w:val="auto"/>
          <w:sz w:val="28"/>
          <w:szCs w:val="28"/>
          <w:highlight w:val="yellow"/>
        </w:rPr>
        <w:t>年</w:t>
      </w:r>
      <w:r>
        <w:rPr>
          <w:rFonts w:hint="eastAsia" w:ascii="仿宋_GB2312" w:hAnsi="仿宋_GB2312" w:cs="仿宋_GB2312"/>
          <w:color w:val="auto"/>
          <w:sz w:val="28"/>
          <w:szCs w:val="28"/>
          <w:highlight w:val="yellow"/>
          <w:lang w:val="en-US" w:eastAsia="zh-CN"/>
        </w:rPr>
        <w:t>1</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15</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10</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703A83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3366B3B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0251831A">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11A21BD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34AFAF6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w:t>
      </w:r>
      <w:bookmarkStart w:id="0" w:name="_GoBack"/>
      <w:bookmarkEnd w:id="0"/>
      <w:r>
        <w:rPr>
          <w:rFonts w:hint="eastAsia" w:ascii="仿宋_GB2312" w:hAnsi="仿宋_GB2312" w:cs="仿宋_GB2312"/>
          <w:color w:val="auto"/>
          <w:sz w:val="28"/>
          <w:szCs w:val="28"/>
          <w:highlight w:val="none"/>
          <w:lang w:eastAsia="zh-CN"/>
        </w:rPr>
        <w:t>八四医院官网（https://www.yt184yy.com/）”发布。</w:t>
      </w:r>
    </w:p>
    <w:p w14:paraId="19C719E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03D3FF1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0889503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1A1B498B">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6E8B041F">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3F6E10B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139C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noWrap/>
            <w:vAlign w:val="center"/>
          </w:tcPr>
          <w:p w14:paraId="5C506D5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0DE5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34B49E6D">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4007B1DA">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noWrap w:val="0"/>
            <w:vAlign w:val="center"/>
          </w:tcPr>
          <w:p w14:paraId="119A2078">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noWrap/>
            <w:vAlign w:val="center"/>
          </w:tcPr>
          <w:p w14:paraId="36FABD8E">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noWrap/>
            <w:vAlign w:val="center"/>
          </w:tcPr>
          <w:p w14:paraId="7213D888">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2026年1月15日10：00</w:t>
            </w:r>
          </w:p>
        </w:tc>
      </w:tr>
      <w:tr w14:paraId="0FDC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260310C">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D10BC90">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4F4805E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297EF17">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5F83270">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4ADFD2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244975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E36D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C831E0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1DD6BEAF">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4260346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noWrap w:val="0"/>
            <w:vAlign w:val="center"/>
          </w:tcPr>
          <w:p w14:paraId="7C8D89CE">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9BA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71D22E38">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FAF97A6">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5011D80F">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7C473171">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0D9C45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6D33177A">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1192C6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447A033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6354A8F">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68669AF9">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7B95CBF9">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101457E0">
            <w:pPr>
              <w:rPr>
                <w:rFonts w:hint="eastAsia" w:ascii="宋体" w:hAnsi="宋体" w:eastAsia="宋体" w:cs="宋体"/>
                <w:i w:val="0"/>
                <w:iCs w:val="0"/>
                <w:color w:val="000000"/>
                <w:sz w:val="22"/>
                <w:szCs w:val="22"/>
                <w:u w:val="none"/>
              </w:rPr>
            </w:pPr>
          </w:p>
        </w:tc>
      </w:tr>
      <w:tr w14:paraId="069E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ign w:val="center"/>
          </w:tcPr>
          <w:p w14:paraId="08D24C57">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161B672C">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B515745">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14:paraId="6E857CE8">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580DB60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39E48FD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8B1999">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F9180A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C2E1AD">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7896882">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noWrap w:val="0"/>
            <w:vAlign w:val="center"/>
          </w:tcPr>
          <w:p w14:paraId="37D4070C">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3FD60BF7">
            <w:pPr>
              <w:rPr>
                <w:rFonts w:hint="eastAsia" w:ascii="宋体" w:hAnsi="宋体" w:eastAsia="宋体" w:cs="宋体"/>
                <w:i w:val="0"/>
                <w:iCs w:val="0"/>
                <w:color w:val="000000"/>
                <w:sz w:val="22"/>
                <w:szCs w:val="22"/>
                <w:u w:val="none"/>
              </w:rPr>
            </w:pPr>
          </w:p>
        </w:tc>
      </w:tr>
      <w:tr w14:paraId="2341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E3D07D">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6A775A7">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DED54D4">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018411C6">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6A0D1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0A674C3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F06D23">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608D6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4724BE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D21D555">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1C559390">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noWrap/>
            <w:vAlign w:val="center"/>
          </w:tcPr>
          <w:p w14:paraId="3DFAE970">
            <w:pPr>
              <w:rPr>
                <w:rFonts w:hint="eastAsia" w:ascii="宋体" w:hAnsi="宋体" w:eastAsia="宋体" w:cs="宋体"/>
                <w:i w:val="0"/>
                <w:iCs w:val="0"/>
                <w:color w:val="000000"/>
                <w:sz w:val="22"/>
                <w:szCs w:val="22"/>
                <w:u w:val="none"/>
              </w:rPr>
            </w:pPr>
          </w:p>
        </w:tc>
      </w:tr>
      <w:tr w14:paraId="4FA3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3E5E068">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9AE86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375E3C6">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14:paraId="3CBBF1DD">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2983884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8BBBCB7">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04BCEA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7F76FD6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C92BF55">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2B5692D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noWrap w:val="0"/>
            <w:vAlign w:val="center"/>
          </w:tcPr>
          <w:p w14:paraId="373858E7">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14:paraId="786EEA77">
            <w:pPr>
              <w:rPr>
                <w:rFonts w:hint="eastAsia" w:ascii="宋体" w:hAnsi="宋体" w:eastAsia="宋体" w:cs="宋体"/>
                <w:i w:val="0"/>
                <w:iCs w:val="0"/>
                <w:color w:val="000000"/>
                <w:sz w:val="22"/>
                <w:szCs w:val="22"/>
                <w:u w:val="none"/>
              </w:rPr>
            </w:pPr>
          </w:p>
        </w:tc>
      </w:tr>
    </w:tbl>
    <w:p w14:paraId="6407DA94">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02A1A9F1">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115A109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6999160B">
      <w:pPr>
        <w:rPr>
          <w:rFonts w:hint="eastAsia"/>
          <w:highlight w:val="none"/>
        </w:rPr>
      </w:pPr>
      <w:r>
        <w:rPr>
          <w:rFonts w:hint="eastAsia"/>
          <w:highlight w:val="none"/>
        </w:rPr>
        <w:br w:type="page"/>
      </w:r>
    </w:p>
    <w:p w14:paraId="63AD476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0B008F7A">
      <w:pPr>
        <w:rPr>
          <w:rFonts w:hint="eastAsia"/>
          <w:highlight w:val="none"/>
        </w:rPr>
      </w:pPr>
      <w:r>
        <w:rPr>
          <w:rFonts w:hint="eastAsia"/>
          <w:highlight w:val="none"/>
        </w:rPr>
        <w:br w:type="page"/>
      </w:r>
    </w:p>
    <w:p w14:paraId="697457A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48F39336">
      <w:pPr>
        <w:rPr>
          <w:rFonts w:hint="eastAsia"/>
          <w:highlight w:val="none"/>
        </w:rPr>
      </w:pPr>
      <w:r>
        <w:rPr>
          <w:rFonts w:hint="eastAsia"/>
          <w:highlight w:val="none"/>
        </w:rPr>
        <w:br w:type="page"/>
      </w:r>
    </w:p>
    <w:p w14:paraId="5C16DEB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E4A2FCA">
      <w:pPr>
        <w:rPr>
          <w:rFonts w:hint="eastAsia"/>
          <w:highlight w:val="none"/>
          <w:lang w:eastAsia="zh-CN"/>
        </w:rPr>
      </w:pPr>
      <w:r>
        <w:rPr>
          <w:rFonts w:hint="eastAsia"/>
          <w:highlight w:val="none"/>
        </w:rPr>
        <w:br w:type="page"/>
      </w:r>
    </w:p>
    <w:p w14:paraId="06E8509F">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28C7E525">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16618450">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4DF29C37">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1FB8F92A">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A5E098">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18F2E444">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13C9FF77">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03F89C14">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4AAD80C1">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13579FE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178307BA">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649DB0EC">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40F7305">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12FBAAF2">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18882950">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4932FB08">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46EF9AA8">
      <w:pPr>
        <w:pStyle w:val="11"/>
        <w:rPr>
          <w:rFonts w:hint="eastAsia"/>
          <w:highlight w:val="none"/>
        </w:rPr>
      </w:pPr>
    </w:p>
    <w:p w14:paraId="3C439D56">
      <w:pPr>
        <w:pStyle w:val="5"/>
        <w:rPr>
          <w:rFonts w:hint="eastAsia" w:ascii="仿宋_GB2312" w:hAnsi="仿宋_GB2312" w:eastAsia="仿宋_GB2312" w:cs="仿宋_GB2312"/>
          <w:sz w:val="28"/>
          <w:szCs w:val="28"/>
          <w:highlight w:val="none"/>
        </w:rPr>
      </w:pPr>
    </w:p>
    <w:p w14:paraId="58ABE10B">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2682673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5C37C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88DBA1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39B31EE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456FEB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788D71C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0934A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177804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3374091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4EC239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E86382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5822B43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06889C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49F1A5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E794C8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60E796A7">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4C0F98BC">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3734CA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677EEF7">
      <w:pPr>
        <w:rPr>
          <w:rFonts w:hint="eastAsia"/>
          <w:highlight w:val="none"/>
          <w:lang w:eastAsia="zh-CN"/>
        </w:rPr>
      </w:pPr>
      <w:r>
        <w:rPr>
          <w:rFonts w:hint="eastAsia"/>
          <w:highlight w:val="none"/>
          <w:lang w:eastAsia="zh-CN"/>
        </w:rPr>
        <w:br w:type="page"/>
      </w:r>
    </w:p>
    <w:p w14:paraId="082784C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3B47E15D">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5EC9C012">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45B1C2D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4D1E884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6737418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29AD57FA">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263761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5F66F33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6CDFBD0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4CC6DCB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4E926B5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4766633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3340EAE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18D66357">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2291D894">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516C476D">
      <w:pPr>
        <w:rPr>
          <w:rFonts w:hint="eastAsia"/>
          <w:b w:val="0"/>
          <w:bCs w:val="0"/>
          <w:color w:val="auto"/>
          <w:lang w:val="en-US" w:eastAsia="zh-CN"/>
        </w:rPr>
      </w:pPr>
      <w:r>
        <w:rPr>
          <w:rFonts w:hint="eastAsia"/>
          <w:b w:val="0"/>
          <w:bCs w:val="0"/>
          <w:color w:val="auto"/>
          <w:lang w:val="en-US" w:eastAsia="zh-CN"/>
        </w:rPr>
        <w:br w:type="page"/>
      </w:r>
    </w:p>
    <w:p w14:paraId="1A626C75">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7B106CB5">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039498DF">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075605B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6D81487F">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6594C75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4DD9880C">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69FB719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0197D9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24A874F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39D644DF">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2B74AF6E">
      <w:pPr>
        <w:rPr>
          <w:highlight w:val="none"/>
        </w:rPr>
      </w:pPr>
      <w:r>
        <w:rPr>
          <w:highlight w:val="none"/>
        </w:rPr>
        <w:br w:type="page"/>
      </w:r>
    </w:p>
    <w:p w14:paraId="645042E0">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A5667">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909B45">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14:paraId="03909B45">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799">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C470C">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86C470C">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11BF">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BF70F">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02668"/>
    <w:rsid w:val="006136A0"/>
    <w:rsid w:val="008B1F25"/>
    <w:rsid w:val="00CB3C62"/>
    <w:rsid w:val="04691D11"/>
    <w:rsid w:val="06577474"/>
    <w:rsid w:val="07B76CEE"/>
    <w:rsid w:val="08D77648"/>
    <w:rsid w:val="094A2B91"/>
    <w:rsid w:val="0988616E"/>
    <w:rsid w:val="0A7D5E9E"/>
    <w:rsid w:val="0ABD672D"/>
    <w:rsid w:val="0B100BEF"/>
    <w:rsid w:val="0C886EAB"/>
    <w:rsid w:val="0D0B5BF5"/>
    <w:rsid w:val="10032FEE"/>
    <w:rsid w:val="10067CF4"/>
    <w:rsid w:val="11401740"/>
    <w:rsid w:val="128707FF"/>
    <w:rsid w:val="12B04A66"/>
    <w:rsid w:val="136C3C8E"/>
    <w:rsid w:val="13F6183E"/>
    <w:rsid w:val="148830D3"/>
    <w:rsid w:val="149E6117"/>
    <w:rsid w:val="14A02668"/>
    <w:rsid w:val="16775FC6"/>
    <w:rsid w:val="17AB72E5"/>
    <w:rsid w:val="1AB05F4B"/>
    <w:rsid w:val="1E915F33"/>
    <w:rsid w:val="1EFB709A"/>
    <w:rsid w:val="1F0467E5"/>
    <w:rsid w:val="20091159"/>
    <w:rsid w:val="212D7572"/>
    <w:rsid w:val="21B7196D"/>
    <w:rsid w:val="22692C0D"/>
    <w:rsid w:val="230E380E"/>
    <w:rsid w:val="239E225F"/>
    <w:rsid w:val="23ED7A03"/>
    <w:rsid w:val="23FE192D"/>
    <w:rsid w:val="24E809D6"/>
    <w:rsid w:val="26D7660D"/>
    <w:rsid w:val="27D66FEB"/>
    <w:rsid w:val="27DC7EBC"/>
    <w:rsid w:val="28753671"/>
    <w:rsid w:val="295A6BF7"/>
    <w:rsid w:val="2A824AC9"/>
    <w:rsid w:val="2B0379D1"/>
    <w:rsid w:val="2BC860CA"/>
    <w:rsid w:val="2C956D4E"/>
    <w:rsid w:val="2CEB2E12"/>
    <w:rsid w:val="2CEF2903"/>
    <w:rsid w:val="2FA23C5C"/>
    <w:rsid w:val="3025488D"/>
    <w:rsid w:val="30AC4667"/>
    <w:rsid w:val="31D40319"/>
    <w:rsid w:val="3365013C"/>
    <w:rsid w:val="336B25B7"/>
    <w:rsid w:val="34B15BC4"/>
    <w:rsid w:val="35415CC5"/>
    <w:rsid w:val="35AF1FEF"/>
    <w:rsid w:val="361027C2"/>
    <w:rsid w:val="36107446"/>
    <w:rsid w:val="36127845"/>
    <w:rsid w:val="36DD2800"/>
    <w:rsid w:val="378643FD"/>
    <w:rsid w:val="3A644A2D"/>
    <w:rsid w:val="3BC457D0"/>
    <w:rsid w:val="3D932E36"/>
    <w:rsid w:val="3EE85404"/>
    <w:rsid w:val="3F211237"/>
    <w:rsid w:val="41BD79E6"/>
    <w:rsid w:val="41FD4D22"/>
    <w:rsid w:val="43467146"/>
    <w:rsid w:val="43C15764"/>
    <w:rsid w:val="43EB7FFB"/>
    <w:rsid w:val="43FF1225"/>
    <w:rsid w:val="44191BBB"/>
    <w:rsid w:val="445826E4"/>
    <w:rsid w:val="446D4E8C"/>
    <w:rsid w:val="45AD272F"/>
    <w:rsid w:val="4668197E"/>
    <w:rsid w:val="471C7A5E"/>
    <w:rsid w:val="48A93C5D"/>
    <w:rsid w:val="493A5C6D"/>
    <w:rsid w:val="4A171C4E"/>
    <w:rsid w:val="4AA84646"/>
    <w:rsid w:val="4B26325B"/>
    <w:rsid w:val="4C7B3413"/>
    <w:rsid w:val="4D3A5B4F"/>
    <w:rsid w:val="4D4C164D"/>
    <w:rsid w:val="4D785BA5"/>
    <w:rsid w:val="4DDC25D7"/>
    <w:rsid w:val="4E442827"/>
    <w:rsid w:val="4E6A1991"/>
    <w:rsid w:val="4EB41C4F"/>
    <w:rsid w:val="4F1314E9"/>
    <w:rsid w:val="4F9C11AB"/>
    <w:rsid w:val="50877644"/>
    <w:rsid w:val="52FE4D9E"/>
    <w:rsid w:val="531E71EE"/>
    <w:rsid w:val="532D11DF"/>
    <w:rsid w:val="543E18E2"/>
    <w:rsid w:val="55086E0C"/>
    <w:rsid w:val="57127115"/>
    <w:rsid w:val="57696EE6"/>
    <w:rsid w:val="5806097D"/>
    <w:rsid w:val="5B01367D"/>
    <w:rsid w:val="5B33135D"/>
    <w:rsid w:val="5D047455"/>
    <w:rsid w:val="5DA31235"/>
    <w:rsid w:val="61FE4473"/>
    <w:rsid w:val="656136E1"/>
    <w:rsid w:val="670815C7"/>
    <w:rsid w:val="672030DD"/>
    <w:rsid w:val="67566AFF"/>
    <w:rsid w:val="67AE71B1"/>
    <w:rsid w:val="68AF316F"/>
    <w:rsid w:val="6974558B"/>
    <w:rsid w:val="69990F25"/>
    <w:rsid w:val="69BE5CAE"/>
    <w:rsid w:val="6A2A13FA"/>
    <w:rsid w:val="6A707ED8"/>
    <w:rsid w:val="6A7873EA"/>
    <w:rsid w:val="6BCF0C2E"/>
    <w:rsid w:val="6BD61FBC"/>
    <w:rsid w:val="6C452F22"/>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00" w:lineRule="exact"/>
      <w:ind w:firstLine="1152" w:firstLineChars="200"/>
      <w:jc w:val="both"/>
      <w:textAlignment w:val="baseline"/>
    </w:pPr>
    <w:rPr>
      <w:rFonts w:ascii="Times New Roman" w:hAnsi="Times New Roman" w:eastAsia="仿宋_GB2312" w:cs="Times New Roman"/>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unhideWhenUsed/>
    <w:qFormat/>
    <w:uiPriority w:val="0"/>
    <w:pPr>
      <w:keepNext/>
      <w:keepLines/>
      <w:spacing w:line="500" w:lineRule="exact"/>
      <w:ind w:firstLine="0" w:firstLineChars="0"/>
      <w:jc w:val="center"/>
      <w:outlineLvl w:val="2"/>
    </w:pPr>
    <w:rPr>
      <w:b/>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qFormat/>
    <w:uiPriority w:val="0"/>
    <w:rPr>
      <w:rFonts w:ascii="Times New Roman" w:hAnsi="Times New Roman" w:eastAsia="仿宋_GB2312" w:cs="Times New Roman"/>
      <w:kern w:val="2"/>
      <w:sz w:val="28"/>
      <w:szCs w:val="21"/>
      <w:lang w:val="en-US" w:eastAsia="zh-CN" w:bidi="ar-SA"/>
    </w:rPr>
  </w:style>
  <w:style w:type="character" w:customStyle="1" w:styleId="10">
    <w:name w:val="标题 2 Char"/>
    <w:basedOn w:val="8"/>
    <w:link w:val="3"/>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jy\&#33647;&#21697;\&#20020;&#37319;\2025&#24180;\12.24&#19993;&#25098;&#37240;&#38048;\12.24&#33647;&#21697;&#35810;&#20215;&#20844;&#31034;&#65288;&#20020;&#26102;&#37319;&#36141;&#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12.24药品询价公示（临时采购）.dot</Template>
  <Pages>14</Pages>
  <Words>2704</Words>
  <Characters>2940</Characters>
  <Lines>0</Lines>
  <Paragraphs>0</Paragraphs>
  <TotalTime>85</TotalTime>
  <ScaleCrop>false</ScaleCrop>
  <LinksUpToDate>false</LinksUpToDate>
  <CharactersWithSpaces>3107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2025-12-24T01:57:00Z</dcterms:created>
  <dc:creator>HE盒</dc:creator>
  <cp:lastModifiedBy>HE盒</cp:lastModifiedBy>
  <dcterms:modified xsi:type="dcterms:W3CDTF">2026-01-12T01:07:39Z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FE78125C3BB74FFA8507947F05E8C36D_13</vt:lpwstr>
  </property>
  <property fmtid="{D5CDD505-2E9C-101B-9397-08002B2CF9AE}" pid="4" name="KSOTemplateDocerSaveRecord">
    <vt:lpwstr>eyJoZGlkIjoiZDUwODEzZjc2NDU4MmMyMDA1OWViYmY0NzQyYzNjZDgiLCJ1c2VySWQiOiIzNzQwOTA4NzIifQ==</vt:lpwstr>
  </property>
</Properties>
</file>