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801AE">
      <w:pPr>
        <w:pageBreakBefore w:val="0"/>
        <w:widowControl w:val="0"/>
        <w:wordWrap/>
        <w:overflowPunct/>
        <w:topLinePunct w:val="0"/>
        <w:bidi w:val="0"/>
        <w:spacing w:line="242" w:lineRule="auto"/>
        <w:rPr>
          <w:rFonts w:hint="eastAsia" w:eastAsiaTheme="minorEastAsia"/>
          <w:color w:val="auto"/>
          <w:highlight w:val="none"/>
          <w:lang w:eastAsia="zh-CN"/>
        </w:rPr>
      </w:pPr>
    </w:p>
    <w:p w14:paraId="6CFEB85E">
      <w:pPr>
        <w:pageBreakBefore w:val="0"/>
        <w:widowControl w:val="0"/>
        <w:wordWrap/>
        <w:overflowPunct/>
        <w:topLinePunct w:val="0"/>
        <w:bidi w:val="0"/>
        <w:spacing w:line="242" w:lineRule="auto"/>
        <w:rPr>
          <w:color w:val="auto"/>
          <w:highlight w:val="none"/>
        </w:rPr>
      </w:pPr>
    </w:p>
    <w:p w14:paraId="6E73AAEF">
      <w:pPr>
        <w:pageBreakBefore w:val="0"/>
        <w:widowControl w:val="0"/>
        <w:wordWrap/>
        <w:overflowPunct/>
        <w:topLinePunct w:val="0"/>
        <w:bidi w:val="0"/>
        <w:spacing w:line="242" w:lineRule="auto"/>
        <w:rPr>
          <w:color w:val="auto"/>
          <w:highlight w:val="none"/>
        </w:rPr>
      </w:pPr>
    </w:p>
    <w:p w14:paraId="323D0E88">
      <w:pPr>
        <w:pageBreakBefore w:val="0"/>
        <w:widowControl w:val="0"/>
        <w:wordWrap/>
        <w:overflowPunct/>
        <w:topLinePunct w:val="0"/>
        <w:bidi w:val="0"/>
        <w:spacing w:line="243" w:lineRule="auto"/>
        <w:rPr>
          <w:color w:val="auto"/>
          <w:highlight w:val="none"/>
        </w:rPr>
      </w:pPr>
    </w:p>
    <w:p w14:paraId="5B1291E2">
      <w:pPr>
        <w:pageBreakBefore w:val="0"/>
        <w:widowControl w:val="0"/>
        <w:wordWrap/>
        <w:overflowPunct/>
        <w:topLinePunct w:val="0"/>
        <w:bidi w:val="0"/>
        <w:spacing w:line="243" w:lineRule="auto"/>
        <w:rPr>
          <w:color w:val="auto"/>
          <w:highlight w:val="none"/>
        </w:rPr>
      </w:pPr>
    </w:p>
    <w:p w14:paraId="63CF1402">
      <w:pPr>
        <w:pStyle w:val="8"/>
        <w:pageBreakBefore w:val="0"/>
        <w:widowControl w:val="0"/>
        <w:wordWrap/>
        <w:overflowPunct/>
        <w:topLinePunct w:val="0"/>
        <w:bidi w:val="0"/>
        <w:rPr>
          <w:color w:val="auto"/>
          <w:highlight w:val="none"/>
        </w:rPr>
      </w:pPr>
    </w:p>
    <w:p w14:paraId="137E8DE0">
      <w:pPr>
        <w:pStyle w:val="8"/>
        <w:pageBreakBefore w:val="0"/>
        <w:widowControl w:val="0"/>
        <w:wordWrap/>
        <w:overflowPunct/>
        <w:topLinePunct w:val="0"/>
        <w:bidi w:val="0"/>
        <w:rPr>
          <w:color w:val="auto"/>
          <w:highlight w:val="none"/>
        </w:rPr>
      </w:pPr>
    </w:p>
    <w:p w14:paraId="10B1AAD5">
      <w:pPr>
        <w:pStyle w:val="8"/>
        <w:pageBreakBefore w:val="0"/>
        <w:widowControl w:val="0"/>
        <w:wordWrap/>
        <w:overflowPunct/>
        <w:topLinePunct w:val="0"/>
        <w:bidi w:val="0"/>
        <w:rPr>
          <w:color w:val="auto"/>
          <w:highlight w:val="none"/>
        </w:rPr>
      </w:pPr>
    </w:p>
    <w:p w14:paraId="508BEA10">
      <w:pPr>
        <w:pageBreakBefore w:val="0"/>
        <w:widowControl w:val="0"/>
        <w:wordWrap/>
        <w:overflowPunct/>
        <w:topLinePunct w:val="0"/>
        <w:bidi w:val="0"/>
        <w:spacing w:before="270" w:line="221" w:lineRule="auto"/>
        <w:jc w:val="center"/>
        <w:outlineLvl w:val="0"/>
        <w:rPr>
          <w:rFonts w:ascii="宋体" w:hAnsi="宋体" w:eastAsia="宋体" w:cs="宋体"/>
          <w:color w:val="auto"/>
          <w:spacing w:val="2"/>
          <w:sz w:val="56"/>
          <w:szCs w:val="56"/>
          <w:highlight w:val="none"/>
          <w:lang w:eastAsia="zh-CN"/>
        </w:rPr>
      </w:pPr>
      <w:bookmarkStart w:id="0" w:name="_Toc2985"/>
      <w:bookmarkStart w:id="1" w:name="_Toc17436"/>
      <w:bookmarkStart w:id="2" w:name="_Toc22247"/>
      <w:r>
        <w:rPr>
          <w:rFonts w:ascii="宋体" w:hAnsi="宋体" w:eastAsia="宋体" w:cs="宋体"/>
          <w:color w:val="auto"/>
          <w:spacing w:val="6"/>
          <w:sz w:val="56"/>
          <w:szCs w:val="56"/>
          <w:highlight w:val="none"/>
          <w:lang w:eastAsia="zh-CN"/>
        </w:rPr>
        <w:t>江西省采购</w:t>
      </w:r>
      <w:r>
        <w:rPr>
          <w:rFonts w:hint="eastAsia" w:ascii="宋体" w:hAnsi="宋体" w:eastAsia="宋体" w:cs="宋体"/>
          <w:color w:val="auto"/>
          <w:spacing w:val="2"/>
          <w:sz w:val="56"/>
          <w:szCs w:val="56"/>
          <w:highlight w:val="none"/>
          <w:lang w:val="en-US" w:eastAsia="zh-CN"/>
        </w:rPr>
        <w:t>竞争性磋商</w:t>
      </w:r>
      <w:r>
        <w:rPr>
          <w:rFonts w:ascii="宋体" w:hAnsi="宋体" w:eastAsia="宋体" w:cs="宋体"/>
          <w:color w:val="auto"/>
          <w:spacing w:val="2"/>
          <w:sz w:val="56"/>
          <w:szCs w:val="56"/>
          <w:highlight w:val="none"/>
          <w:lang w:eastAsia="zh-CN"/>
        </w:rPr>
        <w:t>文件</w:t>
      </w:r>
      <w:bookmarkEnd w:id="0"/>
      <w:bookmarkEnd w:id="1"/>
      <w:bookmarkEnd w:id="2"/>
    </w:p>
    <w:p w14:paraId="78C75D26">
      <w:pPr>
        <w:pageBreakBefore w:val="0"/>
        <w:widowControl w:val="0"/>
        <w:wordWrap/>
        <w:overflowPunct/>
        <w:topLinePunct w:val="0"/>
        <w:bidi w:val="0"/>
        <w:spacing w:before="270" w:line="221" w:lineRule="auto"/>
        <w:jc w:val="center"/>
        <w:outlineLvl w:val="0"/>
        <w:rPr>
          <w:rFonts w:ascii="宋体" w:hAnsi="宋体" w:eastAsia="宋体" w:cs="宋体"/>
          <w:color w:val="auto"/>
          <w:sz w:val="56"/>
          <w:szCs w:val="56"/>
          <w:highlight w:val="none"/>
          <w:lang w:eastAsia="zh-CN"/>
        </w:rPr>
      </w:pPr>
      <w:bookmarkStart w:id="3" w:name="_Toc5087"/>
      <w:bookmarkStart w:id="4" w:name="_Toc26138"/>
      <w:bookmarkStart w:id="5" w:name="_Toc19413"/>
      <w:r>
        <w:rPr>
          <w:rFonts w:hint="eastAsia" w:ascii="宋体" w:hAnsi="宋体" w:eastAsia="宋体" w:cs="宋体"/>
          <w:color w:val="auto"/>
          <w:spacing w:val="2"/>
          <w:sz w:val="56"/>
          <w:szCs w:val="56"/>
          <w:highlight w:val="none"/>
          <w:lang w:val="en-US" w:eastAsia="zh-CN"/>
        </w:rPr>
        <w:t>示</w:t>
      </w:r>
      <w:r>
        <w:rPr>
          <w:rFonts w:ascii="宋体" w:hAnsi="宋体" w:eastAsia="宋体" w:cs="宋体"/>
          <w:color w:val="auto"/>
          <w:spacing w:val="2"/>
          <w:sz w:val="56"/>
          <w:szCs w:val="56"/>
          <w:highlight w:val="none"/>
          <w:lang w:eastAsia="zh-CN"/>
        </w:rPr>
        <w:t>范</w:t>
      </w:r>
      <w:r>
        <w:rPr>
          <w:rFonts w:hint="eastAsia" w:ascii="宋体" w:hAnsi="宋体" w:eastAsia="宋体" w:cs="宋体"/>
          <w:color w:val="auto"/>
          <w:spacing w:val="2"/>
          <w:sz w:val="56"/>
          <w:szCs w:val="56"/>
          <w:highlight w:val="none"/>
          <w:lang w:val="en-US" w:eastAsia="zh-CN"/>
        </w:rPr>
        <w:t>文</w:t>
      </w:r>
      <w:r>
        <w:rPr>
          <w:rFonts w:ascii="宋体" w:hAnsi="宋体" w:eastAsia="宋体" w:cs="宋体"/>
          <w:color w:val="auto"/>
          <w:spacing w:val="2"/>
          <w:sz w:val="56"/>
          <w:szCs w:val="56"/>
          <w:highlight w:val="none"/>
          <w:lang w:eastAsia="zh-CN"/>
        </w:rPr>
        <w:t>本</w:t>
      </w:r>
      <w:r>
        <w:rPr>
          <w:rFonts w:hint="eastAsia" w:ascii="宋体" w:hAnsi="宋体" w:eastAsia="宋体" w:cs="宋体"/>
          <w:color w:val="auto"/>
          <w:spacing w:val="0"/>
          <w:w w:val="100"/>
          <w:position w:val="0"/>
          <w:sz w:val="56"/>
          <w:szCs w:val="56"/>
          <w:highlight w:val="none"/>
          <w:lang w:eastAsia="zh-CN"/>
        </w:rPr>
        <w:t>（</w:t>
      </w:r>
      <w:r>
        <w:rPr>
          <w:rFonts w:hint="eastAsia" w:ascii="宋体" w:hAnsi="宋体" w:eastAsia="宋体" w:cs="宋体"/>
          <w:color w:val="auto"/>
          <w:spacing w:val="6"/>
          <w:sz w:val="52"/>
          <w:szCs w:val="52"/>
          <w:highlight w:val="none"/>
          <w:lang w:val="en-US" w:eastAsia="zh-CN"/>
        </w:rPr>
        <w:t>2025·1</w:t>
      </w:r>
      <w:r>
        <w:rPr>
          <w:rFonts w:hint="eastAsia" w:ascii="宋体" w:hAnsi="宋体" w:eastAsia="宋体" w:cs="宋体"/>
          <w:color w:val="auto"/>
          <w:spacing w:val="0"/>
          <w:w w:val="100"/>
          <w:position w:val="0"/>
          <w:sz w:val="56"/>
          <w:szCs w:val="56"/>
          <w:highlight w:val="none"/>
          <w:lang w:val="en-US" w:eastAsia="zh-CN"/>
        </w:rPr>
        <w:t>修订版</w:t>
      </w:r>
      <w:r>
        <w:rPr>
          <w:rFonts w:hint="eastAsia" w:ascii="宋体" w:hAnsi="宋体" w:eastAsia="宋体" w:cs="宋体"/>
          <w:color w:val="auto"/>
          <w:spacing w:val="0"/>
          <w:w w:val="100"/>
          <w:position w:val="0"/>
          <w:sz w:val="56"/>
          <w:szCs w:val="56"/>
          <w:highlight w:val="none"/>
          <w:lang w:eastAsia="zh-CN"/>
        </w:rPr>
        <w:t>）</w:t>
      </w:r>
      <w:bookmarkEnd w:id="3"/>
      <w:bookmarkEnd w:id="4"/>
      <w:bookmarkEnd w:id="5"/>
    </w:p>
    <w:p w14:paraId="2510443B">
      <w:pPr>
        <w:pageBreakBefore w:val="0"/>
        <w:widowControl w:val="0"/>
        <w:wordWrap/>
        <w:overflowPunct/>
        <w:topLinePunct w:val="0"/>
        <w:bidi w:val="0"/>
        <w:spacing w:line="308" w:lineRule="auto"/>
        <w:rPr>
          <w:color w:val="auto"/>
          <w:highlight w:val="none"/>
          <w:lang w:eastAsia="zh-CN"/>
        </w:rPr>
      </w:pPr>
    </w:p>
    <w:p w14:paraId="37C6E1AB">
      <w:pPr>
        <w:pageBreakBefore w:val="0"/>
        <w:widowControl w:val="0"/>
        <w:wordWrap/>
        <w:overflowPunct/>
        <w:topLinePunct w:val="0"/>
        <w:bidi w:val="0"/>
        <w:spacing w:line="308" w:lineRule="auto"/>
        <w:rPr>
          <w:color w:val="auto"/>
          <w:highlight w:val="none"/>
          <w:lang w:eastAsia="zh-CN"/>
        </w:rPr>
      </w:pPr>
    </w:p>
    <w:p w14:paraId="369E81B7">
      <w:pPr>
        <w:pageBreakBefore w:val="0"/>
        <w:widowControl w:val="0"/>
        <w:wordWrap/>
        <w:overflowPunct/>
        <w:topLinePunct w:val="0"/>
        <w:bidi w:val="0"/>
        <w:spacing w:line="308" w:lineRule="auto"/>
        <w:rPr>
          <w:color w:val="auto"/>
          <w:highlight w:val="none"/>
          <w:lang w:eastAsia="zh-CN"/>
        </w:rPr>
      </w:pPr>
    </w:p>
    <w:p w14:paraId="7685E040">
      <w:pPr>
        <w:pageBreakBefore w:val="0"/>
        <w:widowControl w:val="0"/>
        <w:wordWrap/>
        <w:overflowPunct/>
        <w:topLinePunct w:val="0"/>
        <w:bidi w:val="0"/>
        <w:spacing w:before="101" w:line="224" w:lineRule="auto"/>
        <w:ind w:left="3725" w:leftChars="0" w:hanging="3725" w:hangingChars="1179"/>
        <w:jc w:val="center"/>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3"/>
          <w:sz w:val="31"/>
          <w:szCs w:val="31"/>
          <w:highlight w:val="none"/>
          <w:lang w:val="en-US" w:eastAsia="zh-CN"/>
          <w14:textOutline w14:w="5791" w14:cap="sq" w14:cmpd="sng" w14:algn="ctr">
            <w14:solidFill>
              <w14:srgbClr w14:val="000000"/>
            </w14:solidFill>
            <w14:prstDash w14:val="solid"/>
            <w14:bevel/>
          </w14:textOutline>
        </w:rPr>
        <w:t>服务</w:t>
      </w: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类）</w:t>
      </w:r>
    </w:p>
    <w:p w14:paraId="1E759354">
      <w:pPr>
        <w:pageBreakBefore w:val="0"/>
        <w:widowControl w:val="0"/>
        <w:wordWrap/>
        <w:overflowPunct/>
        <w:topLinePunct w:val="0"/>
        <w:bidi w:val="0"/>
        <w:spacing w:line="246" w:lineRule="auto"/>
        <w:rPr>
          <w:color w:val="auto"/>
          <w:highlight w:val="none"/>
          <w:lang w:eastAsia="zh-CN"/>
        </w:rPr>
      </w:pPr>
    </w:p>
    <w:p w14:paraId="43E67813">
      <w:pPr>
        <w:pageBreakBefore w:val="0"/>
        <w:widowControl w:val="0"/>
        <w:wordWrap/>
        <w:overflowPunct/>
        <w:topLinePunct w:val="0"/>
        <w:bidi w:val="0"/>
        <w:spacing w:line="246" w:lineRule="auto"/>
        <w:rPr>
          <w:color w:val="auto"/>
          <w:highlight w:val="none"/>
          <w:lang w:eastAsia="zh-CN"/>
        </w:rPr>
      </w:pPr>
    </w:p>
    <w:p w14:paraId="1824CF36">
      <w:pPr>
        <w:pStyle w:val="8"/>
        <w:pageBreakBefore w:val="0"/>
        <w:widowControl w:val="0"/>
        <w:wordWrap/>
        <w:overflowPunct/>
        <w:topLinePunct w:val="0"/>
        <w:bidi w:val="0"/>
        <w:rPr>
          <w:color w:val="auto"/>
          <w:highlight w:val="none"/>
          <w:lang w:eastAsia="zh-CN"/>
        </w:rPr>
      </w:pPr>
    </w:p>
    <w:p w14:paraId="0BFDC3BF">
      <w:pPr>
        <w:pStyle w:val="8"/>
        <w:pageBreakBefore w:val="0"/>
        <w:widowControl w:val="0"/>
        <w:wordWrap/>
        <w:overflowPunct/>
        <w:topLinePunct w:val="0"/>
        <w:bidi w:val="0"/>
        <w:rPr>
          <w:color w:val="auto"/>
          <w:highlight w:val="none"/>
          <w:lang w:eastAsia="zh-CN"/>
        </w:rPr>
      </w:pPr>
    </w:p>
    <w:p w14:paraId="76690CAD">
      <w:pPr>
        <w:pageBreakBefore w:val="0"/>
        <w:widowControl w:val="0"/>
        <w:wordWrap/>
        <w:overflowPunct/>
        <w:topLinePunct w:val="0"/>
        <w:bidi w:val="0"/>
        <w:spacing w:line="246" w:lineRule="auto"/>
        <w:rPr>
          <w:color w:val="auto"/>
          <w:highlight w:val="none"/>
          <w:lang w:eastAsia="zh-CN"/>
        </w:rPr>
      </w:pPr>
    </w:p>
    <w:p w14:paraId="6C50E82D">
      <w:pPr>
        <w:pageBreakBefore w:val="0"/>
        <w:widowControl w:val="0"/>
        <w:wordWrap/>
        <w:overflowPunct/>
        <w:topLinePunct w:val="0"/>
        <w:bidi w:val="0"/>
        <w:spacing w:line="246" w:lineRule="auto"/>
        <w:rPr>
          <w:color w:val="auto"/>
          <w:highlight w:val="none"/>
          <w:lang w:eastAsia="zh-CN"/>
        </w:rPr>
      </w:pPr>
    </w:p>
    <w:p w14:paraId="5AB4ED4B">
      <w:pPr>
        <w:pageBreakBefore w:val="0"/>
        <w:widowControl w:val="0"/>
        <w:wordWrap/>
        <w:overflowPunct/>
        <w:topLinePunct w:val="0"/>
        <w:bidi w:val="0"/>
        <w:spacing w:line="246" w:lineRule="auto"/>
        <w:rPr>
          <w:color w:val="auto"/>
          <w:highlight w:val="none"/>
          <w:lang w:eastAsia="zh-CN"/>
        </w:rPr>
      </w:pPr>
    </w:p>
    <w:p w14:paraId="41CB011C">
      <w:pPr>
        <w:pageBreakBefore w:val="0"/>
        <w:widowControl w:val="0"/>
        <w:wordWrap/>
        <w:overflowPunct/>
        <w:topLinePunct w:val="0"/>
        <w:bidi w:val="0"/>
        <w:spacing w:line="247" w:lineRule="auto"/>
        <w:rPr>
          <w:color w:val="auto"/>
          <w:highlight w:val="none"/>
          <w:lang w:eastAsia="zh-CN"/>
        </w:rPr>
      </w:pPr>
    </w:p>
    <w:p w14:paraId="39B25458">
      <w:pPr>
        <w:pageBreakBefore w:val="0"/>
        <w:widowControl w:val="0"/>
        <w:wordWrap/>
        <w:overflowPunct/>
        <w:topLinePunct w:val="0"/>
        <w:bidi w:val="0"/>
        <w:spacing w:before="101" w:line="225" w:lineRule="auto"/>
        <w:rPr>
          <w:rFonts w:ascii="宋体" w:hAnsi="宋体" w:eastAsia="宋体" w:cs="宋体"/>
          <w:color w:val="auto"/>
          <w:sz w:val="31"/>
          <w:szCs w:val="31"/>
          <w:highlight w:val="none"/>
          <w:lang w:eastAsia="zh-CN"/>
        </w:rPr>
      </w:pPr>
      <w:r>
        <w:rPr>
          <w:rFonts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项目名称：</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3"/>
          <w:sz w:val="31"/>
          <w:szCs w:val="31"/>
          <w:highlight w:val="none"/>
          <w:lang w:eastAsia="zh-CN"/>
          <w14:textOutline w14:w="5791" w14:cap="sq" w14:cmpd="sng" w14:algn="ctr">
            <w14:solidFill>
              <w14:srgbClr w14:val="000000"/>
            </w14:solidFill>
            <w14:prstDash w14:val="solid"/>
            <w14:bevel/>
          </w14:textOutline>
        </w:rPr>
        <w:t>井冈山农产品区域公用品牌（高铁列车冠名）宣传推广服务采购项目</w:t>
      </w:r>
    </w:p>
    <w:p w14:paraId="0527AD27">
      <w:pPr>
        <w:pageBreakBefore w:val="0"/>
        <w:widowControl w:val="0"/>
        <w:wordWrap/>
        <w:overflowPunct/>
        <w:topLinePunct w:val="0"/>
        <w:bidi w:val="0"/>
        <w:spacing w:before="242" w:line="225" w:lineRule="auto"/>
        <w:rPr>
          <w:rFonts w:ascii="宋体" w:hAnsi="宋体" w:eastAsia="宋体" w:cs="宋体"/>
          <w:color w:val="auto"/>
          <w:sz w:val="31"/>
          <w:szCs w:val="31"/>
          <w:highlight w:val="none"/>
          <w:lang w:eastAsia="zh-CN"/>
        </w:rPr>
      </w:pPr>
      <w:r>
        <w:rPr>
          <w:rFonts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项目编号：</w:t>
      </w:r>
      <w:r>
        <w:rPr>
          <w:rFonts w:ascii="宋体" w:hAnsi="宋体" w:eastAsia="宋体" w:cs="宋体"/>
          <w:color w:val="auto"/>
          <w:spacing w:val="-84"/>
          <w:sz w:val="31"/>
          <w:szCs w:val="31"/>
          <w:highlight w:val="none"/>
          <w:lang w:eastAsia="zh-CN"/>
        </w:rPr>
        <w:t xml:space="preserve"> </w:t>
      </w:r>
      <w:r>
        <w:rPr>
          <w:rFonts w:hint="eastAsia" w:ascii="宋体" w:hAnsi="宋体" w:eastAsia="宋体" w:cs="宋体"/>
          <w:color w:val="auto"/>
          <w:spacing w:val="1"/>
          <w:sz w:val="31"/>
          <w:szCs w:val="31"/>
          <w:highlight w:val="none"/>
          <w:lang w:eastAsia="zh-CN"/>
          <w14:textOutline w14:w="5791" w14:cap="sq" w14:cmpd="sng" w14:algn="ctr">
            <w14:solidFill>
              <w14:srgbClr w14:val="000000"/>
            </w14:solidFill>
            <w14:prstDash w14:val="solid"/>
            <w14:bevel/>
          </w14:textOutline>
        </w:rPr>
        <w:t>JACTJL-内采字【2025】128号</w:t>
      </w:r>
    </w:p>
    <w:p w14:paraId="5022476A">
      <w:pPr>
        <w:pageBreakBefore w:val="0"/>
        <w:widowControl w:val="0"/>
        <w:wordWrap/>
        <w:overflowPunct/>
        <w:topLinePunct w:val="0"/>
        <w:bidi w:val="0"/>
        <w:spacing w:line="250" w:lineRule="auto"/>
        <w:rPr>
          <w:color w:val="auto"/>
          <w:highlight w:val="none"/>
          <w:lang w:eastAsia="zh-CN"/>
        </w:rPr>
      </w:pPr>
    </w:p>
    <w:p w14:paraId="3BEE9AF5">
      <w:pPr>
        <w:pageBreakBefore w:val="0"/>
        <w:widowControl w:val="0"/>
        <w:wordWrap/>
        <w:overflowPunct/>
        <w:topLinePunct w:val="0"/>
        <w:bidi w:val="0"/>
        <w:spacing w:line="250" w:lineRule="auto"/>
        <w:rPr>
          <w:color w:val="auto"/>
          <w:highlight w:val="none"/>
          <w:lang w:eastAsia="zh-CN"/>
        </w:rPr>
      </w:pPr>
    </w:p>
    <w:p w14:paraId="08F96155">
      <w:pPr>
        <w:pageBreakBefore w:val="0"/>
        <w:widowControl w:val="0"/>
        <w:wordWrap/>
        <w:overflowPunct/>
        <w:topLinePunct w:val="0"/>
        <w:bidi w:val="0"/>
        <w:spacing w:line="251" w:lineRule="auto"/>
        <w:rPr>
          <w:color w:val="auto"/>
          <w:highlight w:val="none"/>
          <w:lang w:eastAsia="zh-CN"/>
        </w:rPr>
      </w:pPr>
    </w:p>
    <w:p w14:paraId="27FCFC29">
      <w:pPr>
        <w:pageBreakBefore w:val="0"/>
        <w:widowControl w:val="0"/>
        <w:wordWrap/>
        <w:overflowPunct/>
        <w:topLinePunct w:val="0"/>
        <w:bidi w:val="0"/>
        <w:spacing w:line="251" w:lineRule="auto"/>
        <w:rPr>
          <w:color w:val="auto"/>
          <w:highlight w:val="none"/>
          <w:lang w:eastAsia="zh-CN"/>
        </w:rPr>
      </w:pPr>
    </w:p>
    <w:p w14:paraId="2F68A567">
      <w:pPr>
        <w:pStyle w:val="8"/>
        <w:pageBreakBefore w:val="0"/>
        <w:widowControl w:val="0"/>
        <w:wordWrap/>
        <w:overflowPunct/>
        <w:topLinePunct w:val="0"/>
        <w:bidi w:val="0"/>
        <w:rPr>
          <w:color w:val="auto"/>
          <w:highlight w:val="none"/>
          <w:lang w:eastAsia="zh-CN"/>
        </w:rPr>
      </w:pPr>
    </w:p>
    <w:p w14:paraId="5EC808F6">
      <w:pPr>
        <w:pStyle w:val="8"/>
        <w:pageBreakBefore w:val="0"/>
        <w:widowControl w:val="0"/>
        <w:wordWrap/>
        <w:overflowPunct/>
        <w:topLinePunct w:val="0"/>
        <w:bidi w:val="0"/>
        <w:rPr>
          <w:color w:val="auto"/>
          <w:highlight w:val="none"/>
          <w:lang w:eastAsia="zh-CN"/>
        </w:rPr>
      </w:pPr>
    </w:p>
    <w:p w14:paraId="6693D236">
      <w:pPr>
        <w:pStyle w:val="8"/>
        <w:pageBreakBefore w:val="0"/>
        <w:widowControl w:val="0"/>
        <w:wordWrap/>
        <w:overflowPunct/>
        <w:topLinePunct w:val="0"/>
        <w:bidi w:val="0"/>
        <w:rPr>
          <w:color w:val="auto"/>
          <w:highlight w:val="none"/>
          <w:lang w:eastAsia="zh-CN"/>
        </w:rPr>
      </w:pPr>
    </w:p>
    <w:p w14:paraId="66729053">
      <w:pPr>
        <w:pStyle w:val="8"/>
        <w:pageBreakBefore w:val="0"/>
        <w:widowControl w:val="0"/>
        <w:wordWrap/>
        <w:overflowPunct/>
        <w:topLinePunct w:val="0"/>
        <w:bidi w:val="0"/>
        <w:rPr>
          <w:color w:val="auto"/>
          <w:highlight w:val="none"/>
          <w:lang w:eastAsia="zh-CN"/>
        </w:rPr>
      </w:pPr>
    </w:p>
    <w:p w14:paraId="2A1F08C5">
      <w:pPr>
        <w:pageBreakBefore w:val="0"/>
        <w:widowControl w:val="0"/>
        <w:wordWrap/>
        <w:overflowPunct/>
        <w:topLinePunct w:val="0"/>
        <w:bidi w:val="0"/>
        <w:spacing w:line="251" w:lineRule="auto"/>
        <w:rPr>
          <w:color w:val="auto"/>
          <w:highlight w:val="none"/>
          <w:lang w:eastAsia="zh-CN"/>
        </w:rPr>
      </w:pPr>
    </w:p>
    <w:p w14:paraId="33C03A67">
      <w:pPr>
        <w:pageBreakBefore w:val="0"/>
        <w:widowControl w:val="0"/>
        <w:wordWrap/>
        <w:overflowPunct/>
        <w:topLinePunct w:val="0"/>
        <w:bidi w:val="0"/>
        <w:spacing w:line="251" w:lineRule="auto"/>
        <w:rPr>
          <w:color w:val="auto"/>
          <w:highlight w:val="none"/>
          <w:lang w:eastAsia="zh-CN"/>
        </w:rPr>
      </w:pPr>
    </w:p>
    <w:p w14:paraId="2F32D561">
      <w:pPr>
        <w:pageBreakBefore w:val="0"/>
        <w:widowControl w:val="0"/>
        <w:wordWrap/>
        <w:overflowPunct/>
        <w:topLinePunct w:val="0"/>
        <w:bidi w:val="0"/>
        <w:spacing w:before="101" w:line="614" w:lineRule="exact"/>
        <w:jc w:val="center"/>
        <w:rPr>
          <w:rFonts w:ascii="宋体" w:hAnsi="宋体" w:eastAsia="宋体" w:cs="宋体"/>
          <w:color w:val="auto"/>
          <w:sz w:val="28"/>
          <w:szCs w:val="28"/>
          <w:highlight w:val="none"/>
          <w:lang w:eastAsia="zh-CN"/>
        </w:rPr>
      </w:pPr>
      <w:r>
        <w:rPr>
          <w:rFonts w:hint="eastAsia" w:ascii="宋体" w:hAnsi="宋体" w:eastAsia="宋体" w:cs="宋体"/>
          <w:color w:val="auto"/>
          <w:position w:val="23"/>
          <w:sz w:val="31"/>
          <w:szCs w:val="31"/>
          <w:highlight w:val="none"/>
          <w:lang w:eastAsia="zh-CN"/>
          <w14:textOutline w14:w="5791" w14:cap="sq" w14:cmpd="sng" w14:algn="ctr">
            <w14:solidFill>
              <w14:srgbClr w14:val="000000"/>
            </w14:solidFill>
            <w14:prstDash w14:val="solid"/>
            <w14:bevel/>
          </w14:textOutline>
        </w:rPr>
        <w:t>吉安城投建设监理有限公司</w:t>
      </w:r>
    </w:p>
    <w:p w14:paraId="776AC0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r>
        <w:rPr>
          <w:rFonts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江西</w:t>
      </w:r>
      <w:r>
        <w:rPr>
          <w:rFonts w:hint="eastAsia" w:ascii="宋体" w:hAnsi="宋体" w:eastAsia="宋体" w:cs="宋体"/>
          <w:color w:val="auto"/>
          <w:spacing w:val="-16"/>
          <w:sz w:val="28"/>
          <w:szCs w:val="28"/>
          <w:highlight w:val="none"/>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88"/>
          <w:sz w:val="28"/>
          <w:szCs w:val="28"/>
          <w:highlight w:val="none"/>
          <w:lang w:val="en-US" w:eastAsia="zh-CN"/>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吉安</w:t>
      </w:r>
    </w:p>
    <w:p w14:paraId="1C75232C">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07"/>
        <w:textAlignment w:val="baseline"/>
        <w:outlineLvl w:val="1"/>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sectPr>
          <w:pgSz w:w="11906" w:h="16839"/>
          <w:pgMar w:top="1440" w:right="1800" w:bottom="1440" w:left="1800" w:header="0" w:footer="0" w:gutter="0"/>
          <w:cols w:space="720" w:num="1"/>
        </w:sectPr>
      </w:pPr>
    </w:p>
    <w:sdt>
      <w:sdtPr>
        <w:rPr>
          <w:rFonts w:ascii="宋体" w:hAnsi="宋体" w:eastAsia="宋体" w:cs="Arial"/>
          <w:b/>
          <w:bCs/>
          <w:snapToGrid w:val="0"/>
          <w:color w:val="000000"/>
          <w:sz w:val="21"/>
          <w:szCs w:val="21"/>
          <w:highlight w:val="none"/>
          <w:lang w:val="en-US" w:eastAsia="en-US" w:bidi="ar-SA"/>
        </w:rPr>
        <w:id w:val="147482209"/>
        <w15:color w:val="DBDBDB"/>
        <w:docPartObj>
          <w:docPartGallery w:val="Table of Contents"/>
          <w:docPartUnique/>
        </w:docPartObj>
      </w:sdtPr>
      <w:sdtEndPr>
        <w:rPr>
          <w:rFonts w:ascii="宋体" w:hAnsi="宋体" w:eastAsia="宋体" w:cs="宋体"/>
          <w:b/>
          <w:bCs/>
          <w:snapToGrid w:val="0"/>
          <w:color w:val="auto"/>
          <w:spacing w:val="8"/>
          <w:sz w:val="21"/>
          <w:szCs w:val="30"/>
          <w:highlight w:val="none"/>
          <w:lang w:val="en-US" w:eastAsia="en-US" w:bidi="ar-SA"/>
          <w14:textOutline w14:w="5791" w14:cap="sq" w14:cmpd="sng" w14:algn="ctr">
            <w14:solidFill>
              <w14:srgbClr w14:val="000000"/>
            </w14:solidFill>
            <w14:prstDash w14:val="solid"/>
            <w14:bevel/>
          </w14:textOutline>
        </w:rPr>
      </w:sdtEndPr>
      <w:sdtContent>
        <w:p w14:paraId="07A87055">
          <w:pPr>
            <w:spacing w:before="0" w:beforeLines="0" w:after="0" w:afterLines="0" w:line="240" w:lineRule="auto"/>
            <w:ind w:left="0" w:leftChars="0" w:right="0" w:rightChars="0" w:firstLine="0" w:firstLineChars="0"/>
            <w:jc w:val="center"/>
            <w:rPr>
              <w:b/>
              <w:bCs/>
              <w:sz w:val="24"/>
              <w:szCs w:val="24"/>
              <w:highlight w:val="none"/>
            </w:rPr>
          </w:pPr>
          <w:bookmarkStart w:id="6" w:name="_Toc27337"/>
          <w:r>
            <w:rPr>
              <w:rFonts w:ascii="宋体" w:hAnsi="宋体" w:eastAsia="宋体"/>
              <w:b/>
              <w:bCs/>
              <w:sz w:val="24"/>
              <w:szCs w:val="24"/>
              <w:highlight w:val="none"/>
            </w:rPr>
            <w:t>目录</w:t>
          </w:r>
        </w:p>
        <w:p w14:paraId="3DB73704">
          <w:pPr>
            <w:pStyle w:val="12"/>
            <w:tabs>
              <w:tab w:val="right" w:leader="dot" w:pos="8306"/>
            </w:tabs>
            <w:rPr>
              <w:highlight w:val="none"/>
            </w:rPr>
          </w:pP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fldChar w:fldCharType="begin"/>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instrText xml:space="preserve">TOC \o "1-2" \h \u </w:instrTex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fldChar w:fldCharType="separate"/>
          </w:r>
        </w:p>
        <w:p w14:paraId="7E577C9C">
          <w:pPr>
            <w:pStyle w:val="12"/>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_Toc3546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t>第一章</w:t>
          </w:r>
          <w:r>
            <w:rPr>
              <w:rFonts w:hint="eastAsia" w:ascii="宋体" w:hAnsi="宋体" w:eastAsia="宋体" w:cs="宋体"/>
              <w:b w:val="0"/>
              <w:bCs w:val="0"/>
              <w:spacing w:val="8"/>
              <w:szCs w:val="30"/>
              <w:highlight w:val="none"/>
            </w:rPr>
            <w:t xml:space="preserve">  </w:t>
          </w:r>
          <w:r>
            <w:rPr>
              <w:rFonts w:hint="eastAsia" w:ascii="宋体" w:hAnsi="宋体" w:eastAsia="宋体" w:cs="宋体"/>
              <w:b w:val="0"/>
              <w:bCs w:val="0"/>
              <w:spacing w:val="8"/>
              <w:szCs w:val="30"/>
              <w:highlight w:val="none"/>
              <w:lang w:val="en-US" w:eastAsia="zh-CN"/>
              <w14:textOutline w14:w="5791" w14:cap="sq" w14:cmpd="sng" w14:algn="ctr">
                <w14:solidFill>
                  <w14:srgbClr w14:val="000000"/>
                </w14:solidFill>
                <w14:prstDash w14:val="solid"/>
                <w14:bevel/>
              </w14:textOutline>
            </w:rPr>
            <w:t>磋商</w: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t>邀请</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_Toc3546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BCFC44F">
          <w:pPr>
            <w:pStyle w:val="12"/>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_Toc27738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8"/>
              <w:szCs w:val="31"/>
              <w:highlight w:val="none"/>
              <w:lang w:eastAsia="zh-CN"/>
              <w14:textOutline w14:w="5791" w14:cap="sq" w14:cmpd="sng" w14:algn="ctr">
                <w14:solidFill>
                  <w14:srgbClr w14:val="000000"/>
                </w14:solidFill>
                <w14:prstDash w14:val="solid"/>
                <w14:bevel/>
              </w14:textOutline>
            </w:rPr>
            <w:t>第二章</w:t>
          </w:r>
          <w:r>
            <w:rPr>
              <w:rFonts w:hint="eastAsia" w:ascii="宋体" w:hAnsi="宋体" w:eastAsia="宋体" w:cs="宋体"/>
              <w:b w:val="0"/>
              <w:bCs w:val="0"/>
              <w:spacing w:val="8"/>
              <w:szCs w:val="31"/>
              <w:highlight w:val="none"/>
              <w:lang w:eastAsia="zh-CN"/>
            </w:rPr>
            <w:t xml:space="preserve">  </w:t>
          </w:r>
          <w:r>
            <w:rPr>
              <w:rFonts w:hint="eastAsia" w:ascii="宋体" w:hAnsi="宋体" w:eastAsia="宋体" w:cs="宋体"/>
              <w:b w:val="0"/>
              <w:bCs w:val="0"/>
              <w:spacing w:val="8"/>
              <w:szCs w:val="31"/>
              <w:highlight w:val="none"/>
              <w:lang w:val="en-US" w:eastAsia="zh-CN"/>
              <w14:textOutline w14:w="5791" w14:cap="sq" w14:cmpd="sng" w14:algn="ctr">
                <w14:solidFill>
                  <w14:srgbClr w14:val="000000"/>
                </w14:solidFill>
                <w14:prstDash w14:val="solid"/>
                <w14:bevel/>
              </w14:textOutline>
            </w:rPr>
            <w:t>供应商</w:t>
          </w:r>
          <w:r>
            <w:rPr>
              <w:rFonts w:hint="eastAsia" w:ascii="宋体" w:hAnsi="宋体" w:eastAsia="宋体" w:cs="宋体"/>
              <w:b w:val="0"/>
              <w:bCs w:val="0"/>
              <w:spacing w:val="8"/>
              <w:szCs w:val="31"/>
              <w:highlight w:val="none"/>
              <w:lang w:eastAsia="zh-CN"/>
              <w14:textOutline w14:w="5791" w14:cap="sq" w14:cmpd="sng" w14:algn="ctr">
                <w14:solidFill>
                  <w14:srgbClr w14:val="000000"/>
                </w14:solidFill>
                <w14:prstDash w14:val="solid"/>
                <w14:bevel/>
              </w14:textOutline>
            </w:rPr>
            <w:t>须知</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_Toc27738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D6120F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_Toc4251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1"/>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b w:val="0"/>
              <w:bCs w:val="0"/>
              <w:spacing w:val="-1"/>
              <w:szCs w:val="24"/>
              <w:highlight w:val="none"/>
              <w:lang w:val="en-US" w:eastAsia="zh-CN"/>
              <w14:textOutline w14:w="4356" w14:cap="sq" w14:cmpd="sng" w14:algn="ctr">
                <w14:solidFill>
                  <w14:srgbClr w14:val="000000"/>
                </w14:solidFill>
                <w14:prstDash w14:val="solid"/>
                <w14:bevel/>
              </w14:textOutline>
            </w:rPr>
            <w:t>供应商</w:t>
          </w:r>
          <w:r>
            <w:rPr>
              <w:rFonts w:hint="eastAsia" w:ascii="宋体" w:hAnsi="宋体" w:eastAsia="宋体" w:cs="宋体"/>
              <w:b w:val="0"/>
              <w:bCs w:val="0"/>
              <w:spacing w:val="-1"/>
              <w:szCs w:val="24"/>
              <w:highlight w:val="none"/>
              <w14:textOutline w14:w="4356" w14:cap="sq" w14:cmpd="sng" w14:algn="ctr">
                <w14:solidFill>
                  <w14:srgbClr w14:val="000000"/>
                </w14:solidFill>
                <w14:prstDash w14:val="solid"/>
                <w14:bevel/>
              </w14:textOutline>
            </w:rPr>
            <w:t>须知前附表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_Toc4251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480954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_Toc7739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10"/>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b w:val="0"/>
              <w:bCs w:val="0"/>
              <w:spacing w:val="-92"/>
              <w:szCs w:val="24"/>
              <w:highlight w:val="none"/>
              <w:lang w:eastAsia="zh-CN"/>
            </w:rPr>
            <w:t xml:space="preserve"> </w:t>
          </w:r>
          <w:r>
            <w:rPr>
              <w:rFonts w:hint="eastAsia" w:ascii="宋体" w:hAnsi="宋体" w:eastAsia="宋体" w:cs="宋体"/>
              <w:b w:val="0"/>
              <w:bCs w:val="0"/>
              <w:spacing w:val="-10"/>
              <w:szCs w:val="24"/>
              <w:highlight w:val="none"/>
              <w:lang w:eastAsia="zh-CN"/>
              <w14:textOutline w14:w="4356" w14:cap="sq" w14:cmpd="sng" w14:algn="ctr">
                <w14:solidFill>
                  <w14:srgbClr w14:val="000000"/>
                </w14:solidFill>
                <w14:prstDash w14:val="solid"/>
                <w14:bevel/>
              </w14:textOutline>
            </w:rPr>
            <w:t>、磋商文件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_Toc7739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035672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_Toc10337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1.适用范围</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_Toc10337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BF4E0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_Toc19016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2.定义</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_Toc19016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CAD4CDA">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_Toc22328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3.合格供应商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_Toc22328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D37B45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_Toc32108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费用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_Toc32108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9</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6B166E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_Toc29944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5.供应商代表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_Toc29944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BF762AD">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_Toc7244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6.磋商文件的构成</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_Toc7244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4B51FB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_Toc22297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7.供应商应当提交的资格、资信证明文件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_Toc22297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2C900CA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_Toc17474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为落实政府采购政策，采购标的需满足的要求，以及供应商须提供的证明材料</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_Toc17474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D4954E9">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_Toc21581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采购需求标准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_Toc21581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7C891E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_Toc19723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10.磋商文件的修改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_Toc19723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82804E2">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_Toc14634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三</w:t>
          </w:r>
          <w:r>
            <w:rPr>
              <w:rFonts w:hint="eastAsia" w:ascii="宋体" w:hAnsi="宋体" w:eastAsia="宋体" w:cs="宋体"/>
              <w:b w:val="0"/>
              <w:bCs w:val="0"/>
              <w:spacing w:val="0"/>
              <w:position w:val="0"/>
              <w:szCs w:val="24"/>
              <w:highlight w:val="none"/>
              <w:lang w:eastAsia="zh-CN"/>
            </w:rPr>
            <w:t xml:space="preserve"> </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响应文件的编制与递交</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_Toc14634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767B67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_Toc2343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11.响应文件的编制</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_Toc2343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82A682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_Toc4613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12.响应文件计量单位</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_Toc4613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0F1D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_Toc17816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13</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.响应文件的构成</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_Toc17816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4AE2353">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_Toc22088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14</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报价</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_Toc22088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15</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86B26D9">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_Toc8235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5</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保证金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_Toc8235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16</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0E9FCC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_Toc5146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有效期</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_Toc5146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16</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F8ADF6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_Toc13110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7</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.响应文件的递交</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_Toc13110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17</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5F2A1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_Toc22042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.分包的规定</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_Toc22042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4F3420D8">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_Toc332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四、磋商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_Toc332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BED9ACA">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_Toc18753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.磋商组织</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_Toc18753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65D1446">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_Toc29528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20.磋商小组</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_Toc29528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56D464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_Toc31585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21.磋商程序</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_Toc31585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18</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1385D2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_Toc27590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22.与磋商小组的接触</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_Toc27590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20</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C5D17C1">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_Toc28360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23.终止磋商采购活动的情形</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_Toc28360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6E43D35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_Toc24607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五、</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意外情况的情形和处理（本项目不适用）</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_Toc24607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8BBDAA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_Toc5248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六、确定成交供应商和签订</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合同</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_Toc5248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831295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_Toc15658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26.推荐成交候选供应商方法</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_Toc15658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21</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26A68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_Toc28702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7</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确定成交供应商</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_Toc28702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D26FA7">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_Toc6238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8</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成交</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结果公告</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_Toc6238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A98F9FE">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_Toc17529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29</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.履约保证金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_Toc17529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06DE092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_Toc22789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30</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.签订合同</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_Toc22789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22</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50AC377C">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_Toc31348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七</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、询问和质疑</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_Toc31348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23</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B71E3F0">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_Toc15324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1</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.询问</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_Toc15324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23</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2B6424F5">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_Toc85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八</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其他事项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_Toc85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6741B50">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_Toc20630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w:t>
          </w:r>
          <w:r>
            <w:rPr>
              <w:rFonts w:hint="eastAsia" w:ascii="宋体" w:hAnsi="宋体" w:eastAsia="宋体" w:cs="宋体"/>
              <w:b w:val="0"/>
              <w:bCs w:val="0"/>
              <w:spacing w:val="0"/>
              <w:position w:val="0"/>
              <w:szCs w:val="24"/>
              <w:highlight w:val="none"/>
              <w:lang w:eastAsia="zh-CN"/>
              <w14:textOutline w14:w="4356" w14:cap="sq" w14:cmpd="sng" w14:algn="ctr">
                <w14:solidFill>
                  <w14:srgbClr w14:val="000000"/>
                </w14:solidFill>
                <w14:prstDash w14:val="solid"/>
                <w14:bevel/>
              </w14:textOutline>
            </w:rPr>
            <w:t>.采购代理服务费</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_Toc20630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19A1A634">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_Toc1417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34.适用法律</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_Toc1417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7D519B9F">
          <w:pPr>
            <w:pStyle w:val="14"/>
            <w:tabs>
              <w:tab w:val="right" w:leader="dot" w:pos="8306"/>
            </w:tabs>
            <w:rPr>
              <w:rFonts w:hint="eastAsia" w:ascii="宋体" w:hAnsi="宋体" w:eastAsia="宋体" w:cs="宋体"/>
              <w:b w:val="0"/>
              <w:bCs w:val="0"/>
              <w:highlight w:val="none"/>
            </w:rPr>
          </w:pP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begin"/>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instrText xml:space="preserve"> HYPERLINK \l _Toc11193 </w:instrText>
          </w:r>
          <w:r>
            <w:rPr>
              <w:rFonts w:hint="eastAsia" w:ascii="宋体" w:hAnsi="宋体" w:eastAsia="宋体" w:cs="宋体"/>
              <w:b w:val="0"/>
              <w:bCs w:val="0"/>
              <w:spacing w:val="8"/>
              <w:szCs w:val="30"/>
              <w:highlight w:val="none"/>
              <w14:textOutline w14:w="5791" w14:cap="sq" w14:cmpd="sng" w14:algn="ctr">
                <w14:solidFill>
                  <w14:srgbClr w14:val="000000"/>
                </w14:solidFill>
                <w14:prstDash w14:val="solid"/>
                <w14:bevel/>
              </w14:textOutline>
            </w:rPr>
            <w:fldChar w:fldCharType="separate"/>
          </w:r>
          <w:r>
            <w:rPr>
              <w:rFonts w:hint="eastAsia" w:ascii="宋体" w:hAnsi="宋体" w:eastAsia="宋体" w:cs="宋体"/>
              <w:b w:val="0"/>
              <w:bCs w:val="0"/>
              <w:spacing w:val="0"/>
              <w:position w:val="0"/>
              <w:szCs w:val="24"/>
              <w:highlight w:val="none"/>
              <w:lang w:val="en-US" w:eastAsia="zh-CN"/>
              <w14:textOutline w14:w="4356" w14:cap="sq" w14:cmpd="sng" w14:algn="ctr">
                <w14:solidFill>
                  <w14:srgbClr w14:val="000000"/>
                </w14:solidFill>
                <w14:prstDash w14:val="solid"/>
                <w14:bevel/>
              </w14:textOutline>
            </w:rPr>
            <w:t>35.解释权</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_Toc11193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24</w:t>
          </w:r>
          <w:r>
            <w:rPr>
              <w:rFonts w:hint="eastAsia" w:ascii="宋体" w:hAnsi="宋体" w:eastAsia="宋体" w:cs="宋体"/>
              <w:b w:val="0"/>
              <w:bCs w:val="0"/>
              <w:highlight w:val="none"/>
            </w:rPr>
            <w:fldChar w:fldCharType="end"/>
          </w:r>
          <w:r>
            <w:rPr>
              <w:rFonts w:hint="eastAsia" w:ascii="宋体" w:hAnsi="宋体" w:eastAsia="宋体" w:cs="宋体"/>
              <w:b w:val="0"/>
              <w:bCs w:val="0"/>
              <w:color w:val="auto"/>
              <w:spacing w:val="8"/>
              <w:szCs w:val="30"/>
              <w:highlight w:val="none"/>
              <w14:textOutline w14:w="5791" w14:cap="sq" w14:cmpd="sng" w14:algn="ctr">
                <w14:solidFill>
                  <w14:srgbClr w14:val="000000"/>
                </w14:solidFill>
                <w14:prstDash w14:val="solid"/>
                <w14:bevel/>
              </w14:textOutline>
            </w:rPr>
            <w:fldChar w:fldCharType="end"/>
          </w:r>
        </w:p>
        <w:p w14:paraId="3BA275AD">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_Toc1921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第三章 拟签订的合同文本（参考格式）</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_Toc1921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25</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4535D2B6">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_Toc28886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第四章 响应文件格式</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_Toc28886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27</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747E5731">
          <w:pPr>
            <w:pStyle w:val="12"/>
            <w:tabs>
              <w:tab w:val="right" w:leader="dot" w:pos="8306"/>
            </w:tabs>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_Toc1570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第五章 采购需求</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_Toc1570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55</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7D8DFA55">
          <w:pPr>
            <w:pStyle w:val="12"/>
            <w:tabs>
              <w:tab w:val="right" w:leader="dot" w:pos="8306"/>
            </w:tabs>
            <w:rPr>
              <w:rFonts w:hint="eastAsia" w:ascii="黑体" w:hAnsi="黑体" w:eastAsia="黑体" w:cs="黑体"/>
              <w:b w:val="0"/>
              <w:bCs w:val="0"/>
              <w:highlight w:val="none"/>
            </w:rPr>
          </w:pP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HYPERLINK \l _Toc29363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第六章 评审标准</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ab/>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begin"/>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instrText xml:space="preserve"> PAGEREF _Toc29363 \h </w:instrTex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separate"/>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t>60</w:t>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r>
            <w:rPr>
              <w:rFonts w:hint="eastAsia" w:ascii="宋体" w:hAnsi="宋体" w:eastAsia="宋体" w:cs="宋体"/>
              <w:b w:val="0"/>
              <w:bCs w:val="0"/>
              <w:snapToGrid w:val="0"/>
              <w:color w:val="000000"/>
              <w:spacing w:val="0"/>
              <w:position w:val="0"/>
              <w:sz w:val="21"/>
              <w:szCs w:val="24"/>
              <w:highlight w:val="none"/>
              <w:lang w:val="en-US" w:eastAsia="zh-CN" w:bidi="ar-SA"/>
              <w14:textOutline w14:w="4356" w14:cap="sq" w14:cmpd="sng" w14:algn="ctr">
                <w14:solidFill>
                  <w14:srgbClr w14:val="000000"/>
                </w14:solidFill>
                <w14:prstDash w14:val="solid"/>
                <w14:bevel/>
              </w14:textOutline>
            </w:rPr>
            <w:fldChar w:fldCharType="end"/>
          </w:r>
        </w:p>
        <w:p w14:paraId="1E3DE3E2">
          <w:pPr>
            <w:pStyle w:val="14"/>
            <w:tabs>
              <w:tab w:val="right" w:leader="dot" w:pos="8306"/>
            </w:tabs>
            <w:ind w:left="0" w:leftChars="0" w:firstLine="0" w:firstLineChars="0"/>
            <w:rPr>
              <w:rFonts w:hint="eastAsia" w:ascii="宋体" w:hAnsi="宋体" w:eastAsia="宋体" w:cs="宋体"/>
              <w:b w:val="0"/>
              <w:bCs w:val="0"/>
              <w:highlight w:val="none"/>
            </w:rPr>
          </w:pPr>
        </w:p>
        <w:p w14:paraId="0CE2D551">
          <w:pPr>
            <w:pageBreakBefore w:val="0"/>
            <w:widowControl w:val="0"/>
            <w:wordWrap/>
            <w:overflowPunct/>
            <w:topLinePunct w:val="0"/>
            <w:bidi w:val="0"/>
            <w:spacing w:before="63" w:line="224" w:lineRule="auto"/>
            <w:ind w:left="3613" w:leftChars="0" w:hanging="3613" w:hangingChars="1599"/>
            <w:jc w:val="center"/>
            <w:outlineLvl w:val="0"/>
            <w:rPr>
              <w:rFonts w:ascii="宋体" w:hAnsi="宋体" w:eastAsia="宋体" w:cs="宋体"/>
              <w:snapToGrid w:val="0"/>
              <w:color w:val="auto"/>
              <w:spacing w:val="8"/>
              <w:sz w:val="21"/>
              <w:szCs w:val="30"/>
              <w:highlight w:val="none"/>
              <w:lang w:val="en-US" w:eastAsia="en-US" w:bidi="ar-SA"/>
              <w14:textOutline w14:w="5791" w14:cap="sq" w14:cmpd="sng" w14:algn="ctr">
                <w14:solidFill>
                  <w14:srgbClr w14:val="000000"/>
                </w14:solidFill>
                <w14:prstDash w14:val="solid"/>
                <w14:bevel/>
              </w14:textOutline>
            </w:rPr>
          </w:pPr>
          <w:r>
            <w:rPr>
              <w:rFonts w:ascii="宋体" w:hAnsi="宋体" w:eastAsia="宋体" w:cs="宋体"/>
              <w:color w:val="auto"/>
              <w:spacing w:val="8"/>
              <w:szCs w:val="30"/>
              <w:highlight w:val="none"/>
              <w14:textOutline w14:w="5791" w14:cap="sq" w14:cmpd="sng" w14:algn="ctr">
                <w14:solidFill>
                  <w14:srgbClr w14:val="000000"/>
                </w14:solidFill>
                <w14:prstDash w14:val="solid"/>
                <w14:bevel/>
              </w14:textOutline>
            </w:rPr>
            <w:fldChar w:fldCharType="end"/>
          </w:r>
        </w:p>
      </w:sdtContent>
    </w:sdt>
    <w:p w14:paraId="6AB08FBE">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z w:val="30"/>
          <w:szCs w:val="30"/>
          <w:highlight w:val="none"/>
        </w:rPr>
      </w:pPr>
      <w:bookmarkStart w:id="7" w:name="_Toc3546"/>
      <w:r>
        <w:rPr>
          <w:color w:val="auto"/>
          <w:sz w:val="30"/>
          <w:szCs w:val="30"/>
          <w:highlight w:val="none"/>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sz w:val="30"/>
          <w:szCs w:val="30"/>
          <w:highlight w:val="none"/>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第一章</w:t>
      </w:r>
      <w:r>
        <w:rPr>
          <w:rFonts w:ascii="宋体" w:hAnsi="宋体" w:eastAsia="宋体" w:cs="宋体"/>
          <w:color w:val="auto"/>
          <w:spacing w:val="8"/>
          <w:sz w:val="30"/>
          <w:szCs w:val="30"/>
          <w:highlight w:val="none"/>
        </w:rPr>
        <w:t xml:space="preserve">  </w:t>
      </w:r>
      <w:r>
        <w:rPr>
          <w:rFonts w:hint="eastAsia" w:ascii="宋体" w:hAnsi="宋体" w:eastAsia="宋体" w:cs="宋体"/>
          <w:color w:val="auto"/>
          <w:spacing w:val="8"/>
          <w:sz w:val="30"/>
          <w:szCs w:val="30"/>
          <w:highlight w:val="none"/>
          <w:lang w:val="en-US" w:eastAsia="zh-CN"/>
          <w14:textOutline w14:w="5791" w14:cap="sq" w14:cmpd="sng" w14:algn="ctr">
            <w14:solidFill>
              <w14:srgbClr w14:val="000000"/>
            </w14:solidFill>
            <w14:prstDash w14:val="solid"/>
            <w14:bevel/>
          </w14:textOutline>
        </w:rPr>
        <w:t>磋商</w:t>
      </w:r>
      <w:r>
        <w:rPr>
          <w:rFonts w:ascii="宋体" w:hAnsi="宋体" w:eastAsia="宋体" w:cs="宋体"/>
          <w:color w:val="auto"/>
          <w:spacing w:val="8"/>
          <w:sz w:val="30"/>
          <w:szCs w:val="30"/>
          <w:highlight w:val="none"/>
          <w14:textOutline w14:w="5791" w14:cap="sq" w14:cmpd="sng" w14:algn="ctr">
            <w14:solidFill>
              <w14:srgbClr w14:val="000000"/>
            </w14:solidFill>
            <w14:prstDash w14:val="solid"/>
            <w14:bevel/>
          </w14:textOutline>
        </w:rPr>
        <w:t>邀请</w:t>
      </w:r>
      <w:bookmarkEnd w:id="6"/>
      <w:bookmarkEnd w:id="7"/>
    </w:p>
    <w:p w14:paraId="6A0DD173">
      <w:pPr>
        <w:keepNext w:val="0"/>
        <w:keepLines w:val="0"/>
        <w:pageBreakBefore w:val="0"/>
        <w:widowControl w:val="0"/>
        <w:kinsoku w:val="0"/>
        <w:wordWrap/>
        <w:overflowPunct/>
        <w:topLinePunct w:val="0"/>
        <w:autoSpaceDE w:val="0"/>
        <w:autoSpaceDN w:val="0"/>
        <w:bidi w:val="0"/>
        <w:adjustRightInd w:val="0"/>
        <w:snapToGrid w:val="0"/>
        <w:spacing w:before="90" w:line="360" w:lineRule="auto"/>
        <w:textAlignment w:val="baseline"/>
        <w:rPr>
          <w:color w:val="auto"/>
          <w:highlight w:val="none"/>
        </w:rPr>
      </w:pPr>
    </w:p>
    <w:p w14:paraId="5B5040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textAlignment w:val="baseline"/>
        <w:rPr>
          <w:color w:val="auto"/>
          <w:spacing w:val="0"/>
          <w:position w:val="0"/>
          <w:highlight w:val="none"/>
          <w:lang w:eastAsia="zh-CN"/>
        </w:rPr>
      </w:pPr>
      <w:r>
        <w:rPr>
          <w:rFonts w:hint="eastAsia" w:ascii="宋体" w:hAnsi="宋体" w:eastAsia="宋体" w:cs="宋体"/>
          <w:color w:val="auto"/>
          <w:spacing w:val="0"/>
          <w:kern w:val="0"/>
          <w:position w:val="0"/>
          <w:sz w:val="24"/>
          <w:szCs w:val="24"/>
          <w:highlight w:val="none"/>
          <w:u w:val="single"/>
          <w:shd w:val="clear" w:color="auto" w:fill="FFFFFF"/>
          <w:lang w:val="en-US" w:eastAsia="zh-CN"/>
        </w:rPr>
        <w:t xml:space="preserve">井冈山农产品区域公用品牌（高铁列车冠名）宣传推广服务采购项目 </w:t>
      </w:r>
      <w:r>
        <w:rPr>
          <w:rFonts w:hint="eastAsia" w:ascii="宋体" w:hAnsi="宋体" w:eastAsia="宋体" w:cs="宋体"/>
          <w:color w:val="auto"/>
          <w:spacing w:val="0"/>
          <w:kern w:val="0"/>
          <w:position w:val="0"/>
          <w:sz w:val="24"/>
          <w:szCs w:val="24"/>
          <w:highlight w:val="none"/>
          <w:u w:val="none"/>
          <w:shd w:val="clear" w:color="auto" w:fill="FFFFFF"/>
          <w:lang w:val="en-US" w:eastAsia="zh-CN"/>
        </w:rPr>
        <w:t>项目</w:t>
      </w:r>
      <w:r>
        <w:rPr>
          <w:rFonts w:hint="eastAsia" w:ascii="宋体" w:hAnsi="宋体" w:eastAsia="宋体" w:cs="宋体"/>
          <w:color w:val="auto"/>
          <w:spacing w:val="0"/>
          <w:kern w:val="0"/>
          <w:position w:val="0"/>
          <w:sz w:val="24"/>
          <w:szCs w:val="24"/>
          <w:highlight w:val="none"/>
          <w:shd w:val="clear" w:color="auto" w:fill="FFFFFF"/>
        </w:rPr>
        <w:t>的</w:t>
      </w:r>
      <w:r>
        <w:rPr>
          <w:rFonts w:hint="eastAsia" w:ascii="宋体" w:hAnsi="宋体" w:eastAsia="宋体" w:cs="宋体"/>
          <w:color w:val="auto"/>
          <w:spacing w:val="0"/>
          <w:kern w:val="0"/>
          <w:position w:val="0"/>
          <w:sz w:val="24"/>
          <w:szCs w:val="24"/>
          <w:highlight w:val="none"/>
        </w:rPr>
        <w:t>潜在</w:t>
      </w:r>
      <w:r>
        <w:rPr>
          <w:rFonts w:hint="eastAsia" w:ascii="宋体" w:hAnsi="宋体" w:eastAsia="宋体" w:cs="宋体"/>
          <w:color w:val="auto"/>
          <w:spacing w:val="0"/>
          <w:kern w:val="0"/>
          <w:position w:val="0"/>
          <w:sz w:val="24"/>
          <w:szCs w:val="24"/>
          <w:highlight w:val="none"/>
          <w:lang w:eastAsia="zh-CN"/>
        </w:rPr>
        <w:t>供应商</w:t>
      </w:r>
      <w:r>
        <w:rPr>
          <w:rFonts w:hint="eastAsia" w:ascii="宋体" w:hAnsi="宋体" w:eastAsia="宋体" w:cs="宋体"/>
          <w:color w:val="auto"/>
          <w:spacing w:val="0"/>
          <w:kern w:val="0"/>
          <w:position w:val="0"/>
          <w:sz w:val="24"/>
          <w:szCs w:val="24"/>
          <w:highlight w:val="none"/>
        </w:rPr>
        <w:t>应在</w:t>
      </w:r>
      <w:r>
        <w:rPr>
          <w:rFonts w:hint="eastAsia" w:ascii="宋体" w:eastAsia="宋体" w:cs="宋体"/>
          <w:color w:val="auto"/>
          <w:spacing w:val="0"/>
          <w:kern w:val="0"/>
          <w:position w:val="0"/>
          <w:sz w:val="24"/>
          <w:szCs w:val="24"/>
          <w:highlight w:val="none"/>
          <w:u w:val="none"/>
          <w:lang w:eastAsia="zh-CN"/>
        </w:rPr>
        <w:t>江西省招标投标网（http://www.jxtb.org.cn/）</w:t>
      </w:r>
      <w:r>
        <w:rPr>
          <w:rFonts w:hint="eastAsia" w:ascii="宋体" w:hAnsi="宋体" w:eastAsia="宋体" w:cs="宋体"/>
          <w:color w:val="auto"/>
          <w:spacing w:val="0"/>
          <w:kern w:val="0"/>
          <w:position w:val="0"/>
          <w:sz w:val="24"/>
          <w:szCs w:val="24"/>
          <w:highlight w:val="none"/>
          <w:u w:val="none"/>
          <w:lang w:val="en-US" w:eastAsia="zh-CN"/>
        </w:rPr>
        <w:t>确认并</w:t>
      </w:r>
      <w:r>
        <w:rPr>
          <w:rFonts w:hint="eastAsia" w:ascii="宋体" w:hAnsi="宋体" w:eastAsia="宋体" w:cs="宋体"/>
          <w:color w:val="auto"/>
          <w:spacing w:val="0"/>
          <w:kern w:val="0"/>
          <w:position w:val="0"/>
          <w:sz w:val="24"/>
          <w:szCs w:val="24"/>
          <w:highlight w:val="none"/>
        </w:rPr>
        <w:t>获取</w:t>
      </w:r>
      <w:r>
        <w:rPr>
          <w:rFonts w:hint="eastAsia" w:ascii="宋体" w:hAnsi="宋体" w:eastAsia="宋体" w:cs="宋体"/>
          <w:color w:val="auto"/>
          <w:spacing w:val="0"/>
          <w:kern w:val="0"/>
          <w:position w:val="0"/>
          <w:sz w:val="24"/>
          <w:szCs w:val="24"/>
          <w:highlight w:val="none"/>
          <w:lang w:eastAsia="zh-CN"/>
        </w:rPr>
        <w:t>磋商文件</w:t>
      </w:r>
      <w:r>
        <w:rPr>
          <w:rFonts w:hint="eastAsia" w:ascii="宋体" w:hAnsi="宋体" w:eastAsia="宋体" w:cs="宋体"/>
          <w:color w:val="auto"/>
          <w:spacing w:val="0"/>
          <w:kern w:val="0"/>
          <w:position w:val="0"/>
          <w:sz w:val="24"/>
          <w:szCs w:val="24"/>
          <w:highlight w:val="none"/>
        </w:rPr>
        <w:t>，并于</w:t>
      </w:r>
      <w:r>
        <w:rPr>
          <w:rFonts w:hint="eastAsia" w:ascii="宋体" w:hAnsi="宋体" w:eastAsia="宋体" w:cs="宋体"/>
          <w:color w:val="auto"/>
          <w:spacing w:val="0"/>
          <w:kern w:val="0"/>
          <w:position w:val="0"/>
          <w:sz w:val="24"/>
          <w:szCs w:val="24"/>
          <w:highlight w:val="none"/>
          <w:u w:val="single"/>
          <w:lang w:val="en-US" w:eastAsia="zh-CN"/>
        </w:rPr>
        <w:t xml:space="preserve">  2026   </w:t>
      </w:r>
      <w:r>
        <w:rPr>
          <w:rFonts w:hint="eastAsia" w:ascii="宋体" w:hAnsi="宋体" w:eastAsia="宋体" w:cs="宋体"/>
          <w:color w:val="auto"/>
          <w:spacing w:val="0"/>
          <w:kern w:val="0"/>
          <w:position w:val="0"/>
          <w:sz w:val="24"/>
          <w:szCs w:val="24"/>
          <w:highlight w:val="none"/>
        </w:rPr>
        <w:t>年</w:t>
      </w:r>
      <w:r>
        <w:rPr>
          <w:rFonts w:hint="eastAsia" w:ascii="宋体" w:hAnsi="宋体" w:eastAsia="宋体" w:cs="宋体"/>
          <w:color w:val="auto"/>
          <w:spacing w:val="0"/>
          <w:kern w:val="0"/>
          <w:position w:val="0"/>
          <w:sz w:val="24"/>
          <w:szCs w:val="24"/>
          <w:highlight w:val="none"/>
          <w:u w:val="single"/>
          <w:lang w:val="en-US" w:eastAsia="zh-CN"/>
        </w:rPr>
        <w:t xml:space="preserve">  1   </w:t>
      </w:r>
      <w:r>
        <w:rPr>
          <w:rFonts w:hint="eastAsia" w:ascii="宋体" w:hAnsi="宋体" w:eastAsia="宋体" w:cs="宋体"/>
          <w:color w:val="auto"/>
          <w:spacing w:val="0"/>
          <w:kern w:val="0"/>
          <w:position w:val="0"/>
          <w:sz w:val="24"/>
          <w:szCs w:val="24"/>
          <w:highlight w:val="none"/>
        </w:rPr>
        <w:t>月</w:t>
      </w:r>
      <w:r>
        <w:rPr>
          <w:rFonts w:hint="eastAsia" w:ascii="宋体" w:hAnsi="宋体" w:eastAsia="宋体" w:cs="宋体"/>
          <w:color w:val="auto"/>
          <w:spacing w:val="0"/>
          <w:kern w:val="0"/>
          <w:position w:val="0"/>
          <w:sz w:val="24"/>
          <w:szCs w:val="24"/>
          <w:highlight w:val="none"/>
          <w:u w:val="single"/>
          <w:lang w:val="en-US" w:eastAsia="zh-CN"/>
        </w:rPr>
        <w:t xml:space="preserve">  7  </w:t>
      </w:r>
      <w:r>
        <w:rPr>
          <w:rFonts w:hint="eastAsia" w:ascii="宋体" w:hAnsi="宋体" w:eastAsia="宋体" w:cs="宋体"/>
          <w:color w:val="auto"/>
          <w:spacing w:val="0"/>
          <w:kern w:val="0"/>
          <w:position w:val="0"/>
          <w:sz w:val="24"/>
          <w:szCs w:val="24"/>
          <w:highlight w:val="none"/>
        </w:rPr>
        <w:t>日</w:t>
      </w:r>
      <w:r>
        <w:rPr>
          <w:rFonts w:hint="eastAsia" w:ascii="宋体" w:hAnsi="宋体" w:eastAsia="宋体" w:cs="宋体"/>
          <w:color w:val="auto"/>
          <w:spacing w:val="0"/>
          <w:kern w:val="0"/>
          <w:position w:val="0"/>
          <w:sz w:val="24"/>
          <w:szCs w:val="24"/>
          <w:highlight w:val="none"/>
          <w:u w:val="single"/>
          <w:lang w:val="en-US" w:eastAsia="zh-CN"/>
        </w:rPr>
        <w:t xml:space="preserve">   09  </w:t>
      </w:r>
      <w:r>
        <w:rPr>
          <w:rFonts w:hint="eastAsia" w:ascii="宋体" w:hAnsi="宋体" w:eastAsia="宋体" w:cs="宋体"/>
          <w:color w:val="auto"/>
          <w:spacing w:val="0"/>
          <w:kern w:val="0"/>
          <w:position w:val="0"/>
          <w:sz w:val="24"/>
          <w:szCs w:val="24"/>
          <w:highlight w:val="none"/>
        </w:rPr>
        <w:t>点</w:t>
      </w:r>
      <w:r>
        <w:rPr>
          <w:rFonts w:hint="eastAsia" w:ascii="宋体" w:hAnsi="宋体" w:eastAsia="宋体" w:cs="宋体"/>
          <w:color w:val="auto"/>
          <w:spacing w:val="0"/>
          <w:kern w:val="0"/>
          <w:position w:val="0"/>
          <w:sz w:val="24"/>
          <w:szCs w:val="24"/>
          <w:highlight w:val="none"/>
          <w:u w:val="single"/>
          <w:lang w:val="en-US" w:eastAsia="zh-CN"/>
        </w:rPr>
        <w:t xml:space="preserve"> 30 </w:t>
      </w:r>
      <w:r>
        <w:rPr>
          <w:rFonts w:hint="eastAsia" w:ascii="宋体" w:hAnsi="宋体" w:eastAsia="宋体" w:cs="宋体"/>
          <w:color w:val="auto"/>
          <w:spacing w:val="0"/>
          <w:kern w:val="0"/>
          <w:position w:val="0"/>
          <w:sz w:val="24"/>
          <w:szCs w:val="24"/>
          <w:highlight w:val="none"/>
        </w:rPr>
        <w:t>分（北京时间）前递交</w:t>
      </w:r>
      <w:r>
        <w:rPr>
          <w:rFonts w:hint="eastAsia" w:ascii="宋体" w:hAnsi="宋体" w:eastAsia="宋体" w:cs="宋体"/>
          <w:color w:val="auto"/>
          <w:spacing w:val="0"/>
          <w:kern w:val="0"/>
          <w:position w:val="0"/>
          <w:sz w:val="24"/>
          <w:szCs w:val="24"/>
          <w:highlight w:val="none"/>
          <w:lang w:eastAsia="zh-CN"/>
        </w:rPr>
        <w:t>响应文件</w:t>
      </w:r>
      <w:r>
        <w:rPr>
          <w:rFonts w:hint="eastAsia" w:ascii="宋体" w:hAnsi="宋体" w:eastAsia="宋体" w:cs="宋体"/>
          <w:color w:val="auto"/>
          <w:spacing w:val="0"/>
          <w:kern w:val="0"/>
          <w:position w:val="0"/>
          <w:sz w:val="24"/>
          <w:szCs w:val="24"/>
          <w:highlight w:val="none"/>
        </w:rPr>
        <w:t>。</w:t>
      </w:r>
    </w:p>
    <w:p w14:paraId="1095ADA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07"/>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8" w:name="_Toc32134"/>
      <w:bookmarkStart w:id="9" w:name="_Toc14977"/>
      <w:bookmarkStart w:id="10" w:name="_Toc1099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一、项目基本情况</w:t>
      </w:r>
      <w:bookmarkEnd w:id="8"/>
      <w:bookmarkEnd w:id="9"/>
      <w:bookmarkEnd w:id="10"/>
    </w:p>
    <w:p w14:paraId="620CCA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项目编号：</w:t>
      </w:r>
      <w:r>
        <w:rPr>
          <w:rFonts w:hint="eastAsia" w:ascii="宋体" w:hAnsi="宋体" w:eastAsia="宋体" w:cs="宋体"/>
          <w:color w:val="auto"/>
          <w:spacing w:val="0"/>
          <w:position w:val="0"/>
          <w:sz w:val="24"/>
          <w:szCs w:val="24"/>
          <w:highlight w:val="none"/>
          <w:u w:val="single"/>
          <w:lang w:val="en-US" w:eastAsia="zh-CN"/>
        </w:rPr>
        <w:t xml:space="preserve">  JACTJL-内采字【2025】128号 </w:t>
      </w:r>
    </w:p>
    <w:p w14:paraId="47787E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项目名称：</w:t>
      </w:r>
      <w:r>
        <w:rPr>
          <w:rFonts w:hint="eastAsia" w:ascii="宋体" w:hAnsi="宋体" w:eastAsia="宋体" w:cs="宋体"/>
          <w:color w:val="auto"/>
          <w:spacing w:val="0"/>
          <w:position w:val="0"/>
          <w:sz w:val="24"/>
          <w:szCs w:val="24"/>
          <w:highlight w:val="none"/>
          <w:u w:val="single"/>
          <w:lang w:val="en-US" w:eastAsia="zh-CN"/>
        </w:rPr>
        <w:t xml:space="preserve"> 井冈山农产品区域公用品牌（高铁列车冠名）宣传推广服务采购项目  </w:t>
      </w:r>
      <w:r>
        <w:rPr>
          <w:rFonts w:hint="eastAsia" w:ascii="宋体" w:hAnsi="宋体" w:eastAsia="宋体" w:cs="宋体"/>
          <w:color w:val="auto"/>
          <w:spacing w:val="0"/>
          <w:position w:val="0"/>
          <w:sz w:val="24"/>
          <w:szCs w:val="24"/>
          <w:highlight w:val="none"/>
          <w:lang w:val="en-US" w:eastAsia="zh-CN"/>
        </w:rPr>
        <w:t xml:space="preserve"> </w:t>
      </w:r>
    </w:p>
    <w:p w14:paraId="549A90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预算金额： </w:t>
      </w:r>
      <w:r>
        <w:rPr>
          <w:rFonts w:hint="eastAsia" w:ascii="宋体" w:hAnsi="宋体" w:eastAsia="宋体" w:cs="宋体"/>
          <w:color w:val="auto"/>
          <w:spacing w:val="0"/>
          <w:position w:val="0"/>
          <w:sz w:val="24"/>
          <w:szCs w:val="24"/>
          <w:highlight w:val="none"/>
          <w:u w:val="single"/>
          <w:lang w:val="en-US" w:eastAsia="zh-CN"/>
        </w:rPr>
        <w:t xml:space="preserve"> 800000.00元 </w:t>
      </w:r>
      <w:r>
        <w:rPr>
          <w:rFonts w:ascii="宋体" w:hAnsi="宋体" w:eastAsia="宋体" w:cs="宋体"/>
          <w:color w:val="auto"/>
          <w:spacing w:val="0"/>
          <w:position w:val="0"/>
          <w:sz w:val="24"/>
          <w:szCs w:val="24"/>
          <w:highlight w:val="none"/>
          <w:lang w:eastAsia="zh-CN"/>
        </w:rPr>
        <w:t>人民币</w:t>
      </w:r>
    </w:p>
    <w:p w14:paraId="0C572EE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最高限价（如有）： </w:t>
      </w:r>
      <w:r>
        <w:rPr>
          <w:rFonts w:hint="eastAsia" w:ascii="宋体" w:hAnsi="宋体" w:eastAsia="宋体" w:cs="宋体"/>
          <w:color w:val="auto"/>
          <w:spacing w:val="0"/>
          <w:position w:val="0"/>
          <w:sz w:val="24"/>
          <w:szCs w:val="24"/>
          <w:highlight w:val="none"/>
          <w:u w:val="single"/>
          <w:lang w:val="en-US" w:eastAsia="zh-CN"/>
        </w:rPr>
        <w:t xml:space="preserve">     /  </w:t>
      </w:r>
      <w:r>
        <w:rPr>
          <w:rFonts w:ascii="宋体" w:hAnsi="宋体" w:eastAsia="宋体" w:cs="宋体"/>
          <w:color w:val="auto"/>
          <w:spacing w:val="0"/>
          <w:position w:val="0"/>
          <w:sz w:val="24"/>
          <w:szCs w:val="24"/>
          <w:highlight w:val="none"/>
          <w:lang w:eastAsia="zh-CN"/>
        </w:rPr>
        <w:t>元人民币</w:t>
      </w:r>
    </w:p>
    <w:p w14:paraId="77D26E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color w:val="auto"/>
          <w:spacing w:val="0"/>
          <w:position w:val="0"/>
          <w:highlight w:val="none"/>
        </w:rPr>
      </w:pPr>
      <w:r>
        <w:rPr>
          <w:rFonts w:ascii="宋体" w:hAnsi="宋体" w:eastAsia="宋体" w:cs="宋体"/>
          <w:color w:val="auto"/>
          <w:spacing w:val="0"/>
          <w:position w:val="0"/>
          <w:sz w:val="24"/>
          <w:szCs w:val="24"/>
          <w:highlight w:val="none"/>
        </w:rPr>
        <w:t>采购需求：</w:t>
      </w:r>
    </w:p>
    <w:tbl>
      <w:tblPr>
        <w:tblStyle w:val="25"/>
        <w:tblpPr w:leftFromText="180" w:rightFromText="180" w:vertAnchor="text" w:horzAnchor="page" w:tblpX="1442" w:tblpY="159"/>
        <w:tblOverlap w:val="never"/>
        <w:tblW w:w="90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7"/>
        <w:gridCol w:w="3543"/>
        <w:gridCol w:w="830"/>
        <w:gridCol w:w="955"/>
        <w:gridCol w:w="2010"/>
      </w:tblGrid>
      <w:tr w14:paraId="1D3F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07" w:type="dxa"/>
          </w:tcPr>
          <w:p w14:paraId="30476345">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采购条目编号</w:t>
            </w:r>
          </w:p>
        </w:tc>
        <w:tc>
          <w:tcPr>
            <w:tcW w:w="3543" w:type="dxa"/>
          </w:tcPr>
          <w:p w14:paraId="64C1BF87">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采购条目名称</w:t>
            </w:r>
          </w:p>
        </w:tc>
        <w:tc>
          <w:tcPr>
            <w:tcW w:w="830" w:type="dxa"/>
          </w:tcPr>
          <w:p w14:paraId="4FDEC05B">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数量</w:t>
            </w:r>
          </w:p>
        </w:tc>
        <w:tc>
          <w:tcPr>
            <w:tcW w:w="955" w:type="dxa"/>
          </w:tcPr>
          <w:p w14:paraId="3B3CCFF1">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单位</w:t>
            </w:r>
          </w:p>
        </w:tc>
        <w:tc>
          <w:tcPr>
            <w:tcW w:w="2010" w:type="dxa"/>
          </w:tcPr>
          <w:p w14:paraId="749D17B4">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采购预算</w:t>
            </w:r>
          </w:p>
        </w:tc>
      </w:tr>
      <w:tr w14:paraId="030FE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707" w:type="dxa"/>
          </w:tcPr>
          <w:p w14:paraId="5F49822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tc>
        <w:tc>
          <w:tcPr>
            <w:tcW w:w="3543" w:type="dxa"/>
          </w:tcPr>
          <w:p w14:paraId="072ADBF4">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井冈山农产品区域公用品牌（高铁列车冠名）宣传推广服务采购项目</w:t>
            </w:r>
          </w:p>
        </w:tc>
        <w:tc>
          <w:tcPr>
            <w:tcW w:w="830" w:type="dxa"/>
          </w:tcPr>
          <w:p w14:paraId="2B2D0E5D">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955" w:type="dxa"/>
          </w:tcPr>
          <w:p w14:paraId="79EF2BF0">
            <w:pPr>
              <w:widowControl w:val="0"/>
              <w:spacing w:before="273"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w:t>
            </w:r>
          </w:p>
        </w:tc>
        <w:tc>
          <w:tcPr>
            <w:tcW w:w="2010" w:type="dxa"/>
          </w:tcPr>
          <w:p w14:paraId="1636B682">
            <w:pPr>
              <w:widowControl w:val="0"/>
              <w:spacing w:before="273"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800000.00元</w:t>
            </w:r>
          </w:p>
        </w:tc>
      </w:tr>
    </w:tbl>
    <w:p w14:paraId="6B1514B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rPr>
        <w:t xml:space="preserve">合同履行期限： </w:t>
      </w:r>
      <w:r>
        <w:rPr>
          <w:rFonts w:hint="eastAsia" w:ascii="宋体" w:hAnsi="宋体" w:eastAsia="宋体" w:cs="宋体"/>
          <w:color w:val="auto"/>
          <w:spacing w:val="0"/>
          <w:position w:val="0"/>
          <w:sz w:val="24"/>
          <w:szCs w:val="24"/>
          <w:highlight w:val="none"/>
          <w:u w:val="single"/>
          <w:lang w:val="en-US" w:eastAsia="zh-CN"/>
        </w:rPr>
        <w:t xml:space="preserve"> 服务期限为【12个月】。 </w:t>
      </w:r>
    </w:p>
    <w:p w14:paraId="74EE68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lang w:eastAsia="zh-CN"/>
        </w:rPr>
        <w:t>本项目</w:t>
      </w:r>
      <w:r>
        <w:rPr>
          <w:rFonts w:hint="eastAsia" w:ascii="宋体" w:hAnsi="宋体" w:eastAsia="宋体" w:cs="宋体"/>
          <w:color w:val="auto"/>
          <w:spacing w:val="0"/>
          <w:position w:val="0"/>
          <w:sz w:val="24"/>
          <w:szCs w:val="24"/>
          <w:highlight w:val="none"/>
          <w:lang w:val="en-US" w:eastAsia="zh-CN"/>
        </w:rPr>
        <w:t>是否</w:t>
      </w:r>
      <w:r>
        <w:rPr>
          <w:rFonts w:ascii="宋体" w:hAnsi="宋体" w:eastAsia="宋体" w:cs="宋体"/>
          <w:color w:val="auto"/>
          <w:spacing w:val="0"/>
          <w:position w:val="0"/>
          <w:sz w:val="24"/>
          <w:szCs w:val="24"/>
          <w:highlight w:val="none"/>
          <w:lang w:eastAsia="zh-CN"/>
        </w:rPr>
        <w:t>接受联合体</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sym w:font="Wingdings 2" w:char="00A3"/>
      </w:r>
      <w:r>
        <w:rPr>
          <w:rFonts w:hint="eastAsia" w:ascii="宋体" w:hAnsi="宋体" w:eastAsia="宋体" w:cs="宋体"/>
          <w:color w:val="auto"/>
          <w:spacing w:val="0"/>
          <w:position w:val="0"/>
          <w:sz w:val="24"/>
          <w:szCs w:val="24"/>
          <w:highlight w:val="none"/>
          <w:lang w:val="en-US" w:eastAsia="zh-CN"/>
        </w:rPr>
        <w:t xml:space="preserve"> 是    </w:t>
      </w:r>
      <w:r>
        <w:rPr>
          <w:rFonts w:hint="eastAsia" w:ascii="宋体" w:hAnsi="宋体" w:eastAsia="宋体" w:cs="宋体"/>
          <w:color w:val="auto"/>
          <w:spacing w:val="0"/>
          <w:position w:val="0"/>
          <w:sz w:val="24"/>
          <w:szCs w:val="24"/>
          <w:highlight w:val="none"/>
          <w:lang w:val="en-US" w:eastAsia="zh-CN"/>
        </w:rPr>
        <w:sym w:font="Wingdings 2" w:char="0052"/>
      </w:r>
      <w:r>
        <w:rPr>
          <w:rFonts w:hint="eastAsia" w:ascii="宋体" w:hAnsi="宋体" w:eastAsia="宋体" w:cs="宋体"/>
          <w:color w:val="auto"/>
          <w:spacing w:val="0"/>
          <w:position w:val="0"/>
          <w:sz w:val="24"/>
          <w:szCs w:val="24"/>
          <w:highlight w:val="none"/>
          <w:lang w:val="en-US" w:eastAsia="zh-CN"/>
        </w:rPr>
        <w:t xml:space="preserve"> 否</w:t>
      </w:r>
    </w:p>
    <w:p w14:paraId="7CA98CC3">
      <w:pPr>
        <w:keepNext w:val="0"/>
        <w:keepLines w:val="0"/>
        <w:pageBreakBefore w:val="0"/>
        <w:widowControl w:val="0"/>
        <w:kinsoku w:val="0"/>
        <w:wordWrap/>
        <w:overflowPunct/>
        <w:topLinePunct w:val="0"/>
        <w:autoSpaceDE w:val="0"/>
        <w:autoSpaceDN w:val="0"/>
        <w:bidi w:val="0"/>
        <w:adjustRightInd w:val="0"/>
        <w:snapToGrid w:val="0"/>
        <w:spacing w:before="0" w:beforeLines="20" w:beforeAutospacing="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1" w:name="_Toc8461"/>
      <w:bookmarkStart w:id="12" w:name="_Toc16418"/>
      <w:bookmarkStart w:id="13" w:name="_Toc743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的资格要求</w:t>
      </w:r>
      <w:bookmarkEnd w:id="11"/>
      <w:bookmarkEnd w:id="12"/>
      <w:bookmarkEnd w:id="13"/>
    </w:p>
    <w:p w14:paraId="2E668F7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ascii="宋体" w:hAnsi="宋体" w:eastAsia="宋体" w:cs="宋体"/>
          <w:b w:val="0"/>
          <w:bCs w:val="0"/>
          <w:color w:val="auto"/>
          <w:spacing w:val="0"/>
          <w:position w:val="0"/>
          <w:sz w:val="24"/>
          <w:szCs w:val="24"/>
          <w:highlight w:val="none"/>
          <w:lang w:eastAsia="zh-CN"/>
        </w:rPr>
      </w:pPr>
      <w:r>
        <w:rPr>
          <w:rFonts w:ascii="宋体" w:hAnsi="宋体" w:eastAsia="宋体" w:cs="宋体"/>
          <w:b w:val="0"/>
          <w:bCs w:val="0"/>
          <w:color w:val="auto"/>
          <w:spacing w:val="0"/>
          <w:position w:val="0"/>
          <w:sz w:val="24"/>
          <w:szCs w:val="24"/>
          <w:highlight w:val="none"/>
          <w:lang w:eastAsia="zh-CN"/>
        </w:rPr>
        <w:t>1.满足《中华人民共和国政府采购法》第二十二条规定：</w:t>
      </w:r>
    </w:p>
    <w:p w14:paraId="7C8DA1B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1.1 </w:t>
      </w:r>
      <w:r>
        <w:rPr>
          <w:rFonts w:ascii="宋体" w:hAnsi="宋体" w:eastAsia="宋体" w:cs="宋体"/>
          <w:color w:val="auto"/>
          <w:spacing w:val="0"/>
          <w:position w:val="0"/>
          <w:sz w:val="24"/>
          <w:szCs w:val="24"/>
          <w:highlight w:val="none"/>
          <w:lang w:eastAsia="zh-CN"/>
        </w:rPr>
        <w:t>具有独立承担民事责任的能力；</w:t>
      </w:r>
    </w:p>
    <w:p w14:paraId="1910C59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1.2 </w:t>
      </w:r>
      <w:r>
        <w:rPr>
          <w:rFonts w:ascii="宋体" w:hAnsi="宋体" w:eastAsia="宋体" w:cs="宋体"/>
          <w:color w:val="auto"/>
          <w:spacing w:val="0"/>
          <w:position w:val="0"/>
          <w:sz w:val="24"/>
          <w:szCs w:val="24"/>
          <w:highlight w:val="none"/>
          <w:lang w:eastAsia="zh-CN"/>
        </w:rPr>
        <w:t>具有良好的商业信誉和健全的财务会计制度；</w:t>
      </w:r>
    </w:p>
    <w:p w14:paraId="0BE40CD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1.3 </w:t>
      </w:r>
      <w:r>
        <w:rPr>
          <w:rFonts w:hint="eastAsia" w:ascii="宋体" w:hAnsi="宋体" w:eastAsia="宋体" w:cs="宋体"/>
          <w:color w:val="auto"/>
          <w:spacing w:val="0"/>
          <w:position w:val="0"/>
          <w:sz w:val="24"/>
          <w:szCs w:val="24"/>
          <w:highlight w:val="none"/>
          <w:lang w:eastAsia="zh-CN"/>
        </w:rPr>
        <w:t>具有履行合同所必需的设备和专业技术能力；</w:t>
      </w:r>
    </w:p>
    <w:p w14:paraId="360FBE6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1.4 </w:t>
      </w:r>
      <w:r>
        <w:rPr>
          <w:rFonts w:ascii="宋体" w:hAnsi="宋体" w:eastAsia="宋体" w:cs="宋体"/>
          <w:color w:val="auto"/>
          <w:spacing w:val="0"/>
          <w:position w:val="0"/>
          <w:sz w:val="24"/>
          <w:szCs w:val="24"/>
          <w:highlight w:val="none"/>
          <w:lang w:eastAsia="zh-CN"/>
        </w:rPr>
        <w:t>有依法缴纳税收和社会保障资金的良好记录；</w:t>
      </w:r>
    </w:p>
    <w:p w14:paraId="5E0F65B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1.5 </w:t>
      </w:r>
      <w:r>
        <w:rPr>
          <w:rFonts w:hint="eastAsia" w:ascii="宋体" w:hAnsi="宋体" w:eastAsia="宋体" w:cs="宋体"/>
          <w:color w:val="auto"/>
          <w:spacing w:val="0"/>
          <w:position w:val="0"/>
          <w:sz w:val="24"/>
          <w:szCs w:val="24"/>
          <w:highlight w:val="none"/>
          <w:lang w:eastAsia="zh-CN"/>
        </w:rPr>
        <w:t>参加政府采购活动前三年内,在经营活动中没有重大违法记录；</w:t>
      </w:r>
    </w:p>
    <w:p w14:paraId="480FE11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1.6 </w:t>
      </w:r>
      <w:r>
        <w:rPr>
          <w:rFonts w:ascii="宋体" w:hAnsi="宋体" w:eastAsia="宋体" w:cs="宋体"/>
          <w:color w:val="auto"/>
          <w:spacing w:val="0"/>
          <w:position w:val="0"/>
          <w:sz w:val="24"/>
          <w:szCs w:val="24"/>
          <w:highlight w:val="none"/>
          <w:lang w:eastAsia="zh-CN"/>
        </w:rPr>
        <w:t>法律、行政法规规定的其他条件。</w:t>
      </w:r>
    </w:p>
    <w:p w14:paraId="70BDC758">
      <w:pPr>
        <w:pStyle w:val="24"/>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单位负责人为同一人或者存在直接控股、管理关系的不同</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，不得参加同一合同项下的采购活动。为本采购项目提供整体设计、规范编制或者项目管理、监理、检测等服务的，不得参加本项目的政府采购活动。</w:t>
      </w:r>
    </w:p>
    <w:p w14:paraId="0AB5B6EA">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供应商被“信用中国”网站列入失信被执行人</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重大税收违法案件当事人名单、</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position w:val="0"/>
          <w:sz w:val="24"/>
          <w:szCs w:val="24"/>
          <w:highlight w:val="none"/>
          <w:lang w:val="en-US" w:eastAsia="zh-CN"/>
        </w:rPr>
        <w:t>的</w:t>
      </w:r>
      <w:r>
        <w:rPr>
          <w:rFonts w:hint="eastAsia" w:ascii="宋体" w:hAnsi="宋体" w:eastAsia="宋体" w:cs="宋体"/>
          <w:color w:val="auto"/>
          <w:spacing w:val="0"/>
          <w:position w:val="0"/>
          <w:sz w:val="24"/>
          <w:szCs w:val="24"/>
          <w:highlight w:val="none"/>
          <w:lang w:eastAsia="zh-CN"/>
        </w:rPr>
        <w:t>，不得参加本项目的政府采购活动。</w:t>
      </w:r>
    </w:p>
    <w:p w14:paraId="5EBB348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val="0"/>
          <w:bCs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落实</w:t>
      </w:r>
      <w:r>
        <w:rPr>
          <w:rFonts w:ascii="宋体" w:hAnsi="宋体" w:eastAsia="宋体" w:cs="宋体"/>
          <w:b w:val="0"/>
          <w:bCs w:val="0"/>
          <w:color w:val="auto"/>
          <w:spacing w:val="0"/>
          <w:position w:val="0"/>
          <w:sz w:val="24"/>
          <w:szCs w:val="24"/>
          <w:highlight w:val="none"/>
          <w:lang w:eastAsia="zh-CN"/>
        </w:rPr>
        <w:t>政府采购政策需满足的资格要求：</w:t>
      </w:r>
    </w:p>
    <w:p w14:paraId="437C276A">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t>4.1 中小企业政策</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本项目不适用</w:t>
      </w:r>
      <w:r>
        <w:rPr>
          <w:rFonts w:hint="eastAsia" w:ascii="宋体" w:hAnsi="宋体" w:eastAsia="宋体" w:cs="宋体"/>
          <w:b/>
          <w:bCs/>
          <w:color w:val="auto"/>
          <w:highlight w:val="none"/>
          <w:lang w:eastAsia="zh-CN"/>
        </w:rPr>
        <w:t>）</w:t>
      </w:r>
    </w:p>
    <w:p w14:paraId="5A4EC572">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color w:val="auto"/>
          <w:spacing w:val="0"/>
          <w:position w:val="0"/>
          <w:highlight w:val="none"/>
          <w:lang w:val="en-US" w:eastAsia="zh-CN"/>
        </w:rPr>
      </w:pPr>
      <w:r>
        <w:rPr>
          <w:rFonts w:hint="eastAsia" w:ascii="宋体" w:hAnsi="宋体" w:eastAsia="宋体" w:cs="宋体"/>
          <w:color w:val="auto"/>
          <w:spacing w:val="0"/>
          <w:position w:val="0"/>
          <w:highlight w:val="none"/>
          <w:lang w:val="en-US" w:eastAsia="zh-CN"/>
        </w:rPr>
        <w:sym w:font="Wingdings 2" w:char="00A3"/>
      </w:r>
      <w:r>
        <w:rPr>
          <w:rFonts w:hint="eastAsia" w:ascii="宋体" w:hAnsi="宋体" w:eastAsia="宋体" w:cs="宋体"/>
          <w:color w:val="auto"/>
          <w:spacing w:val="0"/>
          <w:position w:val="0"/>
          <w:highlight w:val="none"/>
          <w:lang w:val="en-US" w:eastAsia="zh-CN"/>
        </w:rPr>
        <w:t>本项目不专门面向中小企业</w:t>
      </w:r>
      <w:r>
        <w:rPr>
          <w:rFonts w:ascii="宋体" w:hAnsi="宋体" w:eastAsia="宋体" w:cs="宋体"/>
          <w:b w:val="0"/>
          <w:bCs w:val="0"/>
          <w:color w:val="auto"/>
          <w:spacing w:val="0"/>
          <w:position w:val="0"/>
          <w:sz w:val="24"/>
          <w:szCs w:val="24"/>
          <w:highlight w:val="none"/>
          <w:lang w:eastAsia="zh-CN"/>
        </w:rPr>
        <w:t>采</w:t>
      </w:r>
      <w:r>
        <w:rPr>
          <w:rFonts w:ascii="宋体" w:hAnsi="宋体" w:eastAsia="宋体" w:cs="宋体"/>
          <w:color w:val="auto"/>
          <w:spacing w:val="0"/>
          <w:position w:val="0"/>
          <w:sz w:val="24"/>
          <w:szCs w:val="24"/>
          <w:highlight w:val="none"/>
          <w:lang w:eastAsia="zh-CN"/>
        </w:rPr>
        <w:t>购</w:t>
      </w:r>
      <w:r>
        <w:rPr>
          <w:rFonts w:hint="eastAsia" w:ascii="宋体" w:hAnsi="宋体" w:eastAsia="宋体" w:cs="宋体"/>
          <w:color w:val="auto"/>
          <w:spacing w:val="0"/>
          <w:position w:val="0"/>
          <w:highlight w:val="none"/>
          <w:lang w:val="en-US" w:eastAsia="zh-CN"/>
        </w:rPr>
        <w:t>。</w:t>
      </w:r>
    </w:p>
    <w:p w14:paraId="08218BA2">
      <w:pPr>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jc w:val="both"/>
        <w:textAlignment w:val="baseline"/>
        <w:rPr>
          <w:rFonts w:ascii="宋体" w:hAnsi="宋体" w:eastAsia="宋体" w:cs="宋体"/>
          <w:color w:val="auto"/>
          <w:spacing w:val="0"/>
          <w:position w:val="0"/>
          <w:sz w:val="24"/>
          <w:szCs w:val="24"/>
          <w:highlight w:val="none"/>
          <w:lang w:eastAsia="zh-CN"/>
        </w:rPr>
      </w:pPr>
      <w:r>
        <w:rPr>
          <w:rFonts w:hint="eastAsia"/>
          <w:color w:val="auto"/>
          <w:spacing w:val="0"/>
          <w:position w:val="0"/>
          <w:sz w:val="24"/>
          <w:szCs w:val="24"/>
          <w:highlight w:val="none"/>
          <w:lang w:val="en-US" w:eastAsia="zh-CN"/>
        </w:rPr>
        <w:sym w:font="Wingdings 2" w:char="00A3"/>
      </w:r>
      <w:r>
        <w:rPr>
          <w:rFonts w:hint="eastAsia" w:ascii="宋体" w:hAnsi="宋体" w:eastAsia="宋体" w:cs="宋体"/>
          <w:snapToGrid w:val="0"/>
          <w:color w:val="auto"/>
          <w:spacing w:val="0"/>
          <w:kern w:val="0"/>
          <w:position w:val="0"/>
          <w:sz w:val="24"/>
          <w:szCs w:val="20"/>
          <w:highlight w:val="none"/>
          <w:lang w:val="en-US" w:eastAsia="zh-CN" w:bidi="ar-SA"/>
        </w:rPr>
        <w:t>本项目专门面</w:t>
      </w:r>
      <w:r>
        <w:rPr>
          <w:rFonts w:hint="eastAsia" w:ascii="宋体" w:hAnsi="宋体" w:eastAsia="宋体" w:cs="宋体"/>
          <w:b w:val="0"/>
          <w:bCs w:val="0"/>
          <w:color w:val="auto"/>
          <w:spacing w:val="0"/>
          <w:position w:val="0"/>
          <w:sz w:val="24"/>
          <w:szCs w:val="24"/>
          <w:highlight w:val="none"/>
          <w:lang w:val="en-US" w:eastAsia="zh-CN"/>
        </w:rPr>
        <w:t>向</w:t>
      </w:r>
      <w:r>
        <w:rPr>
          <w:rFonts w:ascii="宋体" w:hAnsi="宋体" w:eastAsia="宋体" w:cs="宋体"/>
          <w:b w:val="0"/>
          <w:bCs w:val="0"/>
          <w:color w:val="auto"/>
          <w:spacing w:val="0"/>
          <w:position w:val="0"/>
          <w:sz w:val="24"/>
          <w:szCs w:val="24"/>
          <w:highlight w:val="none"/>
          <w:lang w:eastAsia="zh-CN"/>
        </w:rPr>
        <w:t>中小企业采</w:t>
      </w:r>
      <w:r>
        <w:rPr>
          <w:rFonts w:ascii="宋体" w:hAnsi="宋体" w:eastAsia="宋体" w:cs="宋体"/>
          <w:color w:val="auto"/>
          <w:spacing w:val="0"/>
          <w:position w:val="0"/>
          <w:sz w:val="24"/>
          <w:szCs w:val="24"/>
          <w:highlight w:val="none"/>
          <w:lang w:eastAsia="zh-CN"/>
        </w:rPr>
        <w:t>购。</w:t>
      </w:r>
      <w:r>
        <w:rPr>
          <w:rFonts w:hint="eastAsia" w:ascii="宋体" w:hAnsi="宋体" w:eastAsia="宋体" w:cs="宋体"/>
          <w:color w:val="auto"/>
          <w:spacing w:val="0"/>
          <w:position w:val="0"/>
          <w:sz w:val="24"/>
          <w:szCs w:val="24"/>
          <w:highlight w:val="none"/>
          <w:lang w:val="en-US" w:eastAsia="zh-CN"/>
        </w:rPr>
        <w:t>承接本项目服务的企业</w:t>
      </w:r>
      <w:r>
        <w:rPr>
          <w:rFonts w:ascii="宋体" w:hAnsi="宋体" w:eastAsia="宋体" w:cs="宋体"/>
          <w:color w:val="auto"/>
          <w:spacing w:val="0"/>
          <w:position w:val="0"/>
          <w:sz w:val="24"/>
          <w:szCs w:val="24"/>
          <w:highlight w:val="none"/>
          <w:lang w:eastAsia="zh-CN"/>
        </w:rPr>
        <w:t>须</w:t>
      </w:r>
      <w:r>
        <w:rPr>
          <w:rFonts w:hint="eastAsia" w:ascii="宋体" w:hAnsi="宋体" w:eastAsia="宋体" w:cs="宋体"/>
          <w:color w:val="auto"/>
          <w:spacing w:val="0"/>
          <w:position w:val="0"/>
          <w:sz w:val="24"/>
          <w:szCs w:val="24"/>
          <w:highlight w:val="none"/>
          <w:lang w:val="en-US" w:eastAsia="zh-CN"/>
        </w:rPr>
        <w:t>是</w:t>
      </w:r>
      <w:r>
        <w:rPr>
          <w:rFonts w:ascii="宋体" w:hAnsi="宋体" w:eastAsia="宋体" w:cs="宋体"/>
          <w:color w:val="auto"/>
          <w:spacing w:val="0"/>
          <w:position w:val="0"/>
          <w:sz w:val="24"/>
          <w:szCs w:val="24"/>
          <w:highlight w:val="none"/>
          <w:lang w:eastAsia="zh-CN"/>
        </w:rPr>
        <w:t>在中华人民共和国境内依法设立，依据国务院批准的中小企业划分标准确定的中型企业、小型企业和微型企业，但与大企业的负责人为同一人，或者与大企业存在直接控股、管理关系的除外；监狱企业、残疾人福利性单位视同小型、微型企业（</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中须提供中小企业声明函或省级以上监狱管理局、戒毒管理局（含新疆生产建设兵团）出具的属于监狱企业的证明文件或残疾人福利性单位声明函</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w:t>
      </w:r>
    </w:p>
    <w:p w14:paraId="12C32DD2">
      <w:pPr>
        <w:keepNext w:val="0"/>
        <w:keepLines w:val="0"/>
        <w:pageBreakBefore w:val="0"/>
        <w:widowControl w:val="0"/>
        <w:kinsoku w:val="0"/>
        <w:wordWrap/>
        <w:overflowPunct/>
        <w:topLinePunct w:val="0"/>
        <w:autoSpaceDE w:val="0"/>
        <w:autoSpaceDN w:val="0"/>
        <w:bidi w:val="0"/>
        <w:adjustRightInd w:val="0"/>
        <w:snapToGrid w:val="0"/>
        <w:spacing w:line="360" w:lineRule="auto"/>
        <w:ind w:left="345" w:leftChars="0" w:right="2" w:hanging="345" w:hangingChars="144"/>
        <w:jc w:val="both"/>
        <w:textAlignment w:val="baseline"/>
        <w:rPr>
          <w:rFonts w:hint="eastAsia" w:ascii="宋体" w:hAnsi="宋体" w:eastAsia="宋体" w:cs="宋体"/>
          <w:snapToGrid w:val="0"/>
          <w:color w:val="auto"/>
          <w:spacing w:val="0"/>
          <w:kern w:val="0"/>
          <w:position w:val="0"/>
          <w:sz w:val="24"/>
          <w:szCs w:val="24"/>
          <w:highlight w:val="none"/>
          <w:lang w:val="en-US" w:eastAsia="zh-CN" w:bidi="ar"/>
        </w:rPr>
      </w:pPr>
      <w:r>
        <w:rPr>
          <w:rFonts w:hint="eastAsia"/>
          <w:color w:val="auto"/>
          <w:spacing w:val="0"/>
          <w:position w:val="0"/>
          <w:sz w:val="24"/>
          <w:szCs w:val="24"/>
          <w:highlight w:val="none"/>
          <w:lang w:val="en-US" w:eastAsia="zh-CN"/>
        </w:rPr>
        <w:sym w:font="Wingdings 2" w:char="00A3"/>
      </w:r>
      <w:r>
        <w:rPr>
          <w:rFonts w:hint="eastAsia"/>
          <w:color w:val="auto"/>
          <w:spacing w:val="0"/>
          <w:position w:val="0"/>
          <w:sz w:val="24"/>
          <w:szCs w:val="24"/>
          <w:highlight w:val="none"/>
          <w:lang w:val="en-US" w:eastAsia="zh-CN"/>
        </w:rPr>
        <w:t xml:space="preserve"> </w:t>
      </w:r>
      <w:r>
        <w:rPr>
          <w:rFonts w:hint="eastAsia" w:ascii="宋体" w:hAnsi="宋体" w:eastAsia="宋体" w:cs="宋体"/>
          <w:snapToGrid w:val="0"/>
          <w:color w:val="auto"/>
          <w:spacing w:val="0"/>
          <w:kern w:val="0"/>
          <w:position w:val="0"/>
          <w:sz w:val="24"/>
          <w:szCs w:val="24"/>
          <w:highlight w:val="none"/>
          <w:lang w:val="en-US" w:eastAsia="zh-CN" w:bidi="ar"/>
        </w:rPr>
        <w:t>本项目预留部分采购预算专门面向中小企业采购。对于预留份额，</w:t>
      </w:r>
      <w:r>
        <w:rPr>
          <w:rFonts w:hint="eastAsia" w:ascii="宋体" w:hAnsi="宋体" w:eastAsia="宋体" w:cs="宋体"/>
          <w:color w:val="auto"/>
          <w:spacing w:val="0"/>
          <w:position w:val="0"/>
          <w:sz w:val="24"/>
          <w:szCs w:val="24"/>
          <w:highlight w:val="none"/>
          <w:lang w:val="en-US" w:eastAsia="zh-CN"/>
        </w:rPr>
        <w:t>本项目服务</w:t>
      </w:r>
      <w:r>
        <w:rPr>
          <w:rFonts w:hint="eastAsia" w:ascii="宋体" w:hAnsi="宋体" w:eastAsia="宋体" w:cs="宋体"/>
          <w:snapToGrid w:val="0"/>
          <w:color w:val="auto"/>
          <w:spacing w:val="0"/>
          <w:kern w:val="0"/>
          <w:position w:val="0"/>
          <w:sz w:val="24"/>
          <w:szCs w:val="24"/>
          <w:highlight w:val="none"/>
          <w:lang w:val="en-US" w:eastAsia="zh-CN" w:bidi="ar"/>
        </w:rPr>
        <w:t>由符合政策要求的中小企业</w:t>
      </w:r>
      <w:r>
        <w:rPr>
          <w:rFonts w:hint="eastAsia" w:ascii="宋体" w:hAnsi="宋体" w:eastAsia="宋体" w:cs="宋体"/>
          <w:color w:val="auto"/>
          <w:spacing w:val="0"/>
          <w:position w:val="0"/>
          <w:sz w:val="24"/>
          <w:szCs w:val="24"/>
          <w:highlight w:val="none"/>
          <w:lang w:val="en-US" w:eastAsia="zh-CN"/>
        </w:rPr>
        <w:t>承接</w:t>
      </w:r>
      <w:r>
        <w:rPr>
          <w:rFonts w:hint="eastAsia" w:ascii="宋体" w:hAnsi="宋体" w:eastAsia="宋体" w:cs="宋体"/>
          <w:snapToGrid w:val="0"/>
          <w:color w:val="auto"/>
          <w:spacing w:val="0"/>
          <w:kern w:val="0"/>
          <w:position w:val="0"/>
          <w:sz w:val="24"/>
          <w:szCs w:val="24"/>
          <w:highlight w:val="none"/>
          <w:lang w:val="en-US" w:eastAsia="zh-CN" w:bidi="ar"/>
        </w:rPr>
        <w:t>。预留份额通过以下第</w:t>
      </w:r>
      <w:r>
        <w:rPr>
          <w:rFonts w:hint="eastAsia" w:ascii="宋体" w:hAnsi="宋体" w:eastAsia="宋体" w:cs="宋体"/>
          <w:snapToGrid w:val="0"/>
          <w:color w:val="auto"/>
          <w:spacing w:val="0"/>
          <w:kern w:val="0"/>
          <w:position w:val="0"/>
          <w:sz w:val="24"/>
          <w:szCs w:val="24"/>
          <w:highlight w:val="none"/>
          <w:u w:val="single"/>
          <w:lang w:val="en-US" w:eastAsia="zh-CN" w:bidi="ar"/>
        </w:rPr>
        <w:t xml:space="preserve">     </w:t>
      </w:r>
      <w:r>
        <w:rPr>
          <w:rFonts w:hint="eastAsia" w:ascii="宋体" w:hAnsi="宋体" w:eastAsia="宋体" w:cs="宋体"/>
          <w:snapToGrid w:val="0"/>
          <w:color w:val="auto"/>
          <w:spacing w:val="0"/>
          <w:kern w:val="0"/>
          <w:position w:val="0"/>
          <w:sz w:val="24"/>
          <w:szCs w:val="24"/>
          <w:highlight w:val="none"/>
          <w:u w:val="none"/>
          <w:lang w:val="en-US" w:eastAsia="zh-CN" w:bidi="ar"/>
        </w:rPr>
        <w:t>种</w:t>
      </w:r>
      <w:r>
        <w:rPr>
          <w:rFonts w:hint="eastAsia" w:ascii="宋体" w:hAnsi="宋体" w:eastAsia="宋体" w:cs="宋体"/>
          <w:snapToGrid w:val="0"/>
          <w:color w:val="auto"/>
          <w:spacing w:val="0"/>
          <w:kern w:val="0"/>
          <w:position w:val="0"/>
          <w:sz w:val="24"/>
          <w:szCs w:val="24"/>
          <w:highlight w:val="none"/>
          <w:lang w:val="en-US" w:eastAsia="zh-CN" w:bidi="ar"/>
        </w:rPr>
        <w:t>措施进行：</w:t>
      </w:r>
    </w:p>
    <w:p w14:paraId="16228A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6" w:leftChars="165" w:right="0" w:righ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snapToGrid w:val="0"/>
          <w:color w:val="auto"/>
          <w:spacing w:val="0"/>
          <w:position w:val="0"/>
          <w:sz w:val="24"/>
          <w:szCs w:val="24"/>
          <w:highlight w:val="none"/>
          <w:lang w:val="en-US" w:eastAsia="zh-CN" w:bidi="ar-SA"/>
        </w:rPr>
        <w:t>（1）</w:t>
      </w:r>
      <w:r>
        <w:rPr>
          <w:rFonts w:hint="eastAsia" w:ascii="宋体" w:hAnsi="宋体" w:eastAsia="宋体" w:cs="宋体"/>
          <w:color w:val="auto"/>
          <w:spacing w:val="0"/>
          <w:position w:val="0"/>
          <w:sz w:val="24"/>
          <w:szCs w:val="24"/>
          <w:highlight w:val="none"/>
          <w:lang w:val="en-US" w:eastAsia="zh-CN"/>
        </w:rPr>
        <w:t>以联合体形式，联合协议中小企业合同金额应当达到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4226762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47" w:leftChars="0" w:right="0" w:rightChars="0" w:firstLine="0" w:firstLineChars="0"/>
        <w:jc w:val="both"/>
        <w:textAlignment w:val="baseline"/>
        <w:rPr>
          <w:rFonts w:hint="default"/>
          <w:color w:val="auto"/>
          <w:spacing w:val="0"/>
          <w:w w:val="100"/>
          <w:position w:val="0"/>
          <w:highlight w:val="none"/>
          <w:u w:val="single"/>
          <w:lang w:val="en-US"/>
        </w:rPr>
      </w:pPr>
      <w:r>
        <w:rPr>
          <w:rFonts w:hint="eastAsia" w:ascii="宋体" w:hAnsi="宋体" w:eastAsia="宋体" w:cs="宋体"/>
          <w:color w:val="auto"/>
          <w:spacing w:val="0"/>
          <w:position w:val="0"/>
          <w:sz w:val="24"/>
          <w:szCs w:val="24"/>
          <w:highlight w:val="none"/>
          <w:lang w:val="en-US" w:eastAsia="zh-CN"/>
        </w:rPr>
        <w:t>（2）以合同分包形式，分包意向协议中小企业合同金额应当达到</w:t>
      </w:r>
      <w:r>
        <w:rPr>
          <w:rFonts w:hint="eastAsia" w:ascii="宋体" w:hAnsi="宋体" w:eastAsia="宋体" w:cs="宋体"/>
          <w:color w:val="auto"/>
          <w:spacing w:val="0"/>
          <w:position w:val="0"/>
          <w:sz w:val="24"/>
          <w:szCs w:val="24"/>
          <w:highlight w:val="none"/>
          <w:u w:val="single"/>
          <w:lang w:val="en-US" w:eastAsia="zh-CN"/>
        </w:rPr>
        <w:t>(30%或以上)</w:t>
      </w:r>
      <w:r>
        <w:rPr>
          <w:rFonts w:hint="eastAsia" w:ascii="宋体" w:hAnsi="宋体" w:eastAsia="宋体" w:cs="宋体"/>
          <w:color w:val="auto"/>
          <w:spacing w:val="0"/>
          <w:position w:val="0"/>
          <w:sz w:val="24"/>
          <w:szCs w:val="24"/>
          <w:highlight w:val="none"/>
          <w:lang w:val="en-US" w:eastAsia="zh-CN"/>
        </w:rPr>
        <w:t>比例。</w:t>
      </w:r>
    </w:p>
    <w:p w14:paraId="722E6F0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360" w:leftChars="0" w:right="0" w:rightChars="0"/>
        <w:jc w:val="both"/>
        <w:textAlignment w:val="baseline"/>
        <w:rPr>
          <w:color w:val="auto"/>
          <w:spacing w:val="0"/>
          <w:position w:val="0"/>
          <w:highlight w:val="none"/>
        </w:rPr>
      </w:pPr>
      <w:r>
        <w:rPr>
          <w:rFonts w:hint="eastAsia" w:ascii="宋体" w:hAnsi="宋体" w:eastAsia="宋体" w:cs="宋体"/>
          <w:color w:val="auto"/>
          <w:spacing w:val="0"/>
          <w:position w:val="0"/>
          <w:sz w:val="24"/>
          <w:szCs w:val="24"/>
          <w:highlight w:val="none"/>
          <w:lang w:val="en-US" w:eastAsia="zh-CN"/>
        </w:rPr>
        <w:t>组成联合体或者接受分包合同的中小企业与联合体内其他企业、分包企业之间不得存在直接控股、管理关系。</w:t>
      </w:r>
    </w:p>
    <w:p w14:paraId="06FC36F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228" w:leftChars="0" w:hanging="228" w:hangingChars="95"/>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4.2 </w:t>
      </w:r>
      <w:r>
        <w:rPr>
          <w:rFonts w:ascii="宋体" w:hAnsi="宋体" w:eastAsia="宋体" w:cs="宋体"/>
          <w:color w:val="auto"/>
          <w:spacing w:val="0"/>
          <w:position w:val="0"/>
          <w:sz w:val="24"/>
          <w:szCs w:val="24"/>
          <w:highlight w:val="none"/>
          <w:lang w:eastAsia="zh-CN"/>
        </w:rPr>
        <w:t>如本项目采购的产品属于政府强制采购节能产品的，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文件中必须提供《参与实施政府采购节能产品认证机构名录》中的对应产品认证机构出具的节能产品认证证书；</w:t>
      </w:r>
    </w:p>
    <w:p w14:paraId="724F71C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本项目的特定资格要求：</w:t>
      </w:r>
      <w:r>
        <w:rPr>
          <w:rFonts w:hint="eastAsia" w:ascii="宋体" w:hAnsi="宋体" w:eastAsia="宋体" w:cs="宋体"/>
          <w:color w:val="auto"/>
          <w:spacing w:val="0"/>
          <w:position w:val="0"/>
          <w:sz w:val="24"/>
          <w:szCs w:val="24"/>
          <w:highlight w:val="none"/>
          <w:lang w:val="en-US" w:eastAsia="zh-CN"/>
        </w:rPr>
        <w:t>/</w:t>
      </w:r>
    </w:p>
    <w:p w14:paraId="696A5100">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360" w:lineRule="auto"/>
        <w:ind w:left="1"/>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三、获取</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文件</w:t>
      </w:r>
    </w:p>
    <w:p w14:paraId="6177B21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42" w:firstLineChars="226"/>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时间：</w:t>
      </w:r>
      <w:r>
        <w:rPr>
          <w:rFonts w:hint="eastAsia" w:ascii="宋体" w:hAnsi="宋体" w:eastAsia="宋体" w:cs="宋体"/>
          <w:color w:val="auto"/>
          <w:spacing w:val="0"/>
          <w:position w:val="0"/>
          <w:sz w:val="24"/>
          <w:szCs w:val="24"/>
          <w:highlight w:val="none"/>
          <w:u w:val="single"/>
          <w:lang w:val="en-US" w:eastAsia="zh-CN"/>
        </w:rPr>
        <w:t xml:space="preserve">  2025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u w:val="single"/>
          <w:lang w:val="en-US" w:eastAsia="zh-CN"/>
        </w:rPr>
        <w:t xml:space="preserve">  12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26  </w:t>
      </w:r>
      <w:r>
        <w:rPr>
          <w:rFonts w:ascii="宋体" w:hAnsi="宋体" w:eastAsia="宋体" w:cs="宋体"/>
          <w:color w:val="auto"/>
          <w:spacing w:val="0"/>
          <w:position w:val="0"/>
          <w:sz w:val="24"/>
          <w:szCs w:val="24"/>
          <w:highlight w:val="none"/>
          <w:lang w:eastAsia="zh-CN"/>
        </w:rPr>
        <w:t>日至</w:t>
      </w:r>
      <w:r>
        <w:rPr>
          <w:rFonts w:hint="eastAsia" w:ascii="宋体" w:hAnsi="宋体" w:eastAsia="宋体" w:cs="宋体"/>
          <w:color w:val="auto"/>
          <w:spacing w:val="0"/>
          <w:position w:val="0"/>
          <w:sz w:val="24"/>
          <w:szCs w:val="24"/>
          <w:highlight w:val="none"/>
          <w:u w:val="single"/>
          <w:lang w:val="en-US" w:eastAsia="zh-CN"/>
        </w:rPr>
        <w:t xml:space="preserve">  2026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color w:val="auto"/>
          <w:spacing w:val="0"/>
          <w:position w:val="0"/>
          <w:sz w:val="24"/>
          <w:szCs w:val="24"/>
          <w:highlight w:val="none"/>
          <w:u w:val="single"/>
          <w:lang w:val="en-US" w:eastAsia="zh-CN"/>
        </w:rPr>
        <w:t xml:space="preserve">  1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6 </w:t>
      </w:r>
      <w:r>
        <w:rPr>
          <w:rFonts w:ascii="宋体" w:hAnsi="宋体" w:eastAsia="宋体" w:cs="宋体"/>
          <w:color w:val="auto"/>
          <w:spacing w:val="0"/>
          <w:position w:val="0"/>
          <w:sz w:val="24"/>
          <w:szCs w:val="24"/>
          <w:highlight w:val="none"/>
          <w:lang w:eastAsia="zh-CN"/>
        </w:rPr>
        <w:t>日</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eastAsia="zh-CN"/>
        </w:rPr>
        <w:t>每天上午</w:t>
      </w:r>
      <w:r>
        <w:rPr>
          <w:rFonts w:hint="eastAsia" w:ascii="宋体" w:hAnsi="宋体" w:eastAsia="宋体" w:cs="宋体"/>
          <w:color w:val="auto"/>
          <w:spacing w:val="0"/>
          <w:position w:val="0"/>
          <w:sz w:val="24"/>
          <w:szCs w:val="24"/>
          <w:highlight w:val="none"/>
          <w:u w:val="single"/>
          <w:lang w:val="en-US" w:eastAsia="zh-CN"/>
        </w:rPr>
        <w:t xml:space="preserve"> 8：00   </w:t>
      </w:r>
      <w:r>
        <w:rPr>
          <w:rFonts w:hint="eastAsia" w:ascii="宋体" w:hAnsi="宋体" w:eastAsia="宋体" w:cs="宋体"/>
          <w:color w:val="auto"/>
          <w:spacing w:val="0"/>
          <w:position w:val="0"/>
          <w:sz w:val="24"/>
          <w:szCs w:val="24"/>
          <w:highlight w:val="none"/>
          <w:u w:val="none"/>
          <w:lang w:eastAsia="zh-CN"/>
        </w:rPr>
        <w:t>至</w:t>
      </w:r>
      <w:r>
        <w:rPr>
          <w:rFonts w:hint="eastAsia" w:ascii="宋体" w:hAnsi="宋体" w:eastAsia="宋体" w:cs="宋体"/>
          <w:color w:val="auto"/>
          <w:spacing w:val="0"/>
          <w:position w:val="0"/>
          <w:sz w:val="24"/>
          <w:szCs w:val="24"/>
          <w:highlight w:val="none"/>
          <w:u w:val="single"/>
          <w:lang w:val="en-US" w:eastAsia="zh-CN"/>
        </w:rPr>
        <w:t xml:space="preserve"> 12：00   </w:t>
      </w:r>
      <w:r>
        <w:rPr>
          <w:rFonts w:hint="eastAsia" w:ascii="宋体" w:hAnsi="宋体" w:eastAsia="宋体" w:cs="宋体"/>
          <w:color w:val="auto"/>
          <w:spacing w:val="0"/>
          <w:position w:val="0"/>
          <w:sz w:val="24"/>
          <w:szCs w:val="24"/>
          <w:highlight w:val="none"/>
          <w:lang w:eastAsia="zh-CN"/>
        </w:rPr>
        <w:t>，下午</w:t>
      </w:r>
      <w:r>
        <w:rPr>
          <w:rFonts w:hint="eastAsia" w:ascii="宋体" w:hAnsi="宋体" w:eastAsia="宋体" w:cs="宋体"/>
          <w:color w:val="auto"/>
          <w:spacing w:val="0"/>
          <w:position w:val="0"/>
          <w:sz w:val="24"/>
          <w:szCs w:val="24"/>
          <w:highlight w:val="none"/>
          <w:u w:val="single"/>
          <w:lang w:val="en-US" w:eastAsia="zh-CN"/>
        </w:rPr>
        <w:t xml:space="preserve">  14：00   </w:t>
      </w:r>
      <w:r>
        <w:rPr>
          <w:rFonts w:hint="eastAsia" w:ascii="宋体" w:hAnsi="宋体" w:eastAsia="宋体" w:cs="宋体"/>
          <w:color w:val="auto"/>
          <w:spacing w:val="0"/>
          <w:position w:val="0"/>
          <w:sz w:val="24"/>
          <w:szCs w:val="24"/>
          <w:highlight w:val="none"/>
          <w:u w:val="none"/>
          <w:lang w:eastAsia="zh-CN"/>
        </w:rPr>
        <w:t>至</w:t>
      </w:r>
      <w:r>
        <w:rPr>
          <w:rFonts w:hint="eastAsia" w:ascii="宋体" w:hAnsi="宋体" w:eastAsia="宋体" w:cs="宋体"/>
          <w:color w:val="auto"/>
          <w:spacing w:val="0"/>
          <w:position w:val="0"/>
          <w:sz w:val="24"/>
          <w:szCs w:val="24"/>
          <w:highlight w:val="none"/>
          <w:u w:val="single"/>
          <w:lang w:val="en-US" w:eastAsia="zh-CN"/>
        </w:rPr>
        <w:t xml:space="preserve"> 17：00  </w:t>
      </w:r>
      <w:r>
        <w:rPr>
          <w:rFonts w:hint="eastAsia" w:ascii="宋体" w:hAnsi="宋体" w:eastAsia="宋体" w:cs="宋体"/>
          <w:color w:val="auto"/>
          <w:spacing w:val="0"/>
          <w:position w:val="0"/>
          <w:sz w:val="24"/>
          <w:szCs w:val="24"/>
          <w:highlight w:val="none"/>
          <w:lang w:eastAsia="zh-CN"/>
        </w:rPr>
        <w:t>（北京时间，法定节假日除外</w:t>
      </w:r>
      <w:r>
        <w:rPr>
          <w:rFonts w:ascii="宋体" w:hAnsi="宋体" w:eastAsia="宋体" w:cs="宋体"/>
          <w:color w:val="auto"/>
          <w:spacing w:val="0"/>
          <w:position w:val="0"/>
          <w:sz w:val="24"/>
          <w:szCs w:val="24"/>
          <w:highlight w:val="none"/>
          <w:lang w:eastAsia="zh-CN"/>
        </w:rPr>
        <w:t>）</w:t>
      </w:r>
    </w:p>
    <w:p w14:paraId="7FDF8655">
      <w:pPr>
        <w:keepNext w:val="0"/>
        <w:keepLines w:val="0"/>
        <w:pageBreakBefore w:val="0"/>
        <w:widowControl w:val="0"/>
        <w:wordWrap/>
        <w:overflowPunct/>
        <w:topLinePunct w:val="0"/>
        <w:bidi w:val="0"/>
        <w:spacing w:line="360" w:lineRule="auto"/>
        <w:ind w:left="541"/>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地点：</w:t>
      </w:r>
      <w:r>
        <w:rPr>
          <w:rFonts w:hint="eastAsia" w:ascii="宋体" w:hAnsi="宋体" w:eastAsia="宋体" w:cs="宋体"/>
          <w:color w:val="auto"/>
          <w:spacing w:val="0"/>
          <w:position w:val="0"/>
          <w:sz w:val="24"/>
          <w:szCs w:val="24"/>
          <w:highlight w:val="none"/>
        </w:rPr>
        <w:t>江西省招标投标网（http://www.jxtb.org.cn/）</w:t>
      </w:r>
    </w:p>
    <w:p w14:paraId="0847661B">
      <w:pPr>
        <w:keepNext w:val="0"/>
        <w:keepLines w:val="0"/>
        <w:pageBreakBefore w:val="0"/>
        <w:widowControl w:val="0"/>
        <w:wordWrap/>
        <w:overflowPunct/>
        <w:topLinePunct w:val="0"/>
        <w:bidi w:val="0"/>
        <w:spacing w:line="360" w:lineRule="auto"/>
        <w:ind w:left="541"/>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方式：网上确认和下载</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文件。</w:t>
      </w:r>
      <w:r>
        <w:rPr>
          <w:rFonts w:hint="eastAsia" w:ascii="宋体" w:hAnsi="宋体" w:eastAsia="宋体" w:cs="宋体"/>
          <w:color w:val="auto"/>
          <w:spacing w:val="0"/>
          <w:position w:val="0"/>
          <w:sz w:val="24"/>
          <w:szCs w:val="24"/>
          <w:highlight w:val="none"/>
          <w:lang w:val="en-US" w:eastAsia="zh-CN"/>
        </w:rPr>
        <w:t xml:space="preserve"> </w:t>
      </w:r>
    </w:p>
    <w:p w14:paraId="788496CC">
      <w:pPr>
        <w:keepNext w:val="0"/>
        <w:keepLines w:val="0"/>
        <w:pageBreakBefore w:val="0"/>
        <w:widowControl w:val="0"/>
        <w:wordWrap/>
        <w:overflowPunct/>
        <w:topLinePunct w:val="0"/>
        <w:bidi w:val="0"/>
        <w:spacing w:line="360" w:lineRule="auto"/>
        <w:outlineLvl w:val="1"/>
        <w:rPr>
          <w:rFonts w:ascii="宋体" w:hAnsi="宋体" w:eastAsia="宋体" w:cs="宋体"/>
          <w:color w:val="auto"/>
          <w:spacing w:val="0"/>
          <w:position w:val="0"/>
          <w:sz w:val="24"/>
          <w:szCs w:val="24"/>
          <w:highlight w:val="none"/>
          <w:lang w:eastAsia="zh-CN"/>
        </w:rPr>
      </w:pPr>
      <w:bookmarkStart w:id="14" w:name="_Toc12774"/>
      <w:bookmarkStart w:id="15" w:name="_Toc32627"/>
      <w:bookmarkStart w:id="16" w:name="_Toc103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四、提交</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文件截止时间、</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时间和地点</w:t>
      </w:r>
      <w:bookmarkEnd w:id="14"/>
      <w:bookmarkEnd w:id="15"/>
      <w:bookmarkEnd w:id="16"/>
    </w:p>
    <w:p w14:paraId="752C2D76">
      <w:pPr>
        <w:keepNext w:val="0"/>
        <w:keepLines w:val="0"/>
        <w:pageBreakBefore w:val="0"/>
        <w:widowControl w:val="0"/>
        <w:kinsoku w:val="0"/>
        <w:wordWrap/>
        <w:overflowPunct/>
        <w:topLinePunct w:val="0"/>
        <w:autoSpaceDE w:val="0"/>
        <w:autoSpaceDN w:val="0"/>
        <w:bidi w:val="0"/>
        <w:adjustRightInd w:val="0"/>
        <w:snapToGrid w:val="0"/>
        <w:spacing w:line="360" w:lineRule="auto"/>
        <w:ind w:left="514"/>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u w:val="single"/>
          <w:lang w:val="en-US" w:eastAsia="zh-CN"/>
        </w:rPr>
        <w:t xml:space="preserve"> 2026    </w:t>
      </w:r>
      <w:r>
        <w:rPr>
          <w:rFonts w:ascii="宋体" w:hAnsi="宋体" w:eastAsia="宋体" w:cs="宋体"/>
          <w:color w:val="auto"/>
          <w:spacing w:val="0"/>
          <w:position w:val="0"/>
          <w:sz w:val="24"/>
          <w:szCs w:val="24"/>
          <w:highlight w:val="none"/>
          <w:lang w:eastAsia="zh-CN"/>
        </w:rPr>
        <w:t>年</w:t>
      </w:r>
      <w:r>
        <w:rPr>
          <w:rFonts w:hint="eastAsia" w:ascii="宋体" w:hAnsi="宋体" w:eastAsia="宋体" w:cs="宋体"/>
          <w:i w:val="0"/>
          <w:iCs w:val="0"/>
          <w:color w:val="auto"/>
          <w:spacing w:val="0"/>
          <w:position w:val="0"/>
          <w:sz w:val="24"/>
          <w:szCs w:val="24"/>
          <w:highlight w:val="none"/>
          <w:u w:val="single"/>
          <w:lang w:val="en-US" w:eastAsia="zh-CN"/>
        </w:rPr>
        <w:t xml:space="preserve">    1  </w:t>
      </w:r>
      <w:r>
        <w:rPr>
          <w:rFonts w:ascii="宋体" w:hAnsi="宋体" w:eastAsia="宋体" w:cs="宋体"/>
          <w:color w:val="auto"/>
          <w:spacing w:val="0"/>
          <w:position w:val="0"/>
          <w:sz w:val="24"/>
          <w:szCs w:val="24"/>
          <w:highlight w:val="none"/>
          <w:lang w:eastAsia="zh-CN"/>
        </w:rPr>
        <w:t>月</w:t>
      </w:r>
      <w:r>
        <w:rPr>
          <w:rFonts w:hint="eastAsia" w:ascii="宋体" w:hAnsi="宋体" w:eastAsia="宋体" w:cs="宋体"/>
          <w:color w:val="auto"/>
          <w:spacing w:val="0"/>
          <w:position w:val="0"/>
          <w:sz w:val="24"/>
          <w:szCs w:val="24"/>
          <w:highlight w:val="none"/>
          <w:u w:val="single"/>
          <w:lang w:val="en-US" w:eastAsia="zh-CN"/>
        </w:rPr>
        <w:t xml:space="preserve">    7  </w:t>
      </w:r>
      <w:r>
        <w:rPr>
          <w:rFonts w:ascii="宋体" w:hAnsi="宋体" w:eastAsia="宋体" w:cs="宋体"/>
          <w:color w:val="auto"/>
          <w:spacing w:val="0"/>
          <w:position w:val="0"/>
          <w:sz w:val="24"/>
          <w:szCs w:val="24"/>
          <w:highlight w:val="none"/>
          <w:lang w:eastAsia="zh-CN"/>
        </w:rPr>
        <w:t>日</w:t>
      </w:r>
      <w:r>
        <w:rPr>
          <w:rFonts w:hint="eastAsia" w:ascii="宋体" w:hAnsi="宋体" w:eastAsia="宋体" w:cs="宋体"/>
          <w:color w:val="auto"/>
          <w:spacing w:val="0"/>
          <w:position w:val="0"/>
          <w:sz w:val="24"/>
          <w:szCs w:val="24"/>
          <w:highlight w:val="none"/>
          <w:u w:val="single"/>
          <w:lang w:val="en-US" w:eastAsia="zh-CN"/>
        </w:rPr>
        <w:t xml:space="preserve">    09  </w:t>
      </w:r>
      <w:r>
        <w:rPr>
          <w:rFonts w:ascii="宋体" w:hAnsi="宋体" w:eastAsia="宋体" w:cs="宋体"/>
          <w:color w:val="auto"/>
          <w:spacing w:val="0"/>
          <w:position w:val="0"/>
          <w:sz w:val="24"/>
          <w:szCs w:val="24"/>
          <w:highlight w:val="none"/>
          <w:lang w:eastAsia="zh-CN"/>
        </w:rPr>
        <w:t>点</w:t>
      </w:r>
      <w:r>
        <w:rPr>
          <w:rFonts w:hint="eastAsia" w:ascii="宋体" w:hAnsi="宋体" w:eastAsia="宋体" w:cs="宋体"/>
          <w:color w:val="auto"/>
          <w:spacing w:val="0"/>
          <w:position w:val="0"/>
          <w:sz w:val="24"/>
          <w:szCs w:val="24"/>
          <w:highlight w:val="none"/>
          <w:u w:val="single"/>
          <w:lang w:val="en-US" w:eastAsia="zh-CN"/>
        </w:rPr>
        <w:t xml:space="preserve">    30  </w:t>
      </w:r>
      <w:r>
        <w:rPr>
          <w:rFonts w:ascii="宋体" w:hAnsi="宋体" w:eastAsia="宋体" w:cs="宋体"/>
          <w:color w:val="auto"/>
          <w:spacing w:val="0"/>
          <w:position w:val="0"/>
          <w:sz w:val="24"/>
          <w:szCs w:val="24"/>
          <w:highlight w:val="none"/>
          <w:lang w:eastAsia="zh-CN"/>
        </w:rPr>
        <w:t>分（北京时间）</w:t>
      </w:r>
    </w:p>
    <w:p w14:paraId="19DDA5C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地点：</w:t>
      </w:r>
      <w:r>
        <w:rPr>
          <w:rFonts w:hint="eastAsia" w:ascii="宋体" w:hAnsi="宋体" w:eastAsia="宋体" w:cs="宋体"/>
          <w:color w:val="auto"/>
          <w:spacing w:val="0"/>
          <w:position w:val="0"/>
          <w:sz w:val="24"/>
          <w:szCs w:val="24"/>
          <w:highlight w:val="none"/>
          <w:u w:val="single"/>
          <w:lang w:val="en-US" w:eastAsia="zh-CN"/>
        </w:rPr>
        <w:t>江西省吉安市吉州区阳明西路</w:t>
      </w:r>
      <w:bookmarkStart w:id="411" w:name="_GoBack"/>
      <w:bookmarkEnd w:id="411"/>
      <w:r>
        <w:rPr>
          <w:rFonts w:hint="eastAsia" w:ascii="宋体" w:hAnsi="宋体" w:eastAsia="宋体" w:cs="宋体"/>
          <w:color w:val="auto"/>
          <w:spacing w:val="0"/>
          <w:position w:val="0"/>
          <w:sz w:val="24"/>
          <w:szCs w:val="24"/>
          <w:highlight w:val="none"/>
          <w:u w:val="single"/>
          <w:lang w:val="en-US" w:eastAsia="zh-CN"/>
        </w:rPr>
        <w:t xml:space="preserve">高铁站前新区总部经济大楼五楼520室 </w:t>
      </w:r>
    </w:p>
    <w:p w14:paraId="0C9FC95E">
      <w:pPr>
        <w:keepNext w:val="0"/>
        <w:keepLines w:val="0"/>
        <w:pageBreakBefore w:val="0"/>
        <w:widowControl w:val="0"/>
        <w:numPr>
          <w:ilvl w:val="0"/>
          <w:numId w:val="1"/>
        </w:numPr>
        <w:wordWrap/>
        <w:overflowPunct/>
        <w:topLinePunct w:val="0"/>
        <w:bidi w:val="0"/>
        <w:spacing w:line="360" w:lineRule="auto"/>
        <w:ind w:left="4"/>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7" w:name="_Toc16713"/>
      <w:bookmarkStart w:id="18" w:name="_Toc12252"/>
      <w:bookmarkStart w:id="19" w:name="_Toc8477"/>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公告期限</w:t>
      </w:r>
      <w:bookmarkEnd w:id="17"/>
      <w:bookmarkEnd w:id="18"/>
      <w:bookmarkEnd w:id="19"/>
    </w:p>
    <w:p w14:paraId="479628ED">
      <w:pPr>
        <w:keepNext w:val="0"/>
        <w:keepLines w:val="0"/>
        <w:pageBreakBefore w:val="0"/>
        <w:widowControl w:val="0"/>
        <w:kinsoku w:val="0"/>
        <w:wordWrap/>
        <w:overflowPunct/>
        <w:topLinePunct w:val="0"/>
        <w:autoSpaceDE w:val="0"/>
        <w:autoSpaceDN w:val="0"/>
        <w:bidi w:val="0"/>
        <w:adjustRightInd w:val="0"/>
        <w:snapToGrid w:val="0"/>
        <w:spacing w:line="360" w:lineRule="auto"/>
        <w:ind w:left="520"/>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自本公告发布之日起</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个工作日</w:t>
      </w:r>
      <w:r>
        <w:rPr>
          <w:rFonts w:hint="eastAsia" w:ascii="宋体" w:hAnsi="宋体" w:eastAsia="宋体" w:cs="宋体"/>
          <w:color w:val="auto"/>
          <w:spacing w:val="0"/>
          <w:position w:val="0"/>
          <w:sz w:val="24"/>
          <w:szCs w:val="24"/>
          <w:highlight w:val="none"/>
          <w:lang w:eastAsia="zh-CN"/>
        </w:rPr>
        <w:t>。</w:t>
      </w:r>
    </w:p>
    <w:p w14:paraId="627512E5">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360" w:lineRule="auto"/>
        <w:ind w:left="4" w:leftChars="0" w:firstLine="0" w:firstLineChars="0"/>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其他补充事宜</w:t>
      </w:r>
    </w:p>
    <w:p w14:paraId="309239F1">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u w:val="none"/>
          <w:lang w:val="en-US" w:eastAsia="zh-CN"/>
        </w:rPr>
        <w:t>本项目为线下开启，（供应商应提交纸质文件正本一份，副本一份(响应文件应采用 A4 幅面纸张打印胶装成册，应编制封面、目录、页码)。用信封将响应文件放入一个文件袋中并密封，封口处有供应商全权代表的签字或供应商单位公章，封面上注明询比项目名称、询比编号、供应商名称、地址、电话、联系人）</w:t>
      </w:r>
      <w:r>
        <w:rPr>
          <w:rFonts w:hint="eastAsia" w:ascii="宋体" w:hAnsi="宋体" w:eastAsia="宋体" w:cs="宋体"/>
          <w:b/>
          <w:bCs/>
          <w:color w:val="auto"/>
          <w:spacing w:val="0"/>
          <w:position w:val="0"/>
          <w:sz w:val="24"/>
          <w:szCs w:val="24"/>
          <w:highlight w:val="none"/>
          <w:u w:val="none"/>
          <w:lang w:val="en-US" w:eastAsia="zh-CN"/>
        </w:rPr>
        <w:t>并且提供一份存有电子投标文件的U盘（不退回）。</w:t>
      </w:r>
    </w:p>
    <w:p w14:paraId="0F07240A">
      <w:pPr>
        <w:keepNext w:val="0"/>
        <w:keepLines w:val="0"/>
        <w:pageBreakBefore w:val="0"/>
        <w:widowControl w:val="0"/>
        <w:wordWrap/>
        <w:overflowPunct/>
        <w:topLinePunct w:val="0"/>
        <w:bidi w:val="0"/>
        <w:spacing w:line="360" w:lineRule="auto"/>
        <w:outlineLvl w:val="1"/>
        <w:rPr>
          <w:rFonts w:ascii="宋体" w:hAnsi="宋体" w:eastAsia="宋体" w:cs="宋体"/>
          <w:color w:val="auto"/>
          <w:spacing w:val="0"/>
          <w:position w:val="0"/>
          <w:sz w:val="24"/>
          <w:szCs w:val="24"/>
          <w:highlight w:val="none"/>
          <w:lang w:eastAsia="zh-CN"/>
        </w:rPr>
      </w:pPr>
      <w:bookmarkStart w:id="20" w:name="_Toc30354"/>
      <w:bookmarkStart w:id="21" w:name="_Toc15524"/>
      <w:bookmarkStart w:id="22" w:name="_Toc1077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七、对本次</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提出询问，请按以下方式联系</w:t>
      </w:r>
      <w:bookmarkEnd w:id="20"/>
      <w:bookmarkEnd w:id="21"/>
      <w:bookmarkEnd w:id="22"/>
    </w:p>
    <w:p w14:paraId="2E3A811B">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738"/>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1.采购人信息</w:t>
      </w:r>
    </w:p>
    <w:p w14:paraId="1B3F7D6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名 称：</w:t>
      </w:r>
      <w:r>
        <w:rPr>
          <w:rFonts w:hint="eastAsia" w:ascii="宋体" w:hAnsi="宋体" w:eastAsia="宋体" w:cs="宋体"/>
          <w:color w:val="auto"/>
          <w:spacing w:val="0"/>
          <w:w w:val="100"/>
          <w:position w:val="0"/>
          <w:sz w:val="24"/>
          <w:szCs w:val="24"/>
          <w:highlight w:val="none"/>
          <w:u w:val="single"/>
          <w:lang w:val="en-US" w:eastAsia="zh-CN"/>
        </w:rPr>
        <w:t xml:space="preserve"> 吉安市农业农村发展集团有限公司   </w:t>
      </w:r>
    </w:p>
    <w:p w14:paraId="5DA380C0">
      <w:pPr>
        <w:keepNext w:val="0"/>
        <w:keepLines w:val="0"/>
        <w:pageBreakBefore w:val="0"/>
        <w:widowControl w:val="0"/>
        <w:kinsoku w:val="0"/>
        <w:wordWrap/>
        <w:overflowPunct/>
        <w:topLinePunct w:val="0"/>
        <w:autoSpaceDE w:val="0"/>
        <w:autoSpaceDN w:val="0"/>
        <w:bidi w:val="0"/>
        <w:adjustRightInd w:val="0"/>
        <w:snapToGrid w:val="0"/>
        <w:spacing w:before="177" w:line="360" w:lineRule="auto"/>
        <w:ind w:left="780"/>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 xml:space="preserve">地 址： </w:t>
      </w:r>
      <w:r>
        <w:rPr>
          <w:rFonts w:hint="eastAsia" w:ascii="宋体" w:hAnsi="宋体" w:eastAsia="宋体" w:cs="宋体"/>
          <w:color w:val="auto"/>
          <w:spacing w:val="0"/>
          <w:w w:val="100"/>
          <w:position w:val="0"/>
          <w:sz w:val="24"/>
          <w:szCs w:val="24"/>
          <w:highlight w:val="none"/>
          <w:u w:val="single"/>
          <w:lang w:val="en-US" w:eastAsia="zh-CN"/>
        </w:rPr>
        <w:t xml:space="preserve">  江西省吉安市吉州区振兴路与金庐西路交叉口正北方向井冈山农业科技园南区企业孵化器楼A座9楼  </w:t>
      </w:r>
    </w:p>
    <w:p w14:paraId="6B0A9E2D">
      <w:pPr>
        <w:keepNext w:val="0"/>
        <w:keepLines w:val="0"/>
        <w:pageBreakBefore w:val="0"/>
        <w:widowControl w:val="0"/>
        <w:kinsoku w:val="0"/>
        <w:wordWrap/>
        <w:overflowPunct/>
        <w:topLinePunct w:val="0"/>
        <w:autoSpaceDE w:val="0"/>
        <w:autoSpaceDN w:val="0"/>
        <w:bidi w:val="0"/>
        <w:adjustRightInd w:val="0"/>
        <w:snapToGrid w:val="0"/>
        <w:spacing w:before="171" w:afterAutospacing="0" w:line="360" w:lineRule="auto"/>
        <w:ind w:left="781"/>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 xml:space="preserve">联系方式： </w:t>
      </w:r>
      <w:r>
        <w:rPr>
          <w:rFonts w:hint="eastAsia" w:ascii="宋体" w:hAnsi="宋体" w:eastAsia="宋体" w:cs="宋体"/>
          <w:color w:val="auto"/>
          <w:spacing w:val="0"/>
          <w:w w:val="100"/>
          <w:position w:val="0"/>
          <w:sz w:val="24"/>
          <w:szCs w:val="24"/>
          <w:highlight w:val="none"/>
          <w:u w:val="single"/>
          <w:lang w:val="en-US" w:eastAsia="zh-CN"/>
        </w:rPr>
        <w:t xml:space="preserve">  龙先生、13766202167  </w:t>
      </w:r>
    </w:p>
    <w:p w14:paraId="2E79AE3E">
      <w:pPr>
        <w:keepNext w:val="0"/>
        <w:keepLines w:val="0"/>
        <w:pageBreakBefore w:val="0"/>
        <w:widowControl w:val="0"/>
        <w:kinsoku w:val="0"/>
        <w:wordWrap/>
        <w:overflowPunct/>
        <w:topLinePunct w:val="0"/>
        <w:autoSpaceDE w:val="0"/>
        <w:autoSpaceDN w:val="0"/>
        <w:bidi w:val="0"/>
        <w:adjustRightInd w:val="0"/>
        <w:snapToGrid w:val="0"/>
        <w:spacing w:before="120" w:beforeAutospacing="0" w:line="360" w:lineRule="auto"/>
        <w:ind w:left="783"/>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2.采购代理机构信息</w:t>
      </w:r>
    </w:p>
    <w:p w14:paraId="7303E27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名 称：</w:t>
      </w:r>
      <w:r>
        <w:rPr>
          <w:rFonts w:hint="eastAsia" w:ascii="宋体" w:hAnsi="宋体" w:eastAsia="宋体" w:cs="宋体"/>
          <w:i w:val="0"/>
          <w:iCs w:val="0"/>
          <w:color w:val="auto"/>
          <w:spacing w:val="0"/>
          <w:w w:val="100"/>
          <w:position w:val="0"/>
          <w:sz w:val="24"/>
          <w:szCs w:val="24"/>
          <w:highlight w:val="none"/>
          <w:u w:val="single"/>
          <w:lang w:val="en-US" w:eastAsia="zh-CN"/>
        </w:rPr>
        <w:t xml:space="preserve">  吉安城投建设监理有限公司</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5EC4DED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地 址：</w:t>
      </w:r>
      <w:r>
        <w:rPr>
          <w:rFonts w:hint="eastAsia" w:ascii="宋体" w:hAnsi="宋体" w:eastAsia="宋体" w:cs="宋体"/>
          <w:color w:val="auto"/>
          <w:spacing w:val="0"/>
          <w:w w:val="100"/>
          <w:position w:val="0"/>
          <w:sz w:val="24"/>
          <w:szCs w:val="24"/>
          <w:highlight w:val="none"/>
          <w:u w:val="single"/>
          <w:lang w:val="en-US" w:eastAsia="zh-CN"/>
        </w:rPr>
        <w:t xml:space="preserve"> 江西省吉安市高铁新区五指峰吉安市总部经济大厦515室。                           </w:t>
      </w:r>
      <w:r>
        <w:rPr>
          <w:rFonts w:hint="eastAsia" w:ascii="宋体" w:hAnsi="宋体" w:eastAsia="宋体" w:cs="宋体"/>
          <w:color w:val="auto"/>
          <w:spacing w:val="0"/>
          <w:w w:val="100"/>
          <w:position w:val="0"/>
          <w:sz w:val="24"/>
          <w:szCs w:val="24"/>
          <w:highlight w:val="none"/>
          <w:lang w:val="en-US" w:eastAsia="zh-CN"/>
        </w:rPr>
        <w:t xml:space="preserve">                           </w:t>
      </w:r>
    </w:p>
    <w:p w14:paraId="0419F6A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项目联系人：</w:t>
      </w:r>
      <w:r>
        <w:rPr>
          <w:rFonts w:hint="eastAsia" w:ascii="宋体" w:hAnsi="宋体" w:eastAsia="宋体" w:cs="宋体"/>
          <w:color w:val="auto"/>
          <w:spacing w:val="0"/>
          <w:w w:val="100"/>
          <w:position w:val="0"/>
          <w:sz w:val="24"/>
          <w:szCs w:val="24"/>
          <w:highlight w:val="none"/>
          <w:u w:val="single"/>
          <w:lang w:val="en-US" w:eastAsia="zh-CN"/>
        </w:rPr>
        <w:t xml:space="preserve">  周先生         </w:t>
      </w:r>
      <w:r>
        <w:rPr>
          <w:rFonts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2647E6FA">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电  话：</w:t>
      </w:r>
      <w:r>
        <w:rPr>
          <w:rFonts w:hint="eastAsia" w:ascii="宋体" w:hAnsi="宋体" w:eastAsia="宋体" w:cs="宋体"/>
          <w:color w:val="auto"/>
          <w:spacing w:val="0"/>
          <w:w w:val="100"/>
          <w:position w:val="0"/>
          <w:sz w:val="24"/>
          <w:szCs w:val="24"/>
          <w:highlight w:val="none"/>
          <w:u w:val="single"/>
          <w:lang w:val="en-US" w:eastAsia="zh-CN"/>
        </w:rPr>
        <w:t xml:space="preserve">    0796-8221186    </w:t>
      </w:r>
      <w:r>
        <w:rPr>
          <w:rFonts w:hint="eastAsia" w:ascii="宋体" w:hAnsi="宋体" w:eastAsia="宋体" w:cs="宋体"/>
          <w:color w:val="auto"/>
          <w:spacing w:val="0"/>
          <w:w w:val="100"/>
          <w:position w:val="0"/>
          <w:sz w:val="24"/>
          <w:szCs w:val="24"/>
          <w:highlight w:val="none"/>
          <w:lang w:val="en-US" w:eastAsia="zh-CN"/>
        </w:rPr>
        <w:t xml:space="preserve">                          </w:t>
      </w:r>
    </w:p>
    <w:p w14:paraId="08CC6F90">
      <w:pPr>
        <w:pageBreakBefore w:val="0"/>
        <w:widowControl w:val="0"/>
        <w:wordWrap/>
        <w:overflowPunct/>
        <w:topLinePunct w:val="0"/>
        <w:bidi w:val="0"/>
        <w:spacing w:before="83" w:line="224" w:lineRule="auto"/>
        <w:ind w:left="0" w:leftChars="0" w:firstLine="782" w:firstLineChars="326"/>
        <w:jc w:val="both"/>
        <w:outlineLvl w:val="0"/>
        <w:rPr>
          <w:rFonts w:hint="eastAsia" w:ascii="宋体" w:hAnsi="宋体" w:eastAsia="宋体" w:cs="宋体"/>
          <w:color w:val="auto"/>
          <w:spacing w:val="0"/>
          <w:w w:val="100"/>
          <w:position w:val="0"/>
          <w:sz w:val="24"/>
          <w:szCs w:val="24"/>
          <w:highlight w:val="none"/>
          <w:lang w:val="en-US" w:eastAsia="zh-CN"/>
        </w:rPr>
      </w:pPr>
      <w:bookmarkStart w:id="23" w:name="_Toc7119"/>
      <w:bookmarkStart w:id="24" w:name="_Toc825"/>
      <w:bookmarkStart w:id="25" w:name="_Toc15826"/>
      <w:r>
        <w:rPr>
          <w:rFonts w:ascii="宋体" w:hAnsi="宋体" w:eastAsia="宋体" w:cs="宋体"/>
          <w:color w:val="auto"/>
          <w:spacing w:val="0"/>
          <w:w w:val="100"/>
          <w:position w:val="0"/>
          <w:sz w:val="24"/>
          <w:szCs w:val="24"/>
          <w:highlight w:val="none"/>
          <w:lang w:eastAsia="zh-CN"/>
        </w:rPr>
        <w:t>电子函件：</w:t>
      </w:r>
      <w:r>
        <w:rPr>
          <w:rFonts w:hint="eastAsia" w:ascii="宋体" w:hAnsi="宋体" w:eastAsia="宋体" w:cs="宋体"/>
          <w:color w:val="auto"/>
          <w:spacing w:val="0"/>
          <w:w w:val="100"/>
          <w:position w:val="0"/>
          <w:sz w:val="24"/>
          <w:szCs w:val="24"/>
          <w:highlight w:val="none"/>
          <w:u w:val="single"/>
          <w:lang w:val="en-US" w:eastAsia="zh-CN"/>
        </w:rPr>
        <w:t xml:space="preserve">   jactjl_shichangbu@163.com</w:t>
      </w:r>
      <w:bookmarkEnd w:id="23"/>
      <w:bookmarkEnd w:id="24"/>
      <w:bookmarkEnd w:id="25"/>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lang w:val="en-US" w:eastAsia="zh-CN"/>
        </w:rPr>
        <w:t xml:space="preserve">        </w:t>
      </w:r>
    </w:p>
    <w:p w14:paraId="6D2CFA99">
      <w:pPr>
        <w:pageBreakBefore w:val="0"/>
        <w:widowControl w:val="0"/>
        <w:wordWrap/>
        <w:overflowPunct/>
        <w:topLinePunct w:val="0"/>
        <w:bidi w:val="0"/>
        <w:spacing w:before="83" w:line="224" w:lineRule="auto"/>
        <w:jc w:val="center"/>
        <w:outlineLvl w:val="0"/>
        <w:rPr>
          <w:rFonts w:ascii="宋体" w:hAnsi="宋体" w:eastAsia="宋体" w:cs="宋体"/>
          <w:color w:val="auto"/>
          <w:sz w:val="31"/>
          <w:szCs w:val="31"/>
          <w:highlight w:val="none"/>
          <w:lang w:eastAsia="zh-CN"/>
        </w:rPr>
      </w:pPr>
      <w:bookmarkStart w:id="26" w:name="_Toc9715"/>
      <w:bookmarkStart w:id="27" w:name="_Toc27738"/>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8"/>
          <w:sz w:val="31"/>
          <w:szCs w:val="31"/>
          <w:highlight w:val="none"/>
          <w:lang w:eastAsia="zh-CN"/>
        </w:rPr>
        <w:t xml:space="preserve">  </w:t>
      </w:r>
      <w:r>
        <w:rPr>
          <w:rFonts w:hint="eastAsia" w:ascii="宋体" w:hAnsi="宋体" w:eastAsia="宋体" w:cs="宋体"/>
          <w:color w:val="auto"/>
          <w:spacing w:val="8"/>
          <w:sz w:val="31"/>
          <w:szCs w:val="31"/>
          <w:highlight w:val="none"/>
          <w:lang w:val="en-US" w:eastAsia="zh-CN"/>
          <w14:textOutline w14:w="5791" w14:cap="sq" w14:cmpd="sng" w14:algn="ctr">
            <w14:solidFill>
              <w14:srgbClr w14:val="000000"/>
            </w14:solidFill>
            <w14:prstDash w14:val="solid"/>
            <w14:bevel/>
          </w14:textOutline>
        </w:rPr>
        <w:t>供应商</w:t>
      </w:r>
      <w:r>
        <w:rPr>
          <w:rFonts w:ascii="宋体" w:hAnsi="宋体" w:eastAsia="宋体" w:cs="宋体"/>
          <w:color w:val="auto"/>
          <w:spacing w:val="8"/>
          <w:sz w:val="31"/>
          <w:szCs w:val="31"/>
          <w:highlight w:val="none"/>
          <w:lang w:eastAsia="zh-CN"/>
          <w14:textOutline w14:w="5791" w14:cap="sq" w14:cmpd="sng" w14:algn="ctr">
            <w14:solidFill>
              <w14:srgbClr w14:val="000000"/>
            </w14:solidFill>
            <w14:prstDash w14:val="solid"/>
            <w14:bevel/>
          </w14:textOutline>
        </w:rPr>
        <w:t>须知</w:t>
      </w:r>
      <w:bookmarkEnd w:id="26"/>
      <w:bookmarkEnd w:id="27"/>
    </w:p>
    <w:p w14:paraId="2C5C7127">
      <w:pPr>
        <w:keepNext w:val="0"/>
        <w:keepLines w:val="0"/>
        <w:pageBreakBefore w:val="0"/>
        <w:widowControl w:val="0"/>
        <w:kinsoku w:val="0"/>
        <w:wordWrap/>
        <w:overflowPunct/>
        <w:topLinePunct w:val="0"/>
        <w:autoSpaceDE w:val="0"/>
        <w:autoSpaceDN w:val="0"/>
        <w:bidi w:val="0"/>
        <w:adjustRightInd w:val="0"/>
        <w:snapToGrid w:val="0"/>
        <w:spacing w:before="207" w:after="0" w:afterLines="169" w:afterAutospacing="0" w:line="219" w:lineRule="auto"/>
        <w:ind w:left="3984" w:leftChars="0" w:hanging="3984" w:hangingChars="1674"/>
        <w:jc w:val="center"/>
        <w:textAlignment w:val="baseline"/>
        <w:outlineLvl w:val="1"/>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pPr>
      <w:bookmarkStart w:id="28" w:name="_Toc24938"/>
      <w:bookmarkStart w:id="29" w:name="_Toc25642"/>
      <w:bookmarkStart w:id="30" w:name="_Toc4251"/>
      <w:bookmarkStart w:id="31" w:name="_Toc21641"/>
      <w:r>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14:textOutline w14:w="4356" w14:cap="sq" w14:cmpd="sng" w14:algn="ctr">
            <w14:solidFill>
              <w14:srgbClr w14:val="000000"/>
            </w14:solidFill>
            <w14:prstDash w14:val="solid"/>
            <w14:bevel/>
          </w14:textOutline>
        </w:rPr>
        <w:t>须知前附表</w:t>
      </w:r>
      <w:bookmarkEnd w:id="28"/>
      <w:bookmarkEnd w:id="29"/>
      <w:bookmarkEnd w:id="30"/>
      <w:bookmarkEnd w:id="31"/>
    </w:p>
    <w:p w14:paraId="18A4EBC3">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0" w:leftChars="0" w:firstLine="0" w:firstLineChars="0"/>
        <w:jc w:val="left"/>
        <w:textAlignment w:val="baseline"/>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本表是对供应商须知的具体补充和修改，如有矛盾，均以本表为准。</w:t>
      </w:r>
    </w:p>
    <w:p w14:paraId="6A0AA32A">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snapToGrid w:val="0"/>
          <w:color w:val="auto"/>
          <w:spacing w:val="3"/>
          <w:kern w:val="0"/>
          <w:sz w:val="24"/>
          <w:szCs w:val="24"/>
          <w:highlight w:val="none"/>
          <w:lang w:val="en-US" w:eastAsia="zh-CN" w:bidi="ar-SA"/>
        </w:rPr>
        <w:t>标记</w:t>
      </w:r>
      <w:r>
        <w:rPr>
          <w:rFonts w:hint="eastAsia" w:ascii="宋体" w:hAnsi="宋体" w:eastAsia="宋体" w:cs="宋体"/>
          <w:snapToGrid w:val="0"/>
          <w:color w:val="auto"/>
          <w:spacing w:val="3"/>
          <w:kern w:val="0"/>
          <w:sz w:val="24"/>
          <w:szCs w:val="24"/>
          <w:highlight w:val="none"/>
          <w:lang w:val="en-US" w:eastAsia="zh-CN" w:bidi="ar-SA"/>
        </w:rPr>
        <w:sym w:font="Wingdings 2" w:char="0052"/>
      </w:r>
      <w:r>
        <w:rPr>
          <w:rFonts w:hint="eastAsia" w:ascii="宋体" w:hAnsi="宋体" w:eastAsia="宋体" w:cs="宋体"/>
          <w:snapToGrid w:val="0"/>
          <w:color w:val="auto"/>
          <w:spacing w:val="3"/>
          <w:kern w:val="0"/>
          <w:sz w:val="24"/>
          <w:szCs w:val="24"/>
          <w:highlight w:val="none"/>
          <w:lang w:val="en-US" w:eastAsia="zh-CN" w:bidi="ar-SA"/>
        </w:rPr>
        <w:t>的选项意为适用于本项目，标记</w:t>
      </w:r>
      <w:r>
        <w:rPr>
          <w:rFonts w:hint="eastAsia" w:ascii="宋体" w:hAnsi="宋体" w:eastAsia="宋体" w:cs="宋体"/>
          <w:snapToGrid w:val="0"/>
          <w:color w:val="auto"/>
          <w:spacing w:val="3"/>
          <w:kern w:val="0"/>
          <w:sz w:val="24"/>
          <w:szCs w:val="24"/>
          <w:highlight w:val="none"/>
          <w:lang w:val="en-US" w:eastAsia="zh-CN" w:bidi="ar-SA"/>
        </w:rPr>
        <w:sym w:font="Wingdings 2" w:char="00A3"/>
      </w:r>
      <w:r>
        <w:rPr>
          <w:rFonts w:hint="eastAsia" w:ascii="宋体" w:hAnsi="宋体" w:eastAsia="宋体" w:cs="宋体"/>
          <w:snapToGrid w:val="0"/>
          <w:color w:val="auto"/>
          <w:spacing w:val="3"/>
          <w:kern w:val="0"/>
          <w:sz w:val="24"/>
          <w:szCs w:val="24"/>
          <w:highlight w:val="none"/>
          <w:lang w:val="en-US" w:eastAsia="zh-CN" w:bidi="ar-SA"/>
        </w:rPr>
        <w:t>的选项意为不适用于本项目。</w:t>
      </w:r>
    </w:p>
    <w:p w14:paraId="5E44F340">
      <w:pPr>
        <w:pageBreakBefore w:val="0"/>
        <w:widowControl w:val="0"/>
        <w:wordWrap/>
        <w:overflowPunct/>
        <w:topLinePunct w:val="0"/>
        <w:bidi w:val="0"/>
        <w:spacing w:line="69" w:lineRule="exact"/>
        <w:rPr>
          <w:color w:val="auto"/>
          <w:highlight w:val="none"/>
        </w:rPr>
      </w:pPr>
    </w:p>
    <w:tbl>
      <w:tblPr>
        <w:tblStyle w:val="25"/>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429"/>
        <w:gridCol w:w="7138"/>
      </w:tblGrid>
      <w:tr w14:paraId="0BCA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38" w:type="dxa"/>
            <w:vAlign w:val="center"/>
          </w:tcPr>
          <w:p w14:paraId="52B94292">
            <w:pPr>
              <w:pageBreakBefore w:val="0"/>
              <w:widowControl w:val="0"/>
              <w:wordWrap/>
              <w:overflowPunct/>
              <w:topLinePunct w:val="0"/>
              <w:bidi w:val="0"/>
              <w:spacing w:before="56" w:line="219" w:lineRule="auto"/>
              <w:ind w:left="116"/>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条款号</w:t>
            </w:r>
          </w:p>
        </w:tc>
        <w:tc>
          <w:tcPr>
            <w:tcW w:w="1429" w:type="dxa"/>
            <w:vAlign w:val="center"/>
          </w:tcPr>
          <w:p w14:paraId="34C4D661">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条目</w:t>
            </w:r>
          </w:p>
        </w:tc>
        <w:tc>
          <w:tcPr>
            <w:tcW w:w="7138" w:type="dxa"/>
            <w:vAlign w:val="center"/>
          </w:tcPr>
          <w:p w14:paraId="391E0019">
            <w:pPr>
              <w:pageBreakBefore w:val="0"/>
              <w:widowControl w:val="0"/>
              <w:wordWrap/>
              <w:overflowPunct/>
              <w:topLinePunct w:val="0"/>
              <w:bidi w:val="0"/>
              <w:spacing w:before="56" w:line="219" w:lineRule="auto"/>
              <w:ind w:left="3744" w:leftChars="0" w:hanging="3744" w:hangingChars="1872"/>
              <w:jc w:val="center"/>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2F63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8" w:type="dxa"/>
          </w:tcPr>
          <w:p w14:paraId="4F6DED95">
            <w:pPr>
              <w:pageBreakBefore w:val="0"/>
              <w:widowControl w:val="0"/>
              <w:wordWrap/>
              <w:overflowPunct/>
              <w:topLinePunct w:val="0"/>
              <w:bidi w:val="0"/>
              <w:spacing w:before="116" w:line="184" w:lineRule="auto"/>
              <w:ind w:left="31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1.1</w:t>
            </w:r>
          </w:p>
        </w:tc>
        <w:tc>
          <w:tcPr>
            <w:tcW w:w="1429" w:type="dxa"/>
            <w:vAlign w:val="center"/>
          </w:tcPr>
          <w:p w14:paraId="059FD1E5">
            <w:pPr>
              <w:keepNext w:val="0"/>
              <w:keepLines w:val="0"/>
              <w:pageBreakBefore w:val="0"/>
              <w:widowControl w:val="0"/>
              <w:kinsoku w:val="0"/>
              <w:wordWrap/>
              <w:overflowPunct/>
              <w:topLinePunct w:val="0"/>
              <w:autoSpaceDE w:val="0"/>
              <w:autoSpaceDN w:val="0"/>
              <w:bidi w:val="0"/>
              <w:adjustRightInd w:val="0"/>
              <w:snapToGrid w:val="0"/>
              <w:spacing w:line="240" w:lineRule="auto"/>
              <w:ind w:right="143" w:rightChars="68"/>
              <w:jc w:val="center"/>
              <w:textAlignment w:val="baseline"/>
              <w:rPr>
                <w:rFonts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项目名称及项目编号</w:t>
            </w:r>
          </w:p>
        </w:tc>
        <w:tc>
          <w:tcPr>
            <w:tcW w:w="7138" w:type="dxa"/>
            <w:vAlign w:val="center"/>
          </w:tcPr>
          <w:p w14:paraId="4C16B44B">
            <w:pPr>
              <w:pageBreakBefore w:val="0"/>
              <w:widowControl w:val="0"/>
              <w:wordWrap/>
              <w:overflowPunct/>
              <w:topLinePunct w:val="0"/>
              <w:bidi w:val="0"/>
              <w:spacing w:before="79" w:line="219" w:lineRule="auto"/>
              <w:ind w:left="118"/>
              <w:jc w:val="center"/>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29E1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38" w:type="dxa"/>
          </w:tcPr>
          <w:p w14:paraId="77154194">
            <w:pPr>
              <w:pageBreakBefore w:val="0"/>
              <w:widowControl w:val="0"/>
              <w:wordWrap/>
              <w:overflowPunct/>
              <w:topLinePunct w:val="0"/>
              <w:bidi w:val="0"/>
              <w:spacing w:before="118" w:line="184" w:lineRule="auto"/>
              <w:ind w:left="3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2.1</w:t>
            </w:r>
          </w:p>
        </w:tc>
        <w:tc>
          <w:tcPr>
            <w:tcW w:w="1429" w:type="dxa"/>
            <w:vAlign w:val="center"/>
          </w:tcPr>
          <w:p w14:paraId="39834611">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4"/>
                <w:sz w:val="24"/>
                <w:szCs w:val="24"/>
                <w:highlight w:val="none"/>
                <w:lang w:eastAsia="zh-CN"/>
              </w:rPr>
              <w:t>采购人</w:t>
            </w:r>
          </w:p>
        </w:tc>
        <w:tc>
          <w:tcPr>
            <w:tcW w:w="7138" w:type="dxa"/>
            <w:vAlign w:val="center"/>
          </w:tcPr>
          <w:p w14:paraId="3C465816">
            <w:pPr>
              <w:pageBreakBefore w:val="0"/>
              <w:widowControl w:val="0"/>
              <w:wordWrap/>
              <w:overflowPunct/>
              <w:topLinePunct w:val="0"/>
              <w:bidi w:val="0"/>
              <w:spacing w:before="81" w:line="219" w:lineRule="auto"/>
              <w:ind w:left="113"/>
              <w:jc w:val="center"/>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 xml:space="preserve">详见“第一章 </w:t>
            </w:r>
            <w:r>
              <w:rPr>
                <w:rFonts w:hint="eastAsia" w:ascii="宋体" w:hAnsi="宋体" w:eastAsia="宋体" w:cs="宋体"/>
                <w:color w:val="auto"/>
                <w:spacing w:val="4"/>
                <w:sz w:val="24"/>
                <w:szCs w:val="24"/>
                <w:highlight w:val="none"/>
                <w:lang w:eastAsia="zh-CN"/>
              </w:rPr>
              <w:t>磋商邀请</w:t>
            </w:r>
            <w:r>
              <w:rPr>
                <w:rFonts w:ascii="宋体" w:hAnsi="宋体" w:eastAsia="宋体" w:cs="宋体"/>
                <w:color w:val="auto"/>
                <w:spacing w:val="4"/>
                <w:sz w:val="24"/>
                <w:szCs w:val="24"/>
                <w:highlight w:val="none"/>
                <w:lang w:eastAsia="zh-CN"/>
              </w:rPr>
              <w:t>”</w:t>
            </w:r>
          </w:p>
        </w:tc>
      </w:tr>
      <w:tr w14:paraId="4022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38" w:type="dxa"/>
          </w:tcPr>
          <w:p w14:paraId="2AC676DA">
            <w:pPr>
              <w:pageBreakBefore w:val="0"/>
              <w:widowControl w:val="0"/>
              <w:wordWrap/>
              <w:overflowPunct/>
              <w:topLinePunct w:val="0"/>
              <w:bidi w:val="0"/>
              <w:spacing w:before="188" w:line="183" w:lineRule="auto"/>
              <w:ind w:left="30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2.2</w:t>
            </w:r>
          </w:p>
        </w:tc>
        <w:tc>
          <w:tcPr>
            <w:tcW w:w="1429" w:type="dxa"/>
            <w:vAlign w:val="center"/>
          </w:tcPr>
          <w:p w14:paraId="677D09D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3"/>
                <w:sz w:val="24"/>
                <w:szCs w:val="24"/>
                <w:highlight w:val="none"/>
                <w:lang w:eastAsia="zh-CN"/>
              </w:rPr>
            </w:pPr>
            <w:r>
              <w:rPr>
                <w:rFonts w:ascii="宋体" w:hAnsi="宋体" w:eastAsia="宋体" w:cs="宋体"/>
                <w:color w:val="auto"/>
                <w:spacing w:val="3"/>
                <w:sz w:val="24"/>
                <w:szCs w:val="24"/>
                <w:highlight w:val="none"/>
                <w:lang w:eastAsia="zh-CN"/>
              </w:rPr>
              <w:t>采购代理</w:t>
            </w:r>
          </w:p>
          <w:p w14:paraId="66508B02">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3"/>
                <w:sz w:val="24"/>
                <w:szCs w:val="24"/>
                <w:highlight w:val="none"/>
                <w:lang w:eastAsia="zh-CN"/>
              </w:rPr>
              <w:t>机构</w:t>
            </w:r>
          </w:p>
        </w:tc>
        <w:tc>
          <w:tcPr>
            <w:tcW w:w="7138" w:type="dxa"/>
            <w:vAlign w:val="center"/>
          </w:tcPr>
          <w:p w14:paraId="225A56B0">
            <w:pPr>
              <w:pageBreakBefore w:val="0"/>
              <w:widowControl w:val="0"/>
              <w:wordWrap/>
              <w:overflowPunct/>
              <w:topLinePunct w:val="0"/>
              <w:bidi w:val="0"/>
              <w:spacing w:before="149" w:line="219" w:lineRule="auto"/>
              <w:ind w:left="113"/>
              <w:jc w:val="center"/>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19287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938" w:type="dxa"/>
            <w:vAlign w:val="center"/>
          </w:tcPr>
          <w:p w14:paraId="6ED7A99A">
            <w:pPr>
              <w:pageBreakBefore w:val="0"/>
              <w:widowControl w:val="0"/>
              <w:wordWrap/>
              <w:overflowPunct/>
              <w:topLinePunct w:val="0"/>
              <w:bidi w:val="0"/>
              <w:spacing w:before="78" w:line="184" w:lineRule="auto"/>
              <w:ind w:left="182"/>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3.2.1</w:t>
            </w:r>
          </w:p>
        </w:tc>
        <w:tc>
          <w:tcPr>
            <w:tcW w:w="1429" w:type="dxa"/>
            <w:vAlign w:val="center"/>
          </w:tcPr>
          <w:p w14:paraId="0937088A">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4"/>
                <w:szCs w:val="24"/>
                <w:highlight w:val="none"/>
                <w:lang w:val="en-US"/>
              </w:rPr>
            </w:pPr>
            <w:r>
              <w:rPr>
                <w:rFonts w:ascii="宋体" w:hAnsi="宋体" w:eastAsia="宋体" w:cs="宋体"/>
                <w:color w:val="auto"/>
                <w:spacing w:val="3"/>
                <w:sz w:val="24"/>
                <w:szCs w:val="24"/>
                <w:highlight w:val="none"/>
                <w:lang w:eastAsia="zh-CN"/>
              </w:rPr>
              <w:t>联合体</w:t>
            </w:r>
            <w:r>
              <w:rPr>
                <w:rFonts w:hint="eastAsia" w:ascii="宋体" w:hAnsi="宋体" w:eastAsia="宋体" w:cs="宋体"/>
                <w:color w:val="auto"/>
                <w:spacing w:val="3"/>
                <w:sz w:val="24"/>
                <w:szCs w:val="24"/>
                <w:highlight w:val="none"/>
                <w:lang w:val="en-US" w:eastAsia="zh-CN"/>
              </w:rPr>
              <w:t>磋商</w:t>
            </w:r>
          </w:p>
        </w:tc>
        <w:tc>
          <w:tcPr>
            <w:tcW w:w="7138" w:type="dxa"/>
            <w:vAlign w:val="center"/>
          </w:tcPr>
          <w:p w14:paraId="44E9DB1F">
            <w:pPr>
              <w:pageBreakBefore w:val="0"/>
              <w:widowControl w:val="0"/>
              <w:wordWrap/>
              <w:overflowPunct/>
              <w:topLinePunct w:val="0"/>
              <w:bidi w:val="0"/>
              <w:spacing w:before="36" w:line="219" w:lineRule="auto"/>
              <w:ind w:left="115"/>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本项目是否接受联合体</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2"/>
                <w:sz w:val="24"/>
                <w:szCs w:val="24"/>
                <w:highlight w:val="none"/>
                <w:lang w:eastAsia="zh-CN"/>
              </w:rPr>
              <w:t>”</w:t>
            </w:r>
          </w:p>
          <w:p w14:paraId="28B2EE75">
            <w:pPr>
              <w:pageBreakBefore w:val="0"/>
              <w:widowControl w:val="0"/>
              <w:wordWrap/>
              <w:overflowPunct/>
              <w:topLinePunct w:val="0"/>
              <w:bidi w:val="0"/>
              <w:spacing w:before="181" w:line="359" w:lineRule="auto"/>
              <w:ind w:left="115" w:right="106" w:firstLine="41"/>
              <w:jc w:val="both"/>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(接受联合体的，除联</w:t>
            </w:r>
            <w:r>
              <w:rPr>
                <w:rFonts w:ascii="宋体" w:hAnsi="宋体" w:eastAsia="宋体" w:cs="宋体"/>
                <w:color w:val="auto"/>
                <w:sz w:val="24"/>
                <w:szCs w:val="24"/>
                <w:highlight w:val="none"/>
                <w:lang w:eastAsia="zh-CN"/>
              </w:rPr>
              <w:t>合体协议和</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特殊要求外，</w:t>
            </w:r>
            <w:r>
              <w:rPr>
                <w:rFonts w:hint="eastAsia" w:ascii="宋体" w:hAnsi="宋体" w:eastAsia="宋体" w:cs="宋体"/>
                <w:color w:val="auto"/>
                <w:sz w:val="24"/>
                <w:szCs w:val="24"/>
                <w:highlight w:val="none"/>
                <w:lang w:eastAsia="zh-CN"/>
              </w:rPr>
              <w:t>磋商文件</w:t>
            </w:r>
            <w:r>
              <w:rPr>
                <w:rFonts w:ascii="宋体" w:hAnsi="宋体" w:eastAsia="宋体" w:cs="宋体"/>
                <w:color w:val="auto"/>
                <w:sz w:val="24"/>
                <w:szCs w:val="24"/>
                <w:highlight w:val="none"/>
                <w:lang w:eastAsia="zh-CN"/>
              </w:rPr>
              <w:t>中要求盖章或签字处仅需联合</w:t>
            </w:r>
            <w:r>
              <w:rPr>
                <w:rFonts w:ascii="宋体" w:hAnsi="宋体" w:eastAsia="宋体" w:cs="宋体"/>
                <w:color w:val="auto"/>
                <w:spacing w:val="-1"/>
                <w:sz w:val="24"/>
                <w:szCs w:val="24"/>
                <w:highlight w:val="none"/>
                <w:lang w:eastAsia="zh-CN"/>
              </w:rPr>
              <w:t>体牵</w:t>
            </w:r>
            <w:r>
              <w:rPr>
                <w:rFonts w:ascii="宋体" w:hAnsi="宋体" w:eastAsia="宋体" w:cs="宋体"/>
                <w:color w:val="auto"/>
                <w:spacing w:val="-2"/>
                <w:sz w:val="24"/>
                <w:szCs w:val="24"/>
                <w:highlight w:val="none"/>
                <w:lang w:eastAsia="zh-CN"/>
              </w:rPr>
              <w:t>头单位盖章或签字。）</w:t>
            </w:r>
          </w:p>
        </w:tc>
      </w:tr>
      <w:tr w14:paraId="676F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8" w:type="dxa"/>
            <w:vAlign w:val="center"/>
          </w:tcPr>
          <w:p w14:paraId="7AE44F3F">
            <w:pPr>
              <w:pageBreakBefore w:val="0"/>
              <w:widowControl w:val="0"/>
              <w:wordWrap/>
              <w:overflowPunct/>
              <w:topLinePunct w:val="0"/>
              <w:bidi w:val="0"/>
              <w:spacing w:before="152" w:line="182" w:lineRule="auto"/>
              <w:ind w:left="423"/>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429" w:type="dxa"/>
            <w:vAlign w:val="center"/>
          </w:tcPr>
          <w:p w14:paraId="025265D7">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06DDCE71">
            <w:pPr>
              <w:keepNext w:val="0"/>
              <w:keepLines w:val="0"/>
              <w:pageBreakBefore w:val="0"/>
              <w:widowControl w:val="0"/>
              <w:kinsoku w:val="0"/>
              <w:wordWrap/>
              <w:overflowPunct/>
              <w:topLinePunct w:val="0"/>
              <w:autoSpaceDE w:val="0"/>
              <w:autoSpaceDN w:val="0"/>
              <w:bidi w:val="0"/>
              <w:adjustRightInd w:val="0"/>
              <w:snapToGrid w:val="0"/>
              <w:spacing w:line="240" w:lineRule="auto"/>
              <w:ind w:left="423"/>
              <w:jc w:val="center"/>
              <w:textAlignment w:val="baseline"/>
              <w:rPr>
                <w:rFonts w:ascii="宋体" w:hAnsi="宋体" w:eastAsia="宋体" w:cs="宋体"/>
                <w:color w:val="auto"/>
                <w:sz w:val="24"/>
                <w:szCs w:val="24"/>
                <w:highlight w:val="none"/>
              </w:rPr>
            </w:pPr>
          </w:p>
        </w:tc>
        <w:tc>
          <w:tcPr>
            <w:tcW w:w="7138" w:type="dxa"/>
            <w:vAlign w:val="center"/>
          </w:tcPr>
          <w:p w14:paraId="4ED16417">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供应商应当提交的资格、资信证明文件</w:t>
            </w:r>
          </w:p>
          <w:p w14:paraId="2EA0E278">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rPr>
              <w:t>（1）合格的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 xml:space="preserve">资格证明文件：详见第四章 </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bCs/>
                <w:color w:val="auto"/>
                <w:sz w:val="24"/>
                <w:szCs w:val="24"/>
                <w:highlight w:val="none"/>
              </w:rPr>
              <w:t>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r>
              <w:rPr>
                <w:rFonts w:hint="eastAsia" w:ascii="宋体" w:hAnsi="宋体" w:eastAsia="宋体" w:cs="宋体"/>
                <w:color w:val="auto"/>
                <w:kern w:val="0"/>
                <w:sz w:val="24"/>
                <w:szCs w:val="24"/>
                <w:highlight w:val="none"/>
              </w:rPr>
              <w:t>。</w:t>
            </w:r>
          </w:p>
          <w:p w14:paraId="6A93FB54">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信用查询：采购人或者采购代理机构在资格审查结束前，对供应商进行信用查询。</w:t>
            </w:r>
          </w:p>
          <w:p w14:paraId="2222C7B6">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①查询渠道：通过“信用中国”网站（</w:t>
            </w:r>
            <w:r>
              <w:rPr>
                <w:rFonts w:hint="eastAsia" w:ascii="宋体" w:hAnsi="宋体" w:eastAsia="宋体" w:cs="宋体"/>
                <w:color w:val="auto"/>
                <w:sz w:val="24"/>
                <w:szCs w:val="24"/>
                <w:highlight w:val="none"/>
                <w:u w:val="single"/>
                <w:lang w:val="en-US" w:eastAsia="zh-CN"/>
              </w:rPr>
              <w:t>www.creditchina.gov.cn</w:t>
            </w:r>
            <w:r>
              <w:rPr>
                <w:rFonts w:hint="eastAsia" w:ascii="宋体" w:hAnsi="宋体" w:eastAsia="宋体" w:cs="宋体"/>
                <w:color w:val="auto"/>
                <w:sz w:val="24"/>
                <w:szCs w:val="24"/>
                <w:highlight w:val="none"/>
                <w:lang w:val="en-US" w:eastAsia="zh-CN"/>
              </w:rPr>
              <w:t>）、中国政府采购网（</w:t>
            </w:r>
            <w:r>
              <w:rPr>
                <w:rFonts w:hint="eastAsia" w:ascii="宋体" w:hAnsi="宋体" w:eastAsia="宋体" w:cs="宋体"/>
                <w:color w:val="auto"/>
                <w:sz w:val="24"/>
                <w:szCs w:val="24"/>
                <w:highlight w:val="none"/>
                <w:u w:val="single"/>
                <w:lang w:val="en-US" w:eastAsia="zh-CN"/>
              </w:rPr>
              <w:t>www.ccgp.gov.cn</w:t>
            </w:r>
            <w:r>
              <w:rPr>
                <w:rFonts w:hint="eastAsia" w:ascii="宋体" w:hAnsi="宋体" w:eastAsia="宋体" w:cs="宋体"/>
                <w:color w:val="auto"/>
                <w:sz w:val="24"/>
                <w:szCs w:val="24"/>
                <w:highlight w:val="none"/>
                <w:lang w:val="en-US" w:eastAsia="zh-CN"/>
              </w:rPr>
              <w:t>）进行查询；</w:t>
            </w:r>
          </w:p>
          <w:p w14:paraId="44788A4D">
            <w:pPr>
              <w:keepNext w:val="0"/>
              <w:keepLines w:val="0"/>
              <w:pageBreakBefore w:val="0"/>
              <w:widowControl w:val="0"/>
              <w:kinsoku w:val="0"/>
              <w:wordWrap/>
              <w:overflowPunct/>
              <w:topLinePunct w:val="0"/>
              <w:autoSpaceDE w:val="0"/>
              <w:autoSpaceDN w:val="0"/>
              <w:bidi w:val="0"/>
              <w:adjustRightInd w:val="0"/>
              <w:snapToGrid w:val="0"/>
              <w:spacing w:line="360" w:lineRule="auto"/>
              <w:ind w:left="115" w:leftChars="55" w:firstLine="100" w:firstLineChars="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②查询截止时点：资格审查结束前；</w:t>
            </w:r>
          </w:p>
          <w:p w14:paraId="75A9A7BD">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③查询记录和证据留存方式：在查询网站中直接打印查询记录，截图另存为电子文档作为评审资料保存；</w:t>
            </w:r>
          </w:p>
          <w:p w14:paraId="3DA93BB8">
            <w:pPr>
              <w:pStyle w:val="24"/>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rPr>
                <w:color w:val="auto"/>
                <w:sz w:val="24"/>
                <w:szCs w:val="24"/>
                <w:highlight w:val="none"/>
                <w:lang w:eastAsia="zh-CN"/>
              </w:rPr>
            </w:pPr>
            <w:r>
              <w:rPr>
                <w:rFonts w:hint="eastAsia" w:ascii="宋体" w:hAnsi="宋体" w:eastAsia="宋体" w:cs="宋体"/>
                <w:bCs/>
                <w:snapToGrid w:val="0"/>
                <w:color w:val="auto"/>
                <w:sz w:val="24"/>
                <w:szCs w:val="24"/>
                <w:highlight w:val="none"/>
                <w:lang w:val="en-US" w:eastAsia="zh-CN" w:bidi="ar-SA"/>
              </w:rPr>
              <w:t>④信用信息的使用规则：对被列入失信被执行人、重大税收违法失信主体、政府采购严重违法失信行为记录名单及其他不符合《中华人民共和国政府采购法》第二十二条规定条件的供应商，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如在上述网站查询结果均显示没有相关记录，视为不存在上述不良信用记录）</w:t>
            </w:r>
          </w:p>
        </w:tc>
      </w:tr>
      <w:tr w14:paraId="5E1EA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vAlign w:val="center"/>
          </w:tcPr>
          <w:p w14:paraId="4C67D3AD">
            <w:pPr>
              <w:pageBreakBefore w:val="0"/>
              <w:widowControl w:val="0"/>
              <w:wordWrap/>
              <w:overflowPunct/>
              <w:topLinePunct w:val="0"/>
              <w:bidi w:val="0"/>
              <w:spacing w:before="78" w:line="183"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429" w:type="dxa"/>
            <w:vAlign w:val="center"/>
          </w:tcPr>
          <w:p w14:paraId="0865D84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落实政府采购政策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本项目不适用</w:t>
            </w:r>
            <w:r>
              <w:rPr>
                <w:rFonts w:hint="eastAsia" w:ascii="宋体" w:hAnsi="宋体" w:eastAsia="宋体" w:cs="宋体"/>
                <w:b/>
                <w:bCs/>
                <w:color w:val="auto"/>
                <w:sz w:val="24"/>
                <w:szCs w:val="24"/>
                <w:highlight w:val="none"/>
                <w:lang w:eastAsia="zh-CN"/>
              </w:rPr>
              <w:t>）</w:t>
            </w:r>
          </w:p>
        </w:tc>
        <w:tc>
          <w:tcPr>
            <w:tcW w:w="7138" w:type="dxa"/>
            <w:vAlign w:val="center"/>
          </w:tcPr>
          <w:p w14:paraId="3223E1DF">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本项目采购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lang w:val="en-US" w:eastAsia="zh-CN"/>
              </w:rPr>
              <w:t>物对应承接商是中小企业的，</w:t>
            </w:r>
            <w:r>
              <w:rPr>
                <w:rFonts w:hint="eastAsia" w:ascii="宋体" w:hAnsi="宋体" w:eastAsia="宋体" w:cs="宋体"/>
                <w:color w:val="auto"/>
                <w:sz w:val="24"/>
                <w:szCs w:val="24"/>
                <w:highlight w:val="none"/>
                <w:lang w:eastAsia="zh-CN"/>
              </w:rPr>
              <w:t>中小企业划分标准所属行业为：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lang w:eastAsia="zh-CN"/>
              </w:rPr>
              <w:t xml:space="preserve">   </w:t>
            </w:r>
          </w:p>
        </w:tc>
      </w:tr>
    </w:tbl>
    <w:tbl>
      <w:tblPr>
        <w:tblStyle w:val="25"/>
        <w:tblW w:w="94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1440"/>
        <w:gridCol w:w="7127"/>
      </w:tblGrid>
      <w:tr w14:paraId="05474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5" w:hRule="atLeast"/>
          <w:jc w:val="center"/>
        </w:trPr>
        <w:tc>
          <w:tcPr>
            <w:tcW w:w="918" w:type="dxa"/>
            <w:vAlign w:val="center"/>
          </w:tcPr>
          <w:p w14:paraId="33562AFB">
            <w:pPr>
              <w:pageBreakBefore w:val="0"/>
              <w:widowControl w:val="0"/>
              <w:wordWrap/>
              <w:overflowPunct/>
              <w:topLinePunct w:val="0"/>
              <w:bidi w:val="0"/>
              <w:spacing w:before="78" w:line="184"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5</w:t>
            </w:r>
          </w:p>
        </w:tc>
        <w:tc>
          <w:tcPr>
            <w:tcW w:w="1440" w:type="dxa"/>
            <w:vAlign w:val="center"/>
          </w:tcPr>
          <w:p w14:paraId="28DF9E15">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磋商保证金</w:t>
            </w:r>
          </w:p>
        </w:tc>
        <w:tc>
          <w:tcPr>
            <w:tcW w:w="7127" w:type="dxa"/>
            <w:vAlign w:val="bottom"/>
          </w:tcPr>
          <w:p w14:paraId="0EF00EE7">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保证金金额：</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壹万 </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val="en-US" w:eastAsia="zh-CN"/>
              </w:rPr>
              <w:t xml:space="preserve"> 10000</w:t>
            </w:r>
            <w:r>
              <w:rPr>
                <w:rFonts w:hint="eastAsia" w:ascii="宋体" w:hAnsi="宋体" w:eastAsia="宋体" w:cs="宋体"/>
                <w:color w:val="auto"/>
                <w:sz w:val="24"/>
                <w:szCs w:val="24"/>
                <w:highlight w:val="none"/>
              </w:rPr>
              <w:t>.00）</w:t>
            </w:r>
            <w:r>
              <w:rPr>
                <w:rFonts w:hint="eastAsia" w:ascii="宋体" w:hAnsi="宋体" w:eastAsia="宋体" w:cs="宋体"/>
                <w:strike w:val="0"/>
                <w:dstrike w:val="0"/>
                <w:color w:val="auto"/>
                <w:sz w:val="24"/>
                <w:szCs w:val="24"/>
                <w:highlight w:val="none"/>
              </w:rPr>
              <w:t>（须足额按时</w:t>
            </w:r>
            <w:r>
              <w:rPr>
                <w:rFonts w:hint="eastAsia" w:ascii="宋体" w:hAnsi="宋体" w:eastAsia="宋体" w:cs="宋体"/>
                <w:strike w:val="0"/>
                <w:dstrike w:val="0"/>
                <w:color w:val="auto"/>
                <w:sz w:val="24"/>
                <w:szCs w:val="24"/>
                <w:highlight w:val="none"/>
                <w:lang w:val="en-US" w:eastAsia="zh-CN"/>
              </w:rPr>
              <w:t>提交</w:t>
            </w:r>
            <w:r>
              <w:rPr>
                <w:rFonts w:hint="eastAsia" w:ascii="宋体" w:hAnsi="宋体" w:eastAsia="宋体" w:cs="宋体"/>
                <w:strike w:val="0"/>
                <w:dstrike w:val="0"/>
                <w:color w:val="auto"/>
                <w:sz w:val="24"/>
                <w:szCs w:val="24"/>
                <w:highlight w:val="none"/>
              </w:rPr>
              <w:t>）</w:t>
            </w:r>
          </w:p>
          <w:p w14:paraId="3AACD1F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保证金递交截止时间：</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递交截止时间一致。</w:t>
            </w:r>
          </w:p>
          <w:p w14:paraId="00A7A709">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保证金提交形式：</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保证金应当采用支票、汇票、本票、网上银行支付或者金融机构、担保机构出具的保函、保险公司出具的保证保险等非现金形式</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lang w:eastAsia="zh-CN"/>
              </w:rPr>
              <w:t>。</w:t>
            </w:r>
          </w:p>
          <w:p w14:paraId="42122F14">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lang w:val="en-US" w:eastAsia="zh-CN"/>
              </w:rPr>
              <w:t>请供应商在（提交磋商保证金时）汇款时注明所磋商项目的项目编号，否则，因款项用途不明或未及时到账导致被否决</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color w:val="auto"/>
                <w:sz w:val="24"/>
                <w:szCs w:val="24"/>
                <w:highlight w:val="none"/>
              </w:rPr>
              <w:t>）等后果由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2A075F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241" w:firstLineChars="1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指定接收保证金账户：</w:t>
            </w:r>
          </w:p>
          <w:p w14:paraId="5FDEC22A">
            <w:pPr>
              <w:widowControl w:val="0"/>
              <w:spacing w:line="360" w:lineRule="auto"/>
              <w:ind w:left="218" w:leftChars="104"/>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户名：</w:t>
            </w:r>
            <w:r>
              <w:rPr>
                <w:rFonts w:hint="eastAsia" w:ascii="宋体" w:hAnsi="宋体" w:eastAsia="宋体" w:cs="宋体"/>
                <w:b/>
                <w:bCs/>
                <w:color w:val="auto"/>
                <w:sz w:val="24"/>
                <w:szCs w:val="24"/>
                <w:highlight w:val="none"/>
                <w:u w:val="single"/>
                <w:lang w:eastAsia="zh-CN"/>
              </w:rPr>
              <w:t xml:space="preserve">吉安城投建设监理有限公司 </w:t>
            </w:r>
          </w:p>
          <w:p w14:paraId="78E476DF">
            <w:pPr>
              <w:widowControl w:val="0"/>
              <w:spacing w:line="360" w:lineRule="auto"/>
              <w:ind w:left="218" w:leftChars="104"/>
              <w:jc w:val="both"/>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开户行：</w:t>
            </w:r>
            <w:r>
              <w:rPr>
                <w:rFonts w:hint="eastAsia" w:ascii="宋体" w:hAnsi="宋体" w:eastAsia="宋体" w:cs="宋体"/>
                <w:b/>
                <w:bCs/>
                <w:color w:val="auto"/>
                <w:sz w:val="24"/>
                <w:szCs w:val="24"/>
                <w:highlight w:val="none"/>
                <w:u w:val="single"/>
                <w:lang w:eastAsia="zh-CN"/>
              </w:rPr>
              <w:t>中国光大银行股份有限公司吉安分行</w:t>
            </w:r>
          </w:p>
          <w:p w14:paraId="53C8B18D">
            <w:pPr>
              <w:widowControl w:val="0"/>
              <w:spacing w:line="360" w:lineRule="auto"/>
              <w:ind w:left="218" w:leftChars="104"/>
              <w:rPr>
                <w:rFonts w:hint="eastAsia" w:ascii="宋体" w:hAnsi="宋体" w:eastAsia="宋体" w:cs="宋体"/>
                <w:b/>
                <w:bCs/>
                <w:strike/>
                <w:color w:val="auto"/>
                <w:sz w:val="24"/>
                <w:szCs w:val="24"/>
                <w:highlight w:val="none"/>
                <w:u w:val="single"/>
                <w:lang w:eastAsia="zh-CN"/>
              </w:rPr>
            </w:pPr>
            <w:r>
              <w:rPr>
                <w:rFonts w:hint="eastAsia" w:ascii="宋体" w:hAnsi="宋体" w:eastAsia="宋体" w:cs="宋体"/>
                <w:b/>
                <w:bCs/>
                <w:color w:val="auto"/>
                <w:sz w:val="24"/>
                <w:szCs w:val="24"/>
                <w:highlight w:val="none"/>
                <w:lang w:eastAsia="zh-CN"/>
              </w:rPr>
              <w:t>账号：</w:t>
            </w:r>
            <w:r>
              <w:rPr>
                <w:rFonts w:hint="eastAsia" w:ascii="宋体" w:hAnsi="宋体" w:eastAsia="宋体" w:cs="宋体"/>
                <w:b/>
                <w:bCs/>
                <w:color w:val="auto"/>
                <w:sz w:val="24"/>
                <w:szCs w:val="24"/>
                <w:highlight w:val="none"/>
                <w:u w:val="single"/>
                <w:lang w:eastAsia="zh-CN"/>
              </w:rPr>
              <w:t>55390188000130195</w:t>
            </w:r>
          </w:p>
          <w:p w14:paraId="64427FB1">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firstLine="241" w:firstLineChars="1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保证金应在</w:t>
            </w: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有效期内保持有效。</w:t>
            </w:r>
          </w:p>
        </w:tc>
      </w:tr>
      <w:tr w14:paraId="78CC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jc w:val="center"/>
        </w:trPr>
        <w:tc>
          <w:tcPr>
            <w:tcW w:w="918" w:type="dxa"/>
            <w:vAlign w:val="center"/>
          </w:tcPr>
          <w:p w14:paraId="5EE1661D">
            <w:pPr>
              <w:pageBreakBefore w:val="0"/>
              <w:widowControl w:val="0"/>
              <w:wordWrap/>
              <w:overflowPunct/>
              <w:topLinePunct w:val="0"/>
              <w:bidi w:val="0"/>
              <w:spacing w:before="118" w:line="184"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6</w:t>
            </w:r>
          </w:p>
        </w:tc>
        <w:tc>
          <w:tcPr>
            <w:tcW w:w="1440" w:type="dxa"/>
            <w:vAlign w:val="center"/>
          </w:tcPr>
          <w:p w14:paraId="36B365BB">
            <w:pPr>
              <w:pageBreakBefore w:val="0"/>
              <w:widowControl w:val="0"/>
              <w:wordWrap/>
              <w:overflowPunct/>
              <w:topLinePunct w:val="0"/>
              <w:bidi w:val="0"/>
              <w:spacing w:before="118" w:line="184" w:lineRule="auto"/>
              <w:jc w:val="center"/>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磋商</w:t>
            </w:r>
            <w:r>
              <w:rPr>
                <w:rFonts w:hint="eastAsia" w:ascii="宋体" w:hAnsi="宋体" w:eastAsia="宋体" w:cs="宋体"/>
                <w:color w:val="auto"/>
                <w:sz w:val="24"/>
                <w:szCs w:val="24"/>
                <w:highlight w:val="none"/>
                <w:lang w:val="en-US" w:eastAsia="zh-CN"/>
              </w:rPr>
              <w:t>有效期</w:t>
            </w:r>
          </w:p>
        </w:tc>
        <w:tc>
          <w:tcPr>
            <w:tcW w:w="7127" w:type="dxa"/>
            <w:vAlign w:val="center"/>
          </w:tcPr>
          <w:p w14:paraId="148E263C">
            <w:pPr>
              <w:pageBreakBefore w:val="0"/>
              <w:widowControl w:val="0"/>
              <w:wordWrap/>
              <w:overflowPunct/>
              <w:topLinePunct w:val="0"/>
              <w:bidi w:val="0"/>
              <w:spacing w:before="36" w:line="219" w:lineRule="auto"/>
              <w:ind w:left="117"/>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从提交</w:t>
            </w:r>
            <w:r>
              <w:rPr>
                <w:rFonts w:hint="eastAsia" w:ascii="宋体" w:hAnsi="宋体" w:eastAsia="宋体" w:cs="宋体"/>
                <w:color w:val="auto"/>
                <w:spacing w:val="-1"/>
                <w:sz w:val="24"/>
                <w:szCs w:val="24"/>
                <w:highlight w:val="none"/>
                <w:lang w:eastAsia="zh-CN"/>
              </w:rPr>
              <w:t>响应文件</w:t>
            </w:r>
            <w:r>
              <w:rPr>
                <w:rFonts w:ascii="宋体" w:hAnsi="宋体" w:eastAsia="宋体" w:cs="宋体"/>
                <w:color w:val="auto"/>
                <w:spacing w:val="-1"/>
                <w:sz w:val="24"/>
                <w:szCs w:val="24"/>
                <w:highlight w:val="none"/>
                <w:lang w:eastAsia="zh-CN"/>
              </w:rPr>
              <w:t>的截止之日起</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9</w:t>
            </w:r>
            <w:r>
              <w:rPr>
                <w:rFonts w:ascii="宋体" w:hAnsi="宋体" w:eastAsia="宋体" w:cs="宋体"/>
                <w:color w:val="auto"/>
                <w:spacing w:val="-2"/>
                <w:sz w:val="24"/>
                <w:szCs w:val="24"/>
                <w:highlight w:val="none"/>
                <w:u w:val="single"/>
                <w:lang w:eastAsia="zh-CN"/>
              </w:rPr>
              <w:t>0</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天</w:t>
            </w:r>
          </w:p>
        </w:tc>
      </w:tr>
      <w:tr w14:paraId="0DF29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jc w:val="center"/>
        </w:trPr>
        <w:tc>
          <w:tcPr>
            <w:tcW w:w="918" w:type="dxa"/>
            <w:vAlign w:val="center"/>
          </w:tcPr>
          <w:p w14:paraId="757151A8">
            <w:pPr>
              <w:pageBreakBefore w:val="0"/>
              <w:widowControl w:val="0"/>
              <w:wordWrap/>
              <w:overflowPunct/>
              <w:topLinePunct w:val="0"/>
              <w:bidi w:val="0"/>
              <w:spacing w:before="78" w:line="184"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7</w:t>
            </w:r>
          </w:p>
        </w:tc>
        <w:tc>
          <w:tcPr>
            <w:tcW w:w="1440" w:type="dxa"/>
            <w:vAlign w:val="center"/>
          </w:tcPr>
          <w:p w14:paraId="6CC906C7">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提交响应文件截止时间</w:t>
            </w:r>
          </w:p>
        </w:tc>
        <w:tc>
          <w:tcPr>
            <w:tcW w:w="7127" w:type="dxa"/>
            <w:vAlign w:val="center"/>
          </w:tcPr>
          <w:p w14:paraId="7BCC25F7">
            <w:pPr>
              <w:keepNext w:val="0"/>
              <w:keepLines w:val="0"/>
              <w:pageBreakBefore w:val="0"/>
              <w:widowControl w:val="0"/>
              <w:kinsoku w:val="0"/>
              <w:wordWrap/>
              <w:overflowPunct/>
              <w:topLinePunct w:val="0"/>
              <w:autoSpaceDE w:val="0"/>
              <w:autoSpaceDN w:val="0"/>
              <w:bidi w:val="0"/>
              <w:adjustRightInd w:val="0"/>
              <w:snapToGrid w:val="0"/>
              <w:spacing w:line="360" w:lineRule="auto"/>
              <w:ind w:left="117"/>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提交响应文件截止时间</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磋商邀请</w:t>
            </w:r>
            <w:r>
              <w:rPr>
                <w:rFonts w:ascii="宋体" w:hAnsi="宋体" w:eastAsia="宋体" w:cs="宋体"/>
                <w:color w:val="auto"/>
                <w:spacing w:val="3"/>
                <w:sz w:val="24"/>
                <w:szCs w:val="24"/>
                <w:highlight w:val="none"/>
                <w:lang w:eastAsia="zh-CN"/>
              </w:rPr>
              <w:t>”</w:t>
            </w:r>
          </w:p>
        </w:tc>
      </w:tr>
      <w:tr w14:paraId="7B16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jc w:val="center"/>
        </w:trPr>
        <w:tc>
          <w:tcPr>
            <w:tcW w:w="918" w:type="dxa"/>
            <w:vAlign w:val="center"/>
          </w:tcPr>
          <w:p w14:paraId="21ED3719">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17.4</w:t>
            </w:r>
          </w:p>
        </w:tc>
        <w:tc>
          <w:tcPr>
            <w:tcW w:w="1440" w:type="dxa"/>
            <w:vAlign w:val="center"/>
          </w:tcPr>
          <w:p w14:paraId="080F1F62">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原件及演示</w:t>
            </w:r>
          </w:p>
        </w:tc>
        <w:tc>
          <w:tcPr>
            <w:tcW w:w="7127" w:type="dxa"/>
            <w:vAlign w:val="bottom"/>
          </w:tcPr>
          <w:p w14:paraId="6D24ECEF">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31A5931B">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原件提供要求：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85809BE">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3377176B">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演示要求：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tc>
      </w:tr>
      <w:tr w14:paraId="5C5F8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6" w:hRule="atLeast"/>
          <w:jc w:val="center"/>
        </w:trPr>
        <w:tc>
          <w:tcPr>
            <w:tcW w:w="918" w:type="dxa"/>
            <w:vAlign w:val="center"/>
          </w:tcPr>
          <w:p w14:paraId="00E65240">
            <w:pPr>
              <w:pageBreakBefore w:val="0"/>
              <w:widowControl w:val="0"/>
              <w:wordWrap/>
              <w:overflowPunct/>
              <w:topLinePunct w:val="0"/>
              <w:bidi w:val="0"/>
              <w:spacing w:before="120" w:line="184" w:lineRule="auto"/>
              <w:ind w:left="375"/>
              <w:jc w:val="both"/>
              <w:rPr>
                <w:rFonts w:hint="eastAsia"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8</w:t>
            </w:r>
          </w:p>
        </w:tc>
        <w:tc>
          <w:tcPr>
            <w:tcW w:w="1440" w:type="dxa"/>
            <w:vAlign w:val="center"/>
          </w:tcPr>
          <w:p w14:paraId="4291226B">
            <w:pPr>
              <w:pageBreakBefore w:val="0"/>
              <w:widowControl w:val="0"/>
              <w:wordWrap/>
              <w:overflowPunct/>
              <w:topLinePunct w:val="0"/>
              <w:bidi w:val="0"/>
              <w:spacing w:before="120" w:line="184" w:lineRule="auto"/>
              <w:ind w:left="375"/>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分包</w:t>
            </w:r>
          </w:p>
        </w:tc>
        <w:tc>
          <w:tcPr>
            <w:tcW w:w="7127" w:type="dxa"/>
            <w:vAlign w:val="center"/>
          </w:tcPr>
          <w:p w14:paraId="226B91D2">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本项目是否允许分包： </w:t>
            </w:r>
          </w:p>
          <w:p w14:paraId="1833421F">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不允许</w:t>
            </w:r>
          </w:p>
          <w:p w14:paraId="16910A8C">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允许</w:t>
            </w:r>
            <w:r>
              <w:rPr>
                <w:rFonts w:hint="eastAsia" w:ascii="宋体" w:hAnsi="宋体" w:eastAsia="宋体" w:cs="宋体"/>
                <w:color w:val="auto"/>
                <w:sz w:val="24"/>
                <w:szCs w:val="24"/>
                <w:highlight w:val="none"/>
                <w:lang w:val="en-US" w:eastAsia="zh-CN"/>
              </w:rPr>
              <w:t xml:space="preserve"> 具体要求：</w:t>
            </w:r>
          </w:p>
          <w:p w14:paraId="26C75261">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（1）可以分包履行的具体内容：</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0A9D80C9">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（2）允许分包的金额或者比例：</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6B1ADEE0">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color w:val="auto"/>
                <w:highlight w:val="none"/>
                <w:lang w:eastAsia="zh-CN"/>
              </w:rPr>
            </w:pPr>
            <w:r>
              <w:rPr>
                <w:rFonts w:hint="eastAsia" w:ascii="宋体" w:hAnsi="宋体" w:eastAsia="宋体" w:cs="宋体"/>
                <w:snapToGrid w:val="0"/>
                <w:color w:val="auto"/>
                <w:kern w:val="0"/>
                <w:sz w:val="24"/>
                <w:szCs w:val="24"/>
                <w:highlight w:val="none"/>
                <w:lang w:val="en-US" w:eastAsia="zh-CN" w:bidi="ar-SA"/>
              </w:rPr>
              <w:t>（3）其他要求：</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tc>
      </w:tr>
      <w:tr w14:paraId="59B90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18" w:type="dxa"/>
            <w:vAlign w:val="center"/>
          </w:tcPr>
          <w:p w14:paraId="08397AA2">
            <w:pPr>
              <w:pageBreakBefore w:val="0"/>
              <w:widowControl w:val="0"/>
              <w:wordWrap/>
              <w:overflowPunct/>
              <w:topLinePunct w:val="0"/>
              <w:bidi w:val="0"/>
              <w:spacing w:before="308" w:line="184"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440" w:type="dxa"/>
            <w:vAlign w:val="center"/>
          </w:tcPr>
          <w:p w14:paraId="1B99C69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磋商时间</w:t>
            </w:r>
          </w:p>
          <w:p w14:paraId="35B8391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及地点</w:t>
            </w:r>
          </w:p>
        </w:tc>
        <w:tc>
          <w:tcPr>
            <w:tcW w:w="7127" w:type="dxa"/>
            <w:vAlign w:val="center"/>
          </w:tcPr>
          <w:p w14:paraId="788A1BEE">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13" w:firstLineChars="100"/>
              <w:jc w:val="both"/>
              <w:textAlignment w:val="baseline"/>
              <w:rPr>
                <w:rFonts w:hint="eastAsia"/>
                <w:b/>
                <w:bCs/>
                <w:color w:val="auto"/>
                <w:sz w:val="24"/>
                <w:szCs w:val="24"/>
                <w:highlight w:val="none"/>
                <w:lang w:eastAsia="zh-CN"/>
              </w:rPr>
            </w:pPr>
            <w:r>
              <w:rPr>
                <w:rFonts w:hint="eastAsia" w:ascii="宋体" w:hAnsi="宋体" w:eastAsia="宋体" w:cs="宋体"/>
                <w:b/>
                <w:bCs/>
                <w:color w:val="auto"/>
                <w:spacing w:val="-14"/>
                <w:sz w:val="24"/>
                <w:szCs w:val="24"/>
                <w:highlight w:val="none"/>
                <w:lang w:val="en-US" w:eastAsia="zh-CN"/>
              </w:rPr>
              <w:t>磋商</w:t>
            </w:r>
            <w:r>
              <w:rPr>
                <w:rFonts w:hint="eastAsia"/>
                <w:b/>
                <w:bCs/>
                <w:color w:val="auto"/>
                <w:sz w:val="24"/>
                <w:szCs w:val="24"/>
                <w:highlight w:val="none"/>
                <w:lang w:eastAsia="zh-CN"/>
              </w:rPr>
              <w:t>时间：详见“第一章 磋商邀请”</w:t>
            </w:r>
          </w:p>
          <w:p w14:paraId="4FC665BA">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13" w:firstLineChars="100"/>
              <w:jc w:val="both"/>
              <w:textAlignment w:val="baseline"/>
              <w:rPr>
                <w:color w:val="auto"/>
                <w:highlight w:val="none"/>
                <w:lang w:eastAsia="zh-CN"/>
              </w:rPr>
            </w:pPr>
            <w:r>
              <w:rPr>
                <w:rFonts w:hint="eastAsia" w:ascii="宋体" w:hAnsi="宋体" w:eastAsia="宋体" w:cs="宋体"/>
                <w:b/>
                <w:bCs/>
                <w:color w:val="auto"/>
                <w:spacing w:val="-14"/>
                <w:sz w:val="24"/>
                <w:szCs w:val="24"/>
                <w:highlight w:val="none"/>
                <w:lang w:val="en-US" w:eastAsia="zh-CN"/>
              </w:rPr>
              <w:t>磋商</w:t>
            </w:r>
            <w:r>
              <w:rPr>
                <w:rFonts w:hint="eastAsia"/>
                <w:b/>
                <w:bCs/>
                <w:color w:val="auto"/>
                <w:sz w:val="24"/>
                <w:szCs w:val="24"/>
                <w:highlight w:val="none"/>
                <w:lang w:eastAsia="zh-CN"/>
              </w:rPr>
              <w:t>地点：详见“第一章 磋商邀请”</w:t>
            </w:r>
          </w:p>
        </w:tc>
      </w:tr>
      <w:tr w14:paraId="24522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8" w:hRule="atLeast"/>
          <w:jc w:val="center"/>
        </w:trPr>
        <w:tc>
          <w:tcPr>
            <w:tcW w:w="918" w:type="dxa"/>
            <w:vAlign w:val="center"/>
          </w:tcPr>
          <w:p w14:paraId="6F606D04">
            <w:pPr>
              <w:pageBreakBefore w:val="0"/>
              <w:widowControl w:val="0"/>
              <w:wordWrap/>
              <w:overflowPunct/>
              <w:topLinePunct w:val="0"/>
              <w:bidi w:val="0"/>
              <w:spacing w:before="78" w:line="184"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val="en-US" w:eastAsia="zh-CN"/>
              </w:rPr>
              <w:t>1.7</w:t>
            </w:r>
          </w:p>
        </w:tc>
        <w:tc>
          <w:tcPr>
            <w:tcW w:w="1440" w:type="dxa"/>
            <w:vAlign w:val="center"/>
          </w:tcPr>
          <w:p w14:paraId="3A4B4D5B">
            <w:pPr>
              <w:pageBreakBefore w:val="0"/>
              <w:widowControl w:val="0"/>
              <w:wordWrap/>
              <w:overflowPunct/>
              <w:topLinePunct w:val="0"/>
              <w:bidi w:val="0"/>
              <w:spacing w:before="78" w:line="240"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1"/>
                <w:sz w:val="24"/>
                <w:szCs w:val="24"/>
                <w:highlight w:val="none"/>
                <w:lang w:val="en-US" w:eastAsia="zh-CN"/>
              </w:rPr>
              <w:t>评审方法</w:t>
            </w:r>
          </w:p>
        </w:tc>
        <w:tc>
          <w:tcPr>
            <w:tcW w:w="7127" w:type="dxa"/>
            <w:vAlign w:val="center"/>
          </w:tcPr>
          <w:p w14:paraId="58CBD1ED">
            <w:pPr>
              <w:keepNext w:val="0"/>
              <w:keepLines w:val="0"/>
              <w:pageBreakBefore w:val="0"/>
              <w:widowControl w:val="0"/>
              <w:kinsoku/>
              <w:wordWrap/>
              <w:overflowPunct/>
              <w:topLinePunct w:val="0"/>
              <w:autoSpaceDE w:val="0"/>
              <w:autoSpaceDN w:val="0"/>
              <w:bidi w:val="0"/>
              <w:adjustRightInd w:val="0"/>
              <w:snapToGrid w:val="0"/>
              <w:spacing w:line="360" w:lineRule="auto"/>
              <w:ind w:left="239" w:leftChars="114" w:right="106"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对小型、微型企业和监狱企业、残疾人福利性单位的报价给予</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lang w:val="en-US" w:eastAsia="zh-CN"/>
              </w:rPr>
              <w:t>比例的扣除，用扣除后的价格参与评审。</w:t>
            </w:r>
            <w:r>
              <w:rPr>
                <w:rFonts w:hint="eastAsia" w:ascii="宋体" w:hAnsi="宋体" w:eastAsia="宋体" w:cs="宋体"/>
                <w:b/>
                <w:bCs/>
                <w:color w:val="auto"/>
                <w:sz w:val="24"/>
                <w:szCs w:val="24"/>
                <w:highlight w:val="none"/>
                <w:lang w:val="en-US" w:eastAsia="zh-CN"/>
              </w:rPr>
              <w:t>（本项目不适用）</w:t>
            </w:r>
          </w:p>
          <w:p w14:paraId="4F59A7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firstLine="0" w:firstLineChars="0"/>
              <w:textAlignment w:val="baseline"/>
              <w:rPr>
                <w:color w:val="auto"/>
                <w:highlight w:val="none"/>
                <w:lang w:eastAsia="zh-CN"/>
              </w:rPr>
            </w:pPr>
            <w:r>
              <w:rPr>
                <w:rFonts w:hint="eastAsia" w:ascii="宋体" w:hAnsi="宋体" w:eastAsia="宋体" w:cs="宋体"/>
                <w:b w:val="0"/>
                <w:bCs w:val="0"/>
                <w:snapToGrid w:val="0"/>
                <w:color w:val="auto"/>
                <w:sz w:val="24"/>
                <w:szCs w:val="24"/>
                <w:highlight w:val="none"/>
                <w:lang w:val="en-US" w:eastAsia="zh-CN" w:bidi="ar-SA"/>
              </w:rPr>
              <w:t>产品属于《节能产品政府采购品目清单》、《环境标志产品政府采购品目清单》范围的，依据国家确定的认证机构出具的、处于有效期之内的节能产品、环境标志产品认证证书，对获得证书的产品实施政府优先采购或强制采购。</w:t>
            </w:r>
          </w:p>
        </w:tc>
      </w:tr>
      <w:tr w14:paraId="5F4E2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6" w:hRule="atLeast"/>
          <w:jc w:val="center"/>
        </w:trPr>
        <w:tc>
          <w:tcPr>
            <w:tcW w:w="918" w:type="dxa"/>
            <w:vAlign w:val="center"/>
          </w:tcPr>
          <w:p w14:paraId="23668DA4">
            <w:pPr>
              <w:pageBreakBefore w:val="0"/>
              <w:widowControl w:val="0"/>
              <w:wordWrap/>
              <w:overflowPunct/>
              <w:topLinePunct w:val="0"/>
              <w:bidi w:val="0"/>
              <w:spacing w:before="217" w:line="183"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7"/>
                <w:sz w:val="24"/>
                <w:szCs w:val="24"/>
                <w:highlight w:val="none"/>
                <w:lang w:val="en-US" w:eastAsia="zh-CN"/>
              </w:rPr>
              <w:t>29.1</w:t>
            </w:r>
          </w:p>
        </w:tc>
        <w:tc>
          <w:tcPr>
            <w:tcW w:w="1440" w:type="dxa"/>
            <w:vAlign w:val="center"/>
          </w:tcPr>
          <w:p w14:paraId="3EB95324">
            <w:pPr>
              <w:pageBreakBefore w:val="0"/>
              <w:widowControl w:val="0"/>
              <w:wordWrap/>
              <w:overflowPunct/>
              <w:topLinePunct w:val="0"/>
              <w:bidi w:val="0"/>
              <w:spacing w:before="217" w:line="183" w:lineRule="auto"/>
              <w:jc w:val="center"/>
              <w:rPr>
                <w:rFonts w:ascii="宋体" w:hAnsi="宋体" w:eastAsia="宋体" w:cs="宋体"/>
                <w:color w:val="auto"/>
                <w:spacing w:val="-7"/>
                <w:sz w:val="24"/>
                <w:szCs w:val="24"/>
                <w:highlight w:val="none"/>
              </w:rPr>
            </w:pPr>
            <w:r>
              <w:rPr>
                <w:rFonts w:ascii="宋体" w:hAnsi="宋体" w:eastAsia="宋体" w:cs="宋体"/>
                <w:color w:val="auto"/>
                <w:spacing w:val="-1"/>
                <w:sz w:val="24"/>
                <w:szCs w:val="24"/>
                <w:highlight w:val="none"/>
                <w:lang w:eastAsia="zh-CN"/>
              </w:rPr>
              <w:t>履约保证金</w:t>
            </w:r>
          </w:p>
        </w:tc>
        <w:tc>
          <w:tcPr>
            <w:tcW w:w="7127" w:type="dxa"/>
            <w:vAlign w:val="center"/>
          </w:tcPr>
          <w:p w14:paraId="14BA4236">
            <w:pPr>
              <w:widowControl w:val="0"/>
              <w:spacing w:line="360" w:lineRule="auto"/>
              <w:ind w:left="216" w:leftChars="103" w:right="109" w:firstLine="10"/>
              <w:jc w:val="both"/>
              <w:rPr>
                <w:rFonts w:hint="eastAsia" w:ascii="宋体" w:hAnsi="宋体" w:eastAsia="宋体" w:cs="宋体"/>
                <w:b/>
                <w:bCs/>
                <w:color w:val="auto"/>
                <w:spacing w:val="-6"/>
                <w:sz w:val="24"/>
                <w:szCs w:val="24"/>
                <w:highlight w:val="none"/>
                <w:lang w:val="en-US" w:eastAsia="zh-CN"/>
                <w14:textOutline w14:w="4356" w14:cap="sq" w14:cmpd="sng" w14:algn="ctr">
                  <w14:solidFill>
                    <w14:srgbClr w14:val="000000"/>
                  </w14:solidFill>
                  <w14:prstDash w14:val="solid"/>
                  <w14:bevel/>
                </w14:textOutline>
              </w:rPr>
            </w:pPr>
            <w:r>
              <w:rPr>
                <w:rFonts w:ascii="宋体" w:hAnsi="宋体" w:eastAsia="宋体" w:cs="宋体"/>
                <w:color w:val="auto"/>
                <w:spacing w:val="0"/>
                <w:sz w:val="24"/>
                <w:szCs w:val="24"/>
                <w:highlight w:val="none"/>
                <w:lang w:eastAsia="zh-CN"/>
              </w:rPr>
              <w:t>履约保证金金额：</w:t>
            </w:r>
            <w:r>
              <w:rPr>
                <w:rFonts w:hint="eastAsia" w:ascii="宋体" w:hAnsi="宋体" w:eastAsia="宋体" w:cs="宋体"/>
                <w:color w:val="auto"/>
                <w:spacing w:val="0"/>
                <w:sz w:val="24"/>
                <w:szCs w:val="24"/>
                <w:highlight w:val="none"/>
                <w:lang w:eastAsia="zh-CN"/>
              </w:rPr>
              <w:t>成交价的5%。</w:t>
            </w:r>
            <w:r>
              <w:rPr>
                <w:rFonts w:hint="eastAsia" w:ascii="宋体" w:hAnsi="宋体" w:eastAsia="宋体" w:cs="宋体"/>
                <w:b/>
                <w:bCs/>
                <w:color w:val="auto"/>
                <w:spacing w:val="-1"/>
                <w:sz w:val="24"/>
                <w:szCs w:val="24"/>
                <w:highlight w:val="none"/>
                <w:lang w:eastAsia="zh-CN"/>
              </w:rPr>
              <w:t>领取</w:t>
            </w:r>
            <w:r>
              <w:rPr>
                <w:rFonts w:hint="eastAsia" w:ascii="宋体" w:hAnsi="宋体" w:eastAsia="宋体" w:cs="宋体"/>
                <w:b/>
                <w:bCs/>
                <w:color w:val="auto"/>
                <w:spacing w:val="-1"/>
                <w:sz w:val="24"/>
                <w:szCs w:val="24"/>
                <w:highlight w:val="none"/>
                <w:lang w:val="en-US" w:eastAsia="zh-CN"/>
              </w:rPr>
              <w:t>成交</w:t>
            </w:r>
            <w:r>
              <w:rPr>
                <w:rFonts w:hint="eastAsia" w:ascii="宋体" w:hAnsi="宋体" w:eastAsia="宋体" w:cs="宋体"/>
                <w:b/>
                <w:bCs/>
                <w:color w:val="auto"/>
                <w:spacing w:val="-1"/>
                <w:sz w:val="24"/>
                <w:szCs w:val="24"/>
                <w:highlight w:val="none"/>
                <w:lang w:eastAsia="zh-CN"/>
              </w:rPr>
              <w:t>通知书后7日内，</w:t>
            </w:r>
            <w:r>
              <w:rPr>
                <w:rFonts w:hint="eastAsia" w:ascii="宋体" w:hAnsi="宋体" w:eastAsia="宋体" w:cs="宋体"/>
                <w:b/>
                <w:bCs/>
                <w:color w:val="auto"/>
                <w:spacing w:val="-1"/>
                <w:sz w:val="24"/>
                <w:szCs w:val="24"/>
                <w:highlight w:val="none"/>
                <w:lang w:val="en-US" w:eastAsia="zh-CN"/>
              </w:rPr>
              <w:t>供应商</w:t>
            </w:r>
            <w:r>
              <w:rPr>
                <w:rFonts w:hint="eastAsia" w:ascii="宋体" w:hAnsi="宋体" w:eastAsia="宋体" w:cs="宋体"/>
                <w:b/>
                <w:bCs/>
                <w:color w:val="auto"/>
                <w:spacing w:val="-1"/>
                <w:sz w:val="24"/>
                <w:szCs w:val="24"/>
                <w:highlight w:val="none"/>
                <w:lang w:eastAsia="zh-CN"/>
              </w:rPr>
              <w:t>支付履约保证金到采购人账户，履约保证金以</w:t>
            </w:r>
            <w:r>
              <w:rPr>
                <w:rFonts w:hint="eastAsia" w:ascii="宋体" w:hAnsi="宋体" w:eastAsia="宋体" w:cs="宋体"/>
                <w:b/>
                <w:bCs/>
                <w:color w:val="auto"/>
                <w:spacing w:val="-1"/>
                <w:sz w:val="24"/>
                <w:szCs w:val="24"/>
                <w:highlight w:val="none"/>
                <w:lang w:val="en-US" w:eastAsia="zh-CN"/>
              </w:rPr>
              <w:t>供应商</w:t>
            </w:r>
            <w:r>
              <w:rPr>
                <w:rFonts w:hint="eastAsia" w:ascii="宋体" w:hAnsi="宋体" w:eastAsia="宋体" w:cs="宋体"/>
                <w:b/>
                <w:bCs/>
                <w:color w:val="auto"/>
                <w:spacing w:val="-1"/>
                <w:sz w:val="24"/>
                <w:szCs w:val="24"/>
                <w:highlight w:val="none"/>
                <w:lang w:eastAsia="zh-CN"/>
              </w:rPr>
              <w:t>基本账户出具的银行转账形式提交</w:t>
            </w:r>
            <w:r>
              <w:rPr>
                <w:rFonts w:hint="eastAsia" w:ascii="宋体" w:hAnsi="宋体" w:eastAsia="宋体" w:cs="宋体"/>
                <w:b/>
                <w:bCs/>
                <w:color w:val="auto"/>
                <w:sz w:val="24"/>
                <w:szCs w:val="24"/>
                <w:highlight w:val="none"/>
                <w:lang w:eastAsia="zh-CN"/>
              </w:rPr>
              <w:t>。</w:t>
            </w:r>
          </w:p>
          <w:p w14:paraId="05F392FC">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履约保证金的退还：</w:t>
            </w:r>
            <w:r>
              <w:rPr>
                <w:rFonts w:hint="eastAsia" w:ascii="宋体" w:hAnsi="宋体" w:eastAsia="宋体" w:cs="宋体"/>
                <w:color w:val="auto"/>
                <w:spacing w:val="0"/>
                <w:position w:val="0"/>
                <w:sz w:val="24"/>
                <w:szCs w:val="24"/>
                <w:highlight w:val="none"/>
                <w:u w:val="single"/>
                <w:lang w:val="en-US" w:eastAsia="zh-CN"/>
              </w:rPr>
              <w:t xml:space="preserve">  合同履约完成后15个工作日内无息退还 。                  </w:t>
            </w:r>
            <w:r>
              <w:rPr>
                <w:rFonts w:hint="eastAsia" w:ascii="宋体" w:hAnsi="宋体" w:eastAsia="宋体" w:cs="宋体"/>
                <w:strike w:val="0"/>
                <w:dstrike w:val="0"/>
                <w:color w:val="auto"/>
                <w:spacing w:val="0"/>
                <w:position w:val="0"/>
                <w:sz w:val="24"/>
                <w:szCs w:val="24"/>
                <w:highlight w:val="none"/>
                <w:u w:val="single"/>
                <w:lang w:eastAsia="zh-CN"/>
              </w:rPr>
              <w:t xml:space="preserve"> </w:t>
            </w:r>
            <w:r>
              <w:rPr>
                <w:rFonts w:hint="eastAsia" w:ascii="宋体" w:hAnsi="宋体" w:eastAsia="宋体" w:cs="宋体"/>
                <w:strike w:val="0"/>
                <w:dstrike w:val="0"/>
                <w:color w:val="auto"/>
                <w:spacing w:val="0"/>
                <w:position w:val="0"/>
                <w:sz w:val="24"/>
                <w:szCs w:val="24"/>
                <w:highlight w:val="none"/>
                <w:u w:val="single"/>
                <w:lang w:val="en-US" w:eastAsia="zh-CN"/>
              </w:rPr>
              <w:t xml:space="preserve"> </w:t>
            </w:r>
            <w:r>
              <w:rPr>
                <w:rFonts w:hint="eastAsia" w:ascii="宋体" w:hAnsi="宋体" w:eastAsia="宋体" w:cs="宋体"/>
                <w:strike w:val="0"/>
                <w:dstrike w:val="0"/>
                <w:color w:val="auto"/>
                <w:spacing w:val="0"/>
                <w:position w:val="0"/>
                <w:sz w:val="24"/>
                <w:szCs w:val="24"/>
                <w:highlight w:val="none"/>
                <w:u w:val="single"/>
                <w:lang w:eastAsia="zh-CN"/>
              </w:rPr>
              <w:t xml:space="preserve"> </w:t>
            </w:r>
          </w:p>
          <w:p w14:paraId="5CBD0614">
            <w:pPr>
              <w:keepNext w:val="0"/>
              <w:keepLines w:val="0"/>
              <w:pageBreakBefore w:val="0"/>
              <w:wordWrap/>
              <w:overflowPunct/>
              <w:topLinePunct w:val="0"/>
              <w:autoSpaceDE w:val="0"/>
              <w:autoSpaceDN w:val="0"/>
              <w:bidi w:val="0"/>
              <w:adjustRightInd w:val="0"/>
              <w:snapToGrid w:val="0"/>
              <w:spacing w:line="360" w:lineRule="auto"/>
              <w:ind w:left="216" w:leftChars="103" w:firstLine="0" w:firstLineChars="0"/>
              <w:textAlignment w:val="baseline"/>
              <w:rPr>
                <w:rFonts w:hint="default"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履约保证金不予退还情形：</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违反合同或招标文件约定。</w:t>
            </w:r>
            <w:r>
              <w:rPr>
                <w:rFonts w:hint="eastAsia" w:ascii="宋体" w:hAnsi="宋体" w:eastAsia="宋体" w:cs="宋体"/>
                <w:color w:val="auto"/>
                <w:spacing w:val="0"/>
                <w:position w:val="0"/>
                <w:sz w:val="24"/>
                <w:szCs w:val="24"/>
                <w:highlight w:val="none"/>
                <w:u w:val="single"/>
                <w:lang w:val="en-US" w:eastAsia="zh-CN"/>
              </w:rPr>
              <w:t xml:space="preserve">                </w:t>
            </w:r>
          </w:p>
        </w:tc>
      </w:tr>
      <w:tr w14:paraId="31DA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3" w:hRule="atLeast"/>
          <w:jc w:val="center"/>
        </w:trPr>
        <w:tc>
          <w:tcPr>
            <w:tcW w:w="918" w:type="dxa"/>
            <w:vAlign w:val="center"/>
          </w:tcPr>
          <w:p w14:paraId="7C8089A6">
            <w:pPr>
              <w:pageBreakBefore w:val="0"/>
              <w:widowControl w:val="0"/>
              <w:wordWrap/>
              <w:overflowPunct/>
              <w:topLinePunct w:val="0"/>
              <w:bidi w:val="0"/>
              <w:spacing w:before="208" w:line="183" w:lineRule="auto"/>
              <w:jc w:val="center"/>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32.6</w:t>
            </w:r>
          </w:p>
        </w:tc>
        <w:tc>
          <w:tcPr>
            <w:tcW w:w="1440" w:type="dxa"/>
            <w:vAlign w:val="center"/>
          </w:tcPr>
          <w:p w14:paraId="5AE22BD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询问、质疑</w:t>
            </w:r>
          </w:p>
          <w:p w14:paraId="1046542C">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联系方式</w:t>
            </w:r>
          </w:p>
        </w:tc>
        <w:tc>
          <w:tcPr>
            <w:tcW w:w="7127" w:type="dxa"/>
          </w:tcPr>
          <w:p w14:paraId="12ABD3E5">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eastAsia="zh-CN"/>
              </w:rPr>
              <w:t>磋商文件</w:t>
            </w:r>
            <w:r>
              <w:rPr>
                <w:rFonts w:hint="eastAsia" w:ascii="宋体" w:hAnsi="宋体" w:eastAsia="宋体" w:cs="宋体"/>
                <w:color w:val="auto"/>
                <w:spacing w:val="-4"/>
                <w:sz w:val="24"/>
                <w:szCs w:val="24"/>
                <w:highlight w:val="none"/>
              </w:rPr>
              <w:t>质疑</w:t>
            </w:r>
          </w:p>
          <w:p w14:paraId="20DDD3F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1DB9E6C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联系电话：0796-8221186</w:t>
            </w:r>
          </w:p>
          <w:p w14:paraId="68D9F23C">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35B43641">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电子邮箱：jactjl_shichangbu@163.com</w:t>
            </w:r>
          </w:p>
          <w:p w14:paraId="40DB6ECE">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val="en-US" w:eastAsia="zh-CN"/>
              </w:rPr>
              <w:t>采购</w:t>
            </w:r>
            <w:r>
              <w:rPr>
                <w:rFonts w:hint="eastAsia" w:ascii="宋体" w:hAnsi="宋体" w:eastAsia="宋体" w:cs="宋体"/>
                <w:color w:val="auto"/>
                <w:spacing w:val="-4"/>
                <w:sz w:val="24"/>
                <w:szCs w:val="24"/>
                <w:highlight w:val="none"/>
              </w:rPr>
              <w:t>过程、</w:t>
            </w:r>
            <w:r>
              <w:rPr>
                <w:rFonts w:hint="eastAsia" w:ascii="宋体" w:hAnsi="宋体" w:eastAsia="宋体" w:cs="宋体"/>
                <w:color w:val="auto"/>
                <w:spacing w:val="-4"/>
                <w:sz w:val="24"/>
                <w:szCs w:val="24"/>
                <w:highlight w:val="none"/>
                <w:lang w:val="en-US" w:eastAsia="zh-CN"/>
              </w:rPr>
              <w:t>成交</w:t>
            </w:r>
            <w:r>
              <w:rPr>
                <w:rFonts w:hint="eastAsia" w:ascii="宋体" w:hAnsi="宋体" w:eastAsia="宋体" w:cs="宋体"/>
                <w:color w:val="auto"/>
                <w:spacing w:val="-4"/>
                <w:sz w:val="24"/>
                <w:szCs w:val="24"/>
                <w:highlight w:val="none"/>
              </w:rPr>
              <w:t>结果质疑</w:t>
            </w:r>
          </w:p>
          <w:p w14:paraId="0FBC8A99">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接收部门：吉安城投建设监理有限公司</w:t>
            </w:r>
          </w:p>
          <w:p w14:paraId="0091ADBD">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联系电话：</w:t>
            </w:r>
            <w:r>
              <w:rPr>
                <w:rFonts w:hint="eastAsia" w:ascii="宋体" w:hAnsi="宋体" w:eastAsia="宋体" w:cs="宋体"/>
                <w:color w:val="auto"/>
                <w:spacing w:val="-7"/>
                <w:sz w:val="24"/>
                <w:szCs w:val="24"/>
                <w:highlight w:val="none"/>
                <w:lang w:eastAsia="zh-CN"/>
              </w:rPr>
              <w:t>0796-8221186</w:t>
            </w:r>
          </w:p>
          <w:p w14:paraId="107595DB">
            <w:pPr>
              <w:widowControl w:val="0"/>
              <w:spacing w:before="208"/>
              <w:ind w:firstLine="232" w:firstLineChars="1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通讯地址：</w:t>
            </w:r>
            <w:r>
              <w:rPr>
                <w:rFonts w:hint="eastAsia" w:ascii="宋体" w:hAnsi="宋体" w:eastAsia="宋体" w:cs="宋体"/>
                <w:color w:val="auto"/>
                <w:spacing w:val="-2"/>
                <w:sz w:val="24"/>
                <w:szCs w:val="24"/>
                <w:highlight w:val="none"/>
                <w:lang w:eastAsia="zh-CN"/>
              </w:rPr>
              <w:t>江西省吉安市高铁新区五指峰吉安市总部经济大厦515室。</w:t>
            </w:r>
          </w:p>
          <w:p w14:paraId="7BE9943F">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电子邮箱：</w:t>
            </w:r>
            <w:r>
              <w:rPr>
                <w:rFonts w:hint="eastAsia" w:ascii="宋体" w:hAnsi="宋体" w:eastAsia="宋体" w:cs="宋体"/>
                <w:color w:val="auto"/>
                <w:spacing w:val="-4"/>
                <w:sz w:val="24"/>
                <w:szCs w:val="24"/>
                <w:highlight w:val="none"/>
                <w:lang w:eastAsia="zh-CN"/>
              </w:rPr>
              <w:t>jactjl_shichangbu@163.com</w:t>
            </w:r>
          </w:p>
        </w:tc>
      </w:tr>
      <w:tr w14:paraId="5E9FE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918" w:type="dxa"/>
            <w:vAlign w:val="center"/>
          </w:tcPr>
          <w:p w14:paraId="41C3581A">
            <w:pPr>
              <w:pageBreakBefore w:val="0"/>
              <w:widowControl w:val="0"/>
              <w:wordWrap/>
              <w:overflowPunct/>
              <w:topLinePunct w:val="0"/>
              <w:bidi w:val="0"/>
              <w:spacing w:before="199" w:line="183" w:lineRule="auto"/>
              <w:jc w:val="center"/>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val="en-US" w:eastAsia="zh-CN"/>
              </w:rPr>
              <w:t>3</w:t>
            </w:r>
          </w:p>
        </w:tc>
        <w:tc>
          <w:tcPr>
            <w:tcW w:w="1440" w:type="dxa"/>
            <w:vAlign w:val="center"/>
          </w:tcPr>
          <w:p w14:paraId="5F7E32A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w:t>
            </w:r>
          </w:p>
          <w:p w14:paraId="76381DE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8"/>
                <w:sz w:val="24"/>
                <w:szCs w:val="24"/>
                <w:highlight w:val="none"/>
              </w:rPr>
            </w:pPr>
            <w:r>
              <w:rPr>
                <w:rFonts w:ascii="宋体" w:hAnsi="宋体" w:eastAsia="宋体" w:cs="宋体"/>
                <w:color w:val="auto"/>
                <w:sz w:val="24"/>
                <w:szCs w:val="24"/>
                <w:highlight w:val="none"/>
                <w:lang w:eastAsia="zh-CN"/>
              </w:rPr>
              <w:t>服务费</w:t>
            </w:r>
          </w:p>
        </w:tc>
        <w:tc>
          <w:tcPr>
            <w:tcW w:w="7127" w:type="dxa"/>
            <w:vAlign w:val="bottom"/>
          </w:tcPr>
          <w:p w14:paraId="36D7445A">
            <w:pPr>
              <w:spacing w:line="440" w:lineRule="exact"/>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lang w:eastAsia="zh-CN"/>
              </w:rPr>
              <w:t>在领取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通知书时，向招标代理机构支付。</w:t>
            </w:r>
          </w:p>
          <w:p w14:paraId="204C79C0">
            <w:pPr>
              <w:pageBreakBefore w:val="0"/>
              <w:widowControl w:val="0"/>
              <w:wordWrap/>
              <w:overflowPunct/>
              <w:topLinePunct w:val="0"/>
              <w:bidi w:val="0"/>
              <w:spacing w:before="40" w:line="360" w:lineRule="auto"/>
              <w:ind w:left="113"/>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w:t>
            </w:r>
            <w:r>
              <w:rPr>
                <w:rFonts w:hint="eastAsia" w:ascii="宋体" w:hAnsi="宋体" w:eastAsia="宋体" w:cs="宋体"/>
                <w:color w:val="auto"/>
                <w:sz w:val="24"/>
                <w:szCs w:val="24"/>
                <w:highlight w:val="none"/>
                <w:lang w:val="en-US" w:eastAsia="zh-CN"/>
              </w:rPr>
              <w:t>参照江西省招投标协会文件（赣招协字〔2021〕07号）文向采购代理机构支付代理服务费（含税）；</w:t>
            </w:r>
          </w:p>
        </w:tc>
      </w:tr>
    </w:tbl>
    <w:p w14:paraId="7625C90D">
      <w:pPr>
        <w:pageBreakBefore w:val="0"/>
        <w:widowControl w:val="0"/>
        <w:wordWrap/>
        <w:overflowPunct/>
        <w:topLinePunct w:val="0"/>
        <w:bidi w:val="0"/>
        <w:rPr>
          <w:color w:val="auto"/>
          <w:highlight w:val="none"/>
          <w:lang w:eastAsia="zh-CN"/>
        </w:rPr>
        <w:sectPr>
          <w:footerReference r:id="rId3" w:type="default"/>
          <w:pgSz w:w="11906" w:h="16839"/>
          <w:pgMar w:top="1440" w:right="1800" w:bottom="1440" w:left="1800" w:header="0" w:footer="1200" w:gutter="0"/>
          <w:pgNumType w:fmt="decimal" w:start="1"/>
          <w:cols w:space="720" w:num="1"/>
        </w:sectPr>
      </w:pPr>
    </w:p>
    <w:p w14:paraId="2268E16F">
      <w:pPr>
        <w:pageBreakBefore w:val="0"/>
        <w:widowControl w:val="0"/>
        <w:wordWrap/>
        <w:overflowPunct/>
        <w:topLinePunct w:val="0"/>
        <w:bidi w:val="0"/>
        <w:spacing w:before="78" w:after="0" w:afterLines="100" w:afterAutospacing="0" w:line="220" w:lineRule="auto"/>
        <w:jc w:val="center"/>
        <w:outlineLvl w:val="1"/>
        <w:rPr>
          <w:rFonts w:ascii="宋体" w:hAnsi="宋体" w:eastAsia="宋体" w:cs="宋体"/>
          <w:color w:val="auto"/>
          <w:sz w:val="24"/>
          <w:szCs w:val="24"/>
          <w:highlight w:val="none"/>
          <w:lang w:eastAsia="zh-CN"/>
        </w:rPr>
      </w:pPr>
      <w:bookmarkStart w:id="32" w:name="_Toc25553"/>
      <w:bookmarkStart w:id="33" w:name="_Toc7739"/>
      <w:bookmarkStart w:id="34" w:name="_Toc21989"/>
      <w:bookmarkStart w:id="35" w:name="_Toc18462"/>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92"/>
          <w:sz w:val="24"/>
          <w:szCs w:val="24"/>
          <w:highlight w:val="none"/>
          <w:lang w:eastAsia="zh-CN"/>
        </w:rPr>
        <w:t xml:space="preserve"> </w:t>
      </w: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磋商文件</w:t>
      </w:r>
      <w:bookmarkEnd w:id="32"/>
      <w:bookmarkEnd w:id="33"/>
      <w:bookmarkEnd w:id="34"/>
      <w:bookmarkEnd w:id="35"/>
    </w:p>
    <w:p w14:paraId="3A9B758B">
      <w:pPr>
        <w:pageBreakBefore w:val="0"/>
        <w:widowControl w:val="0"/>
        <w:wordWrap/>
        <w:overflowPunct/>
        <w:topLinePunct w:val="0"/>
        <w:bidi w:val="0"/>
        <w:spacing w:beforeAutospacing="0" w:line="363" w:lineRule="auto"/>
        <w:rPr>
          <w:color w:val="auto"/>
          <w:highlight w:val="none"/>
          <w:lang w:eastAsia="zh-CN"/>
        </w:rPr>
      </w:pPr>
    </w:p>
    <w:p w14:paraId="57D4189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36" w:name="_Toc25322"/>
      <w:bookmarkStart w:id="37" w:name="_Toc28282"/>
      <w:bookmarkStart w:id="38" w:name="_Toc30245"/>
      <w:bookmarkStart w:id="39" w:name="_Toc10337"/>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1.适用范围</w:t>
      </w:r>
      <w:bookmarkEnd w:id="36"/>
      <w:bookmarkEnd w:id="37"/>
      <w:bookmarkEnd w:id="38"/>
      <w:bookmarkEnd w:id="39"/>
    </w:p>
    <w:p w14:paraId="48EFCDF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1.1 本</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仅适用于本“</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”中所述服务的采购。</w:t>
      </w:r>
    </w:p>
    <w:p w14:paraId="73FB97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0" w:name="_Toc30418"/>
      <w:bookmarkStart w:id="41" w:name="_Toc19016"/>
      <w:bookmarkStart w:id="42" w:name="_Toc125"/>
      <w:bookmarkStart w:id="43" w:name="_Toc137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2.定义</w:t>
      </w:r>
      <w:bookmarkEnd w:id="40"/>
      <w:bookmarkEnd w:id="41"/>
      <w:bookmarkEnd w:id="42"/>
      <w:bookmarkEnd w:id="43"/>
    </w:p>
    <w:p w14:paraId="4B6AB0D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2.1 采购人：详见“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p>
    <w:p w14:paraId="4B585E7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2.2 采购代理机构：详见“</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w:t>
      </w:r>
    </w:p>
    <w:p w14:paraId="2320C20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leftChars="0" w:hanging="480" w:hangingChars="200"/>
        <w:textAlignment w:val="baseline"/>
        <w:rPr>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2.3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：是指</w:t>
      </w:r>
      <w:r>
        <w:rPr>
          <w:rFonts w:hint="eastAsia" w:ascii="宋体" w:hAnsi="宋体" w:eastAsia="宋体" w:cs="宋体"/>
          <w:color w:val="auto"/>
          <w:spacing w:val="0"/>
          <w:position w:val="0"/>
          <w:sz w:val="24"/>
          <w:szCs w:val="24"/>
          <w:highlight w:val="none"/>
          <w:lang w:val="en-US" w:eastAsia="zh-CN"/>
        </w:rPr>
        <w:t>向采购人提供</w:t>
      </w:r>
      <w:r>
        <w:rPr>
          <w:rFonts w:hint="eastAsia" w:ascii="宋体" w:hAnsi="宋体" w:cs="宋体"/>
          <w:color w:val="auto"/>
          <w:spacing w:val="0"/>
          <w:position w:val="0"/>
          <w:sz w:val="24"/>
          <w:szCs w:val="24"/>
          <w:highlight w:val="none"/>
        </w:rPr>
        <w:t xml:space="preserve">“第一章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邀请”中采购内容</w:t>
      </w:r>
      <w:r>
        <w:rPr>
          <w:rFonts w:ascii="宋体" w:hAnsi="宋体" w:eastAsia="宋体" w:cs="宋体"/>
          <w:color w:val="auto"/>
          <w:spacing w:val="0"/>
          <w:position w:val="0"/>
          <w:sz w:val="24"/>
          <w:szCs w:val="24"/>
          <w:highlight w:val="none"/>
          <w:lang w:eastAsia="zh-CN"/>
        </w:rPr>
        <w:t>的法人、其他组织或者自然人。</w:t>
      </w:r>
    </w:p>
    <w:p w14:paraId="4CDDE2B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4" w:name="_Toc22328"/>
      <w:bookmarkStart w:id="45" w:name="_Toc12536"/>
      <w:bookmarkStart w:id="46" w:name="_Toc2817"/>
      <w:bookmarkStart w:id="47" w:name="_Toc22539"/>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3.合格</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bookmarkEnd w:id="44"/>
      <w:bookmarkEnd w:id="45"/>
      <w:bookmarkEnd w:id="46"/>
      <w:bookmarkEnd w:id="47"/>
    </w:p>
    <w:p w14:paraId="01D3F76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3.1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 xml:space="preserve">的资格条件：详见“第一章 </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w:t>
      </w:r>
    </w:p>
    <w:p w14:paraId="656707F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 联合体</w:t>
      </w:r>
      <w:r>
        <w:rPr>
          <w:rFonts w:hint="eastAsia" w:ascii="宋体" w:hAnsi="宋体" w:eastAsia="宋体" w:cs="宋体"/>
          <w:color w:val="auto"/>
          <w:spacing w:val="0"/>
          <w:position w:val="0"/>
          <w:sz w:val="24"/>
          <w:szCs w:val="24"/>
          <w:highlight w:val="none"/>
          <w:lang w:val="en-US" w:eastAsia="zh-CN"/>
        </w:rPr>
        <w:t>参加磋商。</w:t>
      </w:r>
    </w:p>
    <w:p w14:paraId="3BEBB16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3.2.1 是否接受联合体</w:t>
      </w:r>
      <w:r>
        <w:rPr>
          <w:rFonts w:hint="eastAsia" w:ascii="宋体" w:hAnsi="宋体" w:eastAsia="宋体" w:cs="宋体"/>
          <w:color w:val="auto"/>
          <w:spacing w:val="0"/>
          <w:position w:val="0"/>
          <w:sz w:val="24"/>
          <w:szCs w:val="24"/>
          <w:highlight w:val="none"/>
          <w:lang w:val="en-US" w:eastAsia="zh-CN"/>
        </w:rPr>
        <w:t>参加磋商</w:t>
      </w:r>
      <w:r>
        <w:rPr>
          <w:rFonts w:ascii="宋体" w:hAnsi="宋体" w:eastAsia="宋体" w:cs="宋体"/>
          <w:color w:val="auto"/>
          <w:spacing w:val="0"/>
          <w:position w:val="0"/>
          <w:sz w:val="24"/>
          <w:szCs w:val="24"/>
          <w:highlight w:val="none"/>
          <w:lang w:eastAsia="zh-CN"/>
        </w:rPr>
        <w:t>：详见“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p>
    <w:p w14:paraId="312F03D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3.2.2 两个以上的自然人、法人或者其他组织可以组成一个联合体，以一个供应商的身份共同参加政府采购。以联合体形式进行政府采购的，参加联合体的供应商均应当具备</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的资格条件，并应当向采购人提交联合协议，载明联合体各方承担的工作和义务。联合体各方应当共同与采购人签订采购合同，就采购合同约定的事项对采购人承担连带责任。否则，将导致其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864479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2" w:leftChars="1" w:right="61" w:hanging="480" w:hanging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3.2.3 联合体各方均应当满足相应的资格条件，项目中有特定资质要求的，联合体当中承担此项工作的供应商必须具备相应的资质。</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后，必须由联合体中具备“相应 ”资质的供应商承担，否则将承担违约责任，并赔偿因违约给采购人造成的一切损失。</w:t>
      </w:r>
    </w:p>
    <w:p w14:paraId="20D7643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 xml:space="preserve">4 </w:t>
      </w:r>
      <w:r>
        <w:rPr>
          <w:rFonts w:hint="eastAsia" w:cs="仿宋" w:asciiTheme="minorEastAsia" w:hAnsiTheme="minorEastAsia" w:eastAsiaTheme="minorEastAsia"/>
          <w:color w:val="auto"/>
          <w:spacing w:val="0"/>
          <w:position w:val="0"/>
          <w:sz w:val="24"/>
          <w:szCs w:val="24"/>
          <w:highlight w:val="none"/>
        </w:rPr>
        <w:t>以联合体参加</w:t>
      </w:r>
      <w:r>
        <w:rPr>
          <w:rFonts w:hint="eastAsia" w:cs="仿宋" w:asciiTheme="minorEastAsia" w:hAnsiTheme="minorEastAsia" w:eastAsiaTheme="minorEastAsia"/>
          <w:color w:val="auto"/>
          <w:spacing w:val="0"/>
          <w:position w:val="0"/>
          <w:sz w:val="24"/>
          <w:szCs w:val="24"/>
          <w:highlight w:val="none"/>
          <w:lang w:val="en-US" w:eastAsia="zh-CN"/>
        </w:rPr>
        <w:t>磋商</w:t>
      </w:r>
      <w:r>
        <w:rPr>
          <w:rFonts w:hint="eastAsia" w:cs="仿宋" w:asciiTheme="minorEastAsia" w:hAnsiTheme="minorEastAsia" w:eastAsiaTheme="minorEastAsia"/>
          <w:color w:val="auto"/>
          <w:spacing w:val="0"/>
          <w:position w:val="0"/>
          <w:sz w:val="24"/>
          <w:szCs w:val="24"/>
          <w:highlight w:val="none"/>
        </w:rPr>
        <w:t>的，联合体中有同类资质的</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按联合体分工承担相同工作的，应当按照资质等级较低的</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确定资质等级。</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150D13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color w:val="auto"/>
          <w:spacing w:val="0"/>
          <w:position w:val="0"/>
          <w:sz w:val="24"/>
          <w:szCs w:val="24"/>
          <w:highlight w:val="none"/>
        </w:rPr>
        <w:t>3.2.</w:t>
      </w:r>
      <w:r>
        <w:rPr>
          <w:rFonts w:hint="eastAsia" w:cs="仿宋" w:asciiTheme="minorEastAsia" w:hAnsiTheme="minorEastAsia" w:eastAsiaTheme="minorEastAsia"/>
          <w:color w:val="auto"/>
          <w:spacing w:val="0"/>
          <w:position w:val="0"/>
          <w:sz w:val="24"/>
          <w:szCs w:val="24"/>
          <w:highlight w:val="none"/>
          <w:lang w:val="en-US" w:eastAsia="zh-CN"/>
        </w:rPr>
        <w:t xml:space="preserve">5 </w:t>
      </w:r>
      <w:r>
        <w:rPr>
          <w:rFonts w:hint="eastAsia" w:cs="仿宋" w:asciiTheme="minorEastAsia" w:hAnsiTheme="minorEastAsia" w:eastAsiaTheme="minorEastAsia"/>
          <w:color w:val="auto"/>
          <w:spacing w:val="0"/>
          <w:position w:val="0"/>
          <w:sz w:val="24"/>
          <w:szCs w:val="24"/>
          <w:highlight w:val="none"/>
        </w:rPr>
        <w:t>联合体各方不得再单独参加或者与其他</w:t>
      </w:r>
      <w:r>
        <w:rPr>
          <w:rFonts w:hint="eastAsia" w:cs="仿宋" w:asciiTheme="minorEastAsia" w:hAnsiTheme="minorEastAsia" w:eastAsiaTheme="minorEastAsia"/>
          <w:color w:val="auto"/>
          <w:spacing w:val="0"/>
          <w:position w:val="0"/>
          <w:sz w:val="24"/>
          <w:szCs w:val="24"/>
          <w:highlight w:val="none"/>
          <w:lang w:eastAsia="zh-CN"/>
        </w:rPr>
        <w:t>供应商</w:t>
      </w:r>
      <w:r>
        <w:rPr>
          <w:rFonts w:hint="eastAsia" w:cs="仿宋" w:asciiTheme="minorEastAsia" w:hAnsiTheme="minorEastAsia" w:eastAsiaTheme="minorEastAsia"/>
          <w:color w:val="auto"/>
          <w:spacing w:val="0"/>
          <w:position w:val="0"/>
          <w:sz w:val="24"/>
          <w:szCs w:val="24"/>
          <w:highlight w:val="none"/>
        </w:rPr>
        <w:t>另外组成联合体参加同一合同项下的政府采购活动。</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140734D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48" w:name="_Toc5190"/>
      <w:bookmarkStart w:id="49" w:name="_Toc26312"/>
      <w:bookmarkStart w:id="50" w:name="_Toc4610"/>
      <w:bookmarkStart w:id="51" w:name="_Toc3210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费用</w:t>
      </w:r>
      <w:bookmarkEnd w:id="48"/>
      <w:bookmarkEnd w:id="49"/>
      <w:bookmarkEnd w:id="50"/>
      <w:bookmarkEnd w:id="51"/>
    </w:p>
    <w:p w14:paraId="48AE801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8" w:leftChars="0" w:hanging="409" w:firstLineChars="0"/>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 xml:space="preserve">4.1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应自行承担所有与准备和参加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有关的全部费用。不论</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的结果如何，采</w:t>
      </w:r>
      <w:r>
        <w:rPr>
          <w:rFonts w:hint="eastAsia" w:ascii="宋体" w:hAnsi="宋体" w:eastAsia="宋体" w:cs="宋体"/>
          <w:color w:val="auto"/>
          <w:spacing w:val="0"/>
          <w:position w:val="0"/>
          <w:sz w:val="24"/>
          <w:szCs w:val="24"/>
          <w:highlight w:val="none"/>
          <w:lang w:val="en-US" w:eastAsia="zh-CN"/>
        </w:rPr>
        <w:t>购代理机构均无义务和责任承担这些费用。</w:t>
      </w:r>
    </w:p>
    <w:p w14:paraId="6EA60F7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52" w:name="_Toc3634"/>
      <w:bookmarkStart w:id="53" w:name="_Toc32432"/>
      <w:bookmarkStart w:id="54" w:name="_Toc28143"/>
      <w:bookmarkStart w:id="55" w:name="_Toc2994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代表</w:t>
      </w:r>
      <w:bookmarkEnd w:id="52"/>
      <w:bookmarkEnd w:id="53"/>
      <w:bookmarkEnd w:id="54"/>
      <w:bookmarkEnd w:id="55"/>
    </w:p>
    <w:p w14:paraId="30F327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3" w:leftChars="0" w:hanging="480" w:firstLineChars="0"/>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5.1 指全权代表</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活动并签署</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的人。如果</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代表不是法定代表人，须持有《法定代表人授权书》。</w:t>
      </w:r>
    </w:p>
    <w:p w14:paraId="2A4C995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2" w:leftChars="1"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56" w:name="_Toc9559"/>
      <w:bookmarkStart w:id="57" w:name="_Toc26036"/>
      <w:bookmarkStart w:id="58" w:name="_Toc6559"/>
      <w:bookmarkStart w:id="59" w:name="_Toc7244"/>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的构成</w:t>
      </w:r>
      <w:bookmarkEnd w:id="56"/>
      <w:bookmarkEnd w:id="57"/>
      <w:bookmarkEnd w:id="58"/>
      <w:bookmarkEnd w:id="59"/>
    </w:p>
    <w:p w14:paraId="2059A5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6.1 要求提供的服务、</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过程和合同条款在</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中均有说明。</w:t>
      </w:r>
    </w:p>
    <w:p w14:paraId="0A969462">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79" w:leftChars="228" w:firstLine="0" w:firstLineChars="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共</w:t>
      </w:r>
      <w:r>
        <w:rPr>
          <w:rFonts w:hint="eastAsia" w:ascii="宋体" w:hAnsi="宋体" w:eastAsia="宋体" w:cs="宋体"/>
          <w:color w:val="auto"/>
          <w:spacing w:val="0"/>
          <w:position w:val="0"/>
          <w:sz w:val="24"/>
          <w:szCs w:val="24"/>
          <w:highlight w:val="none"/>
          <w:lang w:val="en-US" w:eastAsia="zh-CN"/>
        </w:rPr>
        <w:t>六</w:t>
      </w:r>
      <w:r>
        <w:rPr>
          <w:rFonts w:ascii="宋体" w:hAnsi="宋体" w:eastAsia="宋体" w:cs="宋体"/>
          <w:color w:val="auto"/>
          <w:spacing w:val="0"/>
          <w:position w:val="0"/>
          <w:sz w:val="24"/>
          <w:szCs w:val="24"/>
          <w:highlight w:val="none"/>
          <w:lang w:eastAsia="zh-CN"/>
        </w:rPr>
        <w:t>章，各章的内容如下：</w:t>
      </w:r>
    </w:p>
    <w:p w14:paraId="08914EBB">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第一章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邀请</w:t>
      </w:r>
    </w:p>
    <w:p w14:paraId="3F85474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第二章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w:t>
      </w:r>
    </w:p>
    <w:p w14:paraId="294C1929">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第三章 拟签订的合同文本</w:t>
      </w:r>
    </w:p>
    <w:p w14:paraId="67468A7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第四章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w:t>
      </w:r>
    </w:p>
    <w:p w14:paraId="422F8F8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第五章 采购需求</w:t>
      </w:r>
      <w:r>
        <w:rPr>
          <w:rFonts w:hint="eastAsia" w:ascii="宋体" w:hAnsi="宋体" w:eastAsia="宋体" w:cs="宋体"/>
          <w:color w:val="auto"/>
          <w:spacing w:val="0"/>
          <w:position w:val="0"/>
          <w:sz w:val="24"/>
          <w:szCs w:val="24"/>
          <w:highlight w:val="none"/>
          <w:lang w:val="en-US" w:eastAsia="zh-CN"/>
        </w:rPr>
        <w:t>表及采购要求</w:t>
      </w:r>
    </w:p>
    <w:p w14:paraId="79AC2F8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snapToGrid w:val="0"/>
          <w:color w:val="auto"/>
          <w:spacing w:val="0"/>
          <w:position w:val="0"/>
          <w:sz w:val="24"/>
          <w:szCs w:val="24"/>
          <w:highlight w:val="none"/>
          <w:lang w:val="en-US" w:eastAsia="zh-CN" w:bidi="ar-SA"/>
        </w:rPr>
        <w:t>第六章 评审标准</w:t>
      </w:r>
    </w:p>
    <w:p w14:paraId="5C57E0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6.2 除非有特殊要求，</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不单独提供</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服务使用地的自然环境、气候条件、公用设施等情况，</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被视为熟悉上述与履行合同有关的一切情况。</w:t>
      </w:r>
    </w:p>
    <w:p w14:paraId="422DE3E8">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78" w:leftChars="37" w:firstLine="0" w:firstLineChars="0"/>
        <w:textAlignment w:val="baseline"/>
        <w:outlineLvl w:val="1"/>
        <w:rPr>
          <w:rFonts w:ascii="宋体" w:hAnsi="宋体" w:eastAsia="宋体" w:cs="宋体"/>
          <w:color w:val="auto"/>
          <w:spacing w:val="0"/>
          <w:position w:val="0"/>
          <w:sz w:val="24"/>
          <w:szCs w:val="24"/>
          <w:highlight w:val="none"/>
          <w:lang w:eastAsia="zh-CN"/>
        </w:rPr>
      </w:pPr>
      <w:bookmarkStart w:id="60" w:name="_Toc342"/>
      <w:bookmarkStart w:id="61" w:name="_Toc16364"/>
      <w:bookmarkStart w:id="62" w:name="_Toc22297"/>
      <w:bookmarkStart w:id="63" w:name="_Toc2126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应当提交的资格、资信证明文件</w:t>
      </w:r>
      <w:bookmarkEnd w:id="60"/>
      <w:bookmarkEnd w:id="61"/>
      <w:bookmarkEnd w:id="62"/>
      <w:bookmarkEnd w:id="63"/>
    </w:p>
    <w:p w14:paraId="137E98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4" w:firstLineChars="31"/>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 xml:space="preserve">7.1 </w:t>
      </w:r>
      <w:r>
        <w:rPr>
          <w:rFonts w:ascii="宋体" w:hAnsi="宋体" w:eastAsia="宋体" w:cs="宋体"/>
          <w:color w:val="auto"/>
          <w:spacing w:val="0"/>
          <w:position w:val="0"/>
          <w:sz w:val="24"/>
          <w:szCs w:val="24"/>
          <w:highlight w:val="none"/>
          <w:lang w:eastAsia="zh-CN"/>
        </w:rPr>
        <w:t>具有独立承担民事责任的能力的资格证明文件</w:t>
      </w:r>
      <w:r>
        <w:rPr>
          <w:rFonts w:hint="eastAsia" w:ascii="宋体" w:hAnsi="宋体" w:eastAsia="宋体" w:cs="宋体"/>
          <w:color w:val="auto"/>
          <w:spacing w:val="0"/>
          <w:position w:val="0"/>
          <w:sz w:val="24"/>
          <w:szCs w:val="24"/>
          <w:highlight w:val="none"/>
          <w:lang w:val="en-US" w:eastAsia="zh-CN"/>
        </w:rPr>
        <w:t>；</w:t>
      </w:r>
    </w:p>
    <w:p w14:paraId="4C8EE04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2 </w:t>
      </w:r>
      <w:r>
        <w:rPr>
          <w:rFonts w:ascii="宋体" w:hAnsi="宋体" w:eastAsia="宋体" w:cs="宋体"/>
          <w:color w:val="auto"/>
          <w:spacing w:val="0"/>
          <w:position w:val="0"/>
          <w:sz w:val="24"/>
          <w:szCs w:val="24"/>
          <w:highlight w:val="none"/>
          <w:lang w:eastAsia="zh-CN"/>
        </w:rPr>
        <w:t>具有良好的商业信誉和健全的财务会计制度的证明文件</w:t>
      </w:r>
      <w:r>
        <w:rPr>
          <w:rFonts w:hint="eastAsia" w:ascii="宋体" w:hAnsi="宋体" w:eastAsia="宋体" w:cs="宋体"/>
          <w:color w:val="auto"/>
          <w:spacing w:val="0"/>
          <w:position w:val="0"/>
          <w:sz w:val="24"/>
          <w:szCs w:val="24"/>
          <w:highlight w:val="none"/>
          <w:lang w:eastAsia="zh-CN"/>
        </w:rPr>
        <w:t>；</w:t>
      </w:r>
    </w:p>
    <w:p w14:paraId="2B4E346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3 </w:t>
      </w:r>
      <w:r>
        <w:rPr>
          <w:rFonts w:ascii="宋体" w:hAnsi="宋体" w:eastAsia="宋体" w:cs="宋体"/>
          <w:color w:val="auto"/>
          <w:spacing w:val="0"/>
          <w:position w:val="0"/>
          <w:sz w:val="24"/>
          <w:szCs w:val="24"/>
          <w:highlight w:val="none"/>
          <w:lang w:eastAsia="zh-CN"/>
        </w:rPr>
        <w:t>具有履行合同所必需的设备和专业技术能力的证明文件</w:t>
      </w:r>
      <w:r>
        <w:rPr>
          <w:rFonts w:hint="eastAsia" w:ascii="宋体" w:hAnsi="宋体" w:eastAsia="宋体" w:cs="宋体"/>
          <w:color w:val="auto"/>
          <w:spacing w:val="0"/>
          <w:position w:val="0"/>
          <w:sz w:val="24"/>
          <w:szCs w:val="24"/>
          <w:highlight w:val="none"/>
          <w:lang w:eastAsia="zh-CN"/>
        </w:rPr>
        <w:t>；</w:t>
      </w:r>
    </w:p>
    <w:p w14:paraId="032071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4 </w:t>
      </w:r>
      <w:r>
        <w:rPr>
          <w:rFonts w:ascii="宋体" w:hAnsi="宋体" w:eastAsia="宋体" w:cs="宋体"/>
          <w:color w:val="auto"/>
          <w:spacing w:val="0"/>
          <w:position w:val="0"/>
          <w:sz w:val="24"/>
          <w:szCs w:val="24"/>
          <w:highlight w:val="none"/>
          <w:lang w:eastAsia="zh-CN"/>
        </w:rPr>
        <w:t>有依法缴纳税收和社会保障资金的良好记录的证明文件</w:t>
      </w:r>
      <w:r>
        <w:rPr>
          <w:rFonts w:hint="eastAsia" w:ascii="宋体" w:hAnsi="宋体" w:eastAsia="宋体" w:cs="宋体"/>
          <w:color w:val="auto"/>
          <w:spacing w:val="0"/>
          <w:position w:val="0"/>
          <w:sz w:val="24"/>
          <w:szCs w:val="24"/>
          <w:highlight w:val="none"/>
          <w:lang w:eastAsia="zh-CN"/>
        </w:rPr>
        <w:t>；</w:t>
      </w:r>
    </w:p>
    <w:p w14:paraId="0794FB6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978" w:leftChars="36" w:hanging="902" w:hangingChars="376"/>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5 </w:t>
      </w:r>
      <w:r>
        <w:rPr>
          <w:rFonts w:ascii="宋体" w:hAnsi="宋体" w:eastAsia="宋体" w:cs="宋体"/>
          <w:color w:val="auto"/>
          <w:spacing w:val="0"/>
          <w:position w:val="0"/>
          <w:sz w:val="24"/>
          <w:szCs w:val="24"/>
          <w:highlight w:val="none"/>
          <w:lang w:eastAsia="zh-CN"/>
        </w:rPr>
        <w:t>参加政府采购</w:t>
      </w:r>
      <w:r>
        <w:rPr>
          <w:rFonts w:hint="eastAsia" w:ascii="宋体" w:hAnsi="宋体" w:eastAsia="宋体" w:cs="宋体"/>
          <w:color w:val="auto"/>
          <w:spacing w:val="0"/>
          <w:position w:val="0"/>
          <w:sz w:val="24"/>
          <w:szCs w:val="24"/>
          <w:highlight w:val="none"/>
          <w:lang w:val="en-US" w:eastAsia="zh-CN"/>
        </w:rPr>
        <w:t>活动</w:t>
      </w:r>
      <w:r>
        <w:rPr>
          <w:rFonts w:ascii="宋体" w:hAnsi="宋体" w:eastAsia="宋体" w:cs="宋体"/>
          <w:color w:val="auto"/>
          <w:spacing w:val="0"/>
          <w:position w:val="0"/>
          <w:sz w:val="24"/>
          <w:szCs w:val="24"/>
          <w:highlight w:val="none"/>
          <w:lang w:eastAsia="zh-CN"/>
        </w:rPr>
        <w:t>前三年内，在经营活动中没有重大违法记录的证明文件</w:t>
      </w:r>
      <w:r>
        <w:rPr>
          <w:rFonts w:hint="eastAsia" w:ascii="宋体" w:hAnsi="宋体" w:eastAsia="宋体" w:cs="宋体"/>
          <w:color w:val="auto"/>
          <w:spacing w:val="0"/>
          <w:position w:val="0"/>
          <w:sz w:val="24"/>
          <w:szCs w:val="24"/>
          <w:highlight w:val="none"/>
          <w:lang w:eastAsia="zh-CN"/>
        </w:rPr>
        <w:t>；</w:t>
      </w:r>
    </w:p>
    <w:p w14:paraId="53F1ED5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6 </w:t>
      </w:r>
      <w:r>
        <w:rPr>
          <w:rFonts w:ascii="宋体" w:hAnsi="宋体" w:eastAsia="宋体" w:cs="宋体"/>
          <w:color w:val="auto"/>
          <w:spacing w:val="0"/>
          <w:position w:val="0"/>
          <w:sz w:val="24"/>
          <w:szCs w:val="24"/>
          <w:highlight w:val="none"/>
          <w:lang w:eastAsia="zh-CN"/>
        </w:rPr>
        <w:t>法定代表人授权书</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w:t>
      </w:r>
    </w:p>
    <w:p w14:paraId="57E38A3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7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的资格声明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 ”）</w:t>
      </w:r>
    </w:p>
    <w:p w14:paraId="3353231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w:t>
      </w:r>
      <w:r>
        <w:rPr>
          <w:rFonts w:hint="eastAsia" w:ascii="宋体" w:hAnsi="宋体" w:eastAsia="宋体" w:cs="宋体"/>
          <w:color w:val="auto"/>
          <w:spacing w:val="0"/>
          <w:position w:val="0"/>
          <w:sz w:val="24"/>
          <w:szCs w:val="24"/>
          <w:highlight w:val="none"/>
          <w:lang w:val="en-US" w:eastAsia="zh-CN"/>
        </w:rPr>
        <w:t xml:space="preserve">8 </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凭证</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7-</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w:t>
      </w:r>
    </w:p>
    <w:p w14:paraId="5E53A35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right="61"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7.9 联合体协议；（格式详见“第四章响应文件格式 7-6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参加磋商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7CBE9E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hanging="480" w:hangingChars="20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7.1</w:t>
      </w:r>
      <w:r>
        <w:rPr>
          <w:rFonts w:hint="eastAsia" w:ascii="宋体" w:hAnsi="宋体" w:eastAsia="宋体" w:cs="宋体"/>
          <w:color w:val="auto"/>
          <w:spacing w:val="0"/>
          <w:position w:val="0"/>
          <w:sz w:val="24"/>
          <w:szCs w:val="24"/>
          <w:highlight w:val="none"/>
          <w:lang w:val="en-US" w:eastAsia="zh-CN"/>
        </w:rPr>
        <w:t xml:space="preserve">0 </w:t>
      </w:r>
      <w:r>
        <w:rPr>
          <w:rFonts w:hint="eastAsia" w:ascii="宋体" w:hAnsi="宋体" w:eastAsia="宋体" w:cs="宋体"/>
          <w:b w:val="0"/>
          <w:bCs/>
          <w:color w:val="auto"/>
          <w:spacing w:val="0"/>
          <w:position w:val="0"/>
          <w:sz w:val="24"/>
          <w:szCs w:val="24"/>
          <w:highlight w:val="none"/>
        </w:rPr>
        <w:t>本项目的特定资格证明材料</w:t>
      </w:r>
      <w:r>
        <w:rPr>
          <w:rFonts w:hint="eastAsia" w:ascii="宋体" w:hAnsi="宋体" w:eastAsia="宋体" w:cs="宋体"/>
          <w:b w:val="0"/>
          <w:bCs/>
          <w:color w:val="auto"/>
          <w:spacing w:val="0"/>
          <w:position w:val="0"/>
          <w:sz w:val="24"/>
          <w:szCs w:val="24"/>
          <w:highlight w:val="none"/>
          <w:lang w:eastAsia="zh-CN"/>
        </w:rPr>
        <w:t>。</w:t>
      </w:r>
    </w:p>
    <w:p w14:paraId="03ACF003">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78" w:leftChars="37" w:firstLine="0" w:firstLineChars="0"/>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64" w:name="_Toc9276"/>
      <w:bookmarkStart w:id="65" w:name="_Toc20047"/>
      <w:bookmarkStart w:id="66" w:name="_Toc17474"/>
      <w:bookmarkStart w:id="67" w:name="_Toc3061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为落实政府采购政策，采购标的需满足的要求，以及</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须提供的证明材料</w:t>
      </w:r>
      <w:bookmarkEnd w:id="64"/>
      <w:bookmarkEnd w:id="65"/>
      <w:bookmarkEnd w:id="66"/>
      <w:bookmarkEnd w:id="67"/>
    </w:p>
    <w:p w14:paraId="35D1F40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79" w:firstLineChars="3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中小企业参加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hint="eastAsia" w:ascii="宋体" w:hAnsi="宋体" w:eastAsia="宋体" w:cs="宋体"/>
          <w:b/>
          <w:bCs/>
          <w:i/>
          <w:iCs/>
          <w:color w:val="auto"/>
          <w:sz w:val="24"/>
          <w:szCs w:val="24"/>
          <w:highlight w:val="none"/>
          <w:lang w:eastAsia="zh-CN"/>
        </w:rPr>
        <w:t>（本项目不适用）</w:t>
      </w:r>
    </w:p>
    <w:p w14:paraId="614D0C5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80" w:leftChars="38"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8.1.1 中小企业（含中型、小型、微型企业，下同）应当符合以下条件：</w:t>
      </w:r>
    </w:p>
    <w:p w14:paraId="76D97DE2">
      <w:pPr>
        <w:keepNext w:val="0"/>
        <w:keepLines w:val="0"/>
        <w:pageBreakBefore w:val="0"/>
        <w:widowControl w:val="0"/>
        <w:kinsoku/>
        <w:wordWrap/>
        <w:overflowPunct/>
        <w:topLinePunct w:val="0"/>
        <w:autoSpaceDE w:val="0"/>
        <w:autoSpaceDN w:val="0"/>
        <w:bidi w:val="0"/>
        <w:adjustRightInd w:val="0"/>
        <w:snapToGrid w:val="0"/>
        <w:spacing w:afterAutospacing="0" w:line="360" w:lineRule="auto"/>
        <w:ind w:left="558" w:leftChars="188" w:right="0" w:hanging="163" w:hangingChars="68"/>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在中华人民共和国境内依法设立，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37453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3" w:leftChars="200" w:right="2" w:hanging="153" w:hangingChars="6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小型、微型企业</w:t>
      </w:r>
      <w:r>
        <w:rPr>
          <w:rFonts w:hint="eastAsia" w:ascii="宋体" w:hAnsi="宋体" w:eastAsia="宋体" w:cs="宋体"/>
          <w:color w:val="auto"/>
          <w:spacing w:val="0"/>
          <w:position w:val="0"/>
          <w:sz w:val="24"/>
          <w:szCs w:val="24"/>
          <w:highlight w:val="none"/>
          <w:lang w:val="en-US" w:eastAsia="zh-CN"/>
        </w:rPr>
        <w:t>作为代理商，</w:t>
      </w:r>
      <w:r>
        <w:rPr>
          <w:rFonts w:ascii="宋体" w:hAnsi="宋体" w:eastAsia="宋体" w:cs="宋体"/>
          <w:color w:val="auto"/>
          <w:spacing w:val="0"/>
          <w:position w:val="0"/>
          <w:sz w:val="24"/>
          <w:szCs w:val="24"/>
          <w:highlight w:val="none"/>
          <w:lang w:eastAsia="zh-CN"/>
        </w:rPr>
        <w:t>中型企业</w:t>
      </w:r>
      <w:r>
        <w:rPr>
          <w:rFonts w:hint="eastAsia" w:ascii="宋体" w:hAnsi="宋体" w:eastAsia="宋体" w:cs="宋体"/>
          <w:color w:val="auto"/>
          <w:spacing w:val="0"/>
          <w:position w:val="0"/>
          <w:sz w:val="24"/>
          <w:szCs w:val="24"/>
          <w:highlight w:val="none"/>
          <w:lang w:val="en-US" w:eastAsia="zh-CN"/>
        </w:rPr>
        <w:t>作为本项目服务承接商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视同为中型企业；</w:t>
      </w:r>
    </w:p>
    <w:p w14:paraId="7A737590">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573" w:leftChars="200" w:hanging="153" w:hangingChars="64"/>
        <w:jc w:val="both"/>
        <w:textAlignment w:val="baseline"/>
        <w:rPr>
          <w:rFonts w:ascii="宋体" w:hAnsi="宋体" w:eastAsia="宋体" w:cs="宋体"/>
          <w:snapToGrid w:val="0"/>
          <w:color w:val="auto"/>
          <w:spacing w:val="0"/>
          <w:kern w:val="0"/>
          <w:position w:val="0"/>
          <w:sz w:val="24"/>
          <w:szCs w:val="24"/>
          <w:highlight w:val="none"/>
          <w:lang w:val="en-US" w:eastAsia="zh-CN" w:bidi="ar-SA"/>
        </w:rPr>
      </w:pPr>
      <w:r>
        <w:rPr>
          <w:rFonts w:hint="eastAsia" w:ascii="宋体" w:hAnsi="宋体" w:eastAsia="宋体" w:cs="宋体"/>
          <w:snapToGrid w:val="0"/>
          <w:color w:val="auto"/>
          <w:spacing w:val="0"/>
          <w:kern w:val="0"/>
          <w:position w:val="0"/>
          <w:sz w:val="24"/>
          <w:szCs w:val="24"/>
          <w:highlight w:val="none"/>
          <w:lang w:val="en-US" w:eastAsia="zh-CN" w:bidi="ar-SA"/>
        </w:rPr>
        <w:t>（3）在服务采购项目中，服务由中小企业承接，即提供服务的人员为中小企业依照《中华人民共和国劳动合同法》订立劳动合同的从业人员；</w:t>
      </w:r>
    </w:p>
    <w:p w14:paraId="124B075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73" w:leftChars="200" w:right="2" w:hanging="153" w:hangingChars="64"/>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）以联合体形式参加政府采购活动，联合体各方均为中小企业的，联合体视同中</w:t>
      </w:r>
      <w:r>
        <w:rPr>
          <w:rFonts w:hint="eastAsia" w:ascii="宋体" w:hAnsi="宋体" w:eastAsia="宋体" w:cs="宋体"/>
          <w:color w:val="auto"/>
          <w:spacing w:val="0"/>
          <w:position w:val="0"/>
          <w:sz w:val="24"/>
          <w:szCs w:val="24"/>
          <w:highlight w:val="none"/>
          <w:lang w:eastAsia="zh-CN"/>
        </w:rPr>
        <w:t>小企业。其中，联合体各方均为小微企业的，联合体视同小微企业；（适用于联合体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w:t>
      </w:r>
    </w:p>
    <w:p w14:paraId="621D2D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178" w:right="80" w:hanging="151" w:hangingChars="6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）组成联合体或者接受分包合同的中小企业与联合体内其他企业、分包企业之间不得存在直接控股、管理关系。</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(适用于涉及中小企业的联合体</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或者允许合同分</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包的采购项目</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915C60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0" w:right="8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8.1.2 </w:t>
      </w:r>
      <w:r>
        <w:rPr>
          <w:rFonts w:hint="eastAsia" w:ascii="宋体" w:hAnsi="宋体" w:eastAsia="宋体" w:cs="宋体"/>
          <w:color w:val="auto"/>
          <w:spacing w:val="0"/>
          <w:position w:val="0"/>
          <w:sz w:val="24"/>
          <w:szCs w:val="24"/>
          <w:highlight w:val="none"/>
          <w:lang w:eastAsia="zh-CN"/>
        </w:rPr>
        <w:t>供应商提供中小企业服务的</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时</w:t>
      </w:r>
      <w:r>
        <w:rPr>
          <w:rFonts w:hint="eastAsia" w:ascii="宋体" w:hAnsi="宋体" w:eastAsia="宋体" w:cs="宋体"/>
          <w:color w:val="auto"/>
          <w:spacing w:val="0"/>
          <w:position w:val="0"/>
          <w:sz w:val="24"/>
          <w:szCs w:val="24"/>
          <w:highlight w:val="none"/>
          <w:lang w:eastAsia="zh-CN"/>
        </w:rPr>
        <w:t>提供</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文件</w:t>
      </w:r>
      <w:r>
        <w:rPr>
          <w:rFonts w:hint="eastAsia" w:ascii="宋体" w:hAnsi="宋体" w:eastAsia="宋体" w:cs="宋体"/>
          <w:color w:val="auto"/>
          <w:spacing w:val="0"/>
          <w:position w:val="0"/>
          <w:sz w:val="24"/>
          <w:szCs w:val="24"/>
          <w:highlight w:val="none"/>
          <w:lang w:val="en-US" w:eastAsia="zh-CN"/>
        </w:rPr>
        <w:t>规定的</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中小企业声明</w:t>
      </w:r>
      <w:r>
        <w:rPr>
          <w:rFonts w:hint="eastAsia" w:ascii="宋体" w:hAnsi="宋体" w:eastAsia="宋体" w:cs="宋体"/>
          <w:color w:val="auto"/>
          <w:spacing w:val="0"/>
          <w:position w:val="0"/>
          <w:sz w:val="24"/>
          <w:szCs w:val="24"/>
          <w:highlight w:val="none"/>
          <w:lang w:eastAsia="zh-CN"/>
        </w:rPr>
        <w:t>函》</w:t>
      </w:r>
      <w:r>
        <w:rPr>
          <w:rFonts w:ascii="宋体" w:hAnsi="宋体" w:eastAsia="宋体" w:cs="宋体"/>
          <w:color w:val="auto"/>
          <w:spacing w:val="0"/>
          <w:position w:val="0"/>
          <w:sz w:val="24"/>
          <w:szCs w:val="24"/>
          <w:highlight w:val="none"/>
          <w:lang w:eastAsia="zh-CN"/>
        </w:rPr>
        <w:t>（格式详见“第四章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8-1 ”）</w:t>
      </w:r>
      <w:r>
        <w:rPr>
          <w:rFonts w:hint="eastAsia" w:ascii="宋体" w:hAnsi="宋体" w:eastAsia="宋体" w:cs="宋体"/>
          <w:color w:val="auto"/>
          <w:spacing w:val="0"/>
          <w:position w:val="0"/>
          <w:sz w:val="24"/>
          <w:szCs w:val="24"/>
          <w:highlight w:val="none"/>
          <w:lang w:eastAsia="zh-CN"/>
        </w:rPr>
        <w:t>，并对声明函的真实性负责，</w:t>
      </w:r>
      <w:r>
        <w:rPr>
          <w:rFonts w:hint="eastAsia" w:ascii="宋体" w:hAnsi="宋体" w:eastAsia="宋体" w:cs="宋体"/>
          <w:color w:val="auto"/>
          <w:spacing w:val="0"/>
          <w:position w:val="0"/>
          <w:sz w:val="24"/>
          <w:szCs w:val="24"/>
          <w:highlight w:val="none"/>
          <w:lang w:val="en-US" w:eastAsia="zh-CN"/>
        </w:rPr>
        <w:t>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供应商提供的《</w:t>
      </w:r>
      <w:r>
        <w:rPr>
          <w:rFonts w:hint="eastAsia" w:ascii="宋体" w:hAnsi="宋体" w:eastAsia="宋体" w:cs="宋体"/>
          <w:color w:val="auto"/>
          <w:spacing w:val="0"/>
          <w:position w:val="0"/>
          <w:sz w:val="24"/>
          <w:szCs w:val="24"/>
          <w:highlight w:val="none"/>
          <w:lang w:val="en-US" w:eastAsia="zh-CN"/>
        </w:rPr>
        <w:t>中小企业</w:t>
      </w:r>
      <w:r>
        <w:rPr>
          <w:rFonts w:hint="eastAsia" w:ascii="宋体" w:hAnsi="宋体" w:eastAsia="宋体" w:cs="宋体"/>
          <w:color w:val="auto"/>
          <w:spacing w:val="0"/>
          <w:position w:val="0"/>
          <w:sz w:val="24"/>
          <w:szCs w:val="24"/>
          <w:highlight w:val="none"/>
          <w:lang w:eastAsia="zh-CN"/>
        </w:rPr>
        <w:t>声明函》与事实不符的，依照《政府采购法》第七十七条第一款的规定追究法律责任。</w:t>
      </w:r>
    </w:p>
    <w:p w14:paraId="4DB4130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监狱企业参加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30FA327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8.2.1 监狱企业应当符合以下条件</w:t>
      </w:r>
    </w:p>
    <w:p w14:paraId="216CF6D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42" w:leftChars="258" w:right="8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6FBDF34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8.2.2 监狱企业参加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须提供的证明材料</w:t>
      </w:r>
    </w:p>
    <w:p w14:paraId="6C10EC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7" w:leftChars="270" w:right="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监狱企业参加政府采购活动时，提供由省级以上监狱管理局、戒毒管理局（含新疆生产建设兵团）出具的属于监狱企业的证明文件（格式详见“第四章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8-2 ”）</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ascii="宋体" w:hAnsi="宋体" w:eastAsia="宋体" w:cs="宋体"/>
          <w:color w:val="auto"/>
          <w:spacing w:val="0"/>
          <w:position w:val="0"/>
          <w:sz w:val="24"/>
          <w:szCs w:val="24"/>
          <w:highlight w:val="none"/>
          <w:lang w:eastAsia="zh-CN"/>
        </w:rPr>
        <w:t>。</w:t>
      </w:r>
    </w:p>
    <w:p w14:paraId="65551E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残疾人福利性单位参加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0F4ADD9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8.3.1 享受政府采购支持政策的残疾人福利性单位应当同时满足以下条件：</w:t>
      </w:r>
    </w:p>
    <w:p w14:paraId="4A6E2686">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39" w:leftChars="30" w:hanging="576" w:hangingChars="24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（1）安置的残疾人占本单位在职职工人数的比例不低于 25%（含 25%），并且安置的</w:t>
      </w:r>
      <w:r>
        <w:rPr>
          <w:rFonts w:hint="eastAsia" w:ascii="宋体" w:hAnsi="宋体" w:eastAsia="宋体" w:cs="宋体"/>
          <w:color w:val="auto"/>
          <w:spacing w:val="0"/>
          <w:position w:val="0"/>
          <w:sz w:val="24"/>
          <w:szCs w:val="24"/>
          <w:highlight w:val="none"/>
          <w:lang w:eastAsia="zh-CN"/>
        </w:rPr>
        <w:t>残疾人人数不少于 10 人（含 10 人）；</w:t>
      </w:r>
    </w:p>
    <w:p w14:paraId="20F7093E">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03" w:leftChars="30" w:hanging="540" w:hangingChars="22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（2）依法与安置的每位残疾人签订了一年以上（含一年）的劳动合同或服务协议；</w:t>
      </w:r>
    </w:p>
    <w:p w14:paraId="2630CDFB">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41" w:leftChars="30" w:hanging="578" w:hangingChars="24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（3）为安置的每位残疾人按月足额缴纳了基本养老保险、基本医疗保险、失业保险</w:t>
      </w:r>
      <w:r>
        <w:rPr>
          <w:rFonts w:hint="eastAsia" w:ascii="宋体" w:hAnsi="宋体" w:eastAsia="宋体" w:cs="宋体"/>
          <w:color w:val="auto"/>
          <w:spacing w:val="0"/>
          <w:position w:val="0"/>
          <w:sz w:val="24"/>
          <w:szCs w:val="24"/>
          <w:highlight w:val="none"/>
          <w:lang w:eastAsia="zh-CN"/>
        </w:rPr>
        <w:t>、工伤保险和生育保险等社会保险费；</w:t>
      </w:r>
    </w:p>
    <w:p w14:paraId="1B8A3280">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41" w:leftChars="30" w:hanging="578" w:hangingChars="24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（4）通过银行等金融机构向安置的每位残疾人，按月支付了不低于单位所在区县</w:t>
      </w:r>
      <w:r>
        <w:rPr>
          <w:rFonts w:hint="eastAsia" w:ascii="宋体" w:hAnsi="宋体" w:eastAsia="宋体" w:cs="宋体"/>
          <w:color w:val="auto"/>
          <w:spacing w:val="0"/>
          <w:position w:val="0"/>
          <w:sz w:val="24"/>
          <w:szCs w:val="24"/>
          <w:highlight w:val="none"/>
          <w:lang w:val="en-US" w:eastAsia="zh-CN"/>
        </w:rPr>
        <w:t>适</w:t>
      </w:r>
      <w:r>
        <w:rPr>
          <w:rFonts w:hint="eastAsia" w:ascii="宋体" w:hAnsi="宋体" w:eastAsia="宋体" w:cs="宋体"/>
          <w:color w:val="auto"/>
          <w:spacing w:val="0"/>
          <w:position w:val="0"/>
          <w:sz w:val="24"/>
          <w:szCs w:val="24"/>
          <w:highlight w:val="none"/>
          <w:lang w:eastAsia="zh-CN"/>
        </w:rPr>
        <w:t>用的经省级人民政府批准的月最低工资标准的工资；</w:t>
      </w:r>
    </w:p>
    <w:p w14:paraId="14AEEE8F">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03" w:leftChars="30" w:hanging="540" w:hangingChars="225"/>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position w:val="0"/>
          <w:sz w:val="24"/>
          <w:szCs w:val="24"/>
          <w:highlight w:val="none"/>
          <w:lang w:val="en-US" w:eastAsia="zh-CN"/>
        </w:rPr>
        <w:t>物）。</w:t>
      </w:r>
    </w:p>
    <w:p w14:paraId="22D3661C">
      <w:pPr>
        <w:keepNext w:val="0"/>
        <w:keepLines w:val="0"/>
        <w:pageBreakBefore w:val="0"/>
        <w:widowControl w:val="0"/>
        <w:kinsoku w:val="0"/>
        <w:wordWrap/>
        <w:overflowPunct/>
        <w:topLinePunct w:val="0"/>
        <w:autoSpaceDE w:val="0"/>
        <w:autoSpaceDN w:val="0"/>
        <w:bidi w:val="0"/>
        <w:adjustRightInd w:val="0"/>
        <w:snapToGrid w:val="0"/>
        <w:spacing w:after="0" w:afterAutospacing="0" w:line="360" w:lineRule="auto"/>
        <w:ind w:left="650" w:leftChars="0" w:hanging="650" w:hangingChars="271"/>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8.3.2 前款所称残疾人是指法定劳动年龄内，持有《中华人民共和国残疾人证》或者《</w:t>
      </w:r>
      <w:r>
        <w:rPr>
          <w:rFonts w:hint="eastAsia" w:ascii="宋体" w:hAnsi="宋体" w:eastAsia="宋体" w:cs="宋体"/>
          <w:color w:val="auto"/>
          <w:spacing w:val="0"/>
          <w:position w:val="0"/>
          <w:sz w:val="24"/>
          <w:szCs w:val="24"/>
          <w:highlight w:val="none"/>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02F979A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8.3.3 残疾人福利性单位参加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须提供的证明材料：</w:t>
      </w:r>
    </w:p>
    <w:p w14:paraId="7224783C">
      <w:pPr>
        <w:keepNext w:val="0"/>
        <w:keepLines w:val="0"/>
        <w:pageBreakBefore w:val="0"/>
        <w:widowControl w:val="0"/>
        <w:kinsoku w:val="0"/>
        <w:wordWrap/>
        <w:overflowPunct/>
        <w:topLinePunct w:val="0"/>
        <w:autoSpaceDE w:val="0"/>
        <w:autoSpaceDN w:val="0"/>
        <w:bidi w:val="0"/>
        <w:adjustRightInd w:val="0"/>
        <w:snapToGrid w:val="0"/>
        <w:spacing w:line="360" w:lineRule="auto"/>
        <w:ind w:left="609" w:leftChars="0" w:right="105" w:hanging="609" w:hangingChars="254"/>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（1）符合条件的残疾人福利性单位在参加政府采购活动时，提供《残疾人福利性单位声明函》（格式详见“第四章</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8-3 ”），并对声明函的真实性负</w:t>
      </w:r>
      <w:r>
        <w:rPr>
          <w:rFonts w:hint="eastAsia" w:ascii="宋体" w:hAnsi="宋体" w:eastAsia="宋体" w:cs="宋体"/>
          <w:color w:val="auto"/>
          <w:spacing w:val="0"/>
          <w:position w:val="0"/>
          <w:sz w:val="24"/>
          <w:szCs w:val="24"/>
          <w:highlight w:val="none"/>
          <w:lang w:val="en-US" w:eastAsia="zh-CN"/>
        </w:rPr>
        <w:t>责，未提供</w:t>
      </w:r>
      <w:r>
        <w:rPr>
          <w:rFonts w:hint="eastAsia" w:ascii="宋体" w:hAnsi="宋体" w:eastAsia="宋体" w:cs="宋体"/>
          <w:color w:val="auto"/>
          <w:spacing w:val="0"/>
          <w:position w:val="0"/>
          <w:sz w:val="24"/>
          <w:szCs w:val="24"/>
          <w:highlight w:val="none"/>
          <w:lang w:eastAsia="zh-CN"/>
        </w:rPr>
        <w:t>不予享受预留份额、评审中价格扣除等政府采购促进中小企业发展的政府采购政策</w:t>
      </w:r>
      <w:r>
        <w:rPr>
          <w:rFonts w:hint="eastAsia" w:ascii="宋体" w:hAnsi="宋体" w:eastAsia="宋体" w:cs="宋体"/>
          <w:color w:val="auto"/>
          <w:spacing w:val="0"/>
          <w:position w:val="0"/>
          <w:sz w:val="24"/>
          <w:szCs w:val="24"/>
          <w:highlight w:val="none"/>
          <w:lang w:val="en-US" w:eastAsia="zh-CN"/>
        </w:rPr>
        <w:t>；</w:t>
      </w:r>
    </w:p>
    <w:p w14:paraId="59901BB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09" w:leftChars="0" w:hanging="609" w:hangingChars="254"/>
        <w:jc w:val="left"/>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提供的《残疾人福利性单位声明函》与事实不符的，依照《政府采购</w:t>
      </w:r>
      <w:bookmarkStart w:id="68" w:name="bookmark26"/>
      <w:bookmarkEnd w:id="68"/>
      <w:r>
        <w:rPr>
          <w:rFonts w:hint="eastAsia" w:ascii="宋体" w:hAnsi="宋体" w:eastAsia="宋体" w:cs="宋体"/>
          <w:color w:val="auto"/>
          <w:spacing w:val="0"/>
          <w:position w:val="0"/>
          <w:sz w:val="24"/>
          <w:szCs w:val="24"/>
          <w:highlight w:val="none"/>
          <w:lang w:val="en-US" w:eastAsia="zh-CN"/>
        </w:rPr>
        <w:t>法》第七十七条第一款的规定追究法律责任。</w:t>
      </w:r>
    </w:p>
    <w:p w14:paraId="1BB3E5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527" w:leftChars="228" w:hanging="48" w:hangingChars="2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本项目是否专门面向中小企业预留采购份额见第一章“投标邀请”。采购标的对应的中小企业划分标准所属行业见第二章“</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须知前附表</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w:t>
      </w:r>
    </w:p>
    <w:p w14:paraId="3C01937F">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rPr>
          <w:rFonts w:ascii="宋体" w:hAnsi="宋体" w:eastAsia="宋体" w:cs="宋体"/>
          <w:b w:val="0"/>
          <w:bCs w:val="0"/>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8.4</w:t>
      </w:r>
      <w:r>
        <w:rPr>
          <w:rFonts w:hint="eastAsia" w:ascii="宋体" w:hAnsi="宋体" w:eastAsia="宋体" w:cs="宋体"/>
          <w:b w:val="0"/>
          <w:bCs w:val="0"/>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p>
    <w:p w14:paraId="1744606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4.1 </w:t>
      </w:r>
      <w:r>
        <w:rPr>
          <w:rFonts w:ascii="宋体" w:hAnsi="宋体" w:eastAsia="宋体" w:cs="宋体"/>
          <w:color w:val="auto"/>
          <w:spacing w:val="0"/>
          <w:position w:val="0"/>
          <w:sz w:val="24"/>
          <w:szCs w:val="24"/>
          <w:highlight w:val="none"/>
          <w:lang w:eastAsia="zh-CN"/>
        </w:rPr>
        <w:t>非专门面向中小企业</w:t>
      </w:r>
      <w:r>
        <w:rPr>
          <w:rFonts w:hint="eastAsia" w:ascii="宋体" w:hAnsi="宋体" w:eastAsia="宋体" w:cs="宋体"/>
          <w:color w:val="auto"/>
          <w:spacing w:val="0"/>
          <w:position w:val="0"/>
          <w:sz w:val="24"/>
          <w:szCs w:val="24"/>
          <w:highlight w:val="none"/>
          <w:lang w:val="en-US" w:eastAsia="zh-CN"/>
        </w:rPr>
        <w:t>采购的</w:t>
      </w:r>
      <w:r>
        <w:rPr>
          <w:rFonts w:ascii="宋体" w:hAnsi="宋体" w:eastAsia="宋体" w:cs="宋体"/>
          <w:color w:val="auto"/>
          <w:spacing w:val="0"/>
          <w:position w:val="0"/>
          <w:sz w:val="24"/>
          <w:szCs w:val="24"/>
          <w:highlight w:val="none"/>
          <w:lang w:eastAsia="zh-CN"/>
        </w:rPr>
        <w:t>项目，小微企业报价给予</w:t>
      </w:r>
      <w:r>
        <w:rPr>
          <w:rFonts w:hint="eastAsia" w:ascii="宋体" w:hAnsi="宋体" w:eastAsia="宋体" w:cs="宋体"/>
          <w:color w:val="auto"/>
          <w:spacing w:val="0"/>
          <w:position w:val="0"/>
          <w:sz w:val="24"/>
          <w:szCs w:val="24"/>
          <w:highlight w:val="none"/>
          <w:lang w:val="en-US" w:eastAsia="zh-CN"/>
        </w:rPr>
        <w:t>价格</w:t>
      </w:r>
      <w:r>
        <w:rPr>
          <w:rFonts w:ascii="宋体" w:hAnsi="宋体" w:eastAsia="宋体" w:cs="宋体"/>
          <w:color w:val="auto"/>
          <w:spacing w:val="0"/>
          <w:position w:val="0"/>
          <w:sz w:val="24"/>
          <w:szCs w:val="24"/>
          <w:highlight w:val="none"/>
          <w:lang w:eastAsia="zh-CN"/>
        </w:rPr>
        <w:t>扣除</w:t>
      </w:r>
      <w:r>
        <w:rPr>
          <w:rFonts w:hint="eastAsia" w:ascii="宋体" w:hAnsi="宋体" w:eastAsia="宋体" w:cs="宋体"/>
          <w:color w:val="auto"/>
          <w:spacing w:val="0"/>
          <w:position w:val="0"/>
          <w:sz w:val="24"/>
          <w:szCs w:val="24"/>
          <w:highlight w:val="none"/>
          <w:lang w:val="en-US" w:eastAsia="zh-CN"/>
        </w:rPr>
        <w:t>优惠</w:t>
      </w:r>
      <w:r>
        <w:rPr>
          <w:rFonts w:ascii="宋体" w:hAnsi="宋体" w:eastAsia="宋体" w:cs="宋体"/>
          <w:color w:val="auto"/>
          <w:spacing w:val="0"/>
          <w:position w:val="0"/>
          <w:sz w:val="24"/>
          <w:szCs w:val="24"/>
          <w:highlight w:val="none"/>
          <w:lang w:eastAsia="zh-CN"/>
        </w:rPr>
        <w:t>，用扣除后的价格参加评审。</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（适用于非专门面向中小企业。对于专门面向中小企业采购的项目或者采购包，不再执行价格评审优惠，享受政策内容详见第二章“供应商须知前附表”）</w:t>
      </w:r>
    </w:p>
    <w:p w14:paraId="34D424B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8.4</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2 </w:t>
      </w:r>
      <w:r>
        <w:rPr>
          <w:rFonts w:ascii="宋体" w:hAnsi="宋体" w:eastAsia="宋体" w:cs="宋体"/>
          <w:color w:val="auto"/>
          <w:spacing w:val="0"/>
          <w:position w:val="0"/>
          <w:sz w:val="24"/>
          <w:szCs w:val="24"/>
          <w:highlight w:val="none"/>
          <w:lang w:eastAsia="zh-CN"/>
        </w:rPr>
        <w:t>监狱企业视同小型、微型企业，享受</w:t>
      </w:r>
      <w:r>
        <w:rPr>
          <w:rFonts w:hint="eastAsia" w:ascii="宋体" w:hAnsi="宋体" w:eastAsia="宋体" w:cs="宋体"/>
          <w:color w:val="auto"/>
          <w:spacing w:val="0"/>
          <w:position w:val="0"/>
          <w:sz w:val="24"/>
          <w:szCs w:val="24"/>
          <w:highlight w:val="none"/>
          <w:lang w:eastAsia="zh-CN"/>
        </w:rPr>
        <w:t>预留份额、评审中价格扣除</w:t>
      </w:r>
      <w:r>
        <w:rPr>
          <w:rFonts w:ascii="宋体" w:hAnsi="宋体" w:eastAsia="宋体" w:cs="宋体"/>
          <w:color w:val="auto"/>
          <w:spacing w:val="0"/>
          <w:position w:val="0"/>
          <w:sz w:val="24"/>
          <w:szCs w:val="24"/>
          <w:highlight w:val="none"/>
          <w:lang w:eastAsia="zh-CN"/>
        </w:rPr>
        <w:t>等政府促进中小</w:t>
      </w:r>
      <w:r>
        <w:rPr>
          <w:rFonts w:hint="eastAsia" w:ascii="宋体" w:hAnsi="宋体" w:eastAsia="宋体" w:cs="宋体"/>
          <w:color w:val="auto"/>
          <w:spacing w:val="0"/>
          <w:position w:val="0"/>
          <w:sz w:val="24"/>
          <w:szCs w:val="24"/>
          <w:highlight w:val="none"/>
          <w:lang w:val="en-US" w:eastAsia="zh-CN"/>
        </w:rPr>
        <w:t>企业</w:t>
      </w:r>
      <w:r>
        <w:rPr>
          <w:rFonts w:hint="eastAsia" w:ascii="宋体" w:hAnsi="宋体" w:eastAsia="宋体" w:cs="宋体"/>
          <w:color w:val="auto"/>
          <w:spacing w:val="0"/>
          <w:position w:val="0"/>
          <w:sz w:val="24"/>
          <w:szCs w:val="24"/>
          <w:highlight w:val="none"/>
          <w:lang w:eastAsia="zh-CN"/>
        </w:rPr>
        <w:t>发展的政府采购政策。</w:t>
      </w:r>
    </w:p>
    <w:p w14:paraId="24C05AD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8.4.3 </w:t>
      </w:r>
      <w:r>
        <w:rPr>
          <w:rFonts w:ascii="宋体" w:hAnsi="宋体" w:eastAsia="宋体" w:cs="宋体"/>
          <w:color w:val="auto"/>
          <w:spacing w:val="0"/>
          <w:position w:val="0"/>
          <w:sz w:val="24"/>
          <w:szCs w:val="24"/>
          <w:highlight w:val="none"/>
          <w:lang w:eastAsia="zh-CN"/>
        </w:rPr>
        <w:t>残疾人福利性单位视同小型、微型企业，享受</w:t>
      </w:r>
      <w:r>
        <w:rPr>
          <w:rFonts w:hint="eastAsia" w:ascii="宋体" w:hAnsi="宋体" w:eastAsia="宋体" w:cs="宋体"/>
          <w:color w:val="auto"/>
          <w:spacing w:val="0"/>
          <w:position w:val="0"/>
          <w:sz w:val="24"/>
          <w:szCs w:val="24"/>
          <w:highlight w:val="none"/>
          <w:lang w:eastAsia="zh-CN"/>
        </w:rPr>
        <w:t>预留份额、评审中价格扣除</w:t>
      </w:r>
      <w:r>
        <w:rPr>
          <w:rFonts w:ascii="宋体" w:hAnsi="宋体" w:eastAsia="宋体" w:cs="宋体"/>
          <w:color w:val="auto"/>
          <w:spacing w:val="0"/>
          <w:position w:val="0"/>
          <w:sz w:val="24"/>
          <w:szCs w:val="24"/>
          <w:highlight w:val="none"/>
          <w:lang w:eastAsia="zh-CN"/>
        </w:rPr>
        <w:t>等政府促进中小企业发展的政府采购政策。福利性单位属于小型、微型企业的，不重复享受政策。</w:t>
      </w:r>
    </w:p>
    <w:p w14:paraId="5550074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8.4</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宋体" w:hAnsi="宋体" w:eastAsia="宋体" w:cs="宋体"/>
          <w:color w:val="auto"/>
          <w:spacing w:val="0"/>
          <w:position w:val="0"/>
          <w:sz w:val="24"/>
          <w:szCs w:val="24"/>
          <w:highlight w:val="none"/>
          <w:lang w:val="en-US" w:eastAsia="zh-CN"/>
        </w:rPr>
        <w:t>优惠</w:t>
      </w:r>
      <w:r>
        <w:rPr>
          <w:rFonts w:ascii="宋体" w:hAnsi="宋体" w:eastAsia="宋体" w:cs="宋体"/>
          <w:color w:val="auto"/>
          <w:spacing w:val="0"/>
          <w:position w:val="0"/>
          <w:sz w:val="24"/>
          <w:szCs w:val="24"/>
          <w:highlight w:val="none"/>
          <w:lang w:eastAsia="zh-CN"/>
        </w:rPr>
        <w:t>，用扣除后的价格参加评审。</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（适用于非专门面向中小企业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采购且允许</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联合体投标或合同分包</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项目</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，如专门面向中小企业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采购不享受价格评审优惠</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2EBA9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3" w:leftChars="230" w:right="40" w:firstLine="0" w:firstLineChars="0"/>
        <w:jc w:val="both"/>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联合体各方均为小型、微型企业的，联合体视同为小型、微型企业。</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0820716D">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483" w:leftChars="230" w:firstLine="0" w:firstLineChars="0"/>
        <w:textAlignment w:val="baseline"/>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rPr>
        <w:t>组成联合体的大中型企业和其他自然人、法人或者其他组织，与小型、微型企业之间不得存在投资关系。</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0CF5B019">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0" w:leftChars="0" w:firstLine="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节能产品、环境标志产品参加</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p>
    <w:p w14:paraId="704AAF0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6" w:leftChars="0" w:right="105" w:hanging="606" w:firstLineChars="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8.</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9A89A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6" w:leftChars="0" w:right="105" w:hanging="606"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2CBDCC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4" w:leftChars="0" w:right="105" w:hanging="604" w:hangingChars="252"/>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如本项目采购产品属于实施政府强制采购品目清单范围的节能产品，则供应商所</w:t>
      </w:r>
      <w:r>
        <w:rPr>
          <w:rFonts w:hint="eastAsia" w:ascii="宋体" w:hAnsi="宋体" w:eastAsia="宋体" w:cs="宋体"/>
          <w:color w:val="auto"/>
          <w:spacing w:val="0"/>
          <w:position w:val="0"/>
          <w:sz w:val="24"/>
          <w:szCs w:val="24"/>
          <w:highlight w:val="none"/>
          <w:lang w:val="en-US" w:eastAsia="zh-CN"/>
        </w:rPr>
        <w:t>投</w:t>
      </w:r>
      <w:r>
        <w:rPr>
          <w:rFonts w:hint="eastAsia" w:ascii="宋体" w:hAnsi="宋体" w:eastAsia="宋体" w:cs="宋体"/>
          <w:color w:val="auto"/>
          <w:spacing w:val="0"/>
          <w:position w:val="0"/>
          <w:sz w:val="24"/>
          <w:szCs w:val="24"/>
          <w:highlight w:val="none"/>
          <w:lang w:eastAsia="zh-CN"/>
        </w:rPr>
        <w:t>产品必须获得国家确定的认证机构出具的、处于有效期之内的节能产品认证证书</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扫描件，否则响应无效；</w:t>
      </w:r>
    </w:p>
    <w:p w14:paraId="10FF2D2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4" w:leftChars="0" w:right="105" w:hanging="604" w:hangingChars="252"/>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8</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.4 非政府强制采购的节能产品或环境标志产品，依据品目清单和认证证书实施政府优先采购。优先采购的具体规定见第</w:t>
      </w:r>
      <w:r>
        <w:rPr>
          <w:rFonts w:hint="eastAsia" w:ascii="宋体" w:hAnsi="宋体" w:eastAsia="宋体" w:cs="宋体"/>
          <w:color w:val="auto"/>
          <w:spacing w:val="0"/>
          <w:position w:val="0"/>
          <w:sz w:val="24"/>
          <w:szCs w:val="24"/>
          <w:highlight w:val="none"/>
          <w:lang w:val="en-US" w:eastAsia="zh-CN"/>
        </w:rPr>
        <w:t>六</w:t>
      </w:r>
      <w:r>
        <w:rPr>
          <w:rFonts w:hint="eastAsia" w:ascii="宋体" w:hAnsi="宋体" w:eastAsia="宋体" w:cs="宋体"/>
          <w:color w:val="auto"/>
          <w:spacing w:val="0"/>
          <w:position w:val="0"/>
          <w:sz w:val="24"/>
          <w:szCs w:val="24"/>
          <w:highlight w:val="none"/>
          <w:lang w:eastAsia="zh-CN"/>
        </w:rPr>
        <w:t>章《评标</w:t>
      </w:r>
      <w:r>
        <w:rPr>
          <w:rFonts w:hint="eastAsia" w:ascii="宋体" w:hAnsi="宋体" w:eastAsia="宋体" w:cs="宋体"/>
          <w:color w:val="auto"/>
          <w:spacing w:val="0"/>
          <w:position w:val="0"/>
          <w:sz w:val="24"/>
          <w:szCs w:val="24"/>
          <w:highlight w:val="none"/>
          <w:lang w:val="en-US" w:eastAsia="zh-CN"/>
        </w:rPr>
        <w:t>方法</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（如涉及）</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2A51DE3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8.</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对节能产品、环境标志产品另有规定的从其规定。</w:t>
      </w:r>
    </w:p>
    <w:p w14:paraId="4A29A80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69" w:name="_Toc9125"/>
      <w:bookmarkStart w:id="70" w:name="_Toc21581"/>
      <w:bookmarkStart w:id="71" w:name="_Toc1051"/>
      <w:bookmarkStart w:id="72" w:name="_Toc1990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采购需求标准</w:t>
      </w:r>
      <w:bookmarkEnd w:id="69"/>
      <w:bookmarkEnd w:id="70"/>
      <w:bookmarkEnd w:id="71"/>
      <w:bookmarkEnd w:id="72"/>
    </w:p>
    <w:p w14:paraId="3F7A46A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9.1 商品包装、快递包装政府采购需求标准（试行）</w:t>
      </w:r>
    </w:p>
    <w:p w14:paraId="313912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96" w:leftChars="236"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47E51A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9.2 绿色数据中心政府采购需求标准（试行）</w:t>
      </w:r>
    </w:p>
    <w:p w14:paraId="453DDA8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49" w:leftChars="214" w:firstLine="0" w:firstLineChars="0"/>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val="en-US" w:eastAsia="zh-CN"/>
        </w:rPr>
        <w:t>为加快数据中心绿色转型，根据财政部 生态环境部工业和信息化部关于印发《绿色数据中心政府采购需求标准（试行）》的通知（财库〔2023〕7 号），本项目如涉及绿色数据中心，则具体要求见第五章《采购需求》。</w:t>
      </w:r>
    </w:p>
    <w:p w14:paraId="1DA430A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0" w:leftChars="19" w:firstLine="0" w:firstLineChars="0"/>
        <w:jc w:val="both"/>
        <w:textAlignment w:val="baseline"/>
        <w:outlineLvl w:val="1"/>
        <w:rPr>
          <w:rFonts w:ascii="宋体" w:hAnsi="宋体" w:eastAsia="宋体" w:cs="宋体"/>
          <w:color w:val="auto"/>
          <w:spacing w:val="0"/>
          <w:position w:val="0"/>
          <w:sz w:val="24"/>
          <w:szCs w:val="24"/>
          <w:highlight w:val="none"/>
          <w:lang w:eastAsia="zh-CN"/>
        </w:rPr>
      </w:pPr>
      <w:bookmarkStart w:id="73" w:name="_Toc9981"/>
      <w:bookmarkStart w:id="74" w:name="_Toc19723"/>
      <w:bookmarkStart w:id="75" w:name="_Toc1110"/>
      <w:bookmarkStart w:id="76" w:name="_Toc2061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10.</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的修改</w:t>
      </w:r>
      <w:bookmarkEnd w:id="73"/>
      <w:bookmarkEnd w:id="74"/>
      <w:bookmarkEnd w:id="75"/>
      <w:bookmarkEnd w:id="76"/>
    </w:p>
    <w:p w14:paraId="0C84C847">
      <w:pPr>
        <w:keepNext w:val="0"/>
        <w:keepLines w:val="0"/>
        <w:pageBreakBefore w:val="0"/>
        <w:widowControl w:val="0"/>
        <w:kinsoku/>
        <w:wordWrap/>
        <w:overflowPunct/>
        <w:topLinePunct w:val="0"/>
        <w:autoSpaceDE w:val="0"/>
        <w:autoSpaceDN w:val="0"/>
        <w:bidi w:val="0"/>
        <w:adjustRightInd w:val="0"/>
        <w:snapToGrid w:val="0"/>
        <w:spacing w:beforeAutospacing="0" w:line="360" w:lineRule="auto"/>
        <w:ind w:left="453" w:leftChars="0" w:hanging="407" w:firstLineChars="0"/>
        <w:jc w:val="both"/>
        <w:textAlignment w:val="baseline"/>
        <w:rPr>
          <w:rFonts w:hint="eastAsia" w:ascii="宋体" w:hAnsi="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 xml:space="preserve">10.1 </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提交首次响应文件截止时间前的任何时候，采购代理机构可以对已发出的</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文件进行必要的澄清或者修改，澄清或者修改的内容作为</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文件的组成部分。</w:t>
      </w:r>
    </w:p>
    <w:p w14:paraId="0DDF572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53" w:leftChars="0" w:hanging="413"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10.2 </w:t>
      </w:r>
      <w:r>
        <w:rPr>
          <w:rFonts w:ascii="宋体" w:hAnsi="宋体" w:eastAsia="宋体" w:cs="宋体"/>
          <w:color w:val="auto"/>
          <w:spacing w:val="0"/>
          <w:position w:val="0"/>
          <w:sz w:val="24"/>
          <w:szCs w:val="24"/>
          <w:highlight w:val="none"/>
          <w:lang w:eastAsia="zh-CN"/>
        </w:rPr>
        <w:t>采购代理机构可以对已发出的</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进行必要澄清或者修改，澄清或者修改的内容可能影响</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编制的，采购代理机构在</w:t>
      </w:r>
      <w:r>
        <w:rPr>
          <w:rFonts w:hint="eastAsia" w:ascii="宋体" w:hAnsi="宋体" w:eastAsia="宋体" w:cs="宋体"/>
          <w:color w:val="auto"/>
          <w:spacing w:val="0"/>
          <w:position w:val="0"/>
          <w:sz w:val="24"/>
          <w:szCs w:val="24"/>
          <w:highlight w:val="none"/>
          <w:lang w:eastAsia="zh-CN"/>
        </w:rPr>
        <w:t>提交</w:t>
      </w:r>
      <w:r>
        <w:rPr>
          <w:rFonts w:hint="eastAsia" w:ascii="宋体" w:hAnsi="宋体" w:eastAsia="宋体" w:cs="宋体"/>
          <w:color w:val="auto"/>
          <w:spacing w:val="0"/>
          <w:position w:val="0"/>
          <w:sz w:val="24"/>
          <w:szCs w:val="24"/>
          <w:highlight w:val="none"/>
          <w:lang w:val="en-US" w:eastAsia="zh-CN"/>
        </w:rPr>
        <w:t>首次</w:t>
      </w:r>
      <w:r>
        <w:rPr>
          <w:rFonts w:hint="eastAsia" w:ascii="宋体" w:hAnsi="宋体" w:eastAsia="宋体" w:cs="宋体"/>
          <w:color w:val="auto"/>
          <w:spacing w:val="0"/>
          <w:position w:val="0"/>
          <w:sz w:val="24"/>
          <w:szCs w:val="24"/>
          <w:highlight w:val="none"/>
          <w:lang w:eastAsia="zh-CN"/>
        </w:rPr>
        <w:t>响应文件截止时间</w:t>
      </w:r>
      <w:r>
        <w:rPr>
          <w:rFonts w:ascii="宋体" w:hAnsi="宋体" w:eastAsia="宋体" w:cs="宋体"/>
          <w:color w:val="auto"/>
          <w:spacing w:val="0"/>
          <w:position w:val="0"/>
          <w:sz w:val="24"/>
          <w:szCs w:val="24"/>
          <w:highlight w:val="none"/>
          <w:lang w:eastAsia="zh-CN"/>
        </w:rPr>
        <w:t>至少</w:t>
      </w:r>
      <w:r>
        <w:rPr>
          <w:rFonts w:hint="eastAsia" w:ascii="宋体" w:hAnsi="宋体" w:eastAsia="宋体" w:cs="宋体"/>
          <w:color w:val="auto"/>
          <w:spacing w:val="0"/>
          <w:position w:val="0"/>
          <w:sz w:val="24"/>
          <w:szCs w:val="24"/>
          <w:highlight w:val="none"/>
          <w:lang w:val="en-US" w:eastAsia="zh-CN"/>
        </w:rPr>
        <w:t>5日</w:t>
      </w:r>
      <w:r>
        <w:rPr>
          <w:rFonts w:ascii="宋体" w:hAnsi="宋体" w:eastAsia="宋体" w:cs="宋体"/>
          <w:color w:val="auto"/>
          <w:spacing w:val="0"/>
          <w:position w:val="0"/>
          <w:sz w:val="24"/>
          <w:szCs w:val="24"/>
          <w:highlight w:val="none"/>
          <w:lang w:eastAsia="zh-CN"/>
        </w:rPr>
        <w:t>前，在</w:t>
      </w:r>
      <w:r>
        <w:rPr>
          <w:rFonts w:hint="eastAsia" w:ascii="宋体" w:hAnsi="宋体" w:eastAsia="宋体" w:cs="宋体"/>
          <w:strike w:val="0"/>
          <w:dstrike w:val="0"/>
          <w:color w:val="auto"/>
          <w:spacing w:val="0"/>
          <w:position w:val="0"/>
          <w:sz w:val="24"/>
          <w:szCs w:val="24"/>
          <w:highlight w:val="none"/>
          <w:lang w:val="en-US" w:eastAsia="zh-CN"/>
        </w:rPr>
        <w:t>原公告发布媒体</w:t>
      </w:r>
      <w:r>
        <w:rPr>
          <w:rFonts w:ascii="宋体" w:hAnsi="宋体" w:eastAsia="宋体" w:cs="宋体"/>
          <w:color w:val="auto"/>
          <w:spacing w:val="0"/>
          <w:position w:val="0"/>
          <w:sz w:val="24"/>
          <w:szCs w:val="24"/>
          <w:highlight w:val="none"/>
          <w:lang w:eastAsia="zh-CN"/>
        </w:rPr>
        <w:t>上发布更正公告，上传答疑澄清文件。不足</w:t>
      </w:r>
      <w:r>
        <w:rPr>
          <w:rFonts w:hint="eastAsia" w:ascii="宋体" w:hAnsi="宋体" w:eastAsia="宋体" w:cs="宋体"/>
          <w:color w:val="auto"/>
          <w:spacing w:val="0"/>
          <w:position w:val="0"/>
          <w:sz w:val="24"/>
          <w:szCs w:val="24"/>
          <w:highlight w:val="none"/>
          <w:lang w:val="en-US" w:eastAsia="zh-CN"/>
        </w:rPr>
        <w:t>5日</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采购代理机构应当顺延提交</w:t>
      </w:r>
      <w:r>
        <w:rPr>
          <w:rFonts w:hint="eastAsia" w:ascii="宋体" w:hAnsi="宋体" w:cs="宋体"/>
          <w:color w:val="auto"/>
          <w:spacing w:val="0"/>
          <w:position w:val="0"/>
          <w:sz w:val="24"/>
          <w:szCs w:val="24"/>
          <w:highlight w:val="none"/>
        </w:rPr>
        <w:t>首次</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的截止时间。</w:t>
      </w:r>
    </w:p>
    <w:p w14:paraId="26E6C51B">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63" w:leftChars="14" w:right="42" w:hanging="434" w:hangingChars="18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10.</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 已下载</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必须在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查看</w:t>
      </w:r>
      <w:r>
        <w:rPr>
          <w:rFonts w:hint="eastAsia" w:ascii="宋体" w:hAnsi="宋体" w:eastAsia="宋体" w:cs="宋体"/>
          <w:color w:val="auto"/>
          <w:sz w:val="24"/>
          <w:szCs w:val="24"/>
          <w:highlight w:val="none"/>
          <w:lang w:eastAsia="zh-CN"/>
        </w:rPr>
        <w:t>或江西省招标投标网（http://www.jxtb.org.cn/）上下载或查看答疑澄清文件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因未下载答疑澄清文件、由此可能引起的</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递交失败、解密失败、内容缺失等相关后果由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自行承担。</w:t>
      </w:r>
    </w:p>
    <w:p w14:paraId="53F082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2" w:leftChars="20" w:hanging="480" w:hangingChars="2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10.3 当</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和澄清文件在同一内容的表述上不一致时，以最后发出的文件为准。</w:t>
      </w:r>
    </w:p>
    <w:p w14:paraId="1112DA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1"/>
        <w:rPr>
          <w:color w:val="auto"/>
          <w:spacing w:val="0"/>
          <w:position w:val="0"/>
          <w:highlight w:val="none"/>
          <w:lang w:eastAsia="zh-CN"/>
        </w:rPr>
      </w:pPr>
      <w:bookmarkStart w:id="77" w:name="_Toc31917"/>
      <w:bookmarkStart w:id="78" w:name="_Toc6623"/>
      <w:bookmarkStart w:id="79" w:name="_Toc18958"/>
      <w:bookmarkStart w:id="80" w:name="_Toc31765"/>
      <w:r>
        <w:rPr>
          <w:rFonts w:ascii="宋体" w:hAnsi="宋体" w:eastAsia="宋体" w:cs="宋体"/>
          <w:color w:val="auto"/>
          <w:spacing w:val="0"/>
          <w:position w:val="0"/>
          <w:sz w:val="24"/>
          <w:szCs w:val="24"/>
          <w:highlight w:val="none"/>
          <w:lang w:eastAsia="zh-CN"/>
        </w:rPr>
        <w:t>10.4 更正或者修改的内容是</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的组成部分，并对</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具有约束力。</w:t>
      </w:r>
      <w:bookmarkEnd w:id="77"/>
      <w:bookmarkEnd w:id="78"/>
      <w:bookmarkEnd w:id="79"/>
      <w:bookmarkEnd w:id="80"/>
    </w:p>
    <w:p w14:paraId="2A657E95">
      <w:pPr>
        <w:keepNext w:val="0"/>
        <w:keepLines w:val="0"/>
        <w:pageBreakBefore w:val="0"/>
        <w:widowControl w:val="0"/>
        <w:kinsoku w:val="0"/>
        <w:wordWrap/>
        <w:overflowPunct/>
        <w:topLinePunct w:val="0"/>
        <w:autoSpaceDE w:val="0"/>
        <w:autoSpaceDN w:val="0"/>
        <w:bidi w:val="0"/>
        <w:adjustRightInd w:val="0"/>
        <w:snapToGrid w:val="0"/>
        <w:spacing w:before="0" w:beforeLines="182" w:beforeAutospacing="0" w:after="0" w:afterLines="150" w:afterAutospacing="0" w:line="360" w:lineRule="auto"/>
        <w:jc w:val="center"/>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81" w:name="_Toc829"/>
      <w:bookmarkStart w:id="82" w:name="_Toc15880"/>
      <w:bookmarkStart w:id="83" w:name="_Toc14634"/>
      <w:bookmarkStart w:id="84" w:name="_Toc2554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响应文件的编制与递交</w:t>
      </w:r>
      <w:bookmarkEnd w:id="81"/>
      <w:bookmarkEnd w:id="82"/>
      <w:bookmarkEnd w:id="83"/>
      <w:bookmarkEnd w:id="84"/>
    </w:p>
    <w:p w14:paraId="377F35F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50" w:leftChars="20" w:hanging="108" w:hangingChars="45"/>
        <w:jc w:val="both"/>
        <w:textAlignment w:val="baseline"/>
        <w:outlineLvl w:val="1"/>
        <w:rPr>
          <w:rFonts w:ascii="宋体" w:hAnsi="宋体" w:eastAsia="宋体" w:cs="宋体"/>
          <w:color w:val="auto"/>
          <w:spacing w:val="0"/>
          <w:position w:val="0"/>
          <w:sz w:val="24"/>
          <w:szCs w:val="24"/>
          <w:highlight w:val="none"/>
          <w:lang w:eastAsia="zh-CN"/>
        </w:rPr>
      </w:pPr>
      <w:bookmarkStart w:id="85" w:name="_Toc9296"/>
      <w:bookmarkStart w:id="86" w:name="_Toc8079"/>
      <w:bookmarkStart w:id="87" w:name="_Toc2343"/>
      <w:bookmarkStart w:id="88" w:name="_Toc132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11.</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的编制</w:t>
      </w:r>
      <w:bookmarkEnd w:id="85"/>
      <w:bookmarkEnd w:id="86"/>
      <w:bookmarkEnd w:id="87"/>
      <w:bookmarkEnd w:id="88"/>
    </w:p>
    <w:p w14:paraId="566D075E">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11.1 供应商应当按照磋商文件的要求编制响应文件。响应文件应当对磋商文件提出的要求和条件做出明确响应。</w:t>
      </w:r>
    </w:p>
    <w:p w14:paraId="0A812269">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11.2 磋商文件中注明不可以采购进口产品的（见“第一章 磋商邀请”），不允许提供进口产品参与采购活动。提供进口产品参与采购活动的，</w:t>
      </w:r>
      <w:r>
        <w:rPr>
          <w:rFonts w:hint="eastAsia" w:ascii="宋体" w:hAnsi="宋体" w:eastAsia="宋体" w:cs="宋体"/>
          <w:b/>
          <w:bCs/>
          <w:color w:val="auto"/>
          <w:spacing w:val="0"/>
          <w:position w:val="0"/>
          <w:sz w:val="24"/>
          <w:szCs w:val="24"/>
          <w:highlight w:val="none"/>
          <w:lang w:val="en-US" w:eastAsia="zh-CN"/>
        </w:rPr>
        <w:t>其响应文件被视为无效。</w:t>
      </w:r>
    </w:p>
    <w:p w14:paraId="556EAFE3">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11.3 磋商文件中注明进口产品的，有符合条件的国产产品可以参与采购活动。</w:t>
      </w:r>
    </w:p>
    <w:p w14:paraId="6B9AB546">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供应商提交的响应文件以及供应商与采购代理机构所有来往书面文件均须使用中文。响应文件中如附有外文资料，必须逐一对应翻译成中文。</w:t>
      </w:r>
    </w:p>
    <w:p w14:paraId="30B81807">
      <w:pPr>
        <w:keepNext w:val="0"/>
        <w:keepLines w:val="0"/>
        <w:pageBreakBefore w:val="0"/>
        <w:widowControl w:val="0"/>
        <w:kinsoku w:val="0"/>
        <w:wordWrap/>
        <w:overflowPunct/>
        <w:topLinePunct w:val="0"/>
        <w:autoSpaceDE w:val="0"/>
        <w:autoSpaceDN w:val="0"/>
        <w:bidi w:val="0"/>
        <w:adjustRightInd w:val="0"/>
        <w:snapToGrid w:val="0"/>
        <w:spacing w:line="360" w:lineRule="auto"/>
        <w:ind w:left="490" w:leftChars="5" w:right="40" w:hanging="480" w:hanging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翻译的中文资料与外文资料如果出现差异和矛盾时，以中文为准。</w:t>
      </w:r>
    </w:p>
    <w:p w14:paraId="023183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60" w:firstLineChars="25"/>
        <w:jc w:val="both"/>
        <w:textAlignment w:val="baseline"/>
        <w:outlineLvl w:val="1"/>
        <w:rPr>
          <w:rFonts w:ascii="宋体" w:hAnsi="宋体" w:eastAsia="宋体" w:cs="宋体"/>
          <w:color w:val="auto"/>
          <w:spacing w:val="0"/>
          <w:position w:val="0"/>
          <w:sz w:val="24"/>
          <w:szCs w:val="24"/>
          <w:highlight w:val="none"/>
          <w:lang w:eastAsia="zh-CN"/>
        </w:rPr>
      </w:pPr>
      <w:bookmarkStart w:id="89" w:name="_Toc13378"/>
      <w:bookmarkStart w:id="90" w:name="_Toc22213"/>
      <w:bookmarkStart w:id="91" w:name="_Toc25022"/>
      <w:bookmarkStart w:id="92" w:name="_Toc461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12.</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计量单位</w:t>
      </w:r>
      <w:bookmarkEnd w:id="89"/>
      <w:bookmarkEnd w:id="90"/>
      <w:bookmarkEnd w:id="91"/>
      <w:bookmarkEnd w:id="92"/>
    </w:p>
    <w:p w14:paraId="10B4FC9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91" w:leftChars="28" w:hanging="432" w:hangingChars="18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 xml:space="preserve">12.1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中所使用的计量单位, 除</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中有特殊要求外，均应采用国家法定</w:t>
      </w:r>
      <w:r>
        <w:rPr>
          <w:rFonts w:hint="eastAsia" w:ascii="宋体" w:hAnsi="宋体" w:eastAsia="宋体" w:cs="宋体"/>
          <w:color w:val="auto"/>
          <w:spacing w:val="0"/>
          <w:position w:val="0"/>
          <w:sz w:val="24"/>
          <w:szCs w:val="24"/>
          <w:highlight w:val="none"/>
          <w:lang w:eastAsia="zh-CN"/>
        </w:rPr>
        <w:t>计量单位。</w:t>
      </w:r>
    </w:p>
    <w:p w14:paraId="5F53012B">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1"/>
        <w:rPr>
          <w:rFonts w:ascii="宋体" w:hAnsi="宋体" w:eastAsia="宋体" w:cs="宋体"/>
          <w:color w:val="auto"/>
          <w:spacing w:val="0"/>
          <w:position w:val="0"/>
          <w:sz w:val="24"/>
          <w:szCs w:val="24"/>
          <w:highlight w:val="none"/>
          <w:lang w:eastAsia="zh-CN"/>
        </w:rPr>
      </w:pPr>
      <w:bookmarkStart w:id="93" w:name="_Toc19119"/>
      <w:bookmarkStart w:id="94" w:name="_Toc17816"/>
      <w:bookmarkStart w:id="95" w:name="_Toc13668"/>
      <w:bookmarkStart w:id="96" w:name="_Toc17186"/>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13</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的构成</w:t>
      </w:r>
      <w:bookmarkEnd w:id="93"/>
      <w:bookmarkEnd w:id="94"/>
      <w:bookmarkEnd w:id="95"/>
      <w:bookmarkEnd w:id="96"/>
    </w:p>
    <w:p w14:paraId="64D0F245">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 xml:space="preserve">应由下列部分构成。（格式详见“第四章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格式 ”）</w:t>
      </w:r>
    </w:p>
    <w:p w14:paraId="270E342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1）磋商</w:t>
      </w:r>
      <w:r>
        <w:rPr>
          <w:rFonts w:hint="eastAsia" w:ascii="宋体" w:hAnsi="宋体" w:cs="宋体"/>
          <w:color w:val="auto"/>
          <w:spacing w:val="0"/>
          <w:position w:val="0"/>
          <w:sz w:val="24"/>
          <w:szCs w:val="24"/>
          <w:highlight w:val="none"/>
        </w:rPr>
        <w:t>响应书</w:t>
      </w:r>
    </w:p>
    <w:p w14:paraId="1DBB4F3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一览表</w:t>
      </w:r>
    </w:p>
    <w:p w14:paraId="18C638F5">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（3）分项报价表</w:t>
      </w:r>
    </w:p>
    <w:p w14:paraId="1CB08C8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报价</w:t>
      </w:r>
      <w:r>
        <w:rPr>
          <w:rFonts w:hint="eastAsia" w:ascii="宋体" w:hAnsi="宋体" w:eastAsia="宋体" w:cs="宋体"/>
          <w:color w:val="auto"/>
          <w:spacing w:val="0"/>
          <w:position w:val="0"/>
          <w:sz w:val="24"/>
          <w:szCs w:val="24"/>
          <w:highlight w:val="none"/>
          <w:lang w:eastAsia="zh-CN"/>
        </w:rPr>
        <w:t>一览明细表</w:t>
      </w:r>
    </w:p>
    <w:p w14:paraId="72E7EA5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（5）</w:t>
      </w:r>
      <w:r>
        <w:rPr>
          <w:rFonts w:hint="eastAsia" w:ascii="宋体" w:hAnsi="宋体" w:eastAsia="宋体" w:cs="宋体"/>
          <w:color w:val="auto"/>
          <w:spacing w:val="0"/>
          <w:position w:val="0"/>
          <w:sz w:val="24"/>
          <w:szCs w:val="24"/>
          <w:highlight w:val="none"/>
          <w:lang w:val="en-US" w:eastAsia="zh-CN"/>
        </w:rPr>
        <w:t>服务要</w:t>
      </w:r>
      <w:r>
        <w:rPr>
          <w:rFonts w:hint="eastAsia" w:ascii="宋体" w:hAnsi="宋体" w:eastAsia="宋体" w:cs="宋体"/>
          <w:color w:val="auto"/>
          <w:spacing w:val="0"/>
          <w:position w:val="0"/>
          <w:sz w:val="24"/>
          <w:szCs w:val="24"/>
          <w:highlight w:val="none"/>
          <w:lang w:eastAsia="zh-CN"/>
        </w:rPr>
        <w:t>求响应/偏离表</w:t>
      </w:r>
    </w:p>
    <w:p w14:paraId="3629B13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（6）商务条件响应/偏离表</w:t>
      </w:r>
    </w:p>
    <w:p w14:paraId="3E6E9B01">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（7）供应商应当提交的资格、资信证明文件</w:t>
      </w:r>
    </w:p>
    <w:p w14:paraId="6AC2BA8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（8）为落实政府采购政策供应商须提供的证明材料</w:t>
      </w:r>
    </w:p>
    <w:p w14:paraId="617921FC">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（9）技术文件</w:t>
      </w:r>
    </w:p>
    <w:p w14:paraId="156175C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（10）其他资料</w:t>
      </w:r>
    </w:p>
    <w:p w14:paraId="5373B269">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.2 供应商应编写响应文件目录及页码。</w:t>
      </w:r>
    </w:p>
    <w:p w14:paraId="7C4F6F5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97" w:name="_Toc22088"/>
      <w:bookmarkStart w:id="98" w:name="_Toc25244"/>
      <w:bookmarkStart w:id="99" w:name="_Toc6122"/>
      <w:bookmarkStart w:id="100" w:name="_Toc2834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14</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报价</w:t>
      </w:r>
      <w:bookmarkEnd w:id="97"/>
      <w:bookmarkEnd w:id="98"/>
      <w:bookmarkEnd w:id="99"/>
      <w:bookmarkEnd w:id="100"/>
    </w:p>
    <w:p w14:paraId="7FF176C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8" w:leftChars="0" w:right="61" w:hanging="629"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均以人民币报价，报价内容包含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规定的服</w:t>
      </w:r>
      <w:r>
        <w:rPr>
          <w:rFonts w:hint="eastAsia" w:ascii="宋体" w:hAnsi="宋体" w:eastAsia="宋体" w:cs="宋体"/>
          <w:color w:val="auto"/>
          <w:spacing w:val="0"/>
          <w:position w:val="0"/>
          <w:sz w:val="24"/>
          <w:szCs w:val="24"/>
          <w:highlight w:val="none"/>
          <w:lang w:eastAsia="zh-CN"/>
        </w:rPr>
        <w:t>务所需的设备、人员、培训、技术支持、税费等一切相关费用</w:t>
      </w:r>
    </w:p>
    <w:p w14:paraId="2F1CAF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8" w:leftChars="0" w:hanging="628" w:firstLineChars="0"/>
        <w:jc w:val="both"/>
        <w:textAlignment w:val="baseline"/>
        <w:rPr>
          <w:rFonts w:ascii="宋体" w:hAnsi="宋体" w:eastAsia="宋体" w:cs="宋体"/>
          <w:b/>
          <w:bCs/>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要按</w:t>
      </w:r>
      <w:r>
        <w:rPr>
          <w:rFonts w:hint="eastAsia" w:ascii="宋体" w:hAnsi="宋体" w:cs="宋体"/>
          <w:color w:val="auto"/>
          <w:spacing w:val="0"/>
          <w:position w:val="0"/>
          <w:sz w:val="24"/>
          <w:szCs w:val="24"/>
          <w:highlight w:val="none"/>
        </w:rPr>
        <w:t>报价</w:t>
      </w:r>
      <w:r>
        <w:rPr>
          <w:rFonts w:hint="eastAsia" w:ascii="宋体" w:hAnsi="宋体" w:eastAsia="宋体" w:cs="宋体"/>
          <w:color w:val="auto"/>
          <w:spacing w:val="0"/>
          <w:position w:val="0"/>
          <w:sz w:val="24"/>
          <w:szCs w:val="24"/>
          <w:highlight w:val="none"/>
          <w:lang w:val="en-US" w:eastAsia="zh-CN"/>
        </w:rPr>
        <w:t>一览</w:t>
      </w:r>
      <w:r>
        <w:rPr>
          <w:rFonts w:hint="eastAsia" w:ascii="宋体" w:hAnsi="宋体" w:cs="宋体"/>
          <w:color w:val="auto"/>
          <w:spacing w:val="0"/>
          <w:position w:val="0"/>
          <w:sz w:val="24"/>
          <w:szCs w:val="24"/>
          <w:highlight w:val="none"/>
        </w:rPr>
        <w:t>表</w:t>
      </w:r>
      <w:r>
        <w:rPr>
          <w:rFonts w:ascii="宋体" w:hAnsi="宋体" w:eastAsia="宋体" w:cs="宋体"/>
          <w:color w:val="auto"/>
          <w:spacing w:val="0"/>
          <w:position w:val="0"/>
          <w:sz w:val="24"/>
          <w:szCs w:val="24"/>
          <w:highlight w:val="none"/>
          <w:lang w:eastAsia="zh-CN"/>
        </w:rPr>
        <w:t>（统一格式）和分项报价表（统一格式）、</w:t>
      </w:r>
      <w:r>
        <w:rPr>
          <w:rFonts w:hint="eastAsia" w:ascii="宋体" w:hAnsi="宋体" w:eastAsia="宋体" w:cs="宋体"/>
          <w:color w:val="auto"/>
          <w:spacing w:val="0"/>
          <w:position w:val="0"/>
          <w:sz w:val="24"/>
          <w:szCs w:val="24"/>
          <w:highlight w:val="none"/>
          <w:lang w:val="en-US" w:eastAsia="zh-CN"/>
        </w:rPr>
        <w:t>报价</w:t>
      </w:r>
      <w:r>
        <w:rPr>
          <w:rFonts w:ascii="宋体" w:hAnsi="宋体" w:eastAsia="宋体" w:cs="宋体"/>
          <w:color w:val="auto"/>
          <w:spacing w:val="0"/>
          <w:position w:val="0"/>
          <w:sz w:val="24"/>
          <w:szCs w:val="24"/>
          <w:highlight w:val="none"/>
          <w:lang w:eastAsia="zh-CN"/>
        </w:rPr>
        <w:t>一览明细表的内容填写产品单价、总价及其他事项。</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中不得包含</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要求以外的内容，否则，在</w:t>
      </w:r>
      <w:r>
        <w:rPr>
          <w:rFonts w:hint="eastAsia" w:ascii="宋体" w:hAnsi="宋体" w:eastAsia="宋体" w:cs="宋体"/>
          <w:color w:val="auto"/>
          <w:spacing w:val="0"/>
          <w:position w:val="0"/>
          <w:sz w:val="24"/>
          <w:szCs w:val="24"/>
          <w:highlight w:val="none"/>
          <w:lang w:val="en-US" w:eastAsia="zh-CN"/>
        </w:rPr>
        <w:t>评审</w:t>
      </w:r>
      <w:r>
        <w:rPr>
          <w:rFonts w:ascii="宋体" w:hAnsi="宋体" w:eastAsia="宋体" w:cs="宋体"/>
          <w:color w:val="auto"/>
          <w:spacing w:val="0"/>
          <w:position w:val="0"/>
          <w:sz w:val="24"/>
          <w:szCs w:val="24"/>
          <w:highlight w:val="none"/>
          <w:lang w:eastAsia="zh-CN"/>
        </w:rPr>
        <w:t>时不予核减。若</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18339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6" w:leftChars="0" w:hanging="576"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报价</w:t>
      </w:r>
      <w:r>
        <w:rPr>
          <w:rFonts w:ascii="宋体" w:hAnsi="宋体" w:eastAsia="宋体" w:cs="宋体"/>
          <w:color w:val="auto"/>
          <w:spacing w:val="0"/>
          <w:position w:val="0"/>
          <w:sz w:val="24"/>
          <w:szCs w:val="24"/>
          <w:highlight w:val="none"/>
          <w:lang w:eastAsia="zh-CN"/>
        </w:rPr>
        <w:t>中如缺漏</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所要求的内容，</w:t>
      </w:r>
      <w:r>
        <w:rPr>
          <w:rFonts w:hint="eastAsia" w:ascii="宋体" w:hAnsi="宋体" w:eastAsia="宋体" w:cs="宋体"/>
          <w:color w:val="auto"/>
          <w:spacing w:val="0"/>
          <w:position w:val="0"/>
          <w:sz w:val="24"/>
          <w:szCs w:val="24"/>
          <w:highlight w:val="none"/>
          <w:lang w:eastAsia="zh-CN"/>
        </w:rPr>
        <w:t>供应商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后须提供，且</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价以</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报价为准。若</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不同意，</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54880D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6" w:leftChars="0" w:hanging="576"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4</w:t>
      </w:r>
      <w:r>
        <w:rPr>
          <w:rFonts w:ascii="宋体" w:hAnsi="宋体" w:eastAsia="宋体" w:cs="宋体"/>
          <w:color w:val="auto"/>
          <w:spacing w:val="0"/>
          <w:position w:val="0"/>
          <w:sz w:val="24"/>
          <w:szCs w:val="24"/>
          <w:highlight w:val="none"/>
          <w:lang w:eastAsia="zh-CN"/>
        </w:rPr>
        <w:t xml:space="preserve">.4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val="en-US" w:eastAsia="zh-CN"/>
        </w:rPr>
        <w:t>磋商报</w:t>
      </w:r>
      <w:r>
        <w:rPr>
          <w:rFonts w:ascii="宋体" w:hAnsi="宋体" w:eastAsia="宋体" w:cs="宋体"/>
          <w:color w:val="auto"/>
          <w:spacing w:val="0"/>
          <w:position w:val="0"/>
          <w:sz w:val="24"/>
          <w:szCs w:val="24"/>
          <w:highlight w:val="none"/>
          <w:lang w:eastAsia="zh-CN"/>
        </w:rPr>
        <w:t>价在合同执行过程中是固定不变的</w:t>
      </w:r>
      <w:r>
        <w:rPr>
          <w:rFonts w:hint="eastAsia" w:ascii="宋体" w:hAnsi="宋体" w:eastAsia="宋体" w:cs="宋体"/>
          <w:color w:val="auto"/>
          <w:spacing w:val="0"/>
          <w:position w:val="0"/>
          <w:sz w:val="24"/>
          <w:szCs w:val="24"/>
          <w:highlight w:val="none"/>
          <w:lang w:val="en-US" w:eastAsia="zh-CN"/>
        </w:rPr>
        <w:t>,</w:t>
      </w:r>
      <w:r>
        <w:rPr>
          <w:rFonts w:ascii="宋体" w:hAnsi="宋体" w:eastAsia="宋体" w:cs="宋体"/>
          <w:color w:val="auto"/>
          <w:spacing w:val="0"/>
          <w:position w:val="0"/>
          <w:sz w:val="24"/>
          <w:szCs w:val="24"/>
          <w:highlight w:val="none"/>
          <w:lang w:eastAsia="zh-CN"/>
        </w:rPr>
        <w:t>不得以任何理由予以变更。</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应对所有</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内容进行</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，且只提供最优方案一套，</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提交任何包含价格调整要求的</w:t>
      </w:r>
      <w:r>
        <w:rPr>
          <w:rFonts w:hint="eastAsia" w:ascii="宋体" w:hAnsi="宋体" w:eastAsia="宋体" w:cs="宋体"/>
          <w:color w:val="auto"/>
          <w:spacing w:val="0"/>
          <w:position w:val="0"/>
          <w:sz w:val="24"/>
          <w:szCs w:val="24"/>
          <w:highlight w:val="none"/>
          <w:lang w:val="en-US" w:eastAsia="zh-CN"/>
        </w:rPr>
        <w:t>响应</w:t>
      </w:r>
      <w:r>
        <w:rPr>
          <w:rFonts w:ascii="宋体" w:hAnsi="宋体" w:eastAsia="宋体" w:cs="宋体"/>
          <w:color w:val="auto"/>
          <w:spacing w:val="0"/>
          <w:position w:val="0"/>
          <w:sz w:val="24"/>
          <w:szCs w:val="24"/>
          <w:highlight w:val="none"/>
          <w:lang w:eastAsia="zh-CN"/>
        </w:rPr>
        <w:t>将按非实质性响应，</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cs="宋体"/>
          <w:b/>
          <w:bCs/>
          <w:color w:val="auto"/>
          <w:spacing w:val="0"/>
          <w:position w:val="0"/>
          <w:sz w:val="24"/>
          <w:szCs w:val="24"/>
          <w:highlight w:val="none"/>
        </w:rPr>
        <w:t>响应文件被视为无效</w:t>
      </w:r>
      <w:r>
        <w:rPr>
          <w:rFonts w:ascii="宋体" w:hAnsi="宋体" w:eastAsia="宋体" w:cs="宋体"/>
          <w:b/>
          <w:bCs/>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4D64DC7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01" w:name="_Toc16200"/>
      <w:bookmarkStart w:id="102" w:name="_Toc8235"/>
      <w:bookmarkStart w:id="103" w:name="_Toc23853"/>
      <w:bookmarkStart w:id="104" w:name="_Toc21415"/>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保证金</w:t>
      </w:r>
      <w:bookmarkEnd w:id="101"/>
      <w:bookmarkEnd w:id="102"/>
      <w:bookmarkEnd w:id="103"/>
      <w:bookmarkEnd w:id="104"/>
    </w:p>
    <w:p w14:paraId="0494FECD">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0" w:right="62" w:hanging="651" w:firstLineChars="0"/>
        <w:jc w:val="both"/>
        <w:textAlignment w:val="baseline"/>
        <w:rPr>
          <w:rFonts w:hint="eastAsia"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 xml:space="preserve">1 </w:t>
      </w:r>
      <w:r>
        <w:rPr>
          <w:rFonts w:hint="eastAsia" w:ascii="宋体" w:hAnsi="宋体" w:eastAsia="宋体" w:cs="宋体"/>
          <w:color w:val="auto"/>
          <w:spacing w:val="0"/>
          <w:position w:val="0"/>
          <w:sz w:val="24"/>
          <w:szCs w:val="24"/>
          <w:highlight w:val="none"/>
          <w:lang w:eastAsia="zh-CN"/>
        </w:rPr>
        <w:t>供应商须在响应文件递交截止时间之前提交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保证金，并作为其响应文件的一部分，详见“供应商须知前附表 ”。联合体</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的，可以由联合体中的一方或者共同提交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保证金，以一方名义提交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保证金的，对联合体各方均具有约束力。（适用联合体</w:t>
      </w:r>
      <w:r>
        <w:rPr>
          <w:rFonts w:hint="eastAsia" w:ascii="宋体" w:hAnsi="宋体" w:eastAsia="宋体" w:cs="宋体"/>
          <w:color w:val="auto"/>
          <w:spacing w:val="0"/>
          <w:position w:val="0"/>
          <w:sz w:val="24"/>
          <w:szCs w:val="24"/>
          <w:highlight w:val="none"/>
          <w:lang w:val="en-US" w:eastAsia="zh-CN"/>
        </w:rPr>
        <w:t>参加磋商</w:t>
      </w:r>
      <w:r>
        <w:rPr>
          <w:rFonts w:hint="eastAsia" w:ascii="宋体" w:hAnsi="宋体" w:eastAsia="宋体" w:cs="宋体"/>
          <w:color w:val="auto"/>
          <w:spacing w:val="0"/>
          <w:position w:val="0"/>
          <w:sz w:val="24"/>
          <w:szCs w:val="24"/>
          <w:highlight w:val="none"/>
          <w:lang w:eastAsia="zh-CN"/>
        </w:rPr>
        <w:t>）</w:t>
      </w:r>
    </w:p>
    <w:p w14:paraId="2B03A14F">
      <w:pPr>
        <w:keepNext w:val="0"/>
        <w:keepLines w:val="0"/>
        <w:pageBreakBefore w:val="0"/>
        <w:widowControl w:val="0"/>
        <w:shd w:val="clear"/>
        <w:kinsoku w:val="0"/>
        <w:wordWrap/>
        <w:overflowPunct/>
        <w:topLinePunct w:val="0"/>
        <w:autoSpaceDE w:val="0"/>
        <w:autoSpaceDN w:val="0"/>
        <w:bidi w:val="0"/>
        <w:adjustRightInd w:val="0"/>
        <w:snapToGrid w:val="0"/>
        <w:spacing w:beforeAutospacing="0" w:afterAutospacing="0" w:line="360" w:lineRule="auto"/>
        <w:ind w:left="575" w:leftChars="0" w:hanging="575" w:firstLineChars="0"/>
        <w:jc w:val="both"/>
        <w:textAlignment w:val="baseline"/>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.2 任何未按“供应商须知第1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.1 条 ”要求提交</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保证金的响应文件，</w:t>
      </w:r>
      <w:r>
        <w:rPr>
          <w:rFonts w:hint="eastAsia" w:ascii="宋体" w:hAnsi="宋体" w:eastAsia="宋体" w:cs="宋体"/>
          <w:b/>
          <w:bCs/>
          <w:color w:val="auto"/>
          <w:spacing w:val="0"/>
          <w:position w:val="0"/>
          <w:sz w:val="24"/>
          <w:szCs w:val="24"/>
          <w:highlight w:val="none"/>
          <w:lang w:val="en-US" w:eastAsia="zh-CN"/>
        </w:rPr>
        <w:t>其</w:t>
      </w:r>
      <w:r>
        <w:rPr>
          <w:rFonts w:hint="eastAsia" w:ascii="宋体" w:hAnsi="宋体" w:eastAsia="宋体" w:cs="宋体"/>
          <w:b/>
          <w:bCs/>
          <w:color w:val="auto"/>
          <w:spacing w:val="0"/>
          <w:position w:val="0"/>
          <w:sz w:val="24"/>
          <w:szCs w:val="24"/>
          <w:highlight w:val="none"/>
          <w:lang w:eastAsia="zh-CN"/>
        </w:rPr>
        <w:t>响应文件被视为无效。</w:t>
      </w:r>
    </w:p>
    <w:p w14:paraId="72E5A6D3">
      <w:pPr>
        <w:keepNext w:val="0"/>
        <w:keepLines w:val="0"/>
        <w:pageBreakBefore w:val="0"/>
        <w:widowControl w:val="0"/>
        <w:kinsoku w:val="0"/>
        <w:wordWrap/>
        <w:overflowPunct/>
        <w:topLinePunct w:val="0"/>
        <w:autoSpaceDE w:val="0"/>
        <w:autoSpaceDN w:val="0"/>
        <w:bidi w:val="0"/>
        <w:adjustRightInd w:val="0"/>
        <w:snapToGrid w:val="0"/>
        <w:spacing w:line="360" w:lineRule="auto"/>
        <w:ind w:left="620" w:leftChars="0" w:right="61" w:hanging="621"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.3 自</w:t>
      </w:r>
      <w:r>
        <w:rPr>
          <w:rFonts w:hint="eastAsia" w:ascii="宋体" w:hAnsi="宋体" w:eastAsia="宋体" w:cs="宋体"/>
          <w:color w:val="auto"/>
          <w:spacing w:val="0"/>
          <w:position w:val="0"/>
          <w:sz w:val="24"/>
          <w:szCs w:val="24"/>
          <w:highlight w:val="none"/>
          <w:lang w:val="en-US" w:eastAsia="zh-CN"/>
        </w:rPr>
        <w:t>成交</w:t>
      </w:r>
      <w:r>
        <w:rPr>
          <w:rFonts w:hint="eastAsia" w:ascii="宋体" w:hAnsi="宋体" w:eastAsia="宋体" w:cs="宋体"/>
          <w:color w:val="auto"/>
          <w:spacing w:val="0"/>
          <w:position w:val="0"/>
          <w:sz w:val="24"/>
          <w:szCs w:val="24"/>
          <w:highlight w:val="none"/>
          <w:lang w:eastAsia="zh-CN"/>
        </w:rPr>
        <w:t>通知书发出之日起5个工作日内退还未</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的磋商保证金，自采购合同签订之日起5个工作日内退还</w:t>
      </w:r>
      <w:r>
        <w:rPr>
          <w:rFonts w:hint="eastAsia" w:ascii="宋体" w:hAnsi="宋体" w:eastAsia="宋体" w:cs="宋体"/>
          <w:color w:val="auto"/>
          <w:spacing w:val="0"/>
          <w:position w:val="0"/>
          <w:sz w:val="24"/>
          <w:szCs w:val="24"/>
          <w:highlight w:val="none"/>
          <w:lang w:val="en-US" w:eastAsia="zh-CN"/>
        </w:rPr>
        <w:t>成交供应商</w:t>
      </w:r>
      <w:r>
        <w:rPr>
          <w:rFonts w:hint="eastAsia" w:ascii="宋体" w:hAnsi="宋体" w:eastAsia="宋体" w:cs="宋体"/>
          <w:color w:val="auto"/>
          <w:spacing w:val="0"/>
          <w:position w:val="0"/>
          <w:sz w:val="24"/>
          <w:szCs w:val="24"/>
          <w:highlight w:val="none"/>
          <w:lang w:eastAsia="zh-CN"/>
        </w:rPr>
        <w:t>的磋商保证金。</w:t>
      </w:r>
    </w:p>
    <w:p w14:paraId="01AC9A6C">
      <w:pPr>
        <w:keepNext w:val="0"/>
        <w:keepLines w:val="0"/>
        <w:pageBreakBefore w:val="0"/>
        <w:widowControl w:val="0"/>
        <w:kinsoku w:val="0"/>
        <w:wordWrap/>
        <w:overflowPunct/>
        <w:topLinePunct w:val="0"/>
        <w:autoSpaceDE w:val="0"/>
        <w:autoSpaceDN w:val="0"/>
        <w:bidi w:val="0"/>
        <w:adjustRightInd w:val="0"/>
        <w:snapToGrid w:val="0"/>
        <w:spacing w:line="360" w:lineRule="auto"/>
        <w:ind w:left="620" w:leftChars="0" w:right="61" w:hanging="621" w:firstLineChars="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.4 供应商在提交响应文件截止</w:t>
      </w:r>
      <w:r>
        <w:rPr>
          <w:rFonts w:hint="eastAsia" w:ascii="宋体" w:hAnsi="宋体" w:eastAsia="宋体" w:cs="宋体"/>
          <w:color w:val="auto"/>
          <w:spacing w:val="0"/>
          <w:position w:val="0"/>
          <w:sz w:val="24"/>
          <w:szCs w:val="24"/>
          <w:highlight w:val="none"/>
          <w:lang w:val="en-US" w:eastAsia="zh-CN"/>
        </w:rPr>
        <w:t>时间</w:t>
      </w:r>
      <w:r>
        <w:rPr>
          <w:rFonts w:hint="eastAsia" w:ascii="宋体" w:hAnsi="宋体" w:eastAsia="宋体" w:cs="宋体"/>
          <w:color w:val="auto"/>
          <w:spacing w:val="0"/>
          <w:position w:val="0"/>
          <w:sz w:val="24"/>
          <w:szCs w:val="24"/>
          <w:highlight w:val="none"/>
          <w:lang w:eastAsia="zh-CN"/>
        </w:rPr>
        <w:t>前撤回已提交的响应文件的，采购代理机构应当自提交响应文件截止之日起5个工作日内，退还已收取的磋商保证金，但因供应商自身原因导致无法及时退还的除外。</w:t>
      </w:r>
    </w:p>
    <w:p w14:paraId="03640C91">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.5 下列任何情况发生时，</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不予退</w:t>
      </w:r>
      <w:r>
        <w:rPr>
          <w:rFonts w:hint="eastAsia" w:ascii="宋体" w:hAnsi="宋体" w:eastAsia="宋体" w:cs="宋体"/>
          <w:color w:val="auto"/>
          <w:spacing w:val="0"/>
          <w:position w:val="0"/>
          <w:sz w:val="24"/>
          <w:szCs w:val="24"/>
          <w:highlight w:val="none"/>
          <w:lang w:val="en-US" w:eastAsia="zh-CN"/>
        </w:rPr>
        <w:t>还</w:t>
      </w:r>
      <w:r>
        <w:rPr>
          <w:rFonts w:ascii="宋体" w:hAnsi="宋体" w:eastAsia="宋体" w:cs="宋体"/>
          <w:color w:val="auto"/>
          <w:spacing w:val="0"/>
          <w:position w:val="0"/>
          <w:sz w:val="24"/>
          <w:szCs w:val="24"/>
          <w:highlight w:val="none"/>
          <w:lang w:eastAsia="zh-CN"/>
        </w:rPr>
        <w:t xml:space="preserve">： </w:t>
      </w:r>
    </w:p>
    <w:p w14:paraId="1883319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eastAsia="zh-CN"/>
        </w:rPr>
        <w:t>供应商在提交响应文件截止时间后撤回响应文件的；</w:t>
      </w:r>
    </w:p>
    <w:p w14:paraId="10F8FA40">
      <w:pPr>
        <w:keepNext w:val="0"/>
        <w:keepLines w:val="0"/>
        <w:pageBreakBefore w:val="0"/>
        <w:widowControl w:val="0"/>
        <w:kinsoku w:val="0"/>
        <w:wordWrap/>
        <w:overflowPunct/>
        <w:topLinePunct w:val="0"/>
        <w:autoSpaceDE w:val="0"/>
        <w:autoSpaceDN w:val="0"/>
        <w:bidi w:val="0"/>
        <w:adjustRightInd w:val="0"/>
        <w:snapToGrid w:val="0"/>
        <w:spacing w:line="360" w:lineRule="auto"/>
        <w:ind w:left="616" w:leftChars="179" w:hanging="240" w:hangingChars="10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w:t>
      </w:r>
      <w:r>
        <w:rPr>
          <w:rFonts w:hint="eastAsia" w:ascii="宋体" w:hAnsi="宋体" w:cs="宋体"/>
          <w:color w:val="auto"/>
          <w:spacing w:val="0"/>
          <w:position w:val="0"/>
          <w:sz w:val="24"/>
          <w:szCs w:val="24"/>
          <w:highlight w:val="none"/>
        </w:rPr>
        <w:t>除因不可抗力或</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文件认可的情形以外，成交供应商不与采购人签订合同的；</w:t>
      </w:r>
    </w:p>
    <w:p w14:paraId="6A5311C6">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成交供应商</w:t>
      </w:r>
      <w:r>
        <w:rPr>
          <w:rFonts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磋商文件规定支付</w:t>
      </w:r>
      <w:r>
        <w:rPr>
          <w:rFonts w:ascii="宋体" w:hAnsi="宋体" w:eastAsia="宋体" w:cs="宋体"/>
          <w:color w:val="auto"/>
          <w:spacing w:val="0"/>
          <w:position w:val="0"/>
          <w:sz w:val="24"/>
          <w:szCs w:val="24"/>
          <w:highlight w:val="none"/>
          <w:lang w:eastAsia="zh-CN"/>
        </w:rPr>
        <w:t>采购代理服务费；</w:t>
      </w:r>
    </w:p>
    <w:p w14:paraId="0FC940A8">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0" w:firstLine="0" w:firstLineChars="0"/>
        <w:jc w:val="both"/>
        <w:textAlignment w:val="baseline"/>
        <w:rPr>
          <w:rFonts w:ascii="宋体" w:hAnsi="宋体" w:eastAsia="宋体" w:cs="宋体"/>
          <w:color w:val="auto"/>
          <w:spacing w:val="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highlight w:val="none"/>
          <w:lang w:eastAsia="zh-CN"/>
        </w:rPr>
        <w:t>（4)</w:t>
      </w:r>
      <w:r>
        <w:rPr>
          <w:rFonts w:hint="eastAsia" w:ascii="宋体" w:hAnsi="宋体" w:eastAsia="宋体" w:cs="宋体"/>
          <w:color w:val="auto"/>
          <w:spacing w:val="0"/>
          <w:position w:val="0"/>
          <w:sz w:val="24"/>
          <w:szCs w:val="24"/>
          <w:highlight w:val="none"/>
          <w:lang w:val="en-US" w:eastAsia="zh-CN"/>
        </w:rPr>
        <w:t>成交供应商</w:t>
      </w:r>
      <w:r>
        <w:rPr>
          <w:rFonts w:ascii="宋体" w:hAnsi="宋体" w:eastAsia="宋体" w:cs="宋体"/>
          <w:color w:val="auto"/>
          <w:spacing w:val="0"/>
          <w:position w:val="0"/>
          <w:sz w:val="24"/>
          <w:szCs w:val="24"/>
          <w:highlight w:val="none"/>
          <w:lang w:eastAsia="zh-CN"/>
        </w:rPr>
        <w:t>未按</w:t>
      </w:r>
      <w:r>
        <w:rPr>
          <w:rFonts w:hint="eastAsia" w:ascii="宋体" w:hAnsi="宋体" w:eastAsia="宋体" w:cs="宋体"/>
          <w:color w:val="auto"/>
          <w:spacing w:val="0"/>
          <w:position w:val="0"/>
          <w:sz w:val="24"/>
          <w:szCs w:val="24"/>
          <w:highlight w:val="none"/>
          <w:lang w:val="en-US" w:eastAsia="zh-CN"/>
        </w:rPr>
        <w:t>磋商文件</w:t>
      </w:r>
      <w:r>
        <w:rPr>
          <w:rFonts w:ascii="宋体" w:hAnsi="宋体" w:eastAsia="宋体" w:cs="宋体"/>
          <w:color w:val="auto"/>
          <w:spacing w:val="0"/>
          <w:position w:val="0"/>
          <w:sz w:val="24"/>
          <w:szCs w:val="24"/>
          <w:highlight w:val="none"/>
          <w:lang w:eastAsia="zh-CN"/>
        </w:rPr>
        <w:t>规定提交履约保证金；</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如要求提供履约保证金</w:t>
      </w:r>
      <w:r>
        <w:rPr>
          <w:rFonts w:hint="eastAsia" w:ascii="宋体" w:hAnsi="宋体" w:eastAsia="宋体" w:cs="宋体"/>
          <w:color w:val="auto"/>
          <w:spacing w:val="0"/>
          <w:position w:val="0"/>
          <w:sz w:val="24"/>
          <w:szCs w:val="24"/>
          <w:highlight w:val="none"/>
          <w:lang w:eastAsia="zh-CN"/>
        </w:rPr>
        <w:t>）</w:t>
      </w:r>
    </w:p>
    <w:p w14:paraId="41FAF858">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eastAsia" w:ascii="宋体" w:hAnsi="宋体" w:cs="宋体"/>
          <w:color w:val="auto"/>
          <w:spacing w:val="0"/>
          <w:position w:val="0"/>
          <w:sz w:val="24"/>
          <w:szCs w:val="24"/>
          <w:highlight w:val="none"/>
        </w:rPr>
      </w:pPr>
      <w:r>
        <w:rPr>
          <w:rFonts w:ascii="宋体" w:hAnsi="宋体" w:eastAsia="宋体" w:cs="宋体"/>
          <w:color w:val="auto"/>
          <w:spacing w:val="0"/>
          <w:position w:val="0"/>
          <w:sz w:val="24"/>
          <w:szCs w:val="24"/>
          <w:highlight w:val="none"/>
          <w:lang w:eastAsia="zh-CN"/>
        </w:rPr>
        <w:t>（5)</w:t>
      </w:r>
      <w:r>
        <w:rPr>
          <w:rFonts w:hint="eastAsia" w:ascii="宋体" w:hAnsi="宋体" w:cs="宋体"/>
          <w:color w:val="auto"/>
          <w:spacing w:val="0"/>
          <w:position w:val="0"/>
          <w:sz w:val="24"/>
          <w:szCs w:val="24"/>
          <w:highlight w:val="none"/>
        </w:rPr>
        <w:t>供应商在响应文件中提供虚假材料的；</w:t>
      </w:r>
    </w:p>
    <w:p w14:paraId="1B5276CC">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）供应商与采购人、其他供应商或者采购代理机构恶意串通的。</w:t>
      </w:r>
    </w:p>
    <w:p w14:paraId="0705A37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05" w:name="_Toc4186"/>
      <w:bookmarkStart w:id="106" w:name="_Toc5146"/>
      <w:bookmarkStart w:id="107" w:name="_Toc6944"/>
      <w:bookmarkStart w:id="108" w:name="_Toc9695"/>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有效期</w:t>
      </w:r>
      <w:bookmarkEnd w:id="105"/>
      <w:bookmarkEnd w:id="106"/>
      <w:bookmarkEnd w:id="107"/>
      <w:bookmarkEnd w:id="108"/>
    </w:p>
    <w:p w14:paraId="52401CA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5" w:leftChars="0" w:right="77" w:hanging="635"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有效期从提交</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的截止之日起算。</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中承诺的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有效期应不少于</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中载明的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有效期。并在</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中承诺的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有效期内保持有效。</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中载明的</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有效期不足的</w:t>
      </w:r>
      <w:r>
        <w:rPr>
          <w:rFonts w:hint="eastAsia" w:ascii="宋体" w:hAnsi="宋体" w:cs="宋体"/>
          <w:color w:val="auto"/>
          <w:spacing w:val="0"/>
          <w:position w:val="0"/>
          <w:sz w:val="24"/>
          <w:szCs w:val="24"/>
          <w:highlight w:val="none"/>
        </w:rPr>
        <w:t>响应文件</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被视为无效</w:t>
      </w:r>
      <w:r>
        <w:rPr>
          <w:rFonts w:ascii="宋体" w:hAnsi="宋体" w:eastAsia="宋体" w:cs="宋体"/>
          <w:color w:val="auto"/>
          <w:spacing w:val="0"/>
          <w:position w:val="0"/>
          <w:sz w:val="24"/>
          <w:szCs w:val="24"/>
          <w:highlight w:val="none"/>
          <w:lang w:eastAsia="zh-CN"/>
        </w:rPr>
        <w:t>。</w:t>
      </w:r>
    </w:p>
    <w:p w14:paraId="5F6A6AE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5" w:leftChars="0" w:hanging="635"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6</w:t>
      </w:r>
      <w:r>
        <w:rPr>
          <w:rFonts w:ascii="宋体" w:hAnsi="宋体" w:eastAsia="宋体" w:cs="宋体"/>
          <w:color w:val="auto"/>
          <w:spacing w:val="0"/>
          <w:position w:val="0"/>
          <w:sz w:val="24"/>
          <w:szCs w:val="24"/>
          <w:highlight w:val="none"/>
          <w:lang w:eastAsia="zh-CN"/>
        </w:rPr>
        <w:t>.2 在特殊情况下，采购代理机构可延长</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有效期。延长</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江西省招标投标网（http://www.jxtb.org.cn/）发布</w:t>
      </w:r>
      <w:r>
        <w:rPr>
          <w:rFonts w:ascii="宋体" w:hAnsi="宋体" w:eastAsia="宋体" w:cs="宋体"/>
          <w:color w:val="auto"/>
          <w:spacing w:val="0"/>
          <w:position w:val="0"/>
          <w:sz w:val="24"/>
          <w:szCs w:val="24"/>
          <w:highlight w:val="none"/>
          <w:lang w:eastAsia="zh-CN"/>
        </w:rPr>
        <w:t>，延期函以网上公告的形式通知所有已参加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。已参加</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应以书面形式答复采购代理机构，同意延长有效期的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不能修改其</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，有关</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的规定在</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有效期的延长期内继续有效。</w:t>
      </w:r>
    </w:p>
    <w:p w14:paraId="299BD2C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09" w:name="_Toc13110"/>
      <w:bookmarkStart w:id="110" w:name="_Toc6615"/>
      <w:bookmarkStart w:id="111" w:name="_Toc20869"/>
      <w:bookmarkStart w:id="112" w:name="_Toc32377"/>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的递交</w:t>
      </w:r>
      <w:bookmarkEnd w:id="109"/>
      <w:bookmarkEnd w:id="110"/>
      <w:bookmarkEnd w:id="111"/>
      <w:bookmarkEnd w:id="112"/>
    </w:p>
    <w:p w14:paraId="2CE07CD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文件递交</w:t>
      </w:r>
    </w:p>
    <w:p w14:paraId="6819005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60" w:leftChars="0" w:right="82" w:hanging="560" w:firstLineChars="0"/>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17.1.1 提交响应文件截止时间</w:t>
      </w:r>
      <w:r>
        <w:rPr>
          <w:rFonts w:ascii="宋体" w:hAnsi="宋体" w:eastAsia="宋体" w:cs="宋体"/>
          <w:color w:val="auto"/>
          <w:spacing w:val="0"/>
          <w:position w:val="0"/>
          <w:sz w:val="24"/>
          <w:szCs w:val="24"/>
          <w:highlight w:val="none"/>
          <w:lang w:eastAsia="zh-CN"/>
        </w:rPr>
        <w:t xml:space="preserve">：详见“第一章 </w:t>
      </w:r>
      <w:r>
        <w:rPr>
          <w:rFonts w:hint="eastAsia" w:ascii="宋体" w:hAnsi="宋体" w:eastAsia="宋体" w:cs="宋体"/>
          <w:color w:val="auto"/>
          <w:spacing w:val="0"/>
          <w:position w:val="0"/>
          <w:sz w:val="24"/>
          <w:szCs w:val="24"/>
          <w:highlight w:val="none"/>
          <w:lang w:eastAsia="zh-CN"/>
        </w:rPr>
        <w:t>磋商邀请</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w:t>
      </w:r>
    </w:p>
    <w:p w14:paraId="6D53AD2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82" w:hanging="62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必须在</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规定的</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前</w:t>
      </w:r>
      <w:r>
        <w:rPr>
          <w:rFonts w:hint="eastAsia" w:ascii="宋体" w:hAnsi="宋体" w:eastAsia="宋体" w:cs="宋体"/>
          <w:color w:val="auto"/>
          <w:spacing w:val="0"/>
          <w:position w:val="0"/>
          <w:sz w:val="24"/>
          <w:szCs w:val="24"/>
          <w:highlight w:val="none"/>
          <w:lang w:val="en-US" w:eastAsia="zh-CN"/>
        </w:rPr>
        <w:t>递交</w:t>
      </w:r>
      <w:r>
        <w:rPr>
          <w:rFonts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否则</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无效。</w:t>
      </w:r>
    </w:p>
    <w:p w14:paraId="5AD1A49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77" w:hanging="62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3 </w:t>
      </w:r>
      <w:r>
        <w:rPr>
          <w:rFonts w:ascii="宋体" w:hAnsi="宋体" w:eastAsia="宋体" w:cs="宋体"/>
          <w:color w:val="auto"/>
          <w:spacing w:val="0"/>
          <w:position w:val="0"/>
          <w:sz w:val="24"/>
          <w:szCs w:val="24"/>
          <w:highlight w:val="none"/>
          <w:lang w:eastAsia="zh-CN"/>
        </w:rPr>
        <w:t>采购代理机构推迟</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江西省招标投标网（http://www.jxtb.org.cn/）发布延期公告</w:t>
      </w:r>
      <w:r>
        <w:rPr>
          <w:rFonts w:ascii="宋体" w:hAnsi="宋体" w:eastAsia="宋体" w:cs="宋体"/>
          <w:color w:val="auto"/>
          <w:spacing w:val="0"/>
          <w:position w:val="0"/>
          <w:sz w:val="24"/>
          <w:szCs w:val="24"/>
          <w:highlight w:val="none"/>
          <w:lang w:eastAsia="zh-CN"/>
        </w:rPr>
        <w:t>，延期函以网上公告的形式通知所有已下载</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。在这种情况下，采购代理机构、采购人和</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受</w:t>
      </w:r>
      <w:r>
        <w:rPr>
          <w:rFonts w:hint="eastAsia" w:ascii="宋体" w:hAnsi="宋体" w:eastAsia="宋体" w:cs="宋体"/>
          <w:color w:val="auto"/>
          <w:spacing w:val="0"/>
          <w:position w:val="0"/>
          <w:sz w:val="24"/>
          <w:szCs w:val="24"/>
          <w:highlight w:val="none"/>
          <w:lang w:eastAsia="zh-CN"/>
        </w:rPr>
        <w:t>提交响应文件截止时间</w:t>
      </w:r>
      <w:r>
        <w:rPr>
          <w:rFonts w:ascii="宋体" w:hAnsi="宋体" w:eastAsia="宋体" w:cs="宋体"/>
          <w:color w:val="auto"/>
          <w:spacing w:val="0"/>
          <w:position w:val="0"/>
          <w:sz w:val="24"/>
          <w:szCs w:val="24"/>
          <w:highlight w:val="none"/>
          <w:lang w:eastAsia="zh-CN"/>
        </w:rPr>
        <w:t>制约的所有权利和义务均应延长至新的</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w:t>
      </w:r>
    </w:p>
    <w:p w14:paraId="6740681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.2 迟交的</w:t>
      </w:r>
      <w:r>
        <w:rPr>
          <w:rFonts w:hint="eastAsia" w:ascii="宋体" w:hAnsi="宋体" w:eastAsia="宋体" w:cs="宋体"/>
          <w:color w:val="auto"/>
          <w:spacing w:val="0"/>
          <w:position w:val="0"/>
          <w:sz w:val="24"/>
          <w:szCs w:val="24"/>
          <w:highlight w:val="none"/>
          <w:lang w:eastAsia="zh-CN"/>
        </w:rPr>
        <w:t>响应文件</w:t>
      </w:r>
    </w:p>
    <w:p w14:paraId="3871CB77">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ind w:left="645" w:leftChars="0" w:hanging="645" w:hangingChars="269"/>
        <w:textAlignment w:val="baseline"/>
        <w:rPr>
          <w:rFonts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kern w:val="0"/>
          <w:position w:val="0"/>
          <w:sz w:val="24"/>
          <w:szCs w:val="24"/>
          <w:highlight w:val="none"/>
          <w:lang w:val="en-US" w:eastAsia="zh-CN" w:bidi="ar-SA"/>
        </w:rPr>
        <w:t>17.2.1 在提交响应文件截止时间以后送达的响应文件，采购代理机构将拒绝接收。</w:t>
      </w:r>
      <w:r>
        <w:rPr>
          <w:rFonts w:hint="eastAsia" w:ascii="宋体" w:hAnsi="宋体" w:eastAsia="宋体" w:cs="宋体"/>
          <w:snapToGrid w:val="0"/>
          <w:color w:val="auto"/>
          <w:spacing w:val="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0A61C19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5" w:leftChars="0" w:hanging="645" w:hangingChars="269"/>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17.2.2 未在</w:t>
      </w:r>
      <w:r>
        <w:rPr>
          <w:rFonts w:hint="eastAsia" w:ascii="宋体" w:hAnsi="宋体" w:eastAsia="宋体" w:cs="宋体"/>
          <w:snapToGrid w:val="0"/>
          <w:color w:val="auto"/>
          <w:spacing w:val="0"/>
          <w:kern w:val="0"/>
          <w:position w:val="0"/>
          <w:sz w:val="24"/>
          <w:szCs w:val="24"/>
          <w:highlight w:val="none"/>
          <w:lang w:val="en-US" w:eastAsia="zh-CN" w:bidi="ar-SA"/>
        </w:rPr>
        <w:t>提交响应文件截止时间</w:t>
      </w:r>
      <w:r>
        <w:rPr>
          <w:rFonts w:hint="eastAsia" w:ascii="宋体" w:hAnsi="宋体" w:eastAsia="宋体" w:cs="宋体"/>
          <w:color w:val="auto"/>
          <w:spacing w:val="0"/>
          <w:position w:val="0"/>
          <w:sz w:val="24"/>
          <w:szCs w:val="24"/>
          <w:highlight w:val="none"/>
          <w:lang w:val="en-US" w:eastAsia="zh-CN"/>
        </w:rPr>
        <w:t>前进行签到的，</w:t>
      </w:r>
      <w:r>
        <w:rPr>
          <w:rFonts w:hint="eastAsia" w:ascii="宋体" w:hAnsi="宋体" w:eastAsia="宋体" w:cs="宋体"/>
          <w:b/>
          <w:bCs/>
          <w:color w:val="auto"/>
          <w:spacing w:val="0"/>
          <w:position w:val="0"/>
          <w:sz w:val="24"/>
          <w:szCs w:val="24"/>
          <w:highlight w:val="none"/>
          <w:lang w:val="en-US" w:eastAsia="zh-CN"/>
        </w:rPr>
        <w:t>视为响应无效</w:t>
      </w:r>
      <w:r>
        <w:rPr>
          <w:rFonts w:hint="eastAsia" w:ascii="宋体" w:hAnsi="宋体" w:eastAsia="宋体" w:cs="宋体"/>
          <w:color w:val="auto"/>
          <w:spacing w:val="0"/>
          <w:position w:val="0"/>
          <w:sz w:val="24"/>
          <w:szCs w:val="24"/>
          <w:highlight w:val="none"/>
          <w:lang w:val="en-US" w:eastAsia="zh-CN"/>
        </w:rPr>
        <w:t>。</w:t>
      </w:r>
    </w:p>
    <w:p w14:paraId="4A9E2C63">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的修改和撤回</w:t>
      </w:r>
    </w:p>
    <w:p w14:paraId="74478F7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0" w:leftChars="0" w:right="80" w:hanging="640"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.3.1 在</w:t>
      </w:r>
      <w:r>
        <w:rPr>
          <w:rFonts w:hint="eastAsia" w:ascii="宋体" w:hAnsi="宋体" w:eastAsia="宋体" w:cs="宋体"/>
          <w:color w:val="auto"/>
          <w:spacing w:val="0"/>
          <w:position w:val="0"/>
          <w:sz w:val="24"/>
          <w:szCs w:val="24"/>
          <w:highlight w:val="none"/>
          <w:lang w:val="en-US" w:eastAsia="zh-CN"/>
        </w:rPr>
        <w:t>提交响应文件截止时间</w:t>
      </w:r>
      <w:r>
        <w:rPr>
          <w:rFonts w:ascii="宋体" w:hAnsi="宋体" w:eastAsia="宋体" w:cs="宋体"/>
          <w:color w:val="auto"/>
          <w:spacing w:val="0"/>
          <w:position w:val="0"/>
          <w:sz w:val="24"/>
          <w:szCs w:val="24"/>
          <w:highlight w:val="none"/>
          <w:lang w:eastAsia="zh-CN"/>
        </w:rPr>
        <w:t>前，</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修改或撤回</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可以</w:t>
      </w:r>
      <w:r>
        <w:rPr>
          <w:rFonts w:hint="eastAsia" w:ascii="宋体" w:hAnsi="宋体" w:eastAsia="宋体" w:cs="宋体"/>
          <w:color w:val="auto"/>
          <w:spacing w:val="0"/>
          <w:position w:val="0"/>
          <w:sz w:val="24"/>
          <w:szCs w:val="24"/>
          <w:highlight w:val="none"/>
          <w:lang w:val="en-US" w:eastAsia="zh-CN"/>
        </w:rPr>
        <w:t>修改</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或撤回其</w:t>
      </w:r>
      <w:r>
        <w:rPr>
          <w:rFonts w:hint="eastAsia" w:ascii="宋体" w:hAnsi="宋体" w:eastAsia="宋体" w:cs="宋体"/>
          <w:color w:val="auto"/>
          <w:spacing w:val="0"/>
          <w:position w:val="0"/>
          <w:sz w:val="24"/>
          <w:szCs w:val="24"/>
          <w:highlight w:val="none"/>
          <w:lang w:val="en-US" w:eastAsia="zh-CN"/>
        </w:rPr>
        <w:t>响应文件</w:t>
      </w:r>
      <w:r>
        <w:rPr>
          <w:rFonts w:ascii="宋体" w:hAnsi="宋体" w:eastAsia="宋体" w:cs="宋体"/>
          <w:color w:val="auto"/>
          <w:spacing w:val="0"/>
          <w:position w:val="0"/>
          <w:sz w:val="24"/>
          <w:szCs w:val="24"/>
          <w:highlight w:val="none"/>
          <w:lang w:eastAsia="zh-CN"/>
        </w:rPr>
        <w:t>。</w:t>
      </w:r>
    </w:p>
    <w:p w14:paraId="574589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40" w:leftChars="0" w:right="80" w:hanging="641" w:firstLineChars="0"/>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7</w:t>
      </w:r>
      <w:r>
        <w:rPr>
          <w:rFonts w:ascii="宋体" w:hAnsi="宋体" w:eastAsia="宋体" w:cs="宋体"/>
          <w:color w:val="auto"/>
          <w:spacing w:val="0"/>
          <w:position w:val="0"/>
          <w:sz w:val="24"/>
          <w:szCs w:val="24"/>
          <w:highlight w:val="none"/>
          <w:lang w:eastAsia="zh-CN"/>
        </w:rPr>
        <w:t xml:space="preserve">.3.2 </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有效期期满这段时间内，</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不得撤</w:t>
      </w:r>
      <w:r>
        <w:rPr>
          <w:rFonts w:hint="eastAsia" w:ascii="宋体" w:hAnsi="宋体" w:eastAsia="宋体" w:cs="宋体"/>
          <w:color w:val="auto"/>
          <w:spacing w:val="0"/>
          <w:position w:val="0"/>
          <w:sz w:val="24"/>
          <w:szCs w:val="24"/>
          <w:highlight w:val="none"/>
          <w:lang w:val="en-US" w:eastAsia="zh-CN"/>
        </w:rPr>
        <w:t>回</w:t>
      </w:r>
      <w:r>
        <w:rPr>
          <w:rFonts w:ascii="宋体" w:hAnsi="宋体" w:eastAsia="宋体" w:cs="宋体"/>
          <w:color w:val="auto"/>
          <w:spacing w:val="0"/>
          <w:position w:val="0"/>
          <w:sz w:val="24"/>
          <w:szCs w:val="24"/>
          <w:highlight w:val="none"/>
          <w:lang w:eastAsia="zh-CN"/>
        </w:rPr>
        <w:t>其</w:t>
      </w:r>
      <w:r>
        <w:rPr>
          <w:rFonts w:hint="eastAsia" w:ascii="宋体" w:hAnsi="宋体" w:eastAsia="宋体" w:cs="宋体"/>
          <w:color w:val="auto"/>
          <w:spacing w:val="0"/>
          <w:position w:val="0"/>
          <w:sz w:val="24"/>
          <w:szCs w:val="24"/>
          <w:highlight w:val="none"/>
          <w:lang w:val="en-US" w:eastAsia="zh-CN"/>
        </w:rPr>
        <w:t>响应文件</w:t>
      </w:r>
      <w:r>
        <w:rPr>
          <w:rFonts w:ascii="宋体" w:hAnsi="宋体" w:eastAsia="宋体" w:cs="宋体"/>
          <w:color w:val="auto"/>
          <w:spacing w:val="0"/>
          <w:position w:val="0"/>
          <w:sz w:val="24"/>
          <w:szCs w:val="24"/>
          <w:highlight w:val="none"/>
          <w:lang w:eastAsia="zh-CN"/>
        </w:rPr>
        <w:t>，否则不予退还其交纳的</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6A78BEA4">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640" w:leftChars="0" w:hanging="640" w:hangingChars="267"/>
        <w:textAlignment w:val="baseline"/>
        <w:rPr>
          <w:rFonts w:hint="default"/>
          <w:color w:val="auto"/>
          <w:spacing w:val="0"/>
          <w:position w:val="0"/>
          <w:highlight w:val="none"/>
          <w:lang w:val="en-US" w:eastAsia="zh-CN"/>
        </w:rPr>
      </w:pPr>
      <w:r>
        <w:rPr>
          <w:rFonts w:hint="eastAsia" w:ascii="宋体" w:hAnsi="宋体" w:eastAsia="宋体" w:cs="宋体"/>
          <w:color w:val="auto"/>
          <w:spacing w:val="0"/>
          <w:position w:val="0"/>
          <w:sz w:val="24"/>
          <w:szCs w:val="24"/>
          <w:highlight w:val="none"/>
          <w:lang w:val="en-US" w:eastAsia="zh-CN"/>
        </w:rPr>
        <w:t>17.4 原件及演示递交要求：磋商文件要求提供材料原件、演示佐证的，必须将原件或演示材料在响应文件递交截止时间前递交至磋商地点，逾期不予接收。具体要求详见“供应商须知前附表”。</w:t>
      </w:r>
    </w:p>
    <w:p w14:paraId="457E6617">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113" w:name="_Toc3774"/>
      <w:bookmarkStart w:id="114" w:name="_Toc15201"/>
      <w:bookmarkStart w:id="115" w:name="_Toc2299"/>
      <w:bookmarkStart w:id="116" w:name="_Toc2204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.分包的规定</w:t>
      </w:r>
      <w:bookmarkEnd w:id="113"/>
      <w:bookmarkEnd w:id="114"/>
      <w:bookmarkEnd w:id="115"/>
      <w:bookmarkEnd w:id="116"/>
    </w:p>
    <w:p w14:paraId="7E0546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.1 本项目是否允许分包：详见“</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 ”。</w:t>
      </w:r>
    </w:p>
    <w:p w14:paraId="7BDAA54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4" w:leftChars="0" w:right="61" w:hanging="620" w:firstLineChars="0"/>
        <w:jc w:val="both"/>
        <w:textAlignment w:val="baseline"/>
        <w:rPr>
          <w:color w:val="auto"/>
          <w:spacing w:val="0"/>
          <w:position w:val="0"/>
          <w:highlight w:val="none"/>
          <w:lang w:eastAsia="zh-CN"/>
        </w:rPr>
      </w:pP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val="en-US" w:eastAsia="zh-CN"/>
        </w:rPr>
        <w:t xml:space="preserve"> </w:t>
      </w:r>
      <w:r>
        <w:rPr>
          <w:rFonts w:ascii="宋体" w:hAnsi="宋体" w:eastAsia="宋体" w:cs="宋体"/>
          <w:color w:val="auto"/>
          <w:spacing w:val="0"/>
          <w:position w:val="0"/>
          <w:sz w:val="24"/>
          <w:szCs w:val="24"/>
          <w:highlight w:val="none"/>
          <w:lang w:eastAsia="zh-CN"/>
        </w:rPr>
        <w:t>在</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后将</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项目的非主体、非关键性工作分包的，应当在</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中载明分包承担主体，分包承担主体应当具备相应资质条件且不得再次分包</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（适用于允许分包）</w:t>
      </w:r>
    </w:p>
    <w:p w14:paraId="201AA81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634" w:leftChars="0" w:hanging="634" w:firstLineChars="0"/>
        <w:jc w:val="both"/>
        <w:textAlignment w:val="baseline"/>
        <w:outlineLvl w:val="1"/>
        <w:rPr>
          <w:rFonts w:hint="default"/>
          <w:color w:val="auto"/>
          <w:spacing w:val="0"/>
          <w:position w:val="0"/>
          <w:highlight w:val="none"/>
          <w:lang w:val="en-US" w:eastAsia="zh-CN"/>
        </w:rPr>
      </w:pPr>
      <w:bookmarkStart w:id="117" w:name="bookmark33"/>
      <w:bookmarkEnd w:id="117"/>
      <w:bookmarkStart w:id="118" w:name="_Toc19350"/>
      <w:bookmarkStart w:id="119" w:name="_Toc16436"/>
      <w:bookmarkStart w:id="120" w:name="_Toc32100"/>
      <w:bookmarkStart w:id="121" w:name="_Toc23027"/>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 xml:space="preserve"> 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（适用于允许分包）</w:t>
      </w:r>
      <w:bookmarkEnd w:id="118"/>
      <w:bookmarkEnd w:id="119"/>
      <w:bookmarkEnd w:id="120"/>
      <w:bookmarkEnd w:id="121"/>
    </w:p>
    <w:p w14:paraId="531E4E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26" w:beforeAutospacing="0" w:after="0" w:afterLines="126" w:afterAutospacing="0" w:line="360" w:lineRule="auto"/>
        <w:jc w:val="center"/>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22" w:name="_Toc13912"/>
      <w:bookmarkStart w:id="123" w:name="_Toc332"/>
      <w:bookmarkStart w:id="124" w:name="_Toc6979"/>
      <w:bookmarkStart w:id="125" w:name="_Toc2497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四、磋商</w:t>
      </w:r>
      <w:bookmarkEnd w:id="122"/>
      <w:bookmarkEnd w:id="123"/>
      <w:bookmarkEnd w:id="124"/>
      <w:bookmarkEnd w:id="125"/>
    </w:p>
    <w:p w14:paraId="0BDA64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26" w:name="_Toc30304"/>
      <w:bookmarkStart w:id="127" w:name="_Toc31671"/>
      <w:bookmarkStart w:id="128" w:name="_Toc18753"/>
      <w:bookmarkStart w:id="129" w:name="_Toc1461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19</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.磋商组织</w:t>
      </w:r>
      <w:bookmarkEnd w:id="126"/>
      <w:bookmarkEnd w:id="127"/>
      <w:bookmarkEnd w:id="128"/>
      <w:bookmarkEnd w:id="129"/>
    </w:p>
    <w:p w14:paraId="53550A18">
      <w:pPr>
        <w:keepNext w:val="0"/>
        <w:keepLines w:val="0"/>
        <w:pageBreakBefore w:val="0"/>
        <w:kinsoku w:val="0"/>
        <w:wordWrap/>
        <w:overflowPunct/>
        <w:topLinePunct w:val="0"/>
        <w:autoSpaceDE w:val="0"/>
        <w:autoSpaceDN w:val="0"/>
        <w:bidi w:val="0"/>
        <w:adjustRightInd w:val="0"/>
        <w:snapToGrid w:val="0"/>
        <w:spacing w:line="360" w:lineRule="auto"/>
        <w:ind w:left="631" w:leftChars="0" w:hanging="631" w:hangingChars="263"/>
        <w:textAlignment w:val="baseline"/>
        <w:rPr>
          <w:rFonts w:cs="仿宋" w:asciiTheme="minorEastAsia" w:hAnsiTheme="minorEastAsia" w:eastAsiaTheme="minorEastAsia"/>
          <w:b w:val="0"/>
          <w:bCs/>
          <w:color w:val="auto"/>
          <w:spacing w:val="0"/>
          <w:kern w:val="0"/>
          <w:position w:val="0"/>
          <w:sz w:val="24"/>
          <w:szCs w:val="24"/>
          <w:highlight w:val="none"/>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lang w:val="en-GB"/>
        </w:rPr>
        <w:t>.1</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w:t>
      </w:r>
      <w:r>
        <w:rPr>
          <w:rFonts w:hint="eastAsia" w:cs="仿宋" w:asciiTheme="minorEastAsia" w:hAnsiTheme="minorEastAsia" w:eastAsiaTheme="minorEastAsia"/>
          <w:b w:val="0"/>
          <w:bCs/>
          <w:color w:val="auto"/>
          <w:spacing w:val="0"/>
          <w:position w:val="0"/>
          <w:sz w:val="24"/>
          <w:szCs w:val="24"/>
          <w:highlight w:val="none"/>
        </w:rPr>
        <w:t xml:space="preserve">采购代理机构在“第一章 </w:t>
      </w:r>
      <w:r>
        <w:rPr>
          <w:rFonts w:hint="eastAsia" w:cs="仿宋" w:asciiTheme="minorEastAsia" w:hAnsiTheme="minorEastAsia" w:eastAsiaTheme="minorEastAsia"/>
          <w:b w:val="0"/>
          <w:bCs/>
          <w:color w:val="auto"/>
          <w:spacing w:val="0"/>
          <w:position w:val="0"/>
          <w:sz w:val="24"/>
          <w:szCs w:val="24"/>
          <w:highlight w:val="none"/>
          <w:lang w:val="en-US" w:eastAsia="zh-CN"/>
        </w:rPr>
        <w:t>磋商</w:t>
      </w:r>
      <w:r>
        <w:rPr>
          <w:rFonts w:hint="eastAsia" w:cs="仿宋" w:asciiTheme="minorEastAsia" w:hAnsiTheme="minorEastAsia" w:eastAsiaTheme="minorEastAsia"/>
          <w:b w:val="0"/>
          <w:bCs/>
          <w:color w:val="auto"/>
          <w:spacing w:val="0"/>
          <w:position w:val="0"/>
          <w:sz w:val="24"/>
          <w:szCs w:val="24"/>
          <w:highlight w:val="none"/>
        </w:rPr>
        <w:t>邀请”中规定的时间和地点组织</w:t>
      </w:r>
      <w:r>
        <w:rPr>
          <w:rFonts w:hint="eastAsia" w:cs="仿宋" w:asciiTheme="minorEastAsia" w:hAnsiTheme="minorEastAsia" w:eastAsiaTheme="minorEastAsia"/>
          <w:b w:val="0"/>
          <w:bCs/>
          <w:color w:val="auto"/>
          <w:spacing w:val="0"/>
          <w:position w:val="0"/>
          <w:sz w:val="24"/>
          <w:szCs w:val="24"/>
          <w:highlight w:val="none"/>
          <w:lang w:val="en-US" w:eastAsia="zh-CN"/>
        </w:rPr>
        <w:t>磋商</w:t>
      </w:r>
      <w:r>
        <w:rPr>
          <w:rFonts w:hint="eastAsia" w:cs="仿宋" w:asciiTheme="minorEastAsia" w:hAnsiTheme="minorEastAsia" w:eastAsiaTheme="minorEastAsia"/>
          <w:b w:val="0"/>
          <w:bCs/>
          <w:color w:val="auto"/>
          <w:spacing w:val="0"/>
          <w:position w:val="0"/>
          <w:sz w:val="24"/>
          <w:szCs w:val="24"/>
          <w:highlight w:val="none"/>
        </w:rPr>
        <w:t>。</w:t>
      </w:r>
      <w:r>
        <w:rPr>
          <w:rFonts w:hint="eastAsia" w:ascii="宋体" w:hAnsi="宋体" w:eastAsia="宋体" w:cs="宋体"/>
          <w:i w:val="0"/>
          <w:iCs w:val="0"/>
          <w:color w:val="auto"/>
          <w:spacing w:val="0"/>
          <w:position w:val="0"/>
          <w:sz w:val="24"/>
          <w:szCs w:val="24"/>
          <w:highlight w:val="none"/>
        </w:rPr>
        <w:t>参加磋商的</w:t>
      </w:r>
      <w:r>
        <w:rPr>
          <w:rFonts w:hint="eastAsia" w:ascii="宋体" w:hAnsi="宋体" w:cs="宋体"/>
          <w:i w:val="0"/>
          <w:iCs w:val="0"/>
          <w:color w:val="auto"/>
          <w:spacing w:val="0"/>
          <w:position w:val="0"/>
          <w:sz w:val="24"/>
          <w:szCs w:val="24"/>
          <w:highlight w:val="none"/>
          <w:lang w:val="en-US" w:eastAsia="zh-CN"/>
        </w:rPr>
        <w:t>供应商须签到</w:t>
      </w:r>
      <w:r>
        <w:rPr>
          <w:rFonts w:hint="eastAsia" w:ascii="宋体" w:hAnsi="宋体" w:eastAsia="宋体" w:cs="宋体"/>
          <w:i w:val="0"/>
          <w:iCs w:val="0"/>
          <w:color w:val="auto"/>
          <w:spacing w:val="0"/>
          <w:position w:val="0"/>
          <w:sz w:val="24"/>
          <w:szCs w:val="24"/>
          <w:highlight w:val="none"/>
        </w:rPr>
        <w:t>以证明其出席。</w:t>
      </w:r>
    </w:p>
    <w:p w14:paraId="41378A02">
      <w:pPr>
        <w:keepNext w:val="0"/>
        <w:keepLines w:val="0"/>
        <w:pageBreakBefore w:val="0"/>
        <w:kinsoku w:val="0"/>
        <w:wordWrap/>
        <w:overflowPunct/>
        <w:topLinePunct w:val="0"/>
        <w:autoSpaceDE w:val="0"/>
        <w:autoSpaceDN w:val="0"/>
        <w:bidi w:val="0"/>
        <w:adjustRightInd w:val="0"/>
        <w:snapToGrid w:val="0"/>
        <w:spacing w:line="360" w:lineRule="auto"/>
        <w:ind w:left="480" w:hanging="480" w:hangingChars="200"/>
        <w:textAlignment w:val="baseline"/>
        <w:rPr>
          <w:rFonts w:cs="仿宋" w:asciiTheme="minorEastAsia" w:hAnsiTheme="minorEastAsia" w:eastAsiaTheme="minorEastAsia"/>
          <w:b w:val="0"/>
          <w:bCs/>
          <w:color w:val="auto"/>
          <w:spacing w:val="0"/>
          <w:position w:val="0"/>
          <w:sz w:val="24"/>
          <w:szCs w:val="24"/>
          <w:highlight w:val="none"/>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rPr>
        <w:t>.2</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磋商</w:t>
      </w:r>
      <w:r>
        <w:rPr>
          <w:rFonts w:hint="eastAsia" w:cs="仿宋" w:asciiTheme="minorEastAsia" w:hAnsiTheme="minorEastAsia" w:eastAsiaTheme="minorEastAsia"/>
          <w:b w:val="0"/>
          <w:bCs/>
          <w:color w:val="auto"/>
          <w:spacing w:val="0"/>
          <w:position w:val="0"/>
          <w:sz w:val="24"/>
          <w:szCs w:val="24"/>
          <w:highlight w:val="none"/>
        </w:rPr>
        <w:t>由采购人或者采购代理机构主持，邀请</w:t>
      </w:r>
      <w:r>
        <w:rPr>
          <w:rFonts w:hint="eastAsia" w:cs="仿宋" w:asciiTheme="minorEastAsia" w:hAnsiTheme="minorEastAsia" w:eastAsiaTheme="minorEastAsia"/>
          <w:b w:val="0"/>
          <w:bCs/>
          <w:color w:val="auto"/>
          <w:spacing w:val="0"/>
          <w:position w:val="0"/>
          <w:sz w:val="24"/>
          <w:szCs w:val="24"/>
          <w:highlight w:val="none"/>
          <w:lang w:eastAsia="zh-CN"/>
        </w:rPr>
        <w:t>供应商</w:t>
      </w:r>
      <w:r>
        <w:rPr>
          <w:rFonts w:hint="eastAsia" w:cs="仿宋" w:asciiTheme="minorEastAsia" w:hAnsiTheme="minorEastAsia" w:eastAsiaTheme="minorEastAsia"/>
          <w:b w:val="0"/>
          <w:bCs/>
          <w:color w:val="auto"/>
          <w:spacing w:val="0"/>
          <w:position w:val="0"/>
          <w:sz w:val="24"/>
          <w:szCs w:val="24"/>
          <w:highlight w:val="none"/>
        </w:rPr>
        <w:t>参加。</w:t>
      </w:r>
    </w:p>
    <w:p w14:paraId="3D4EE9FE">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hint="default"/>
          <w:highlight w:val="none"/>
          <w:lang w:val="en-US"/>
        </w:rPr>
      </w:pPr>
      <w:r>
        <w:rPr>
          <w:rFonts w:hint="eastAsia" w:cs="仿宋" w:asciiTheme="minorEastAsia" w:hAnsiTheme="minorEastAsia" w:eastAsiaTheme="minorEastAsia"/>
          <w:b w:val="0"/>
          <w:bCs/>
          <w:color w:val="auto"/>
          <w:spacing w:val="0"/>
          <w:position w:val="0"/>
          <w:sz w:val="24"/>
          <w:szCs w:val="24"/>
          <w:highlight w:val="none"/>
          <w:lang w:val="en-US" w:eastAsia="zh-CN"/>
        </w:rPr>
        <w:t>19</w:t>
      </w:r>
      <w:r>
        <w:rPr>
          <w:rFonts w:hint="eastAsia" w:cs="仿宋" w:asciiTheme="minorEastAsia" w:hAnsiTheme="minorEastAsia" w:eastAsiaTheme="minorEastAsia"/>
          <w:b w:val="0"/>
          <w:bCs/>
          <w:color w:val="auto"/>
          <w:spacing w:val="0"/>
          <w:position w:val="0"/>
          <w:sz w:val="24"/>
          <w:szCs w:val="24"/>
          <w:highlight w:val="none"/>
        </w:rPr>
        <w:t>.3</w:t>
      </w:r>
      <w:r>
        <w:rPr>
          <w:rFonts w:hint="eastAsia" w:cs="仿宋" w:asciiTheme="minorEastAsia" w:hAnsiTheme="minorEastAsia" w:eastAsiaTheme="minorEastAsia"/>
          <w:b w:val="0"/>
          <w:bCs/>
          <w:color w:val="auto"/>
          <w:spacing w:val="0"/>
          <w:position w:val="0"/>
          <w:sz w:val="24"/>
          <w:szCs w:val="24"/>
          <w:highlight w:val="none"/>
          <w:lang w:val="en-US" w:eastAsia="zh-CN"/>
        </w:rPr>
        <w:t xml:space="preserve"> 磋商</w:t>
      </w:r>
      <w:r>
        <w:rPr>
          <w:rFonts w:hint="eastAsia" w:cs="仿宋" w:asciiTheme="minorEastAsia" w:hAnsiTheme="minorEastAsia" w:eastAsiaTheme="minorEastAsia"/>
          <w:b w:val="0"/>
          <w:bCs/>
          <w:color w:val="auto"/>
          <w:spacing w:val="0"/>
          <w:position w:val="0"/>
          <w:sz w:val="24"/>
          <w:szCs w:val="24"/>
          <w:highlight w:val="none"/>
        </w:rPr>
        <w:t>截止时间前</w:t>
      </w:r>
      <w:r>
        <w:rPr>
          <w:rFonts w:hint="eastAsia" w:cs="仿宋" w:asciiTheme="minorEastAsia" w:hAnsiTheme="minorEastAsia" w:eastAsiaTheme="minorEastAsia"/>
          <w:b w:val="0"/>
          <w:bCs/>
          <w:color w:val="auto"/>
          <w:spacing w:val="0"/>
          <w:position w:val="0"/>
          <w:sz w:val="24"/>
          <w:szCs w:val="24"/>
          <w:highlight w:val="none"/>
          <w:lang w:eastAsia="zh-CN"/>
        </w:rPr>
        <w:t>供应商</w:t>
      </w:r>
      <w:r>
        <w:rPr>
          <w:rFonts w:hint="eastAsia" w:ascii="宋体" w:hAnsi="宋体" w:eastAsia="宋体" w:cs="仿宋"/>
          <w:color w:val="auto"/>
          <w:spacing w:val="0"/>
          <w:position w:val="0"/>
          <w:sz w:val="24"/>
          <w:szCs w:val="24"/>
          <w:highlight w:val="none"/>
          <w:lang w:val="en-US" w:eastAsia="zh-CN"/>
        </w:rPr>
        <w:t>未进行</w:t>
      </w:r>
      <w:r>
        <w:rPr>
          <w:rFonts w:hint="eastAsia" w:ascii="宋体" w:hAnsi="宋体" w:eastAsia="宋体" w:cs="宋体"/>
          <w:color w:val="auto"/>
          <w:sz w:val="24"/>
          <w:szCs w:val="24"/>
          <w:highlight w:val="none"/>
          <w:lang w:val="en-US" w:eastAsia="zh-CN"/>
        </w:rPr>
        <w:t>签到并递交</w:t>
      </w:r>
      <w:r>
        <w:rPr>
          <w:rFonts w:hint="eastAsia" w:ascii="宋体" w:hAnsi="宋体" w:cs="仿宋"/>
          <w:color w:val="auto"/>
          <w:spacing w:val="0"/>
          <w:position w:val="0"/>
          <w:sz w:val="24"/>
          <w:szCs w:val="24"/>
          <w:highlight w:val="none"/>
          <w:lang w:val="en-US" w:eastAsia="zh-CN"/>
        </w:rPr>
        <w:t>响应</w:t>
      </w:r>
      <w:r>
        <w:rPr>
          <w:rFonts w:hint="eastAsia" w:ascii="宋体" w:hAnsi="宋体" w:eastAsia="宋体" w:cs="仿宋"/>
          <w:color w:val="auto"/>
          <w:spacing w:val="0"/>
          <w:position w:val="0"/>
          <w:sz w:val="24"/>
          <w:szCs w:val="24"/>
          <w:highlight w:val="none"/>
          <w:lang w:val="en-US" w:eastAsia="zh-CN"/>
        </w:rPr>
        <w:t>文件的，</w:t>
      </w:r>
      <w:r>
        <w:rPr>
          <w:rFonts w:hint="eastAsia" w:ascii="宋体" w:hAnsi="宋体" w:cs="仿宋"/>
          <w:b/>
          <w:bCs/>
          <w:color w:val="auto"/>
          <w:spacing w:val="0"/>
          <w:position w:val="0"/>
          <w:sz w:val="24"/>
          <w:szCs w:val="24"/>
          <w:highlight w:val="none"/>
          <w:lang w:val="en-US" w:eastAsia="zh-CN"/>
        </w:rPr>
        <w:t>响应</w:t>
      </w:r>
      <w:r>
        <w:rPr>
          <w:rFonts w:hint="eastAsia" w:ascii="宋体" w:hAnsi="宋体" w:eastAsia="宋体" w:cs="仿宋"/>
          <w:b/>
          <w:bCs/>
          <w:color w:val="auto"/>
          <w:spacing w:val="0"/>
          <w:position w:val="0"/>
          <w:sz w:val="24"/>
          <w:szCs w:val="24"/>
          <w:highlight w:val="none"/>
          <w:lang w:val="en-US" w:eastAsia="zh-CN"/>
        </w:rPr>
        <w:t>无效。</w:t>
      </w:r>
    </w:p>
    <w:p w14:paraId="08FDE4BE">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0" w:name="_Toc29528"/>
      <w:bookmarkStart w:id="131" w:name="_Toc32527"/>
      <w:bookmarkStart w:id="132" w:name="_Toc18638"/>
      <w:bookmarkStart w:id="133" w:name="_Toc1887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20.磋商小组</w:t>
      </w:r>
      <w:bookmarkEnd w:id="130"/>
      <w:bookmarkEnd w:id="131"/>
      <w:bookmarkEnd w:id="132"/>
      <w:bookmarkEnd w:id="133"/>
    </w:p>
    <w:p w14:paraId="1D28D254">
      <w:pPr>
        <w:keepNext w:val="0"/>
        <w:keepLines w:val="0"/>
        <w:pageBreakBefore w:val="0"/>
        <w:kinsoku w:val="0"/>
        <w:wordWrap/>
        <w:overflowPunct/>
        <w:topLinePunct w:val="0"/>
        <w:autoSpaceDE w:val="0"/>
        <w:autoSpaceDN w:val="0"/>
        <w:bidi w:val="0"/>
        <w:adjustRightInd w:val="0"/>
        <w:snapToGrid w:val="0"/>
        <w:spacing w:line="360" w:lineRule="auto"/>
        <w:ind w:left="614" w:leftChars="0" w:hanging="614" w:hangingChars="256"/>
        <w:textAlignment w:val="baseline"/>
        <w:rPr>
          <w:rFonts w:ascii="宋体" w:hAnsi="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US" w:eastAsia="zh-CN"/>
        </w:rPr>
        <w:t xml:space="preserve">20.1 </w:t>
      </w:r>
      <w:r>
        <w:rPr>
          <w:rFonts w:hint="eastAsia" w:ascii="宋体" w:hAnsi="宋体" w:cs="宋体"/>
          <w:color w:val="auto"/>
          <w:spacing w:val="0"/>
          <w:position w:val="0"/>
          <w:sz w:val="24"/>
          <w:szCs w:val="24"/>
          <w:highlight w:val="none"/>
          <w:lang w:val="en-GB"/>
        </w:rPr>
        <w:t>在相关的采购评审专家库中随机抽取评审专家，依法成立</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小组。评审工作由</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小组负责。</w:t>
      </w:r>
    </w:p>
    <w:p w14:paraId="60A705F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4" w:name="_Toc2434"/>
      <w:bookmarkStart w:id="135" w:name="_Toc8098"/>
      <w:bookmarkStart w:id="136" w:name="_Toc30899"/>
      <w:bookmarkStart w:id="137" w:name="_Toc31585"/>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21.磋商程序</w:t>
      </w:r>
      <w:bookmarkEnd w:id="134"/>
      <w:bookmarkEnd w:id="135"/>
      <w:bookmarkEnd w:id="136"/>
      <w:bookmarkEnd w:id="137"/>
    </w:p>
    <w:p w14:paraId="21A957B4">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 xml:space="preserve"> 响应文件的审查 </w:t>
      </w:r>
    </w:p>
    <w:p w14:paraId="202B4111">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1）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 </w:t>
      </w:r>
    </w:p>
    <w:p w14:paraId="2E19157B">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left"/>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（2）磋商期间</w:t>
      </w:r>
      <w:r>
        <w:rPr>
          <w:rFonts w:hint="eastAsia" w:ascii="宋体" w:hAnsi="宋体" w:eastAsia="宋体" w:cs="宋体"/>
          <w:color w:val="auto"/>
          <w:spacing w:val="0"/>
          <w:kern w:val="2"/>
          <w:position w:val="0"/>
          <w:sz w:val="24"/>
          <w:szCs w:val="24"/>
          <w:highlight w:val="none"/>
          <w:lang w:val="en-US" w:eastAsia="zh-CN" w:bidi="ar-SA"/>
        </w:rPr>
        <w:t>通过“信用中国”</w:t>
      </w:r>
      <w:r>
        <w:rPr>
          <w:rFonts w:hint="eastAsia" w:ascii="宋体" w:hAnsi="宋体" w:cs="宋体"/>
          <w:color w:val="auto"/>
          <w:spacing w:val="0"/>
          <w:kern w:val="2"/>
          <w:position w:val="0"/>
          <w:sz w:val="24"/>
          <w:szCs w:val="24"/>
          <w:highlight w:val="none"/>
          <w:lang w:val="en-US" w:eastAsia="zh-CN" w:bidi="ar-SA"/>
        </w:rPr>
        <w:t>和</w:t>
      </w:r>
      <w:r>
        <w:rPr>
          <w:rFonts w:hint="eastAsia" w:ascii="宋体" w:hAnsi="宋体" w:eastAsia="宋体" w:cs="宋体"/>
          <w:color w:val="auto"/>
          <w:spacing w:val="0"/>
          <w:kern w:val="2"/>
          <w:position w:val="0"/>
          <w:sz w:val="24"/>
          <w:szCs w:val="24"/>
          <w:highlight w:val="none"/>
          <w:lang w:val="en-US" w:eastAsia="zh-CN" w:bidi="ar-SA"/>
        </w:rPr>
        <w:t>“中国政府采购网”查询相关主体信用记录，被列入失信被执行人、</w:t>
      </w:r>
      <w:r>
        <w:rPr>
          <w:rFonts w:hint="eastAsia" w:ascii="宋体" w:hAnsi="宋体" w:eastAsia="宋体" w:cs="宋体"/>
          <w:color w:val="auto"/>
          <w:spacing w:val="0"/>
          <w:position w:val="0"/>
          <w:sz w:val="24"/>
          <w:szCs w:val="24"/>
          <w:highlight w:val="none"/>
          <w:lang w:val="en-US" w:eastAsia="zh-CN"/>
        </w:rPr>
        <w:t>重大税收违法失信主体</w:t>
      </w:r>
      <w:r>
        <w:rPr>
          <w:rFonts w:hint="eastAsia" w:ascii="宋体" w:hAnsi="宋体" w:eastAsia="宋体" w:cs="宋体"/>
          <w:color w:val="auto"/>
          <w:spacing w:val="0"/>
          <w:kern w:val="2"/>
          <w:position w:val="0"/>
          <w:sz w:val="24"/>
          <w:szCs w:val="24"/>
          <w:highlight w:val="none"/>
          <w:lang w:val="en-US" w:eastAsia="zh-CN" w:bidi="ar-SA"/>
        </w:rPr>
        <w:t>、政府采购严重违法失信行为记录名单的供应商（处罚期限尚未届满的）</w:t>
      </w:r>
      <w:r>
        <w:rPr>
          <w:rFonts w:hint="eastAsia" w:ascii="宋体" w:hAnsi="宋体" w:eastAsia="宋体" w:cs="宋体"/>
          <w:color w:val="auto"/>
          <w:spacing w:val="0"/>
          <w:position w:val="0"/>
          <w:sz w:val="24"/>
          <w:szCs w:val="24"/>
          <w:highlight w:val="none"/>
        </w:rPr>
        <w:t>的，其</w:t>
      </w:r>
      <w:r>
        <w:rPr>
          <w:rFonts w:hint="eastAsia" w:ascii="宋体" w:hAnsi="宋体" w:eastAsia="宋体" w:cs="宋体"/>
          <w:b/>
          <w:color w:val="auto"/>
          <w:spacing w:val="0"/>
          <w:position w:val="0"/>
          <w:sz w:val="24"/>
          <w:szCs w:val="24"/>
          <w:highlight w:val="none"/>
        </w:rPr>
        <w:t>响应无效</w:t>
      </w:r>
      <w:r>
        <w:rPr>
          <w:rFonts w:hint="eastAsia" w:ascii="宋体" w:hAnsi="宋体" w:eastAsia="宋体" w:cs="宋体"/>
          <w:color w:val="auto"/>
          <w:spacing w:val="0"/>
          <w:position w:val="0"/>
          <w:sz w:val="24"/>
          <w:szCs w:val="24"/>
          <w:highlight w:val="none"/>
        </w:rPr>
        <w:t>；查询的记录随采购文件存档。</w:t>
      </w:r>
    </w:p>
    <w:p w14:paraId="2433752D">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rPr>
        <w:t>（3）磋商小组要求供应商澄清、说明或者更正响应文件应当以书面形式做出</w:t>
      </w:r>
      <w:r>
        <w:rPr>
          <w:rFonts w:hint="eastAsia" w:ascii="宋体" w:hAnsi="宋体" w:cs="宋体"/>
          <w:i w:val="0"/>
          <w:iCs w:val="0"/>
          <w:color w:val="auto"/>
          <w:spacing w:val="0"/>
          <w:position w:val="0"/>
          <w:sz w:val="24"/>
          <w:szCs w:val="24"/>
          <w:highlight w:val="none"/>
          <w:lang w:val="en-US" w:eastAsia="zh-CN"/>
        </w:rPr>
        <w:t>回复</w:t>
      </w:r>
      <w:r>
        <w:rPr>
          <w:rFonts w:hint="eastAsia" w:ascii="宋体" w:hAnsi="宋体" w:eastAsia="宋体" w:cs="宋体"/>
          <w:i w:val="0"/>
          <w:iCs w:val="0"/>
          <w:color w:val="auto"/>
          <w:spacing w:val="0"/>
          <w:position w:val="0"/>
          <w:sz w:val="24"/>
          <w:szCs w:val="24"/>
          <w:highlight w:val="none"/>
        </w:rPr>
        <w:t>。</w:t>
      </w:r>
      <w:r>
        <w:rPr>
          <w:rFonts w:hint="eastAsia" w:ascii="宋体" w:hAnsi="宋体" w:eastAsia="宋体" w:cs="宋体"/>
          <w:color w:val="auto"/>
          <w:spacing w:val="0"/>
          <w:position w:val="0"/>
          <w:sz w:val="24"/>
          <w:szCs w:val="24"/>
          <w:highlight w:val="none"/>
        </w:rPr>
        <w:t>供应商的澄清、说明或者更正应当由法定代表人或其授权代表签字或者加盖公章。由授权代表签字的，应当附法定</w:t>
      </w:r>
      <w:r>
        <w:rPr>
          <w:rFonts w:hint="eastAsia" w:ascii="宋体" w:hAnsi="宋体" w:eastAsia="宋体" w:cs="宋体"/>
          <w:color w:val="auto"/>
          <w:spacing w:val="0"/>
          <w:position w:val="0"/>
          <w:sz w:val="24"/>
          <w:szCs w:val="24"/>
          <w:highlight w:val="none"/>
          <w:lang w:val="en-GB"/>
        </w:rPr>
        <w:t>代表人授权书。供应商为自然人的，应当由本人签字并附身份证明。</w:t>
      </w:r>
    </w:p>
    <w:p w14:paraId="0140646F">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2 </w:t>
      </w:r>
      <w:r>
        <w:rPr>
          <w:rFonts w:hint="eastAsia" w:ascii="宋体" w:hAnsi="宋体" w:eastAsia="宋体" w:cs="宋体"/>
          <w:color w:val="auto"/>
          <w:spacing w:val="0"/>
          <w:position w:val="0"/>
          <w:sz w:val="24"/>
          <w:szCs w:val="24"/>
          <w:highlight w:val="none"/>
          <w:lang w:val="en-GB"/>
        </w:rPr>
        <w:t>磋商小组对各供应商的响应文件进行审查，并确定磋商内容。在有效性审查中出现下列情况者，</w:t>
      </w:r>
      <w:r>
        <w:rPr>
          <w:rFonts w:hint="eastAsia" w:ascii="宋体" w:hAnsi="宋体" w:eastAsia="宋体" w:cs="宋体"/>
          <w:b/>
          <w:bCs/>
          <w:color w:val="auto"/>
          <w:spacing w:val="0"/>
          <w:position w:val="0"/>
          <w:sz w:val="24"/>
          <w:szCs w:val="24"/>
          <w:highlight w:val="none"/>
          <w:lang w:val="en-GB"/>
        </w:rPr>
        <w:t>响应文件被视为无效</w:t>
      </w:r>
      <w:r>
        <w:rPr>
          <w:rFonts w:hint="eastAsia" w:ascii="宋体" w:hAnsi="宋体" w:eastAsia="宋体" w:cs="宋体"/>
          <w:b/>
          <w:bCs/>
          <w:color w:val="auto"/>
          <w:spacing w:val="0"/>
          <w:position w:val="0"/>
          <w:sz w:val="24"/>
          <w:szCs w:val="24"/>
          <w:highlight w:val="none"/>
          <w:lang w:val="en-GB" w:eastAsia="zh-CN"/>
        </w:rPr>
        <w:t>：</w:t>
      </w:r>
    </w:p>
    <w:p w14:paraId="1B75311E">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未提交磋商响应书；</w:t>
      </w:r>
    </w:p>
    <w:p w14:paraId="0DF5E0D4">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2</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未提交报价表；</w:t>
      </w:r>
    </w:p>
    <w:p w14:paraId="3F726856">
      <w:pPr>
        <w:keepNext w:val="0"/>
        <w:keepLines w:val="0"/>
        <w:pageBreakBefore w:val="0"/>
        <w:numPr>
          <w:ilvl w:val="0"/>
          <w:numId w:val="0"/>
        </w:numPr>
        <w:kinsoku w:val="0"/>
        <w:wordWrap/>
        <w:overflowPunct/>
        <w:topLinePunct w:val="0"/>
        <w:autoSpaceDE w:val="0"/>
        <w:autoSpaceDN w:val="0"/>
        <w:bidi w:val="0"/>
        <w:adjustRightInd w:val="0"/>
        <w:snapToGrid w:val="0"/>
        <w:spacing w:line="360" w:lineRule="auto"/>
        <w:ind w:left="661" w:leftChars="229" w:hanging="180" w:hangingChars="75"/>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val="en-GB" w:eastAsia="zh-CN"/>
        </w:rPr>
        <w:t>）</w:t>
      </w:r>
      <w:r>
        <w:rPr>
          <w:rFonts w:hint="eastAsia" w:ascii="宋体" w:hAnsi="宋体" w:eastAsia="宋体" w:cs="宋体"/>
          <w:color w:val="auto"/>
          <w:spacing w:val="0"/>
          <w:position w:val="0"/>
          <w:sz w:val="24"/>
          <w:szCs w:val="24"/>
          <w:highlight w:val="none"/>
          <w:lang w:val="en-GB"/>
        </w:rPr>
        <w:t>未提供磋商保证金或金额不足，磋商保证金形式不符合磋商文件要求的；</w:t>
      </w:r>
    </w:p>
    <w:p w14:paraId="596862D4">
      <w:pPr>
        <w:keepNext w:val="0"/>
        <w:keepLines w:val="0"/>
        <w:pageBreakBefore w:val="0"/>
        <w:widowControl w:val="0"/>
        <w:kinsoku/>
        <w:wordWrap/>
        <w:overflowPunct/>
        <w:topLinePunct w:val="0"/>
        <w:autoSpaceDE w:val="0"/>
        <w:autoSpaceDN w:val="0"/>
        <w:bidi w:val="0"/>
        <w:adjustRightInd w:val="0"/>
        <w:snapToGrid w:val="0"/>
        <w:spacing w:line="360" w:lineRule="auto"/>
        <w:ind w:left="658" w:leftChars="229" w:hanging="177" w:hangingChars="74"/>
        <w:jc w:val="both"/>
        <w:textAlignment w:val="baseline"/>
        <w:rPr>
          <w:rFonts w:hint="eastAsia" w:ascii="宋体" w:hAnsi="宋体" w:eastAsia="宋体" w:cs="宋体"/>
          <w:color w:val="auto"/>
          <w:spacing w:val="0"/>
          <w:position w:val="0"/>
          <w:sz w:val="24"/>
          <w:szCs w:val="24"/>
          <w:highlight w:val="none"/>
          <w:bdr w:val="single" w:color="auto" w:sz="4" w:space="0"/>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GB"/>
        </w:rPr>
        <w:t>未按磋商</w:t>
      </w:r>
      <w:r>
        <w:rPr>
          <w:rFonts w:hint="eastAsia" w:ascii="宋体" w:hAnsi="宋体" w:eastAsia="宋体" w:cs="宋体"/>
          <w:color w:val="auto"/>
          <w:spacing w:val="0"/>
          <w:position w:val="0"/>
          <w:sz w:val="24"/>
          <w:szCs w:val="24"/>
          <w:highlight w:val="none"/>
        </w:rPr>
        <w:t>文件“第四章 响应文件格式”的规定提供</w:t>
      </w:r>
      <w:r>
        <w:rPr>
          <w:rFonts w:hint="eastAsia" w:ascii="宋体" w:hAnsi="宋体" w:eastAsia="宋体" w:cs="宋体"/>
          <w:color w:val="auto"/>
          <w:spacing w:val="0"/>
          <w:position w:val="0"/>
          <w:sz w:val="24"/>
          <w:szCs w:val="24"/>
          <w:highlight w:val="none"/>
          <w:lang w:val="en-GB"/>
        </w:rPr>
        <w:t>资格、资信证明文件的；</w:t>
      </w:r>
    </w:p>
    <w:p w14:paraId="32F288E9">
      <w:pPr>
        <w:keepNext w:val="0"/>
        <w:keepLines w:val="0"/>
        <w:pageBreakBefore w:val="0"/>
        <w:kinsoku w:val="0"/>
        <w:wordWrap/>
        <w:overflowPunct/>
        <w:topLinePunct w:val="0"/>
        <w:autoSpaceDE w:val="0"/>
        <w:autoSpaceDN w:val="0"/>
        <w:bidi w:val="0"/>
        <w:adjustRightInd w:val="0"/>
        <w:snapToGrid w:val="0"/>
        <w:spacing w:line="360" w:lineRule="auto"/>
        <w:ind w:left="657" w:leftChars="255" w:hanging="122" w:hangingChars="51"/>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未按磋商文件要求签字、签章的，或签字（签章）人无法定代表人有效委托的；</w:t>
      </w:r>
    </w:p>
    <w:p w14:paraId="6AA969EF">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6</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磋商文件规定为国产产品，提供进口产品参加磋商的</w:t>
      </w:r>
      <w:r>
        <w:rPr>
          <w:rFonts w:hint="eastAsia" w:ascii="宋体" w:hAnsi="宋体" w:eastAsia="宋体" w:cs="宋体"/>
          <w:color w:val="auto"/>
          <w:spacing w:val="0"/>
          <w:position w:val="0"/>
          <w:sz w:val="24"/>
          <w:szCs w:val="24"/>
          <w:highlight w:val="none"/>
          <w:lang w:eastAsia="zh-CN"/>
        </w:rPr>
        <w:t>；</w:t>
      </w:r>
    </w:p>
    <w:p w14:paraId="0C9A4E19">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7</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GB"/>
        </w:rPr>
        <w:t>磋商有效期响应不足的；</w:t>
      </w:r>
    </w:p>
    <w:p w14:paraId="763D1AFA">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b w:val="0"/>
          <w:bCs w:val="0"/>
          <w:color w:val="auto"/>
          <w:spacing w:val="0"/>
          <w:position w:val="0"/>
          <w:sz w:val="24"/>
          <w:szCs w:val="24"/>
          <w:highlight w:val="none"/>
          <w:lang w:val="en-GB"/>
        </w:rPr>
      </w:pPr>
      <w:r>
        <w:rPr>
          <w:rFonts w:hint="eastAsia" w:ascii="宋体" w:hAnsi="宋体" w:eastAsia="宋体" w:cs="宋体"/>
          <w:b w:val="0"/>
          <w:bCs w:val="0"/>
          <w:color w:val="auto"/>
          <w:spacing w:val="0"/>
          <w:position w:val="0"/>
          <w:sz w:val="24"/>
          <w:szCs w:val="24"/>
          <w:highlight w:val="none"/>
          <w:lang w:eastAsia="zh-CN"/>
        </w:rPr>
        <w:t>（</w:t>
      </w:r>
      <w:r>
        <w:rPr>
          <w:rFonts w:hint="eastAsia" w:ascii="宋体" w:hAnsi="宋体" w:eastAsia="宋体" w:cs="宋体"/>
          <w:b w:val="0"/>
          <w:bCs w:val="0"/>
          <w:color w:val="auto"/>
          <w:spacing w:val="0"/>
          <w:position w:val="0"/>
          <w:sz w:val="24"/>
          <w:szCs w:val="24"/>
          <w:highlight w:val="none"/>
          <w:lang w:val="en-US" w:eastAsia="zh-CN"/>
        </w:rPr>
        <w:t>8</w:t>
      </w:r>
      <w:r>
        <w:rPr>
          <w:rFonts w:hint="eastAsia" w:ascii="宋体" w:hAnsi="宋体" w:eastAsia="宋体" w:cs="宋体"/>
          <w:b w:val="0"/>
          <w:bCs w:val="0"/>
          <w:color w:val="auto"/>
          <w:spacing w:val="0"/>
          <w:position w:val="0"/>
          <w:sz w:val="24"/>
          <w:szCs w:val="24"/>
          <w:highlight w:val="none"/>
          <w:lang w:eastAsia="zh-CN"/>
        </w:rPr>
        <w:t>）</w:t>
      </w:r>
      <w:r>
        <w:rPr>
          <w:rFonts w:hint="eastAsia" w:ascii="宋体" w:hAnsi="宋体" w:eastAsia="宋体" w:cs="宋体"/>
          <w:b w:val="0"/>
          <w:bCs w:val="0"/>
          <w:color w:val="auto"/>
          <w:spacing w:val="0"/>
          <w:position w:val="0"/>
          <w:sz w:val="24"/>
          <w:szCs w:val="24"/>
          <w:highlight w:val="none"/>
          <w:lang w:val="en-US" w:eastAsia="zh-CN"/>
        </w:rPr>
        <w:t>服务要求</w:t>
      </w:r>
      <w:r>
        <w:rPr>
          <w:rFonts w:hint="eastAsia" w:ascii="宋体" w:hAnsi="宋体" w:eastAsia="宋体" w:cs="宋体"/>
          <w:b w:val="0"/>
          <w:bCs w:val="0"/>
          <w:color w:val="auto"/>
          <w:spacing w:val="0"/>
          <w:position w:val="0"/>
          <w:sz w:val="24"/>
          <w:szCs w:val="24"/>
          <w:highlight w:val="none"/>
          <w:lang w:val="en-GB"/>
        </w:rPr>
        <w:t>的响应与事实不符或虚假响应的；</w:t>
      </w:r>
    </w:p>
    <w:p w14:paraId="39E4C723">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9</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超过了采购项目预算</w:t>
      </w:r>
      <w:r>
        <w:rPr>
          <w:rFonts w:hint="eastAsia" w:ascii="宋体" w:hAnsi="宋体" w:eastAsia="宋体" w:cs="宋体"/>
          <w:color w:val="auto"/>
          <w:spacing w:val="0"/>
          <w:position w:val="0"/>
          <w:sz w:val="24"/>
          <w:szCs w:val="24"/>
          <w:highlight w:val="none"/>
          <w:lang w:val="en-US" w:eastAsia="zh-CN"/>
        </w:rPr>
        <w:t>金额</w:t>
      </w:r>
      <w:r>
        <w:rPr>
          <w:rFonts w:hint="eastAsia" w:ascii="宋体" w:hAnsi="宋体" w:eastAsia="宋体" w:cs="宋体"/>
          <w:color w:val="auto"/>
          <w:spacing w:val="0"/>
          <w:position w:val="0"/>
          <w:sz w:val="24"/>
          <w:szCs w:val="24"/>
          <w:highlight w:val="none"/>
        </w:rPr>
        <w:t>或最高限价的；</w:t>
      </w:r>
    </w:p>
    <w:p w14:paraId="20A5E0F9">
      <w:pPr>
        <w:keepNext w:val="0"/>
        <w:keepLines w:val="0"/>
        <w:pageBreakBefore w:val="0"/>
        <w:kinsoku w:val="0"/>
        <w:wordWrap/>
        <w:overflowPunct/>
        <w:topLinePunct w:val="0"/>
        <w:autoSpaceDE w:val="0"/>
        <w:autoSpaceDN w:val="0"/>
        <w:bidi w:val="0"/>
        <w:adjustRightInd w:val="0"/>
        <w:snapToGrid w:val="0"/>
        <w:spacing w:line="360" w:lineRule="auto"/>
        <w:ind w:left="0" w:leftChars="0" w:firstLine="583" w:firstLineChars="243"/>
        <w:jc w:val="both"/>
        <w:textAlignment w:val="baseline"/>
        <w:rPr>
          <w:rFonts w:hint="eastAsia" w:ascii="宋体" w:hAnsi="宋体" w:eastAsia="宋体" w:cs="宋体"/>
          <w:color w:val="auto"/>
          <w:spacing w:val="0"/>
          <w:position w:val="0"/>
          <w:sz w:val="24"/>
          <w:szCs w:val="24"/>
          <w:highlight w:val="none"/>
          <w:lang w:val="en-GB"/>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10</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rPr>
        <w:t>磋商文件规定的其他响应无效条款。</w:t>
      </w:r>
    </w:p>
    <w:p w14:paraId="75475C2A">
      <w:pPr>
        <w:keepNext w:val="0"/>
        <w:keepLines w:val="0"/>
        <w:pageBreakBefore w:val="0"/>
        <w:kinsoku w:val="0"/>
        <w:wordWrap/>
        <w:overflowPunct/>
        <w:topLinePunct w:val="0"/>
        <w:autoSpaceDE w:val="0"/>
        <w:autoSpaceDN w:val="0"/>
        <w:bidi w:val="0"/>
        <w:adjustRightInd w:val="0"/>
        <w:snapToGrid w:val="0"/>
        <w:spacing w:line="360" w:lineRule="auto"/>
        <w:ind w:left="567" w:hanging="567"/>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3 </w:t>
      </w:r>
      <w:r>
        <w:rPr>
          <w:rFonts w:hint="eastAsia" w:asciiTheme="minorEastAsia" w:hAnsiTheme="minorEastAsia" w:eastAsiaTheme="minorEastAsia" w:cstheme="minorEastAsia"/>
          <w:color w:val="auto"/>
          <w:spacing w:val="0"/>
          <w:position w:val="0"/>
          <w:sz w:val="24"/>
          <w:szCs w:val="24"/>
          <w:highlight w:val="none"/>
        </w:rPr>
        <w:t>磋商小组所有成员集中与单一供应商分别进行磋商，并给予所有参加磋商的供应商平等的磋商机会。</w:t>
      </w:r>
      <w:r>
        <w:rPr>
          <w:rFonts w:hint="eastAsia" w:ascii="宋体" w:hAnsi="宋体" w:eastAsia="宋体" w:cs="宋体"/>
          <w:color w:val="auto"/>
          <w:spacing w:val="0"/>
          <w:position w:val="0"/>
          <w:sz w:val="24"/>
          <w:szCs w:val="24"/>
          <w:highlight w:val="none"/>
        </w:rPr>
        <w:t xml:space="preserve"> </w:t>
      </w:r>
    </w:p>
    <w:p w14:paraId="60B4C673">
      <w:pPr>
        <w:keepNext w:val="0"/>
        <w:keepLines w:val="0"/>
        <w:pageBreakBefore w:val="0"/>
        <w:kinsoku w:val="0"/>
        <w:wordWrap/>
        <w:overflowPunct/>
        <w:topLinePunct w:val="0"/>
        <w:autoSpaceDE w:val="0"/>
        <w:autoSpaceDN w:val="0"/>
        <w:bidi w:val="0"/>
        <w:adjustRightInd w:val="0"/>
        <w:snapToGrid w:val="0"/>
        <w:spacing w:line="360" w:lineRule="auto"/>
        <w:ind w:left="567" w:hanging="567"/>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 xml:space="preserve">4 </w:t>
      </w:r>
      <w:r>
        <w:rPr>
          <w:rFonts w:hint="eastAsia" w:ascii="宋体" w:hAnsi="宋体" w:eastAsia="宋体" w:cs="宋体"/>
          <w:color w:val="auto"/>
          <w:spacing w:val="0"/>
          <w:position w:val="0"/>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14:paraId="660FB9EA">
      <w:pPr>
        <w:keepNext w:val="0"/>
        <w:keepLines w:val="0"/>
        <w:pageBreakBefore w:val="0"/>
        <w:kinsoku w:val="0"/>
        <w:wordWrap/>
        <w:overflowPunct/>
        <w:topLinePunct w:val="0"/>
        <w:autoSpaceDE w:val="0"/>
        <w:autoSpaceDN w:val="0"/>
        <w:bidi w:val="0"/>
        <w:adjustRightInd w:val="0"/>
        <w:snapToGrid w:val="0"/>
        <w:spacing w:line="360" w:lineRule="auto"/>
        <w:ind w:left="60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（1）对磋商文件做出的实质性变动是磋商文件的有效组成部分，磋商小组应当及时以书面形式同时</w:t>
      </w:r>
      <w:r>
        <w:rPr>
          <w:rFonts w:hint="eastAsia" w:ascii="宋体" w:hAnsi="宋体" w:cs="宋体"/>
          <w:i w:val="0"/>
          <w:iCs w:val="0"/>
          <w:color w:val="auto"/>
          <w:spacing w:val="0"/>
          <w:position w:val="0"/>
          <w:sz w:val="24"/>
          <w:szCs w:val="24"/>
          <w:highlight w:val="none"/>
          <w:lang w:val="en-US" w:eastAsia="zh-CN"/>
        </w:rPr>
        <w:t>回复</w:t>
      </w:r>
      <w:r>
        <w:rPr>
          <w:rFonts w:hint="eastAsia" w:ascii="宋体" w:hAnsi="宋体" w:eastAsia="宋体" w:cs="宋体"/>
          <w:color w:val="auto"/>
          <w:spacing w:val="0"/>
          <w:position w:val="0"/>
          <w:sz w:val="24"/>
          <w:szCs w:val="24"/>
          <w:highlight w:val="none"/>
        </w:rPr>
        <w:t xml:space="preserve">通知所有参加磋商的供应商。 </w:t>
      </w:r>
    </w:p>
    <w:p w14:paraId="566E1E02">
      <w:pPr>
        <w:keepNext w:val="0"/>
        <w:keepLines w:val="0"/>
        <w:pageBreakBefore w:val="0"/>
        <w:kinsoku w:val="0"/>
        <w:wordWrap/>
        <w:overflowPunct/>
        <w:topLinePunct w:val="0"/>
        <w:autoSpaceDE w:val="0"/>
        <w:autoSpaceDN w:val="0"/>
        <w:bidi w:val="0"/>
        <w:adjustRightInd w:val="0"/>
        <w:snapToGrid w:val="0"/>
        <w:spacing w:line="360" w:lineRule="auto"/>
        <w:ind w:left="645" w:leftChars="0" w:hanging="645" w:hangingChars="269"/>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供应商应当按照磋商文件的变动情况和磋商小组的要求重新提交磋商采购响应文件，并由其法定代表人或授权代表签字或者加盖公章。由授权代表签字的，应当附法定代表人授权书。供应商为自然人的，应当由本人签字并附身份证明。</w:t>
      </w:r>
    </w:p>
    <w:p w14:paraId="043513B1">
      <w:pPr>
        <w:keepNext w:val="0"/>
        <w:keepLines w:val="0"/>
        <w:pageBreakBefore w:val="0"/>
        <w:kinsoku w:val="0"/>
        <w:wordWrap/>
        <w:overflowPunct/>
        <w:topLinePunct w:val="0"/>
        <w:autoSpaceDE w:val="0"/>
        <w:autoSpaceDN w:val="0"/>
        <w:bidi w:val="0"/>
        <w:adjustRightInd w:val="0"/>
        <w:snapToGrid w:val="0"/>
        <w:spacing w:line="360" w:lineRule="auto"/>
        <w:ind w:left="567" w:hanging="567"/>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rPr>
        <w:t>.</w:t>
      </w:r>
      <w:r>
        <w:rPr>
          <w:rFonts w:hint="eastAsia" w:ascii="宋体" w:hAnsi="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rPr>
        <w:t xml:space="preserve"> 最后报价</w:t>
      </w:r>
    </w:p>
    <w:p w14:paraId="0DB5B08C">
      <w:pPr>
        <w:keepNext w:val="0"/>
        <w:keepLines w:val="0"/>
        <w:pageBreakBefore w:val="0"/>
        <w:widowControl w:val="0"/>
        <w:kinsoku/>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b/>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（1）磋商文件能够详细列明采购标的技术、服务要求的，磋商结束后，磋商小组应当要求所有实质性响应的供应商在规定时间内提交最后报价，提交最后报价的供应商不得少于3家；</w:t>
      </w:r>
      <w:r>
        <w:rPr>
          <w:rFonts w:hint="eastAsia" w:ascii="宋体" w:hAnsi="宋体" w:eastAsia="宋体" w:cs="宋体"/>
          <w:b/>
          <w:color w:val="auto"/>
          <w:spacing w:val="0"/>
          <w:position w:val="0"/>
          <w:sz w:val="24"/>
          <w:szCs w:val="24"/>
          <w:highlight w:val="none"/>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发布项目终止公告并说明原因，重新开展采购活动。</w:t>
      </w:r>
    </w:p>
    <w:p w14:paraId="2DAE1438">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2）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F5FDEE7">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（3）最后报价是供应商响应文件的有效组成部分。最后报价即为合同成交价，在合同履行过程中不得更改，并作为评审依据。</w:t>
      </w:r>
    </w:p>
    <w:p w14:paraId="24D09BD9">
      <w:pPr>
        <w:keepNext w:val="0"/>
        <w:keepLines w:val="0"/>
        <w:pageBreakBefore w:val="0"/>
        <w:kinsoku w:val="0"/>
        <w:wordWrap/>
        <w:overflowPunct/>
        <w:topLinePunct w:val="0"/>
        <w:autoSpaceDE w:val="0"/>
        <w:autoSpaceDN w:val="0"/>
        <w:bidi w:val="0"/>
        <w:adjustRightInd w:val="0"/>
        <w:snapToGrid w:val="0"/>
        <w:spacing w:line="360" w:lineRule="auto"/>
        <w:ind w:left="636" w:leftChars="0" w:hanging="636" w:hangingChars="265"/>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（4）若没有对采购需求中的技术、服务要求以及合同草案条款做实质性修改或对采购需求中的技术、服务要求以及合同草案条款进行了实质性修改，但没有提高要求，最后报价(含分项报价)不得高于上一轮报价；</w:t>
      </w:r>
      <w:r>
        <w:rPr>
          <w:rFonts w:hint="eastAsia" w:ascii="宋体" w:hAnsi="宋体" w:eastAsia="宋体" w:cs="宋体"/>
          <w:b/>
          <w:bCs/>
          <w:color w:val="auto"/>
          <w:spacing w:val="0"/>
          <w:position w:val="0"/>
          <w:sz w:val="24"/>
          <w:szCs w:val="24"/>
          <w:highlight w:val="none"/>
        </w:rPr>
        <w:t>否则，视为无效响应</w:t>
      </w:r>
      <w:r>
        <w:rPr>
          <w:rFonts w:hint="eastAsia" w:ascii="宋体" w:hAnsi="宋体" w:eastAsia="宋体" w:cs="宋体"/>
          <w:color w:val="auto"/>
          <w:spacing w:val="0"/>
          <w:position w:val="0"/>
          <w:sz w:val="24"/>
          <w:szCs w:val="24"/>
          <w:highlight w:val="none"/>
        </w:rPr>
        <w:t>。</w:t>
      </w:r>
    </w:p>
    <w:p w14:paraId="07E03F33">
      <w:pPr>
        <w:keepNext w:val="0"/>
        <w:keepLines w:val="0"/>
        <w:pageBreakBefore w:val="0"/>
        <w:kinsoku w:val="0"/>
        <w:wordWrap/>
        <w:overflowPunct/>
        <w:topLinePunct w:val="0"/>
        <w:autoSpaceDE w:val="0"/>
        <w:autoSpaceDN w:val="0"/>
        <w:bidi w:val="0"/>
        <w:adjustRightInd w:val="0"/>
        <w:snapToGrid w:val="0"/>
        <w:spacing w:line="360" w:lineRule="auto"/>
        <w:ind w:left="480" w:leftChars="0" w:hanging="480" w:hangingChars="20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（5）最后报价未作分项报价的，其分项报价则按总报价的降价比例计算。</w:t>
      </w:r>
    </w:p>
    <w:p w14:paraId="7D695412">
      <w:pPr>
        <w:keepNext w:val="0"/>
        <w:keepLines w:val="0"/>
        <w:pageBreakBefore w:val="0"/>
        <w:widowControl w:val="0"/>
        <w:kinsoku/>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（6）已提交响应文件的供应商，在提交最后报价之前，可以根据磋商情况退出磋商。采购人、采购代理机构应当退还退出磋商的供应商的保证金。</w:t>
      </w:r>
    </w:p>
    <w:p w14:paraId="4EBF29CF">
      <w:pPr>
        <w:keepNext w:val="0"/>
        <w:keepLines w:val="0"/>
        <w:pageBreakBefore w:val="0"/>
        <w:kinsoku/>
        <w:wordWrap/>
        <w:overflowPunct/>
        <w:topLinePunct w:val="0"/>
        <w:autoSpaceDE w:val="0"/>
        <w:autoSpaceDN w:val="0"/>
        <w:bidi w:val="0"/>
        <w:adjustRightInd w:val="0"/>
        <w:snapToGrid w:val="0"/>
        <w:spacing w:line="360" w:lineRule="auto"/>
        <w:ind w:left="600" w:leftChars="0" w:hanging="600" w:hangingChars="250"/>
        <w:jc w:val="both"/>
        <w:textAlignment w:val="baseline"/>
        <w:rPr>
          <w:rFonts w:hint="eastAsia" w:ascii="宋体" w:hAnsi="宋体" w:eastAsia="宋体" w:cs="宋体"/>
          <w:color w:val="auto"/>
          <w:spacing w:val="0"/>
          <w:position w:val="0"/>
          <w:sz w:val="24"/>
          <w:szCs w:val="24"/>
          <w:highlight w:val="none"/>
        </w:rPr>
      </w:pPr>
      <w:r>
        <w:rPr>
          <w:rFonts w:hint="eastAsia" w:ascii="宋体" w:hAnsi="宋体" w:cs="宋体"/>
          <w:color w:val="auto"/>
          <w:spacing w:val="0"/>
          <w:position w:val="0"/>
          <w:sz w:val="24"/>
          <w:szCs w:val="24"/>
          <w:highlight w:val="none"/>
          <w:lang w:val="en-US" w:eastAsia="zh-CN"/>
        </w:rPr>
        <w:t xml:space="preserve">21.6 </w:t>
      </w:r>
      <w:r>
        <w:rPr>
          <w:rFonts w:hint="eastAsia" w:ascii="宋体" w:hAnsi="宋体" w:eastAsia="宋体" w:cs="宋体"/>
          <w:b/>
          <w:bCs/>
          <w:i w:val="0"/>
          <w:iCs w:val="0"/>
          <w:color w:val="auto"/>
          <w:spacing w:val="0"/>
          <w:position w:val="0"/>
          <w:sz w:val="24"/>
          <w:szCs w:val="24"/>
          <w:highlight w:val="none"/>
        </w:rPr>
        <w:t>本项目采用</w:t>
      </w:r>
      <w:r>
        <w:rPr>
          <w:rFonts w:hint="eastAsia" w:ascii="宋体" w:hAnsi="宋体" w:eastAsia="宋体" w:cs="宋体"/>
          <w:b/>
          <w:bCs/>
          <w:i w:val="0"/>
          <w:iCs w:val="0"/>
          <w:color w:val="auto"/>
          <w:spacing w:val="0"/>
          <w:position w:val="0"/>
          <w:sz w:val="24"/>
          <w:szCs w:val="24"/>
          <w:highlight w:val="none"/>
          <w:lang w:val="en-US" w:eastAsia="zh-CN"/>
        </w:rPr>
        <w:t>线下</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模式，各</w:t>
      </w:r>
      <w:r>
        <w:rPr>
          <w:rFonts w:hint="eastAsia" w:ascii="宋体" w:hAnsi="宋体" w:eastAsia="宋体" w:cs="宋体"/>
          <w:b/>
          <w:bCs/>
          <w:i w:val="0"/>
          <w:iCs w:val="0"/>
          <w:color w:val="auto"/>
          <w:spacing w:val="0"/>
          <w:position w:val="0"/>
          <w:sz w:val="24"/>
          <w:szCs w:val="24"/>
          <w:highlight w:val="none"/>
          <w:lang w:eastAsia="zh-CN"/>
        </w:rPr>
        <w:t>供应商</w:t>
      </w:r>
      <w:r>
        <w:rPr>
          <w:rFonts w:hint="eastAsia" w:ascii="宋体" w:hAnsi="宋体" w:eastAsia="宋体" w:cs="宋体"/>
          <w:b/>
          <w:bCs/>
          <w:i w:val="0"/>
          <w:iCs w:val="0"/>
          <w:color w:val="auto"/>
          <w:spacing w:val="0"/>
          <w:position w:val="0"/>
          <w:sz w:val="24"/>
          <w:szCs w:val="24"/>
          <w:highlight w:val="none"/>
          <w:lang w:val="en-US" w:eastAsia="zh-CN"/>
        </w:rPr>
        <w:t>需在现场</w:t>
      </w:r>
      <w:r>
        <w:rPr>
          <w:rFonts w:hint="eastAsia" w:ascii="宋体" w:hAnsi="宋体" w:cs="宋体"/>
          <w:b/>
          <w:bCs/>
          <w:i w:val="0"/>
          <w:iCs w:val="0"/>
          <w:color w:val="auto"/>
          <w:spacing w:val="0"/>
          <w:position w:val="0"/>
          <w:sz w:val="24"/>
          <w:szCs w:val="24"/>
          <w:highlight w:val="none"/>
          <w:lang w:val="en-US" w:eastAsia="zh-CN"/>
        </w:rPr>
        <w:t>报价，</w:t>
      </w:r>
      <w:r>
        <w:rPr>
          <w:rFonts w:hint="eastAsia" w:ascii="宋体" w:hAnsi="宋体" w:eastAsia="宋体" w:cs="宋体"/>
          <w:b/>
          <w:bCs/>
          <w:i w:val="0"/>
          <w:iCs w:val="0"/>
          <w:color w:val="auto"/>
          <w:spacing w:val="0"/>
          <w:position w:val="0"/>
          <w:sz w:val="24"/>
          <w:szCs w:val="24"/>
          <w:highlight w:val="none"/>
        </w:rPr>
        <w:t>二次报价时间</w:t>
      </w:r>
      <w:r>
        <w:rPr>
          <w:rFonts w:hint="eastAsia" w:ascii="宋体" w:hAnsi="宋体" w:eastAsia="宋体" w:cs="宋体"/>
          <w:b/>
          <w:bCs/>
          <w:i w:val="0"/>
          <w:iCs w:val="0"/>
          <w:color w:val="auto"/>
          <w:spacing w:val="0"/>
          <w:position w:val="0"/>
          <w:sz w:val="24"/>
          <w:szCs w:val="24"/>
          <w:highlight w:val="none"/>
          <w:lang w:val="en-US" w:eastAsia="zh-CN"/>
        </w:rPr>
        <w:t>在磋商现场宣布</w:t>
      </w:r>
      <w:r>
        <w:rPr>
          <w:rFonts w:hint="eastAsia" w:ascii="宋体" w:hAnsi="宋体" w:eastAsia="宋体" w:cs="宋体"/>
          <w:b/>
          <w:bCs/>
          <w:i w:val="0"/>
          <w:iCs w:val="0"/>
          <w:color w:val="auto"/>
          <w:spacing w:val="0"/>
          <w:position w:val="0"/>
          <w:sz w:val="24"/>
          <w:szCs w:val="24"/>
          <w:highlight w:val="none"/>
        </w:rPr>
        <w:t>，</w:t>
      </w:r>
      <w:r>
        <w:rPr>
          <w:rFonts w:hint="eastAsia" w:ascii="宋体" w:hAnsi="宋体" w:eastAsia="宋体" w:cs="宋体"/>
          <w:b/>
          <w:bCs/>
          <w:i w:val="0"/>
          <w:iCs w:val="0"/>
          <w:color w:val="auto"/>
          <w:spacing w:val="0"/>
          <w:position w:val="0"/>
          <w:sz w:val="24"/>
          <w:szCs w:val="24"/>
          <w:highlight w:val="none"/>
          <w:lang w:val="en-US" w:eastAsia="zh-CN"/>
        </w:rPr>
        <w:t>未在规定时间内报价者</w:t>
      </w:r>
      <w:r>
        <w:rPr>
          <w:rFonts w:hint="eastAsia" w:ascii="宋体" w:hAnsi="宋体" w:eastAsia="宋体" w:cs="宋体"/>
          <w:b/>
          <w:bCs/>
          <w:i w:val="0"/>
          <w:iCs w:val="0"/>
          <w:color w:val="auto"/>
          <w:spacing w:val="0"/>
          <w:position w:val="0"/>
          <w:sz w:val="24"/>
          <w:szCs w:val="24"/>
          <w:highlight w:val="none"/>
        </w:rPr>
        <w:t>视为退出</w:t>
      </w:r>
      <w:r>
        <w:rPr>
          <w:rFonts w:hint="eastAsia" w:ascii="宋体" w:hAnsi="宋体" w:eastAsia="宋体" w:cs="宋体"/>
          <w:b/>
          <w:bCs/>
          <w:i w:val="0"/>
          <w:iCs w:val="0"/>
          <w:color w:val="auto"/>
          <w:spacing w:val="0"/>
          <w:position w:val="0"/>
          <w:sz w:val="24"/>
          <w:szCs w:val="24"/>
          <w:highlight w:val="none"/>
          <w:lang w:eastAsia="zh-CN"/>
        </w:rPr>
        <w:t>磋商</w:t>
      </w:r>
      <w:r>
        <w:rPr>
          <w:rFonts w:hint="eastAsia" w:ascii="宋体" w:hAnsi="宋体" w:eastAsia="宋体" w:cs="宋体"/>
          <w:b/>
          <w:bCs/>
          <w:i w:val="0"/>
          <w:iCs w:val="0"/>
          <w:color w:val="auto"/>
          <w:spacing w:val="0"/>
          <w:position w:val="0"/>
          <w:sz w:val="24"/>
          <w:szCs w:val="24"/>
          <w:highlight w:val="none"/>
        </w:rPr>
        <w:t>。</w:t>
      </w:r>
    </w:p>
    <w:p w14:paraId="00021BCA">
      <w:pPr>
        <w:keepNext w:val="0"/>
        <w:keepLines w:val="0"/>
        <w:pageBreakBefore w:val="0"/>
        <w:kinsoku w:val="0"/>
        <w:wordWrap/>
        <w:overflowPunct/>
        <w:topLinePunct w:val="0"/>
        <w:autoSpaceDE w:val="0"/>
        <w:autoSpaceDN w:val="0"/>
        <w:bidi w:val="0"/>
        <w:adjustRightInd w:val="0"/>
        <w:snapToGrid w:val="0"/>
        <w:spacing w:line="360" w:lineRule="auto"/>
        <w:ind w:left="482" w:hanging="482" w:hangingChars="20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b/>
          <w:color w:val="auto"/>
          <w:spacing w:val="0"/>
          <w:position w:val="0"/>
          <w:sz w:val="24"/>
          <w:szCs w:val="24"/>
          <w:highlight w:val="none"/>
        </w:rPr>
        <w:t>2</w:t>
      </w:r>
      <w:r>
        <w:rPr>
          <w:rFonts w:hint="eastAsia" w:ascii="宋体" w:hAnsi="宋体" w:eastAsia="宋体" w:cs="宋体"/>
          <w:b/>
          <w:color w:val="auto"/>
          <w:spacing w:val="0"/>
          <w:position w:val="0"/>
          <w:sz w:val="24"/>
          <w:szCs w:val="24"/>
          <w:highlight w:val="none"/>
          <w:lang w:val="en-US" w:eastAsia="zh-CN"/>
        </w:rPr>
        <w:t>1</w:t>
      </w:r>
      <w:r>
        <w:rPr>
          <w:rFonts w:hint="eastAsia" w:ascii="宋体" w:hAnsi="宋体" w:eastAsia="宋体" w:cs="宋体"/>
          <w:b/>
          <w:color w:val="auto"/>
          <w:spacing w:val="0"/>
          <w:position w:val="0"/>
          <w:sz w:val="24"/>
          <w:szCs w:val="24"/>
          <w:highlight w:val="none"/>
        </w:rPr>
        <w:t>.</w:t>
      </w:r>
      <w:r>
        <w:rPr>
          <w:rFonts w:hint="eastAsia" w:ascii="宋体" w:hAnsi="宋体" w:cs="宋体"/>
          <w:b/>
          <w:color w:val="auto"/>
          <w:spacing w:val="0"/>
          <w:position w:val="0"/>
          <w:sz w:val="24"/>
          <w:szCs w:val="24"/>
          <w:highlight w:val="none"/>
          <w:lang w:val="en-US" w:eastAsia="zh-CN"/>
        </w:rPr>
        <w:t xml:space="preserve">7 </w:t>
      </w:r>
      <w:r>
        <w:rPr>
          <w:rFonts w:hint="eastAsia" w:ascii="宋体" w:hAnsi="宋体" w:eastAsia="宋体" w:cs="宋体"/>
          <w:b/>
          <w:color w:val="auto"/>
          <w:spacing w:val="0"/>
          <w:position w:val="0"/>
          <w:sz w:val="24"/>
          <w:szCs w:val="24"/>
          <w:highlight w:val="none"/>
        </w:rPr>
        <w:t>评审方法</w:t>
      </w:r>
    </w:p>
    <w:p w14:paraId="63FBBBE0">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pacing w:val="0"/>
          <w:position w:val="0"/>
          <w:sz w:val="24"/>
          <w:szCs w:val="24"/>
          <w:highlight w:val="none"/>
          <w:lang w:eastAsia="zh-CN"/>
        </w:rPr>
      </w:pPr>
      <w:r>
        <w:rPr>
          <w:rFonts w:hint="eastAsia" w:ascii="宋体" w:hAnsi="宋体" w:eastAsia="宋体" w:cs="宋体"/>
          <w:b/>
          <w:color w:val="auto"/>
          <w:spacing w:val="0"/>
          <w:position w:val="0"/>
          <w:sz w:val="24"/>
          <w:szCs w:val="24"/>
          <w:highlight w:val="none"/>
        </w:rPr>
        <w:t>（1）评审采取综合评分法（详见“第六章 评审办法”）</w:t>
      </w:r>
      <w:r>
        <w:rPr>
          <w:rFonts w:hint="eastAsia" w:ascii="宋体" w:hAnsi="宋体" w:eastAsia="宋体" w:cs="宋体"/>
          <w:b/>
          <w:color w:val="auto"/>
          <w:spacing w:val="0"/>
          <w:position w:val="0"/>
          <w:sz w:val="24"/>
          <w:szCs w:val="24"/>
          <w:highlight w:val="none"/>
          <w:lang w:eastAsia="zh-CN"/>
        </w:rPr>
        <w:t>；</w:t>
      </w:r>
    </w:p>
    <w:p w14:paraId="7484498B">
      <w:pPr>
        <w:keepNext w:val="0"/>
        <w:keepLines w:val="0"/>
        <w:pageBreakBefore w:val="0"/>
        <w:kinsoku w:val="0"/>
        <w:wordWrap/>
        <w:overflowPunct/>
        <w:topLinePunct w:val="0"/>
        <w:autoSpaceDE w:val="0"/>
        <w:autoSpaceDN w:val="0"/>
        <w:bidi w:val="0"/>
        <w:adjustRightInd w:val="0"/>
        <w:snapToGrid w:val="0"/>
        <w:spacing w:line="360" w:lineRule="auto"/>
        <w:ind w:left="640" w:leftChars="0" w:hanging="640" w:hangingChars="267"/>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b/>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r>
        <w:rPr>
          <w:rFonts w:hint="eastAsia" w:ascii="宋体" w:hAnsi="宋体" w:eastAsia="宋体" w:cs="宋体"/>
          <w:b/>
          <w:color w:val="auto"/>
          <w:spacing w:val="0"/>
          <w:position w:val="0"/>
          <w:sz w:val="24"/>
          <w:szCs w:val="24"/>
          <w:highlight w:val="none"/>
          <w:lang w:eastAsia="zh-CN"/>
        </w:rPr>
        <w:t>；</w:t>
      </w:r>
    </w:p>
    <w:p w14:paraId="0B4D9E2E">
      <w:pPr>
        <w:keepNext w:val="0"/>
        <w:keepLines w:val="0"/>
        <w:pageBreakBefore w:val="0"/>
        <w:kinsoku w:val="0"/>
        <w:wordWrap/>
        <w:overflowPunct/>
        <w:topLinePunct w:val="0"/>
        <w:autoSpaceDE w:val="0"/>
        <w:autoSpaceDN w:val="0"/>
        <w:bidi w:val="0"/>
        <w:adjustRightInd w:val="0"/>
        <w:snapToGrid w:val="0"/>
        <w:spacing w:line="360" w:lineRule="auto"/>
        <w:ind w:left="580" w:leftChars="0" w:hanging="580" w:hangingChars="242"/>
        <w:textAlignment w:val="baseline"/>
        <w:rPr>
          <w:rFonts w:ascii="宋体" w:hAnsi="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（3）经磋商确定最终采购需求和提交最后报价的供应商后，由磋商小组采用综合评分法对提交最后报价的供应商的响应文件和最后报价进行综合评分。</w:t>
      </w:r>
    </w:p>
    <w:p w14:paraId="0BF68B33">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38" w:name="_Toc5281"/>
      <w:bookmarkStart w:id="139" w:name="_Toc25841"/>
      <w:bookmarkStart w:id="140" w:name="_Toc24507"/>
      <w:bookmarkStart w:id="141" w:name="_Toc2759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22.与磋商小组的接触</w:t>
      </w:r>
      <w:bookmarkEnd w:id="138"/>
      <w:bookmarkEnd w:id="139"/>
      <w:bookmarkEnd w:id="140"/>
      <w:bookmarkEnd w:id="141"/>
    </w:p>
    <w:p w14:paraId="0077B422">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cs="宋体"/>
          <w:color w:val="auto"/>
          <w:spacing w:val="0"/>
          <w:position w:val="0"/>
          <w:sz w:val="24"/>
          <w:szCs w:val="24"/>
          <w:highlight w:val="none"/>
          <w:lang w:val="en-GB"/>
        </w:rPr>
        <w:t>.1 除按本须知“第24条”规定外，从</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之日起至授予合同期间，供应商不得就其</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有关事项与</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小组私下接触。</w:t>
      </w:r>
    </w:p>
    <w:p w14:paraId="03CC45A0">
      <w:pPr>
        <w:keepNext w:val="0"/>
        <w:keepLines w:val="0"/>
        <w:pageBreakBefore w:val="0"/>
        <w:kinsoku w:val="0"/>
        <w:wordWrap/>
        <w:overflowPunct/>
        <w:topLinePunct w:val="0"/>
        <w:autoSpaceDE w:val="0"/>
        <w:autoSpaceDN w:val="0"/>
        <w:bidi w:val="0"/>
        <w:adjustRightInd w:val="0"/>
        <w:snapToGrid w:val="0"/>
        <w:spacing w:line="360" w:lineRule="auto"/>
        <w:ind w:left="600" w:leftChars="0" w:hanging="600" w:hangingChars="250"/>
        <w:jc w:val="both"/>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2</w:t>
      </w:r>
      <w:r>
        <w:rPr>
          <w:rFonts w:hint="eastAsia" w:ascii="宋体" w:hAnsi="宋体" w:cs="宋体"/>
          <w:color w:val="auto"/>
          <w:spacing w:val="0"/>
          <w:position w:val="0"/>
          <w:sz w:val="24"/>
          <w:szCs w:val="24"/>
          <w:highlight w:val="none"/>
          <w:lang w:val="en-GB"/>
        </w:rPr>
        <w:t>.2 供应商试图对</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小组的评审施加任何影响，都可能导致其响应文件作无效处理。</w:t>
      </w:r>
    </w:p>
    <w:p w14:paraId="206D2D90">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42" w:name="_Toc1253"/>
      <w:bookmarkStart w:id="143" w:name="_Toc29314"/>
      <w:bookmarkStart w:id="144" w:name="_Toc10916"/>
      <w:bookmarkStart w:id="145" w:name="_Toc28360"/>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23.终止磋商采购活动的情形</w:t>
      </w:r>
      <w:bookmarkEnd w:id="142"/>
      <w:bookmarkEnd w:id="143"/>
      <w:bookmarkEnd w:id="144"/>
      <w:bookmarkEnd w:id="145"/>
    </w:p>
    <w:p w14:paraId="5B27D769">
      <w:pPr>
        <w:keepNext w:val="0"/>
        <w:keepLines w:val="0"/>
        <w:pageBreakBefore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0"/>
          <w:position w:val="0"/>
          <w:sz w:val="24"/>
          <w:szCs w:val="24"/>
          <w:highlight w:val="none"/>
          <w:lang w:val="en-GB" w:eastAsia="zh-CN"/>
        </w:rPr>
      </w:pPr>
      <w:r>
        <w:rPr>
          <w:rFonts w:hint="eastAsia" w:ascii="宋体" w:hAnsi="宋体" w:eastAsia="宋体" w:cs="宋体"/>
          <w:color w:val="auto"/>
          <w:spacing w:val="0"/>
          <w:position w:val="0"/>
          <w:sz w:val="24"/>
          <w:szCs w:val="24"/>
          <w:highlight w:val="none"/>
          <w:lang w:val="en-US" w:eastAsia="zh-CN"/>
        </w:rPr>
        <w:t xml:space="preserve">23.1 </w:t>
      </w:r>
      <w:r>
        <w:rPr>
          <w:rFonts w:hint="eastAsia" w:ascii="宋体" w:hAnsi="宋体" w:cs="宋体"/>
          <w:color w:val="auto"/>
          <w:spacing w:val="0"/>
          <w:position w:val="0"/>
          <w:sz w:val="24"/>
          <w:szCs w:val="24"/>
          <w:highlight w:val="none"/>
          <w:lang w:val="en-GB"/>
        </w:rPr>
        <w:t>出现下列情形之一的，终止</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采购活动</w:t>
      </w:r>
      <w:r>
        <w:rPr>
          <w:rFonts w:hint="eastAsia" w:ascii="宋体" w:hAnsi="宋体" w:eastAsia="宋体" w:cs="宋体"/>
          <w:color w:val="auto"/>
          <w:spacing w:val="0"/>
          <w:position w:val="0"/>
          <w:sz w:val="24"/>
          <w:szCs w:val="24"/>
          <w:highlight w:val="none"/>
          <w:lang w:val="en-GB" w:eastAsia="zh-CN"/>
        </w:rPr>
        <w:t>：</w:t>
      </w:r>
    </w:p>
    <w:p w14:paraId="217437A7">
      <w:pPr>
        <w:keepNext w:val="0"/>
        <w:keepLines w:val="0"/>
        <w:pageBreakBefore w:val="0"/>
        <w:kinsoku w:val="0"/>
        <w:wordWrap/>
        <w:overflowPunct/>
        <w:topLinePunct w:val="0"/>
        <w:autoSpaceDE w:val="0"/>
        <w:autoSpaceDN w:val="0"/>
        <w:bidi w:val="0"/>
        <w:adjustRightInd w:val="0"/>
        <w:snapToGrid w:val="0"/>
        <w:spacing w:line="360" w:lineRule="auto"/>
        <w:ind w:firstLine="540" w:firstLineChars="225"/>
        <w:jc w:val="both"/>
        <w:textAlignment w:val="baseline"/>
        <w:rPr>
          <w:rFonts w:ascii="宋体" w:hAnsi="宋体" w:cs="宋体"/>
          <w:color w:val="auto"/>
          <w:spacing w:val="0"/>
          <w:position w:val="0"/>
          <w:sz w:val="24"/>
          <w:szCs w:val="24"/>
          <w:highlight w:val="none"/>
        </w:rPr>
      </w:pPr>
      <w:r>
        <w:rPr>
          <w:rFonts w:hint="eastAsia" w:ascii="宋体" w:hAnsi="宋体" w:cs="宋体"/>
          <w:color w:val="auto"/>
          <w:spacing w:val="0"/>
          <w:position w:val="0"/>
          <w:sz w:val="24"/>
          <w:szCs w:val="24"/>
          <w:highlight w:val="none"/>
        </w:rPr>
        <w:t>（1）因情况变化，不再符合规定的</w:t>
      </w:r>
      <w:r>
        <w:rPr>
          <w:rFonts w:hint="eastAsia" w:ascii="宋体" w:hAnsi="宋体" w:eastAsia="宋体" w:cs="宋体"/>
          <w:color w:val="auto"/>
          <w:spacing w:val="0"/>
          <w:position w:val="0"/>
          <w:sz w:val="24"/>
          <w:szCs w:val="24"/>
          <w:highlight w:val="none"/>
          <w:lang w:eastAsia="zh-CN"/>
        </w:rPr>
        <w:t>磋商</w:t>
      </w:r>
      <w:r>
        <w:rPr>
          <w:rFonts w:hint="eastAsia" w:ascii="宋体" w:hAnsi="宋体" w:cs="宋体"/>
          <w:color w:val="auto"/>
          <w:spacing w:val="0"/>
          <w:position w:val="0"/>
          <w:sz w:val="24"/>
          <w:szCs w:val="24"/>
          <w:highlight w:val="none"/>
        </w:rPr>
        <w:t>采购方式适用情形的；</w:t>
      </w:r>
    </w:p>
    <w:p w14:paraId="4C0EF776">
      <w:pPr>
        <w:keepNext w:val="0"/>
        <w:keepLines w:val="0"/>
        <w:pageBreakBefore w:val="0"/>
        <w:kinsoku w:val="0"/>
        <w:wordWrap/>
        <w:overflowPunct/>
        <w:topLinePunct w:val="0"/>
        <w:autoSpaceDE w:val="0"/>
        <w:autoSpaceDN w:val="0"/>
        <w:bidi w:val="0"/>
        <w:adjustRightInd w:val="0"/>
        <w:snapToGrid w:val="0"/>
        <w:spacing w:line="360" w:lineRule="auto"/>
        <w:ind w:firstLine="540" w:firstLineChars="22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cs="宋体"/>
          <w:color w:val="auto"/>
          <w:spacing w:val="0"/>
          <w:position w:val="0"/>
          <w:sz w:val="24"/>
          <w:szCs w:val="24"/>
          <w:highlight w:val="none"/>
        </w:rPr>
        <w:t>（2）出现影响采购公正的违法、违规行为的</w:t>
      </w:r>
      <w:r>
        <w:rPr>
          <w:rFonts w:hint="eastAsia" w:ascii="宋体" w:hAnsi="宋体" w:eastAsia="宋体" w:cs="宋体"/>
          <w:color w:val="auto"/>
          <w:spacing w:val="0"/>
          <w:position w:val="0"/>
          <w:sz w:val="24"/>
          <w:szCs w:val="24"/>
          <w:highlight w:val="none"/>
          <w:lang w:eastAsia="zh-CN"/>
        </w:rPr>
        <w:t>；</w:t>
      </w:r>
    </w:p>
    <w:p w14:paraId="11ACD244">
      <w:pPr>
        <w:keepNext w:val="0"/>
        <w:keepLines w:val="0"/>
        <w:pageBreakBefore w:val="0"/>
        <w:kinsoku w:val="0"/>
        <w:wordWrap/>
        <w:overflowPunct/>
        <w:topLinePunct w:val="0"/>
        <w:autoSpaceDE w:val="0"/>
        <w:autoSpaceDN w:val="0"/>
        <w:bidi w:val="0"/>
        <w:adjustRightInd w:val="0"/>
        <w:snapToGrid w:val="0"/>
        <w:spacing w:afterAutospacing="0" w:line="360" w:lineRule="auto"/>
        <w:ind w:left="1140" w:leftChars="257" w:hanging="600" w:hangingChars="250"/>
        <w:jc w:val="both"/>
        <w:textAlignment w:val="baseline"/>
        <w:rPr>
          <w:rFonts w:hint="default"/>
          <w:color w:val="auto"/>
          <w:spacing w:val="0"/>
          <w:position w:val="0"/>
          <w:highlight w:val="none"/>
          <w:lang w:val="en-US" w:eastAsia="zh-CN"/>
        </w:rPr>
      </w:pPr>
      <w:r>
        <w:rPr>
          <w:rFonts w:hint="eastAsia" w:ascii="宋体" w:hAnsi="宋体" w:cs="宋体"/>
          <w:color w:val="auto"/>
          <w:spacing w:val="0"/>
          <w:position w:val="0"/>
          <w:sz w:val="24"/>
          <w:szCs w:val="24"/>
          <w:highlight w:val="none"/>
        </w:rPr>
        <w:t>（3）在采购过程中符合竞争要求的供应商或者报价未超过采购预算的供应商不足3家的</w:t>
      </w:r>
      <w:r>
        <w:rPr>
          <w:rFonts w:hint="eastAsia" w:ascii="宋体" w:hAnsi="宋体" w:eastAsia="宋体" w:cs="宋体"/>
          <w:color w:val="auto"/>
          <w:spacing w:val="0"/>
          <w:position w:val="0"/>
          <w:sz w:val="24"/>
          <w:szCs w:val="24"/>
          <w:highlight w:val="none"/>
          <w:lang w:eastAsia="zh-CN"/>
        </w:rPr>
        <w:t>。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p>
    <w:p w14:paraId="14487B8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50" w:beforeAutospacing="0" w:after="0" w:afterLines="150" w:afterAutospacing="0" w:line="360" w:lineRule="auto"/>
        <w:jc w:val="center"/>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46" w:name="_Toc31144"/>
      <w:bookmarkStart w:id="147" w:name="_Toc16034"/>
      <w:bookmarkStart w:id="148" w:name="_Toc2932"/>
      <w:bookmarkStart w:id="149" w:name="_Toc24607"/>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五、</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意外情况的情形和处理</w:t>
      </w:r>
      <w:r>
        <w:rPr>
          <w:rFonts w:hint="eastAsia"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（本项目不适用）</w:t>
      </w:r>
      <w:bookmarkEnd w:id="146"/>
      <w:bookmarkEnd w:id="147"/>
      <w:bookmarkEnd w:id="148"/>
      <w:bookmarkEnd w:id="149"/>
    </w:p>
    <w:p w14:paraId="626BEF84">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1"/>
        <w:rPr>
          <w:rFonts w:ascii="宋体" w:hAnsi="宋体" w:eastAsia="宋体" w:cs="宋体"/>
          <w:color w:val="auto"/>
          <w:spacing w:val="0"/>
          <w:position w:val="0"/>
          <w:sz w:val="24"/>
          <w:szCs w:val="24"/>
          <w:highlight w:val="none"/>
          <w:lang w:eastAsia="zh-CN"/>
        </w:rPr>
      </w:pPr>
      <w:bookmarkStart w:id="150" w:name="_Toc26204"/>
      <w:bookmarkStart w:id="151" w:name="_Toc25172"/>
      <w:bookmarkStart w:id="152" w:name="_Toc1607"/>
      <w:bookmarkStart w:id="153" w:name="_Toc3077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.意外情况的情形</w:t>
      </w:r>
      <w:bookmarkEnd w:id="150"/>
      <w:bookmarkEnd w:id="151"/>
      <w:bookmarkEnd w:id="152"/>
      <w:bookmarkEnd w:id="153"/>
    </w:p>
    <w:p w14:paraId="76433CB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00" w:leftChars="0" w:hanging="600" w:hangingChars="2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54" w:name="_Toc30716"/>
      <w:bookmarkStart w:id="155" w:name="_Toc9405"/>
      <w:bookmarkStart w:id="156" w:name="_Toc6686"/>
      <w:bookmarkStart w:id="157" w:name="_Toc21355"/>
      <w:r>
        <w:rPr>
          <w:rFonts w:hint="eastAsia" w:ascii="宋体" w:hAnsi="宋体" w:eastAsia="宋体" w:cs="宋体"/>
          <w:color w:val="auto"/>
          <w:spacing w:val="0"/>
          <w:position w:val="0"/>
          <w:sz w:val="24"/>
          <w:szCs w:val="24"/>
          <w:highlight w:val="none"/>
          <w:lang w:val="en-US" w:eastAsia="zh-CN"/>
        </w:rPr>
        <w:t xml:space="preserve">24.1 </w:t>
      </w:r>
      <w:r>
        <w:rPr>
          <w:rFonts w:hint="eastAsia" w:ascii="宋体" w:hAnsi="宋体" w:eastAsia="宋体" w:cs="宋体"/>
          <w:color w:val="auto"/>
          <w:spacing w:val="0"/>
          <w:position w:val="0"/>
          <w:sz w:val="24"/>
          <w:szCs w:val="24"/>
          <w:highlight w:val="none"/>
          <w:lang w:eastAsia="zh-CN"/>
        </w:rPr>
        <w:t>因客观原因造成电子化政府采购系统无法正常运行或者无法保证采购活动信息安全，应采取意外情况的处理措施。意外情况包括以下情形：</w:t>
      </w:r>
      <w:bookmarkEnd w:id="154"/>
      <w:bookmarkEnd w:id="155"/>
      <w:bookmarkEnd w:id="156"/>
      <w:bookmarkEnd w:id="157"/>
    </w:p>
    <w:p w14:paraId="76B1D166">
      <w:pPr>
        <w:keepNext w:val="0"/>
        <w:keepLines w:val="0"/>
        <w:pageBreakBefore w:val="0"/>
        <w:widowControl w:val="0"/>
        <w:kinsoku w:val="0"/>
        <w:wordWrap/>
        <w:overflowPunct/>
        <w:topLinePunct w:val="0"/>
        <w:autoSpaceDE w:val="0"/>
        <w:autoSpaceDN w:val="0"/>
        <w:bidi w:val="0"/>
        <w:adjustRightInd w:val="0"/>
        <w:snapToGrid w:val="0"/>
        <w:spacing w:line="360" w:lineRule="auto"/>
        <w:ind w:left="599" w:leftChars="228" w:hanging="120" w:hangingChars="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58" w:name="_Toc10909"/>
      <w:bookmarkStart w:id="159" w:name="_Toc6750"/>
      <w:bookmarkStart w:id="160" w:name="_Toc13045"/>
      <w:bookmarkStart w:id="161" w:name="_Toc31566"/>
      <w:r>
        <w:rPr>
          <w:rFonts w:hint="eastAsia" w:ascii="宋体" w:hAnsi="宋体" w:eastAsia="宋体" w:cs="宋体"/>
          <w:color w:val="auto"/>
          <w:spacing w:val="0"/>
          <w:position w:val="0"/>
          <w:sz w:val="24"/>
          <w:szCs w:val="24"/>
          <w:highlight w:val="none"/>
          <w:lang w:eastAsia="zh-CN"/>
        </w:rPr>
        <w:t>（1）网络系统及其他设备发生故障，导致无法访问网站或无法使用电子化政府采购系统的；</w:t>
      </w:r>
      <w:bookmarkEnd w:id="158"/>
      <w:bookmarkEnd w:id="159"/>
      <w:bookmarkEnd w:id="160"/>
      <w:bookmarkEnd w:id="161"/>
    </w:p>
    <w:p w14:paraId="36D7875F">
      <w:pPr>
        <w:keepNext w:val="0"/>
        <w:keepLines w:val="0"/>
        <w:pageBreakBefore w:val="0"/>
        <w:widowControl w:val="0"/>
        <w:kinsoku w:val="0"/>
        <w:wordWrap/>
        <w:overflowPunct/>
        <w:topLinePunct w:val="0"/>
        <w:autoSpaceDE w:val="0"/>
        <w:autoSpaceDN w:val="0"/>
        <w:bidi w:val="0"/>
        <w:adjustRightInd w:val="0"/>
        <w:snapToGrid w:val="0"/>
        <w:spacing w:line="360" w:lineRule="auto"/>
        <w:ind w:left="551" w:leftChars="228" w:hanging="72" w:hangingChars="3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62" w:name="_Toc26082"/>
      <w:bookmarkStart w:id="163" w:name="_Toc14415"/>
      <w:bookmarkStart w:id="164" w:name="_Toc12949"/>
      <w:bookmarkStart w:id="165" w:name="_Toc9451"/>
      <w:r>
        <w:rPr>
          <w:rFonts w:hint="eastAsia" w:ascii="宋体" w:hAnsi="宋体" w:eastAsia="宋体" w:cs="宋体"/>
          <w:color w:val="auto"/>
          <w:spacing w:val="0"/>
          <w:position w:val="0"/>
          <w:sz w:val="24"/>
          <w:szCs w:val="24"/>
          <w:highlight w:val="none"/>
          <w:lang w:eastAsia="zh-CN"/>
        </w:rPr>
        <w:t>（2）电子化政府采购系统的软件或网络数据库出现错误，导致无法正常操作的；</w:t>
      </w:r>
      <w:bookmarkEnd w:id="162"/>
      <w:bookmarkEnd w:id="163"/>
      <w:bookmarkEnd w:id="164"/>
      <w:bookmarkEnd w:id="165"/>
    </w:p>
    <w:p w14:paraId="7A89A42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66" w:name="_Toc12168"/>
      <w:bookmarkStart w:id="167" w:name="_Toc14551"/>
      <w:bookmarkStart w:id="168" w:name="_Toc11223"/>
      <w:bookmarkStart w:id="169" w:name="_Toc9514"/>
      <w:r>
        <w:rPr>
          <w:rFonts w:hint="eastAsia" w:ascii="宋体" w:hAnsi="宋体" w:eastAsia="宋体" w:cs="宋体"/>
          <w:color w:val="auto"/>
          <w:spacing w:val="0"/>
          <w:position w:val="0"/>
          <w:sz w:val="24"/>
          <w:szCs w:val="24"/>
          <w:highlight w:val="none"/>
          <w:lang w:eastAsia="zh-CN"/>
        </w:rPr>
        <w:t>（3）电子化政府采购系统发现有安全漏洞，有潜在泄密危险的；</w:t>
      </w:r>
      <w:bookmarkEnd w:id="166"/>
      <w:bookmarkEnd w:id="167"/>
      <w:bookmarkEnd w:id="168"/>
      <w:bookmarkEnd w:id="169"/>
    </w:p>
    <w:p w14:paraId="2308590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color w:val="auto"/>
          <w:spacing w:val="0"/>
          <w:position w:val="0"/>
          <w:highlight w:val="none"/>
          <w:lang w:eastAsia="zh-CN"/>
        </w:rPr>
      </w:pPr>
      <w:bookmarkStart w:id="170" w:name="_Toc23766"/>
      <w:bookmarkStart w:id="171" w:name="_Toc16565"/>
      <w:bookmarkStart w:id="172" w:name="_Toc14618"/>
      <w:bookmarkStart w:id="173" w:name="_Toc11479"/>
      <w:r>
        <w:rPr>
          <w:rFonts w:hint="eastAsia" w:ascii="宋体" w:hAnsi="宋体" w:eastAsia="宋体" w:cs="宋体"/>
          <w:color w:val="auto"/>
          <w:spacing w:val="0"/>
          <w:position w:val="0"/>
          <w:sz w:val="24"/>
          <w:szCs w:val="24"/>
          <w:highlight w:val="none"/>
          <w:lang w:eastAsia="zh-CN"/>
        </w:rPr>
        <w:t>（4）其他无法保证采购活动正常进行的。</w:t>
      </w:r>
      <w:bookmarkEnd w:id="170"/>
      <w:bookmarkEnd w:id="171"/>
      <w:bookmarkEnd w:id="172"/>
      <w:bookmarkEnd w:id="173"/>
    </w:p>
    <w:p w14:paraId="20E0893D">
      <w:pPr>
        <w:keepNext w:val="0"/>
        <w:keepLines w:val="0"/>
        <w:pageBreakBefore w:val="0"/>
        <w:widowControl w:val="0"/>
        <w:kinsoku w:val="0"/>
        <w:wordWrap/>
        <w:overflowPunct/>
        <w:topLinePunct w:val="0"/>
        <w:autoSpaceDE w:val="0"/>
        <w:autoSpaceDN w:val="0"/>
        <w:bidi w:val="0"/>
        <w:adjustRightInd w:val="0"/>
        <w:snapToGrid w:val="0"/>
        <w:spacing w:beforeAutospacing="0" w:after="0" w:afterAutospacing="0" w:line="360" w:lineRule="auto"/>
        <w:textAlignment w:val="baseline"/>
        <w:outlineLvl w:val="1"/>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bookmarkStart w:id="174" w:name="_Toc17090"/>
      <w:bookmarkStart w:id="175" w:name="_Toc14883"/>
      <w:bookmarkStart w:id="176" w:name="_Toc18857"/>
      <w:bookmarkStart w:id="177" w:name="_Toc15463"/>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25.</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意外情况的处理</w:t>
      </w:r>
      <w:bookmarkEnd w:id="174"/>
      <w:bookmarkEnd w:id="175"/>
      <w:bookmarkEnd w:id="176"/>
      <w:bookmarkEnd w:id="177"/>
    </w:p>
    <w:p w14:paraId="4A720E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0" w:leftChars="0" w:hanging="600" w:hangingChars="250"/>
        <w:jc w:val="both"/>
        <w:textAlignment w:val="baseline"/>
        <w:outlineLvl w:val="1"/>
        <w:rPr>
          <w:rFonts w:hint="eastAsia" w:ascii="宋体" w:hAnsi="宋体" w:eastAsia="宋体" w:cs="宋体"/>
          <w:color w:val="auto"/>
          <w:spacing w:val="0"/>
          <w:position w:val="0"/>
          <w:sz w:val="24"/>
          <w:szCs w:val="24"/>
          <w:highlight w:val="none"/>
          <w:lang w:eastAsia="zh-CN"/>
        </w:rPr>
      </w:pPr>
      <w:bookmarkStart w:id="178" w:name="_Toc16748"/>
      <w:bookmarkStart w:id="179" w:name="_Toc10726"/>
      <w:bookmarkStart w:id="180" w:name="_Toc13538"/>
      <w:bookmarkStart w:id="181" w:name="_Toc29490"/>
      <w:r>
        <w:rPr>
          <w:rFonts w:hint="eastAsia" w:ascii="宋体" w:hAnsi="宋体" w:eastAsia="宋体" w:cs="宋体"/>
          <w:color w:val="auto"/>
          <w:spacing w:val="0"/>
          <w:position w:val="0"/>
          <w:sz w:val="24"/>
          <w:szCs w:val="24"/>
          <w:highlight w:val="none"/>
          <w:lang w:val="en-US" w:eastAsia="zh-CN"/>
        </w:rPr>
        <w:t xml:space="preserve">25.1 </w:t>
      </w:r>
      <w:r>
        <w:rPr>
          <w:rFonts w:hint="eastAsia" w:ascii="宋体" w:hAnsi="宋体" w:eastAsia="宋体" w:cs="宋体"/>
          <w:color w:val="auto"/>
          <w:spacing w:val="0"/>
          <w:position w:val="0"/>
          <w:sz w:val="24"/>
          <w:szCs w:val="24"/>
          <w:highlight w:val="none"/>
          <w:lang w:eastAsia="zh-CN"/>
        </w:rPr>
        <w:t>出现</w:t>
      </w:r>
      <w:r>
        <w:rPr>
          <w:rFonts w:hint="eastAsia" w:ascii="宋体" w:hAnsi="宋体" w:eastAsia="宋体" w:cs="宋体"/>
          <w:color w:val="auto"/>
          <w:spacing w:val="0"/>
          <w:position w:val="0"/>
          <w:sz w:val="24"/>
          <w:szCs w:val="24"/>
          <w:highlight w:val="none"/>
          <w:lang w:val="en-US" w:eastAsia="zh-CN"/>
        </w:rPr>
        <w:t>24.1</w:t>
      </w:r>
      <w:r>
        <w:rPr>
          <w:rFonts w:hint="eastAsia" w:ascii="宋体" w:hAnsi="宋体" w:eastAsia="宋体" w:cs="宋体"/>
          <w:color w:val="auto"/>
          <w:spacing w:val="0"/>
          <w:position w:val="0"/>
          <w:sz w:val="24"/>
          <w:szCs w:val="24"/>
          <w:highlight w:val="none"/>
          <w:lang w:eastAsia="zh-CN"/>
        </w:rPr>
        <w:t>情况，故障当日（工作时间内）可排除的，电子化政府采购恢复进行；如故障当日无法排除的，采购活动终止，重新组织采购活动。</w:t>
      </w:r>
      <w:bookmarkEnd w:id="178"/>
      <w:bookmarkEnd w:id="179"/>
      <w:bookmarkEnd w:id="180"/>
      <w:bookmarkEnd w:id="181"/>
    </w:p>
    <w:p w14:paraId="5C7232AD">
      <w:pPr>
        <w:pStyle w:val="6"/>
        <w:rPr>
          <w:rFonts w:hint="eastAsia"/>
          <w:highlight w:val="none"/>
          <w:lang w:val="en-US" w:eastAsia="zh-CN"/>
        </w:rPr>
      </w:pPr>
    </w:p>
    <w:p w14:paraId="1EA8A392">
      <w:pPr>
        <w:keepNext w:val="0"/>
        <w:keepLines w:val="0"/>
        <w:pageBreakBefore w:val="0"/>
        <w:widowControl w:val="0"/>
        <w:kinsoku w:val="0"/>
        <w:wordWrap/>
        <w:overflowPunct/>
        <w:topLinePunct w:val="0"/>
        <w:autoSpaceDE w:val="0"/>
        <w:autoSpaceDN w:val="0"/>
        <w:bidi w:val="0"/>
        <w:adjustRightInd w:val="0"/>
        <w:snapToGrid w:val="0"/>
        <w:spacing w:before="0" w:beforeLines="133" w:beforeAutospacing="0" w:after="0" w:afterLines="132" w:afterAutospacing="0" w:line="360" w:lineRule="auto"/>
        <w:ind w:left="479" w:leftChars="228" w:firstLine="0" w:firstLineChars="0"/>
        <w:jc w:val="center"/>
        <w:textAlignment w:val="baseline"/>
        <w:outlineLvl w:val="1"/>
        <w:rPr>
          <w:color w:val="auto"/>
          <w:spacing w:val="0"/>
          <w:position w:val="0"/>
          <w:highlight w:val="none"/>
          <w:lang w:eastAsia="zh-CN"/>
        </w:rPr>
      </w:pPr>
      <w:bookmarkStart w:id="182" w:name="_Toc22638"/>
      <w:bookmarkStart w:id="183" w:name="_Toc17847"/>
      <w:bookmarkStart w:id="184" w:name="_Toc2594"/>
      <w:bookmarkStart w:id="185" w:name="_Toc524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六、确定成交供应商和签订</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合同</w:t>
      </w:r>
      <w:bookmarkEnd w:id="182"/>
      <w:bookmarkEnd w:id="183"/>
      <w:bookmarkEnd w:id="184"/>
      <w:bookmarkEnd w:id="185"/>
    </w:p>
    <w:p w14:paraId="0CD5CD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186" w:name="_Toc8178"/>
      <w:bookmarkStart w:id="187" w:name="_Toc6076"/>
      <w:bookmarkStart w:id="188" w:name="_Toc15658"/>
      <w:bookmarkStart w:id="189" w:name="_Toc9707"/>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26.推荐成交候选供应商方法</w:t>
      </w:r>
      <w:bookmarkEnd w:id="186"/>
      <w:bookmarkEnd w:id="187"/>
      <w:bookmarkEnd w:id="188"/>
      <w:bookmarkEnd w:id="189"/>
    </w:p>
    <w:p w14:paraId="33173510">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rPr>
        <w:t>磋商小组根据综合评分情况，按照评审得分由高到低顺序推荐3名以上成交候选供应商，并编写评审报告。</w:t>
      </w:r>
    </w:p>
    <w:p w14:paraId="559EFACC">
      <w:pPr>
        <w:keepNext w:val="0"/>
        <w:keepLines w:val="0"/>
        <w:pageBreakBefore w:val="0"/>
        <w:kinsoku w:val="0"/>
        <w:wordWrap/>
        <w:overflowPunct/>
        <w:topLinePunct w:val="0"/>
        <w:autoSpaceDE w:val="0"/>
        <w:autoSpaceDN w:val="0"/>
        <w:bidi w:val="0"/>
        <w:adjustRightInd w:val="0"/>
        <w:snapToGrid w:val="0"/>
        <w:spacing w:line="360" w:lineRule="auto"/>
        <w:ind w:left="585" w:leftChars="0" w:hanging="585" w:hangingChars="244"/>
        <w:textAlignment w:val="baseline"/>
        <w:rPr>
          <w:rFonts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rPr>
        <w:t>享受落实政府采购政策的供应商，最后报价用按规定比例扣除后的价格参与评审。</w:t>
      </w:r>
    </w:p>
    <w:p w14:paraId="1AACFDE5">
      <w:pPr>
        <w:keepNext w:val="0"/>
        <w:keepLines w:val="0"/>
        <w:pageBreakBefore w:val="0"/>
        <w:kinsoku w:val="0"/>
        <w:wordWrap/>
        <w:overflowPunct/>
        <w:topLinePunct w:val="0"/>
        <w:autoSpaceDE w:val="0"/>
        <w:autoSpaceDN w:val="0"/>
        <w:bidi w:val="0"/>
        <w:adjustRightInd w:val="0"/>
        <w:snapToGrid w:val="0"/>
        <w:spacing w:line="360" w:lineRule="auto"/>
        <w:ind w:left="588" w:leftChars="0" w:hanging="588" w:hangingChars="245"/>
        <w:jc w:val="both"/>
        <w:textAlignment w:val="baseline"/>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pacing w:val="0"/>
          <w:position w:val="0"/>
          <w:sz w:val="24"/>
          <w:szCs w:val="24"/>
          <w:highlight w:val="none"/>
          <w:lang w:val="en-GB"/>
        </w:rPr>
        <w:t>2</w:t>
      </w:r>
      <w:r>
        <w:rPr>
          <w:rFonts w:hint="eastAsia" w:ascii="宋体" w:hAnsi="宋体" w:eastAsia="宋体" w:cs="宋体"/>
          <w:color w:val="auto"/>
          <w:spacing w:val="0"/>
          <w:position w:val="0"/>
          <w:sz w:val="24"/>
          <w:szCs w:val="24"/>
          <w:highlight w:val="none"/>
          <w:lang w:val="en-US" w:eastAsia="zh-CN"/>
        </w:rPr>
        <w:t>6</w:t>
      </w:r>
      <w:r>
        <w:rPr>
          <w:rFonts w:hint="eastAsia" w:ascii="宋体" w:hAnsi="宋体" w:cs="宋体"/>
          <w:color w:val="auto"/>
          <w:spacing w:val="0"/>
          <w:position w:val="0"/>
          <w:sz w:val="24"/>
          <w:szCs w:val="24"/>
          <w:highlight w:val="none"/>
          <w:lang w:val="en-GB"/>
        </w:rPr>
        <w:t>.</w:t>
      </w:r>
      <w:r>
        <w:rPr>
          <w:rFonts w:hint="eastAsia" w:ascii="宋体" w:hAnsi="宋体" w:eastAsia="宋体" w:cs="宋体"/>
          <w:color w:val="auto"/>
          <w:spacing w:val="0"/>
          <w:position w:val="0"/>
          <w:sz w:val="24"/>
          <w:szCs w:val="24"/>
          <w:highlight w:val="none"/>
          <w:lang w:val="en-US" w:eastAsia="zh-CN"/>
        </w:rPr>
        <w:t xml:space="preserve">3 </w:t>
      </w:r>
      <w:r>
        <w:rPr>
          <w:rFonts w:hint="eastAsia" w:ascii="宋体" w:hAnsi="宋体" w:cs="宋体"/>
          <w:color w:val="auto"/>
          <w:spacing w:val="0"/>
          <w:position w:val="0"/>
          <w:sz w:val="24"/>
          <w:szCs w:val="24"/>
          <w:highlight w:val="none"/>
          <w:lang w:val="en-GB"/>
        </w:rPr>
        <w:t>评审得分相同的，按照最后报价由低到高的顺序推荐。评审得分且最后报价相同的，按照技术指标优劣顺序推荐。评审得分且最后报价相同以及技术指标都相同的，按节能产品、环境标志产品金额占最后报价比例（简称“比例”）由高到低顺序推荐；评审得分、最后报价、技术指标优劣、“比例”均相同的，由磋商小组随机抽取确定推荐。</w:t>
      </w:r>
    </w:p>
    <w:p w14:paraId="113F37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jc w:val="both"/>
        <w:textAlignment w:val="baseline"/>
        <w:outlineLvl w:val="1"/>
        <w:rPr>
          <w:rFonts w:hint="default"/>
          <w:color w:val="auto"/>
          <w:spacing w:val="0"/>
          <w:position w:val="0"/>
          <w:highlight w:val="none"/>
          <w:lang w:val="en-US" w:eastAsia="zh-CN"/>
        </w:rPr>
      </w:pPr>
      <w:bookmarkStart w:id="190" w:name="_Toc19338"/>
      <w:bookmarkStart w:id="191" w:name="_Toc10542"/>
      <w:bookmarkStart w:id="192" w:name="_Toc20185"/>
      <w:bookmarkStart w:id="193" w:name="_Toc2870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7</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确定成交供应商</w:t>
      </w:r>
      <w:bookmarkEnd w:id="190"/>
      <w:bookmarkEnd w:id="191"/>
      <w:bookmarkEnd w:id="192"/>
      <w:bookmarkEnd w:id="193"/>
    </w:p>
    <w:p w14:paraId="6D6A4977">
      <w:pPr>
        <w:keepNext w:val="0"/>
        <w:keepLines w:val="0"/>
        <w:pageBreakBefore w:val="0"/>
        <w:kinsoku w:val="0"/>
        <w:wordWrap/>
        <w:overflowPunct/>
        <w:topLinePunct w:val="0"/>
        <w:autoSpaceDE w:val="0"/>
        <w:autoSpaceDN w:val="0"/>
        <w:bidi w:val="0"/>
        <w:adjustRightInd w:val="0"/>
        <w:snapToGrid w:val="0"/>
        <w:spacing w:line="360" w:lineRule="auto"/>
        <w:ind w:left="480" w:hanging="480" w:hangingChars="200"/>
        <w:jc w:val="both"/>
        <w:textAlignment w:val="baseline"/>
        <w:rPr>
          <w:rFonts w:hint="eastAsia" w:ascii="宋体" w:hAnsi="宋体" w:cs="宋体"/>
          <w:color w:val="auto"/>
          <w:spacing w:val="0"/>
          <w:position w:val="0"/>
          <w:sz w:val="24"/>
          <w:szCs w:val="24"/>
          <w:highlight w:val="none"/>
          <w:lang w:val="en-GB"/>
        </w:rPr>
      </w:pPr>
      <w:r>
        <w:rPr>
          <w:rFonts w:hint="eastAsia" w:ascii="宋体" w:hAnsi="宋体" w:cs="宋体"/>
          <w:color w:val="auto"/>
          <w:spacing w:val="0"/>
          <w:position w:val="0"/>
          <w:sz w:val="24"/>
          <w:szCs w:val="24"/>
          <w:highlight w:val="none"/>
          <w:lang w:val="en-US" w:eastAsia="zh-CN"/>
        </w:rPr>
        <w:t>28</w:t>
      </w:r>
      <w:r>
        <w:rPr>
          <w:rFonts w:hint="eastAsia" w:ascii="宋体" w:hAnsi="宋体" w:cs="宋体"/>
          <w:color w:val="auto"/>
          <w:spacing w:val="0"/>
          <w:position w:val="0"/>
          <w:sz w:val="24"/>
          <w:szCs w:val="24"/>
          <w:highlight w:val="none"/>
          <w:lang w:val="en-GB"/>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rPr>
        <w:t>采购代理机构在</w:t>
      </w:r>
      <w:r>
        <w:rPr>
          <w:rFonts w:hint="eastAsia" w:ascii="宋体" w:hAnsi="宋体" w:eastAsia="宋体" w:cs="宋体"/>
          <w:color w:val="auto"/>
          <w:spacing w:val="0"/>
          <w:position w:val="0"/>
          <w:sz w:val="24"/>
          <w:szCs w:val="24"/>
          <w:highlight w:val="none"/>
          <w:lang w:val="en-GB" w:eastAsia="zh-CN"/>
        </w:rPr>
        <w:t>磋商</w:t>
      </w:r>
      <w:r>
        <w:rPr>
          <w:rFonts w:hint="eastAsia" w:ascii="宋体" w:hAnsi="宋体" w:cs="宋体"/>
          <w:color w:val="auto"/>
          <w:spacing w:val="0"/>
          <w:position w:val="0"/>
          <w:sz w:val="24"/>
          <w:szCs w:val="24"/>
          <w:highlight w:val="none"/>
          <w:lang w:val="en-GB"/>
        </w:rPr>
        <w:t>结束后将评审报告送采购人。</w:t>
      </w:r>
    </w:p>
    <w:p w14:paraId="0D2AF65F">
      <w:pPr>
        <w:keepNext w:val="0"/>
        <w:keepLines w:val="0"/>
        <w:pageBreakBefore w:val="0"/>
        <w:kinsoku w:val="0"/>
        <w:wordWrap/>
        <w:overflowPunct/>
        <w:topLinePunct w:val="0"/>
        <w:autoSpaceDE w:val="0"/>
        <w:autoSpaceDN w:val="0"/>
        <w:bidi w:val="0"/>
        <w:adjustRightInd w:val="0"/>
        <w:snapToGrid w:val="0"/>
        <w:spacing w:line="360" w:lineRule="auto"/>
        <w:ind w:left="590" w:leftChars="0" w:hanging="590" w:hangingChars="246"/>
        <w:jc w:val="both"/>
        <w:textAlignment w:val="baseline"/>
        <w:rPr>
          <w:rFonts w:hint="default" w:ascii="宋体" w:hAnsi="宋体" w:eastAsia="宋体" w:cs="宋体"/>
          <w:color w:val="auto"/>
          <w:spacing w:val="0"/>
          <w:position w:val="0"/>
          <w:sz w:val="24"/>
          <w:szCs w:val="24"/>
          <w:highlight w:val="none"/>
          <w:lang w:val="en-US" w:eastAsia="zh-CN"/>
        </w:rPr>
      </w:pPr>
      <w:r>
        <w:rPr>
          <w:rFonts w:hint="eastAsia" w:ascii="宋体" w:hAnsi="宋体" w:cs="宋体"/>
          <w:color w:val="auto"/>
          <w:spacing w:val="0"/>
          <w:position w:val="0"/>
          <w:sz w:val="24"/>
          <w:szCs w:val="24"/>
          <w:highlight w:val="none"/>
          <w:lang w:val="en-US" w:eastAsia="zh-CN"/>
        </w:rPr>
        <w:t>28</w:t>
      </w:r>
      <w:r>
        <w:rPr>
          <w:rFonts w:hint="eastAsia" w:ascii="宋体" w:hAnsi="宋体" w:cs="宋体"/>
          <w:color w:val="auto"/>
          <w:spacing w:val="0"/>
          <w:position w:val="0"/>
          <w:sz w:val="24"/>
          <w:szCs w:val="24"/>
          <w:highlight w:val="none"/>
          <w:lang w:val="en-GB" w:eastAsia="zh-CN"/>
        </w:rPr>
        <w:t>.2</w:t>
      </w:r>
      <w:r>
        <w:rPr>
          <w:rFonts w:hint="eastAsia" w:ascii="宋体" w:hAnsi="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lang w:val="en-GB" w:eastAsia="zh-CN"/>
        </w:rPr>
        <w:t>采购人收到评审报告后，按照评审报告推荐的成交候选人顺序确定成交供应商。也可以事先授权磋商小组直接确定成交供应商。</w:t>
      </w:r>
    </w:p>
    <w:p w14:paraId="3A36F0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1"/>
        <w:jc w:val="both"/>
        <w:textAlignment w:val="baseline"/>
        <w:outlineLvl w:val="1"/>
        <w:rPr>
          <w:rFonts w:ascii="宋体" w:hAnsi="宋体" w:eastAsia="宋体" w:cs="宋体"/>
          <w:color w:val="auto"/>
          <w:spacing w:val="0"/>
          <w:position w:val="0"/>
          <w:sz w:val="24"/>
          <w:szCs w:val="24"/>
          <w:highlight w:val="none"/>
          <w:lang w:eastAsia="zh-CN"/>
        </w:rPr>
      </w:pPr>
      <w:bookmarkStart w:id="194" w:name="_Toc28809"/>
      <w:bookmarkStart w:id="195" w:name="_Toc9319"/>
      <w:bookmarkStart w:id="196" w:name="_Toc24376"/>
      <w:bookmarkStart w:id="197" w:name="_Toc6238"/>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成交</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结果公告</w:t>
      </w:r>
      <w:bookmarkEnd w:id="194"/>
      <w:bookmarkEnd w:id="195"/>
      <w:bookmarkEnd w:id="196"/>
      <w:bookmarkEnd w:id="197"/>
    </w:p>
    <w:p w14:paraId="4141865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6" w:leftChars="0" w:right="80" w:hanging="586" w:firstLineChars="0"/>
        <w:jc w:val="both"/>
        <w:textAlignment w:val="baseline"/>
        <w:rPr>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 xml:space="preserve">28.1 </w:t>
      </w:r>
      <w:r>
        <w:rPr>
          <w:rFonts w:hint="eastAsia" w:ascii="宋体" w:hAnsi="宋体" w:cs="宋体"/>
          <w:color w:val="auto"/>
          <w:spacing w:val="0"/>
          <w:position w:val="0"/>
          <w:sz w:val="24"/>
          <w:szCs w:val="24"/>
          <w:highlight w:val="none"/>
        </w:rPr>
        <w:t>成交供应商</w:t>
      </w:r>
      <w:r>
        <w:rPr>
          <w:rFonts w:ascii="宋体" w:hAnsi="宋体" w:eastAsia="宋体" w:cs="宋体"/>
          <w:color w:val="auto"/>
          <w:spacing w:val="0"/>
          <w:position w:val="0"/>
          <w:sz w:val="24"/>
          <w:szCs w:val="24"/>
          <w:highlight w:val="none"/>
          <w:lang w:eastAsia="zh-CN"/>
        </w:rPr>
        <w:t>确定后</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采购代理机构在</w:t>
      </w:r>
      <w:r>
        <w:rPr>
          <w:rFonts w:hint="eastAsia" w:ascii="宋体" w:hAnsi="宋体" w:eastAsia="宋体" w:cs="宋体"/>
          <w:color w:val="auto"/>
          <w:sz w:val="24"/>
          <w:szCs w:val="24"/>
          <w:highlight w:val="none"/>
          <w:lang w:eastAsia="zh-CN"/>
        </w:rPr>
        <w:t>中国招标投标公共服务平台（https://bulletin.cebpubservice.com/）</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江西省招标投标网（http://www.jxtb.org.cn/）</w:t>
      </w:r>
      <w:r>
        <w:rPr>
          <w:rFonts w:ascii="宋体" w:hAnsi="宋体" w:eastAsia="宋体" w:cs="宋体"/>
          <w:color w:val="auto"/>
          <w:spacing w:val="0"/>
          <w:position w:val="0"/>
          <w:sz w:val="24"/>
          <w:szCs w:val="24"/>
          <w:highlight w:val="none"/>
          <w:lang w:eastAsia="zh-CN"/>
        </w:rPr>
        <w:t>上公告</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w:t>
      </w:r>
      <w:r>
        <w:rPr>
          <w:rFonts w:hint="eastAsia" w:ascii="宋体" w:hAnsi="宋体" w:eastAsia="宋体" w:cs="宋体"/>
          <w:color w:val="auto"/>
          <w:spacing w:val="0"/>
          <w:position w:val="0"/>
          <w:sz w:val="24"/>
          <w:szCs w:val="24"/>
          <w:highlight w:val="none"/>
          <w:lang w:val="en-US" w:eastAsia="zh-CN"/>
        </w:rPr>
        <w:t>及成交通知书</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公告期限为 1 个工作日。</w:t>
      </w:r>
    </w:p>
    <w:p w14:paraId="7ED8FB6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4"/>
        <w:jc w:val="both"/>
        <w:textAlignment w:val="baseline"/>
        <w:outlineLvl w:val="1"/>
        <w:rPr>
          <w:rFonts w:ascii="宋体" w:hAnsi="宋体" w:eastAsia="宋体" w:cs="宋体"/>
          <w:color w:val="auto"/>
          <w:spacing w:val="0"/>
          <w:position w:val="0"/>
          <w:sz w:val="24"/>
          <w:szCs w:val="24"/>
          <w:highlight w:val="none"/>
          <w:lang w:eastAsia="zh-CN"/>
        </w:rPr>
      </w:pPr>
      <w:bookmarkStart w:id="198" w:name="_Toc10065"/>
      <w:bookmarkStart w:id="199" w:name="_Toc16893"/>
      <w:bookmarkStart w:id="200" w:name="_Toc17529"/>
      <w:bookmarkStart w:id="201" w:name="_Toc1348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29</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.履约保证金</w:t>
      </w:r>
      <w:bookmarkEnd w:id="198"/>
      <w:bookmarkEnd w:id="199"/>
      <w:bookmarkEnd w:id="200"/>
      <w:bookmarkEnd w:id="201"/>
    </w:p>
    <w:p w14:paraId="66D4354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29</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成交供应商</w:t>
      </w:r>
      <w:r>
        <w:rPr>
          <w:rFonts w:hint="eastAsia" w:cs="仿宋" w:asciiTheme="minorEastAsia" w:hAnsiTheme="minorEastAsia" w:eastAsiaTheme="minorEastAsia"/>
          <w:color w:val="auto"/>
          <w:spacing w:val="0"/>
          <w:position w:val="0"/>
          <w:sz w:val="24"/>
          <w:szCs w:val="24"/>
          <w:highlight w:val="none"/>
        </w:rPr>
        <w:t>在与采购人签订采购合同</w:t>
      </w:r>
      <w:r>
        <w:rPr>
          <w:rFonts w:hint="eastAsia" w:cs="仿宋" w:asciiTheme="minorEastAsia" w:hAnsiTheme="minorEastAsia" w:eastAsiaTheme="minorEastAsia"/>
          <w:color w:val="auto"/>
          <w:spacing w:val="0"/>
          <w:position w:val="0"/>
          <w:sz w:val="24"/>
          <w:szCs w:val="24"/>
          <w:highlight w:val="none"/>
          <w:lang w:val="en-US" w:eastAsia="zh-CN"/>
        </w:rPr>
        <w:t>后</w:t>
      </w:r>
      <w:r>
        <w:rPr>
          <w:rFonts w:hint="eastAsia" w:ascii="宋体" w:hAnsi="宋体" w:cs="宋体"/>
          <w:color w:val="auto"/>
          <w:spacing w:val="0"/>
          <w:position w:val="0"/>
          <w:sz w:val="24"/>
          <w:szCs w:val="24"/>
          <w:highlight w:val="none"/>
        </w:rPr>
        <w:t>，应向采购人提交“供应商须知前附表”规定的履约保证金。履约保证金按采购人的要求汇入采购人指定账户。</w:t>
      </w:r>
    </w:p>
    <w:p w14:paraId="132A813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rPr>
          <w:rFonts w:hint="eastAsia" w:eastAsia="宋体"/>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29</w:t>
      </w:r>
      <w:r>
        <w:rPr>
          <w:rFonts w:ascii="宋体" w:hAnsi="宋体" w:eastAsia="宋体" w:cs="宋体"/>
          <w:color w:val="auto"/>
          <w:spacing w:val="0"/>
          <w:position w:val="0"/>
          <w:sz w:val="24"/>
          <w:szCs w:val="24"/>
          <w:highlight w:val="none"/>
          <w:lang w:eastAsia="zh-CN"/>
        </w:rPr>
        <w:t>.2</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cs="宋体"/>
          <w:color w:val="auto"/>
          <w:spacing w:val="0"/>
          <w:position w:val="0"/>
          <w:sz w:val="24"/>
          <w:szCs w:val="24"/>
          <w:highlight w:val="none"/>
        </w:rPr>
        <w:t>履约保证金用于补偿因成交供应商不能完成其合同义务而使采购人蒙受的损失</w:t>
      </w:r>
      <w:r>
        <w:rPr>
          <w:rFonts w:hint="eastAsia" w:ascii="宋体" w:hAnsi="宋体" w:eastAsia="宋体" w:cs="宋体"/>
          <w:color w:val="auto"/>
          <w:spacing w:val="0"/>
          <w:position w:val="0"/>
          <w:sz w:val="24"/>
          <w:szCs w:val="24"/>
          <w:highlight w:val="none"/>
          <w:lang w:eastAsia="zh-CN"/>
        </w:rPr>
        <w:t>。</w:t>
      </w:r>
    </w:p>
    <w:p w14:paraId="53D6171B">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outlineLvl w:val="1"/>
        <w:rPr>
          <w:rFonts w:ascii="宋体" w:hAnsi="宋体" w:eastAsia="宋体" w:cs="宋体"/>
          <w:color w:val="auto"/>
          <w:spacing w:val="0"/>
          <w:position w:val="0"/>
          <w:sz w:val="24"/>
          <w:szCs w:val="24"/>
          <w:highlight w:val="none"/>
          <w:lang w:eastAsia="zh-CN"/>
        </w:rPr>
      </w:pPr>
      <w:bookmarkStart w:id="202" w:name="_Toc9483"/>
      <w:bookmarkStart w:id="203" w:name="_Toc26997"/>
      <w:bookmarkStart w:id="204" w:name="_Toc30214"/>
      <w:bookmarkStart w:id="205" w:name="_Toc22789"/>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30</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.签订合同</w:t>
      </w:r>
      <w:bookmarkEnd w:id="202"/>
      <w:bookmarkEnd w:id="203"/>
      <w:bookmarkEnd w:id="204"/>
      <w:bookmarkEnd w:id="205"/>
    </w:p>
    <w:p w14:paraId="5CBD213F">
      <w:pPr>
        <w:keepNext w:val="0"/>
        <w:keepLines w:val="0"/>
        <w:pageBreakBefore w:val="0"/>
        <w:widowControl w:val="0"/>
        <w:kinsoku w:val="0"/>
        <w:wordWrap/>
        <w:overflowPunct/>
        <w:topLinePunct w:val="0"/>
        <w:autoSpaceDE w:val="0"/>
        <w:autoSpaceDN w:val="0"/>
        <w:bidi w:val="0"/>
        <w:adjustRightInd w:val="0"/>
        <w:snapToGrid w:val="0"/>
        <w:spacing w:line="360" w:lineRule="auto"/>
        <w:ind w:left="581" w:leftChars="6" w:right="80" w:hanging="568" w:hangingChars="237"/>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.1</w:t>
      </w:r>
      <w:r>
        <w:rPr>
          <w:rFonts w:hint="eastAsia" w:ascii="宋体" w:hAnsi="宋体" w:eastAsia="宋体" w:cs="宋体"/>
          <w:color w:val="auto"/>
          <w:spacing w:val="0"/>
          <w:position w:val="0"/>
          <w:sz w:val="24"/>
          <w:szCs w:val="24"/>
          <w:highlight w:val="none"/>
          <w:lang w:val="en-US" w:eastAsia="zh-CN"/>
        </w:rPr>
        <w:t xml:space="preserve">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应按</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规定的时间与采购人签订合同，否则按拒绝签订合同处理。</w:t>
      </w:r>
    </w:p>
    <w:p w14:paraId="31774F16">
      <w:pPr>
        <w:keepNext w:val="0"/>
        <w:keepLines w:val="0"/>
        <w:pageBreakBefore w:val="0"/>
        <w:widowControl w:val="0"/>
        <w:kinsoku w:val="0"/>
        <w:wordWrap/>
        <w:overflowPunct/>
        <w:topLinePunct w:val="0"/>
        <w:autoSpaceDE w:val="0"/>
        <w:autoSpaceDN w:val="0"/>
        <w:bidi w:val="0"/>
        <w:adjustRightInd w:val="0"/>
        <w:snapToGrid w:val="0"/>
        <w:spacing w:line="360" w:lineRule="auto"/>
        <w:ind w:left="581" w:leftChars="6" w:hanging="568" w:hangingChars="237"/>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的</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及</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过程中有关澄清文件均为签订合同的依据。</w:t>
      </w:r>
    </w:p>
    <w:p w14:paraId="2623BE85">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是合同的一个组成部分。</w:t>
      </w:r>
    </w:p>
    <w:p w14:paraId="05351977">
      <w:pPr>
        <w:keepNext w:val="0"/>
        <w:keepLines w:val="0"/>
        <w:pageBreakBefore w:val="0"/>
        <w:widowControl w:val="0"/>
        <w:kinsoku w:val="0"/>
        <w:wordWrap/>
        <w:overflowPunct/>
        <w:topLinePunct w:val="0"/>
        <w:autoSpaceDE w:val="0"/>
        <w:autoSpaceDN w:val="0"/>
        <w:bidi w:val="0"/>
        <w:adjustRightInd w:val="0"/>
        <w:snapToGrid w:val="0"/>
        <w:spacing w:line="360" w:lineRule="auto"/>
        <w:ind w:left="1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.4 采购人与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应当根据合同的约定依法履行合同义务。</w:t>
      </w:r>
    </w:p>
    <w:p w14:paraId="093CA68D">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0" w:firstLineChars="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采购合同的履行、违约责任和解决争议的方法等适用《中华人民共和国民法典》。</w:t>
      </w:r>
    </w:p>
    <w:p w14:paraId="4D576B09">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.5 采购人应当加强对</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的履约管理，并按照采购合同约定，及时向</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支付采购资金。对于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违反采购合同约定的行为，采购人应当及时处理，依法追究其违约责任。</w:t>
      </w:r>
    </w:p>
    <w:p w14:paraId="6C6488C9">
      <w:pPr>
        <w:keepNext w:val="0"/>
        <w:keepLines w:val="0"/>
        <w:pageBreakBefore w:val="0"/>
        <w:widowControl w:val="0"/>
        <w:kinsoku w:val="0"/>
        <w:wordWrap/>
        <w:overflowPunct/>
        <w:topLinePunct w:val="0"/>
        <w:autoSpaceDE w:val="0"/>
        <w:autoSpaceDN w:val="0"/>
        <w:bidi w:val="0"/>
        <w:adjustRightInd w:val="0"/>
        <w:snapToGrid w:val="0"/>
        <w:spacing w:line="360" w:lineRule="auto"/>
        <w:ind w:left="586" w:leftChars="0" w:hanging="586" w:firstLineChars="0"/>
        <w:jc w:val="both"/>
        <w:textAlignment w:val="baseline"/>
        <w:rPr>
          <w:color w:val="auto"/>
          <w:spacing w:val="0"/>
          <w:position w:val="0"/>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.6 合同履行中，采购人需追加与合同标的相同的</w:t>
      </w:r>
      <w:r>
        <w:rPr>
          <w:rFonts w:hint="eastAsia" w:ascii="宋体" w:hAnsi="宋体" w:eastAsia="宋体" w:cs="宋体"/>
          <w:color w:val="auto"/>
          <w:spacing w:val="0"/>
          <w:position w:val="0"/>
          <w:sz w:val="24"/>
          <w:szCs w:val="24"/>
          <w:highlight w:val="none"/>
          <w:lang w:val="en-US" w:eastAsia="zh-CN"/>
        </w:rPr>
        <w:t>服务</w:t>
      </w:r>
      <w:r>
        <w:rPr>
          <w:rFonts w:ascii="宋体" w:hAnsi="宋体" w:eastAsia="宋体" w:cs="宋体"/>
          <w:color w:val="auto"/>
          <w:spacing w:val="0"/>
          <w:position w:val="0"/>
          <w:sz w:val="24"/>
          <w:szCs w:val="24"/>
          <w:highlight w:val="none"/>
          <w:lang w:eastAsia="zh-CN"/>
        </w:rPr>
        <w:t>的，在不改变合同其他条款的前提下，可以与</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协商签订补充合同，但所有补充合同的采购金额不得超过原合同采购金额的百分之十。</w:t>
      </w:r>
    </w:p>
    <w:p w14:paraId="32CAF8C9">
      <w:pPr>
        <w:keepNext w:val="0"/>
        <w:keepLines w:val="0"/>
        <w:pageBreakBefore w:val="0"/>
        <w:widowControl w:val="0"/>
        <w:kinsoku w:val="0"/>
        <w:wordWrap/>
        <w:overflowPunct/>
        <w:topLinePunct w:val="0"/>
        <w:autoSpaceDE w:val="0"/>
        <w:autoSpaceDN w:val="0"/>
        <w:bidi w:val="0"/>
        <w:adjustRightInd w:val="0"/>
        <w:snapToGrid w:val="0"/>
        <w:spacing w:line="360" w:lineRule="auto"/>
        <w:ind w:left="585" w:leftChars="0" w:hanging="585" w:hangingChars="24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 xml:space="preserve">.7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拒绝与采购人签订合同的，采购人可以按照评审报告推荐的</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候选人名单排序，确定下一候选人为</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，也可以重新开展采购活动；拒绝签订采购合同的</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视为撤</w:t>
      </w:r>
      <w:r>
        <w:rPr>
          <w:rFonts w:hint="eastAsia" w:ascii="宋体" w:hAnsi="宋体" w:eastAsia="宋体" w:cs="宋体"/>
          <w:color w:val="auto"/>
          <w:spacing w:val="0"/>
          <w:position w:val="0"/>
          <w:sz w:val="24"/>
          <w:szCs w:val="24"/>
          <w:highlight w:val="none"/>
          <w:lang w:val="en-US" w:eastAsia="zh-CN"/>
        </w:rPr>
        <w:t>回</w:t>
      </w:r>
      <w:r>
        <w:rPr>
          <w:rFonts w:hint="eastAsia" w:ascii="宋体" w:hAnsi="宋体" w:eastAsia="宋体" w:cs="宋体"/>
          <w:color w:val="auto"/>
          <w:spacing w:val="0"/>
          <w:position w:val="0"/>
          <w:sz w:val="24"/>
          <w:szCs w:val="24"/>
          <w:highlight w:val="none"/>
          <w:lang w:eastAsia="zh-CN"/>
        </w:rPr>
        <w:t>响应文件</w:t>
      </w:r>
      <w:r>
        <w:rPr>
          <w:rFonts w:ascii="宋体" w:hAnsi="宋体" w:eastAsia="宋体" w:cs="宋体"/>
          <w:color w:val="auto"/>
          <w:spacing w:val="0"/>
          <w:position w:val="0"/>
          <w:sz w:val="24"/>
          <w:szCs w:val="24"/>
          <w:highlight w:val="none"/>
          <w:lang w:eastAsia="zh-CN"/>
        </w:rPr>
        <w:t>，不予退还其交纳的</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3A8C809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85" w:leftChars="0" w:hanging="585" w:hangingChars="244"/>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30</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8</w:t>
      </w:r>
      <w:r>
        <w:rPr>
          <w:rFonts w:ascii="宋体" w:hAnsi="宋体" w:eastAsia="宋体" w:cs="宋体"/>
          <w:color w:val="auto"/>
          <w:spacing w:val="0"/>
          <w:position w:val="0"/>
          <w:sz w:val="24"/>
          <w:szCs w:val="24"/>
          <w:highlight w:val="none"/>
          <w:lang w:eastAsia="zh-CN"/>
        </w:rPr>
        <w:t xml:space="preserve">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与采购人签订合同</w:t>
      </w:r>
      <w:r>
        <w:rPr>
          <w:rFonts w:hint="eastAsia" w:ascii="宋体" w:hAnsi="宋体" w:eastAsia="宋体" w:cs="宋体"/>
          <w:color w:val="auto"/>
          <w:spacing w:val="0"/>
          <w:position w:val="0"/>
          <w:sz w:val="24"/>
          <w:szCs w:val="24"/>
          <w:highlight w:val="none"/>
          <w:lang w:val="en-US" w:eastAsia="zh-CN"/>
        </w:rPr>
        <w:t>后两个工作日内</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将采购合同扫描件交予采购代理机构备案，以便退还磋商保证金</w:t>
      </w:r>
      <w:r>
        <w:rPr>
          <w:rFonts w:ascii="宋体" w:hAnsi="宋体" w:eastAsia="宋体" w:cs="宋体"/>
          <w:color w:val="auto"/>
          <w:spacing w:val="0"/>
          <w:position w:val="0"/>
          <w:sz w:val="24"/>
          <w:szCs w:val="24"/>
          <w:highlight w:val="none"/>
          <w:lang w:eastAsia="zh-CN"/>
        </w:rPr>
        <w:t>。</w:t>
      </w:r>
    </w:p>
    <w:p w14:paraId="5739A885">
      <w:pPr>
        <w:keepNext w:val="0"/>
        <w:keepLines w:val="0"/>
        <w:pageBreakBefore w:val="0"/>
        <w:widowControl w:val="0"/>
        <w:kinsoku w:val="0"/>
        <w:wordWrap/>
        <w:overflowPunct/>
        <w:topLinePunct w:val="0"/>
        <w:autoSpaceDE w:val="0"/>
        <w:autoSpaceDN w:val="0"/>
        <w:bidi w:val="0"/>
        <w:adjustRightInd w:val="0"/>
        <w:snapToGrid w:val="0"/>
        <w:spacing w:before="0" w:beforeLines="169" w:beforeAutospacing="0" w:after="0" w:afterLines="120" w:afterAutospacing="0" w:line="360" w:lineRule="auto"/>
        <w:ind w:left="0" w:leftChars="0" w:firstLine="0" w:firstLineChars="0"/>
        <w:jc w:val="center"/>
        <w:textAlignment w:val="baseline"/>
        <w:outlineLvl w:val="1"/>
        <w:rPr>
          <w:color w:val="auto"/>
          <w:spacing w:val="0"/>
          <w:position w:val="0"/>
          <w:highlight w:val="none"/>
          <w:lang w:eastAsia="zh-CN"/>
        </w:rPr>
      </w:pPr>
      <w:bookmarkStart w:id="206" w:name="_Toc17618"/>
      <w:bookmarkStart w:id="207" w:name="_Toc6093"/>
      <w:bookmarkStart w:id="208" w:name="_Toc17344"/>
      <w:bookmarkStart w:id="209" w:name="_Toc31348"/>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七</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、询问和质疑</w:t>
      </w:r>
      <w:bookmarkEnd w:id="206"/>
      <w:bookmarkEnd w:id="207"/>
      <w:bookmarkEnd w:id="208"/>
      <w:bookmarkEnd w:id="209"/>
    </w:p>
    <w:p w14:paraId="0CE9CDF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jc w:val="both"/>
        <w:textAlignment w:val="baseline"/>
        <w:outlineLvl w:val="1"/>
        <w:rPr>
          <w:rFonts w:ascii="宋体" w:hAnsi="宋体" w:eastAsia="宋体" w:cs="宋体"/>
          <w:color w:val="auto"/>
          <w:spacing w:val="0"/>
          <w:position w:val="0"/>
          <w:sz w:val="24"/>
          <w:szCs w:val="24"/>
          <w:highlight w:val="none"/>
          <w:lang w:eastAsia="zh-CN"/>
        </w:rPr>
      </w:pPr>
      <w:bookmarkStart w:id="210" w:name="_Toc11382"/>
      <w:bookmarkStart w:id="211" w:name="_Toc8765"/>
      <w:bookmarkStart w:id="212" w:name="_Toc15324"/>
      <w:bookmarkStart w:id="213" w:name="_Toc23833"/>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.询问</w:t>
      </w:r>
      <w:bookmarkEnd w:id="210"/>
      <w:bookmarkEnd w:id="211"/>
      <w:bookmarkEnd w:id="212"/>
      <w:bookmarkEnd w:id="213"/>
    </w:p>
    <w:p w14:paraId="7CEEC87B">
      <w:pPr>
        <w:keepNext w:val="0"/>
        <w:keepLines w:val="0"/>
        <w:pageBreakBefore w:val="0"/>
        <w:widowControl w:val="0"/>
        <w:kinsoku w:val="0"/>
        <w:wordWrap/>
        <w:overflowPunct/>
        <w:topLinePunct w:val="0"/>
        <w:autoSpaceDE w:val="0"/>
        <w:autoSpaceDN w:val="0"/>
        <w:bidi w:val="0"/>
        <w:adjustRightInd w:val="0"/>
        <w:snapToGrid w:val="0"/>
        <w:spacing w:line="360" w:lineRule="auto"/>
        <w:ind w:left="616" w:leftChars="0" w:right="2" w:hanging="616" w:hangingChars="257"/>
        <w:jc w:val="both"/>
        <w:textAlignment w:val="baseline"/>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对采购活动事项有疑问的，可以向采购人或者采购代理机构提出询问，采</w:t>
      </w:r>
      <w:r>
        <w:rPr>
          <w:rFonts w:hint="eastAsia" w:ascii="宋体" w:hAnsi="宋体" w:eastAsia="宋体" w:cs="宋体"/>
          <w:color w:val="auto"/>
          <w:spacing w:val="0"/>
          <w:position w:val="0"/>
          <w:sz w:val="24"/>
          <w:szCs w:val="24"/>
          <w:highlight w:val="none"/>
          <w:lang w:val="en-US" w:eastAsia="zh-CN"/>
        </w:rPr>
        <w:t>购代理机构应当在3个工作日内对供应商依法提出的询问做出答复。</w:t>
      </w:r>
    </w:p>
    <w:p w14:paraId="586F46B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质疑</w:t>
      </w:r>
    </w:p>
    <w:p w14:paraId="0131D5C4">
      <w:pPr>
        <w:keepNext w:val="0"/>
        <w:keepLines w:val="0"/>
        <w:pageBreakBefore w:val="0"/>
        <w:widowControl w:val="0"/>
        <w:kinsoku w:val="0"/>
        <w:wordWrap/>
        <w:overflowPunct/>
        <w:topLinePunct w:val="0"/>
        <w:autoSpaceDE w:val="0"/>
        <w:autoSpaceDN w:val="0"/>
        <w:bidi w:val="0"/>
        <w:adjustRightInd w:val="0"/>
        <w:snapToGrid w:val="0"/>
        <w:spacing w:line="360" w:lineRule="auto"/>
        <w:ind w:left="631" w:leftChars="0" w:right="2" w:hanging="631" w:hangingChars="263"/>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.1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认为</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磋商</w:t>
      </w:r>
      <w:r>
        <w:rPr>
          <w:rFonts w:ascii="宋体" w:hAnsi="宋体" w:eastAsia="宋体" w:cs="宋体"/>
          <w:color w:val="auto"/>
          <w:spacing w:val="0"/>
          <w:position w:val="0"/>
          <w:sz w:val="24"/>
          <w:szCs w:val="24"/>
          <w:highlight w:val="none"/>
          <w:lang w:eastAsia="zh-CN"/>
        </w:rPr>
        <w:t>过程、</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结果使自己的权益受到损害的，可以在知道或者应知其权益受到损害之日起7个工作日内，以书面形式向采购人、采购代理机构提出质疑。</w:t>
      </w:r>
    </w:p>
    <w:p w14:paraId="713B9F47">
      <w:pPr>
        <w:keepNext w:val="0"/>
        <w:keepLines w:val="0"/>
        <w:pageBreakBefore w:val="0"/>
        <w:widowControl w:val="0"/>
        <w:kinsoku w:val="0"/>
        <w:wordWrap/>
        <w:overflowPunct/>
        <w:topLinePunct w:val="0"/>
        <w:autoSpaceDE w:val="0"/>
        <w:autoSpaceDN w:val="0"/>
        <w:bidi w:val="0"/>
        <w:adjustRightInd w:val="0"/>
        <w:snapToGrid w:val="0"/>
        <w:spacing w:line="360" w:lineRule="auto"/>
        <w:ind w:left="631" w:leftChars="232" w:hanging="144" w:hangingChars="60"/>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w:t>
      </w:r>
      <w:r>
        <w:rPr>
          <w:rFonts w:hint="eastAsia" w:ascii="宋体" w:hAnsi="宋体" w:eastAsia="宋体" w:cs="宋体"/>
          <w:color w:val="auto"/>
          <w:spacing w:val="0"/>
          <w:position w:val="0"/>
          <w:sz w:val="24"/>
          <w:szCs w:val="24"/>
          <w:highlight w:val="none"/>
          <w:lang w:eastAsia="zh-CN"/>
        </w:rPr>
        <w:t>对可以质疑的磋商文件提出质疑的，为收到磋商文件之日或者磋商文件公告期限届满之日起7个工作日内；</w:t>
      </w:r>
    </w:p>
    <w:p w14:paraId="5CD78B0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526" w:leftChars="165" w:hanging="180" w:hangingChars="75"/>
        <w:jc w:val="both"/>
        <w:textAlignment w:val="baseline"/>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 xml:space="preserve"> （2）</w:t>
      </w:r>
      <w:r>
        <w:rPr>
          <w:rFonts w:hint="eastAsia" w:ascii="宋体" w:hAnsi="宋体" w:eastAsia="宋体" w:cs="宋体"/>
          <w:color w:val="auto"/>
          <w:spacing w:val="0"/>
          <w:position w:val="0"/>
          <w:sz w:val="24"/>
          <w:szCs w:val="24"/>
          <w:highlight w:val="none"/>
          <w:lang w:eastAsia="zh-CN"/>
        </w:rPr>
        <w:t>对</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过程提出质疑的，为各</w:t>
      </w:r>
      <w:r>
        <w:rPr>
          <w:rFonts w:hint="eastAsia" w:ascii="宋体" w:hAnsi="宋体" w:eastAsia="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lang w:eastAsia="zh-CN"/>
        </w:rPr>
        <w:t>程序环节结束之日起7个工作日内；</w:t>
      </w:r>
    </w:p>
    <w:p w14:paraId="7B09E05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lang w:eastAsia="zh-CN"/>
        </w:rPr>
        <w:t>对</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结果提出质疑的，为</w:t>
      </w:r>
      <w:r>
        <w:rPr>
          <w:rFonts w:hint="eastAsia" w:ascii="宋体" w:hAnsi="宋体" w:eastAsia="宋体" w:cs="宋体"/>
          <w:color w:val="auto"/>
          <w:spacing w:val="0"/>
          <w:position w:val="0"/>
          <w:sz w:val="24"/>
          <w:szCs w:val="24"/>
          <w:highlight w:val="none"/>
          <w:lang w:val="en-US" w:eastAsia="zh-CN"/>
        </w:rPr>
        <w:t>成交</w:t>
      </w:r>
      <w:r>
        <w:rPr>
          <w:rFonts w:ascii="宋体" w:hAnsi="宋体" w:eastAsia="宋体" w:cs="宋体"/>
          <w:color w:val="auto"/>
          <w:spacing w:val="0"/>
          <w:position w:val="0"/>
          <w:sz w:val="24"/>
          <w:szCs w:val="24"/>
          <w:highlight w:val="none"/>
          <w:lang w:eastAsia="zh-CN"/>
        </w:rPr>
        <w:t>结果公告期限届满之日起7个工作日内。</w:t>
      </w:r>
    </w:p>
    <w:p w14:paraId="1027015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.2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应在法定质疑期内一次性提出针对同一采购程序环节的质疑。</w:t>
      </w:r>
    </w:p>
    <w:p w14:paraId="15AE1980">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.3 提出质疑的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应当是参与所质疑项目采购活动的</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w:t>
      </w:r>
    </w:p>
    <w:p w14:paraId="77C5AB8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.4 潜在</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已依法获取其可质疑的</w:t>
      </w:r>
      <w:r>
        <w:rPr>
          <w:rFonts w:hint="eastAsia" w:ascii="宋体" w:hAnsi="宋体" w:eastAsia="宋体" w:cs="宋体"/>
          <w:color w:val="auto"/>
          <w:spacing w:val="0"/>
          <w:position w:val="0"/>
          <w:sz w:val="24"/>
          <w:szCs w:val="24"/>
          <w:highlight w:val="none"/>
          <w:lang w:eastAsia="zh-CN"/>
        </w:rPr>
        <w:t>磋商文件</w:t>
      </w:r>
      <w:r>
        <w:rPr>
          <w:rFonts w:ascii="宋体" w:hAnsi="宋体" w:eastAsia="宋体" w:cs="宋体"/>
          <w:color w:val="auto"/>
          <w:spacing w:val="0"/>
          <w:position w:val="0"/>
          <w:sz w:val="24"/>
          <w:szCs w:val="24"/>
          <w:highlight w:val="none"/>
          <w:lang w:eastAsia="zh-CN"/>
        </w:rPr>
        <w:t>的，可以对该文件提出质疑。</w:t>
      </w:r>
    </w:p>
    <w:p w14:paraId="4A34772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 xml:space="preserve">.5 </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提出质疑应当提交质疑函和必要的证明材料。质疑函应当包括下列内容</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根据当地监管部门要求调整</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要求）：</w:t>
      </w:r>
    </w:p>
    <w:p w14:paraId="39F635BC">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（一）</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的姓名或者名称、地址、邮编、联系人及联系电话；</w:t>
      </w:r>
    </w:p>
    <w:p w14:paraId="1D4EBCCE">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（二）质疑项目的名称、编号；</w:t>
      </w:r>
    </w:p>
    <w:p w14:paraId="46F8EAA6">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（三）具体、明确的质疑事项和与质疑事项相关的请求；</w:t>
      </w:r>
    </w:p>
    <w:p w14:paraId="1D919D20">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（四）事实依据；</w:t>
      </w:r>
    </w:p>
    <w:p w14:paraId="01D26531">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（五）必要的法律依据；</w:t>
      </w:r>
    </w:p>
    <w:p w14:paraId="5FE712DB">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（六）提出质疑的日期。</w:t>
      </w:r>
    </w:p>
    <w:p w14:paraId="2181336C">
      <w:pPr>
        <w:keepNext w:val="0"/>
        <w:keepLines w:val="0"/>
        <w:pageBreakBefore w:val="0"/>
        <w:widowControl w:val="0"/>
        <w:kinsoku w:val="0"/>
        <w:wordWrap/>
        <w:overflowPunct/>
        <w:topLinePunct w:val="0"/>
        <w:autoSpaceDE w:val="0"/>
        <w:autoSpaceDN w:val="0"/>
        <w:bidi w:val="0"/>
        <w:adjustRightInd w:val="0"/>
        <w:snapToGrid w:val="0"/>
        <w:spacing w:line="360" w:lineRule="auto"/>
        <w:ind w:left="491" w:leftChars="234" w:firstLine="480" w:firstLineChars="200"/>
        <w:jc w:val="both"/>
        <w:textAlignment w:val="baseline"/>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供应商为自然人的，应当由本人签字；供应商为法人或者其他组织的，应当由法定代表人、主要负责人，或者其授权代表签字或者盖章，并加盖公章。</w:t>
      </w:r>
      <w:r>
        <w:rPr>
          <w:rFonts w:hint="eastAsia" w:ascii="宋体" w:hAnsi="宋体" w:eastAsia="宋体" w:cs="宋体"/>
          <w:color w:val="auto"/>
          <w:spacing w:val="0"/>
          <w:position w:val="0"/>
          <w:sz w:val="24"/>
          <w:szCs w:val="24"/>
          <w:highlight w:val="none"/>
          <w:lang w:val="en-US" w:eastAsia="zh-CN"/>
        </w:rPr>
        <w:t>并</w:t>
      </w:r>
      <w:r>
        <w:rPr>
          <w:rFonts w:hint="eastAsia" w:ascii="宋体" w:hAnsi="宋体" w:eastAsia="宋体" w:cs="宋体"/>
          <w:color w:val="auto"/>
          <w:spacing w:val="0"/>
          <w:position w:val="0"/>
          <w:sz w:val="24"/>
          <w:szCs w:val="24"/>
          <w:highlight w:val="none"/>
          <w:lang w:eastAsia="zh-CN"/>
        </w:rPr>
        <w:t>同时提供下载磋商文件的凭证。</w:t>
      </w:r>
    </w:p>
    <w:p w14:paraId="3C966974">
      <w:pPr>
        <w:keepNext w:val="0"/>
        <w:keepLines w:val="0"/>
        <w:pageBreakBefore w:val="0"/>
        <w:widowControl w:val="0"/>
        <w:kinsoku w:val="0"/>
        <w:wordWrap/>
        <w:overflowPunct/>
        <w:topLinePunct w:val="0"/>
        <w:autoSpaceDE w:val="0"/>
        <w:autoSpaceDN w:val="0"/>
        <w:bidi w:val="0"/>
        <w:adjustRightInd w:val="0"/>
        <w:snapToGrid w:val="0"/>
        <w:spacing w:line="360" w:lineRule="auto"/>
        <w:ind w:left="5"/>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2</w:t>
      </w:r>
      <w:r>
        <w:rPr>
          <w:rFonts w:ascii="宋体" w:hAnsi="宋体" w:eastAsia="宋体" w:cs="宋体"/>
          <w:color w:val="auto"/>
          <w:spacing w:val="0"/>
          <w:position w:val="0"/>
          <w:sz w:val="24"/>
          <w:szCs w:val="24"/>
          <w:highlight w:val="none"/>
          <w:lang w:eastAsia="zh-CN"/>
        </w:rPr>
        <w:t>.6 质疑函接收方式</w:t>
      </w:r>
    </w:p>
    <w:p w14:paraId="6986681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25" w:leftChars="250" w:firstLine="0" w:firstLineChars="0"/>
        <w:jc w:val="both"/>
        <w:textAlignment w:val="baseline"/>
        <w:outlineLvl w:val="1"/>
        <w:rPr>
          <w:rFonts w:hint="eastAsia" w:ascii="宋体" w:hAnsi="宋体" w:eastAsia="宋体" w:cs="宋体"/>
          <w:color w:val="auto"/>
          <w:spacing w:val="0"/>
          <w:position w:val="0"/>
          <w:sz w:val="24"/>
          <w:szCs w:val="24"/>
          <w:highlight w:val="none"/>
          <w:lang w:val="en-US" w:eastAsia="zh-CN"/>
        </w:rPr>
      </w:pPr>
      <w:bookmarkStart w:id="214" w:name="_Toc32186"/>
      <w:bookmarkStart w:id="215" w:name="_Toc30244"/>
      <w:bookmarkStart w:id="216" w:name="_Toc4149"/>
      <w:bookmarkStart w:id="217" w:name="_Toc15956"/>
      <w:r>
        <w:rPr>
          <w:rFonts w:hint="eastAsia" w:ascii="宋体" w:hAnsi="宋体" w:eastAsia="宋体" w:cs="宋体"/>
          <w:color w:val="auto"/>
          <w:spacing w:val="0"/>
          <w:position w:val="0"/>
          <w:sz w:val="24"/>
          <w:szCs w:val="24"/>
          <w:highlight w:val="none"/>
          <w:lang w:val="en-US" w:eastAsia="zh-CN"/>
        </w:rPr>
        <w:t>详见“供应商须知前附表”</w:t>
      </w:r>
      <w:bookmarkStart w:id="218" w:name="bookmark41"/>
      <w:bookmarkEnd w:id="218"/>
      <w:bookmarkStart w:id="219" w:name="bookmark36"/>
      <w:bookmarkEnd w:id="219"/>
      <w:bookmarkStart w:id="220" w:name="bookmark32"/>
      <w:bookmarkEnd w:id="220"/>
      <w:bookmarkStart w:id="221" w:name="bookmark25"/>
      <w:bookmarkEnd w:id="221"/>
      <w:r>
        <w:rPr>
          <w:rFonts w:hint="eastAsia" w:ascii="宋体" w:hAnsi="宋体" w:eastAsia="宋体" w:cs="宋体"/>
          <w:color w:val="auto"/>
          <w:spacing w:val="0"/>
          <w:position w:val="0"/>
          <w:sz w:val="24"/>
          <w:szCs w:val="24"/>
          <w:highlight w:val="none"/>
          <w:lang w:val="en-US" w:eastAsia="zh-CN"/>
        </w:rPr>
        <w:t>。</w:t>
      </w:r>
      <w:bookmarkEnd w:id="214"/>
      <w:bookmarkEnd w:id="215"/>
      <w:bookmarkEnd w:id="216"/>
      <w:bookmarkEnd w:id="217"/>
    </w:p>
    <w:p w14:paraId="73D8BFB3">
      <w:pPr>
        <w:keepNext w:val="0"/>
        <w:keepLines w:val="0"/>
        <w:pageBreakBefore w:val="0"/>
        <w:widowControl w:val="0"/>
        <w:kinsoku w:val="0"/>
        <w:wordWrap/>
        <w:overflowPunct/>
        <w:topLinePunct w:val="0"/>
        <w:autoSpaceDE w:val="0"/>
        <w:autoSpaceDN w:val="0"/>
        <w:bidi w:val="0"/>
        <w:adjustRightInd w:val="0"/>
        <w:snapToGrid w:val="0"/>
        <w:spacing w:before="0" w:beforeLines="120" w:beforeAutospacing="0" w:after="0" w:afterLines="119" w:afterAutospacing="0" w:line="360" w:lineRule="auto"/>
        <w:jc w:val="center"/>
        <w:textAlignment w:val="baseline"/>
        <w:outlineLvl w:val="1"/>
        <w:rPr>
          <w:color w:val="auto"/>
          <w:spacing w:val="0"/>
          <w:position w:val="0"/>
          <w:highlight w:val="none"/>
          <w:lang w:eastAsia="zh-CN"/>
        </w:rPr>
      </w:pPr>
      <w:bookmarkStart w:id="222" w:name="_Toc27472"/>
      <w:bookmarkStart w:id="223" w:name="_Toc30051"/>
      <w:bookmarkStart w:id="224" w:name="_Toc85"/>
      <w:bookmarkStart w:id="225" w:name="_Toc810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八</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其他事项</w:t>
      </w:r>
      <w:bookmarkEnd w:id="222"/>
      <w:bookmarkEnd w:id="223"/>
      <w:bookmarkEnd w:id="224"/>
      <w:bookmarkEnd w:id="225"/>
    </w:p>
    <w:p w14:paraId="6A2DDA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1"/>
        <w:rPr>
          <w:rFonts w:ascii="宋体" w:hAnsi="宋体" w:eastAsia="宋体" w:cs="宋体"/>
          <w:color w:val="auto"/>
          <w:spacing w:val="0"/>
          <w:position w:val="0"/>
          <w:sz w:val="24"/>
          <w:szCs w:val="24"/>
          <w:highlight w:val="none"/>
          <w:lang w:eastAsia="zh-CN"/>
        </w:rPr>
      </w:pPr>
      <w:bookmarkStart w:id="226" w:name="_Toc20630"/>
      <w:bookmarkStart w:id="227" w:name="_Toc29642"/>
      <w:bookmarkStart w:id="228" w:name="_Toc22803"/>
      <w:bookmarkStart w:id="229" w:name="_Toc157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.采购代理服务费</w:t>
      </w:r>
      <w:bookmarkEnd w:id="226"/>
      <w:bookmarkEnd w:id="227"/>
      <w:bookmarkEnd w:id="228"/>
      <w:bookmarkEnd w:id="229"/>
    </w:p>
    <w:p w14:paraId="06DF5C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0" w:leftChars="0" w:hanging="600" w:hangingChars="250"/>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.1 如为</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支付采购代理服务费，</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在领取</w:t>
      </w:r>
      <w:r>
        <w:rPr>
          <w:rFonts w:hint="eastAsia" w:ascii="宋体" w:hAnsi="宋体" w:eastAsia="宋体" w:cs="宋体"/>
          <w:color w:val="auto"/>
          <w:spacing w:val="0"/>
          <w:position w:val="0"/>
          <w:sz w:val="24"/>
          <w:szCs w:val="24"/>
          <w:highlight w:val="none"/>
          <w:lang w:eastAsia="zh-CN"/>
        </w:rPr>
        <w:t>成交通知书</w:t>
      </w:r>
      <w:r>
        <w:rPr>
          <w:rFonts w:ascii="宋体" w:hAnsi="宋体" w:eastAsia="宋体" w:cs="宋体"/>
          <w:color w:val="auto"/>
          <w:spacing w:val="0"/>
          <w:position w:val="0"/>
          <w:sz w:val="24"/>
          <w:szCs w:val="24"/>
          <w:highlight w:val="none"/>
          <w:lang w:eastAsia="zh-CN"/>
        </w:rPr>
        <w:t>时须按“</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须知前附表”规定的收费标准，向采购代理机构缴纳采购代理服务费。</w:t>
      </w:r>
    </w:p>
    <w:p w14:paraId="639AF9E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25" w:leftChars="0" w:hanging="525" w:hangingChars="219"/>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.2 采购代理服务费采用银行转账、支票、汇票、本票等非现金形式交纳。</w:t>
      </w:r>
    </w:p>
    <w:p w14:paraId="1F4F62C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2" w:leftChars="0" w:hanging="602" w:hangingChars="251"/>
        <w:jc w:val="both"/>
        <w:textAlignment w:val="baseline"/>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 xml:space="preserve">.3 </w:t>
      </w:r>
      <w:r>
        <w:rPr>
          <w:rFonts w:hint="eastAsia" w:ascii="宋体" w:hAnsi="宋体" w:eastAsia="宋体" w:cs="宋体"/>
          <w:color w:val="auto"/>
          <w:spacing w:val="0"/>
          <w:position w:val="0"/>
          <w:sz w:val="24"/>
          <w:szCs w:val="24"/>
          <w:highlight w:val="none"/>
          <w:lang w:eastAsia="zh-CN"/>
        </w:rPr>
        <w:t>成交供应商</w:t>
      </w:r>
      <w:r>
        <w:rPr>
          <w:rFonts w:ascii="宋体" w:hAnsi="宋体" w:eastAsia="宋体" w:cs="宋体"/>
          <w:color w:val="auto"/>
          <w:spacing w:val="0"/>
          <w:position w:val="0"/>
          <w:sz w:val="24"/>
          <w:szCs w:val="24"/>
          <w:highlight w:val="none"/>
          <w:lang w:eastAsia="zh-CN"/>
        </w:rPr>
        <w:t>如未按本须知“第 3</w:t>
      </w:r>
      <w:r>
        <w:rPr>
          <w:rFonts w:hint="eastAsia" w:ascii="宋体" w:hAnsi="宋体" w:eastAsia="宋体" w:cs="宋体"/>
          <w:color w:val="auto"/>
          <w:spacing w:val="0"/>
          <w:position w:val="0"/>
          <w:sz w:val="24"/>
          <w:szCs w:val="24"/>
          <w:highlight w:val="none"/>
          <w:lang w:val="en-US" w:eastAsia="zh-CN"/>
        </w:rPr>
        <w:t>3</w:t>
      </w:r>
      <w:r>
        <w:rPr>
          <w:rFonts w:ascii="宋体" w:hAnsi="宋体" w:eastAsia="宋体" w:cs="宋体"/>
          <w:color w:val="auto"/>
          <w:spacing w:val="0"/>
          <w:position w:val="0"/>
          <w:sz w:val="24"/>
          <w:szCs w:val="24"/>
          <w:highlight w:val="none"/>
          <w:lang w:eastAsia="zh-CN"/>
        </w:rPr>
        <w:t>.1 条 ”规定办理，采购代理机构将按本须知“第 1</w:t>
      </w:r>
      <w:r>
        <w:rPr>
          <w:rFonts w:hint="eastAsia" w:ascii="宋体" w:hAnsi="宋体" w:eastAsia="宋体" w:cs="宋体"/>
          <w:color w:val="auto"/>
          <w:spacing w:val="0"/>
          <w:position w:val="0"/>
          <w:sz w:val="24"/>
          <w:szCs w:val="24"/>
          <w:highlight w:val="none"/>
          <w:lang w:val="en-US" w:eastAsia="zh-CN"/>
        </w:rPr>
        <w:t>5</w:t>
      </w:r>
      <w:r>
        <w:rPr>
          <w:rFonts w:ascii="宋体" w:hAnsi="宋体" w:eastAsia="宋体" w:cs="宋体"/>
          <w:color w:val="auto"/>
          <w:spacing w:val="0"/>
          <w:position w:val="0"/>
          <w:sz w:val="24"/>
          <w:szCs w:val="24"/>
          <w:highlight w:val="none"/>
          <w:lang w:eastAsia="zh-CN"/>
        </w:rPr>
        <w:t xml:space="preserve">.5 </w:t>
      </w:r>
      <w:bookmarkStart w:id="230" w:name="bookmark52"/>
      <w:bookmarkEnd w:id="230"/>
      <w:r>
        <w:rPr>
          <w:rFonts w:ascii="宋体" w:hAnsi="宋体" w:eastAsia="宋体" w:cs="宋体"/>
          <w:color w:val="auto"/>
          <w:spacing w:val="0"/>
          <w:position w:val="0"/>
          <w:sz w:val="24"/>
          <w:szCs w:val="24"/>
          <w:highlight w:val="none"/>
          <w:lang w:eastAsia="zh-CN"/>
        </w:rPr>
        <w:t>条 ”规定不予退还其</w:t>
      </w:r>
      <w:r>
        <w:rPr>
          <w:rFonts w:hint="eastAsia" w:ascii="宋体" w:hAnsi="宋体" w:eastAsia="宋体" w:cs="宋体"/>
          <w:color w:val="auto"/>
          <w:spacing w:val="0"/>
          <w:position w:val="0"/>
          <w:sz w:val="24"/>
          <w:szCs w:val="24"/>
          <w:highlight w:val="none"/>
          <w:lang w:eastAsia="zh-CN"/>
        </w:rPr>
        <w:t>磋商保证金</w:t>
      </w:r>
      <w:r>
        <w:rPr>
          <w:rFonts w:ascii="宋体" w:hAnsi="宋体" w:eastAsia="宋体" w:cs="宋体"/>
          <w:color w:val="auto"/>
          <w:spacing w:val="0"/>
          <w:position w:val="0"/>
          <w:sz w:val="24"/>
          <w:szCs w:val="24"/>
          <w:highlight w:val="none"/>
          <w:lang w:eastAsia="zh-CN"/>
        </w:rPr>
        <w:t>。</w:t>
      </w:r>
    </w:p>
    <w:p w14:paraId="455575E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31" w:name="_Toc32048"/>
      <w:bookmarkStart w:id="232" w:name="_Toc15719"/>
      <w:bookmarkStart w:id="233" w:name="_Toc1473"/>
      <w:bookmarkStart w:id="234" w:name="_Toc1417"/>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34.适用法律</w:t>
      </w:r>
      <w:bookmarkEnd w:id="231"/>
      <w:bookmarkEnd w:id="232"/>
      <w:bookmarkEnd w:id="233"/>
      <w:bookmarkEnd w:id="234"/>
    </w:p>
    <w:p w14:paraId="2F648715">
      <w:pPr>
        <w:pStyle w:val="9"/>
        <w:keepNext w:val="0"/>
        <w:keepLines w:val="0"/>
        <w:pageBreakBefore w:val="0"/>
        <w:widowControl w:val="0"/>
        <w:kinsoku/>
        <w:wordWrap/>
        <w:overflowPunct/>
        <w:topLinePunct w:val="0"/>
        <w:autoSpaceDE w:val="0"/>
        <w:autoSpaceDN w:val="0"/>
        <w:bidi w:val="0"/>
        <w:adjustRightInd w:val="0"/>
        <w:snapToGrid w:val="0"/>
        <w:spacing w:line="360" w:lineRule="auto"/>
        <w:ind w:left="631" w:leftChars="0" w:hanging="631" w:hangingChars="263"/>
        <w:jc w:val="both"/>
        <w:textAlignment w:val="baseline"/>
        <w:rPr>
          <w:rFonts w:hint="eastAsia" w:ascii="宋体" w:hAnsi="宋体" w:eastAsia="宋体" w:cs="宋体"/>
          <w:bCs/>
          <w:color w:val="auto"/>
          <w:spacing w:val="0"/>
          <w:position w:val="0"/>
          <w:sz w:val="24"/>
          <w:szCs w:val="24"/>
          <w:highlight w:val="none"/>
        </w:rPr>
      </w:pPr>
      <w:r>
        <w:rPr>
          <w:rFonts w:hint="eastAsia" w:hAnsi="宋体" w:eastAsia="宋体" w:cs="宋体"/>
          <w:bCs/>
          <w:color w:val="auto"/>
          <w:spacing w:val="0"/>
          <w:position w:val="0"/>
          <w:sz w:val="24"/>
          <w:szCs w:val="24"/>
          <w:highlight w:val="none"/>
          <w:lang w:val="en-US" w:eastAsia="zh-CN"/>
        </w:rPr>
        <w:t xml:space="preserve">34.1 </w:t>
      </w:r>
      <w:r>
        <w:rPr>
          <w:rFonts w:hint="eastAsia" w:ascii="宋体" w:hAnsi="宋体" w:eastAsia="宋体" w:cs="宋体"/>
          <w:bCs/>
          <w:color w:val="auto"/>
          <w:spacing w:val="0"/>
          <w:position w:val="0"/>
          <w:sz w:val="24"/>
          <w:szCs w:val="24"/>
          <w:highlight w:val="none"/>
        </w:rPr>
        <w:t>采购代理机构及</w:t>
      </w:r>
      <w:r>
        <w:rPr>
          <w:rFonts w:hint="eastAsia" w:hAnsi="宋体" w:eastAsia="宋体" w:cs="宋体"/>
          <w:bCs/>
          <w:color w:val="auto"/>
          <w:spacing w:val="0"/>
          <w:position w:val="0"/>
          <w:sz w:val="24"/>
          <w:szCs w:val="24"/>
          <w:highlight w:val="none"/>
          <w:lang w:eastAsia="zh-CN"/>
        </w:rPr>
        <w:t>供应商</w:t>
      </w:r>
      <w:r>
        <w:rPr>
          <w:rFonts w:hint="eastAsia" w:ascii="宋体" w:hAnsi="宋体" w:eastAsia="宋体" w:cs="宋体"/>
          <w:bCs/>
          <w:color w:val="auto"/>
          <w:spacing w:val="0"/>
          <w:position w:val="0"/>
          <w:sz w:val="24"/>
          <w:szCs w:val="24"/>
          <w:highlight w:val="none"/>
        </w:rPr>
        <w:t>的一切</w:t>
      </w:r>
      <w:r>
        <w:rPr>
          <w:rFonts w:hint="eastAsia" w:hAnsi="宋体" w:eastAsia="宋体" w:cs="宋体"/>
          <w:bCs/>
          <w:color w:val="auto"/>
          <w:spacing w:val="0"/>
          <w:position w:val="0"/>
          <w:sz w:val="24"/>
          <w:szCs w:val="24"/>
          <w:highlight w:val="none"/>
          <w:lang w:val="en-US" w:eastAsia="zh-CN"/>
        </w:rPr>
        <w:t>采购</w:t>
      </w:r>
      <w:r>
        <w:rPr>
          <w:rFonts w:hint="eastAsia" w:ascii="宋体" w:hAnsi="宋体" w:eastAsia="宋体" w:cs="宋体"/>
          <w:bCs/>
          <w:color w:val="auto"/>
          <w:spacing w:val="0"/>
          <w:position w:val="0"/>
          <w:sz w:val="24"/>
          <w:szCs w:val="24"/>
          <w:highlight w:val="none"/>
        </w:rPr>
        <w:t>活动均</w:t>
      </w:r>
      <w:r>
        <w:rPr>
          <w:rFonts w:hint="eastAsia" w:hAnsi="宋体" w:eastAsia="宋体" w:cs="宋体"/>
          <w:bCs/>
          <w:color w:val="auto"/>
          <w:spacing w:val="0"/>
          <w:position w:val="0"/>
          <w:sz w:val="24"/>
          <w:szCs w:val="24"/>
          <w:highlight w:val="none"/>
          <w:lang w:val="en-US" w:eastAsia="zh-CN"/>
        </w:rPr>
        <w:t>参照</w:t>
      </w:r>
      <w:r>
        <w:rPr>
          <w:rFonts w:hint="eastAsia" w:ascii="宋体" w:hAnsi="宋体" w:eastAsia="宋体" w:cs="宋体"/>
          <w:bCs/>
          <w:color w:val="auto"/>
          <w:spacing w:val="0"/>
          <w:position w:val="0"/>
          <w:sz w:val="24"/>
          <w:szCs w:val="24"/>
          <w:highlight w:val="none"/>
        </w:rPr>
        <w:t>于《中华人民共和国政府采购</w:t>
      </w:r>
      <w:r>
        <w:rPr>
          <w:rFonts w:hint="eastAsia" w:ascii="宋体" w:hAnsi="宋体" w:eastAsia="宋体" w:cs="宋体"/>
          <w:bCs/>
          <w:color w:val="auto"/>
          <w:spacing w:val="0"/>
          <w:position w:val="0"/>
          <w:sz w:val="24"/>
          <w:szCs w:val="24"/>
          <w:highlight w:val="none"/>
          <w:lang w:val="en-US" w:eastAsia="zh-CN"/>
        </w:rPr>
        <w:t>法</w:t>
      </w:r>
      <w:r>
        <w:rPr>
          <w:rFonts w:hint="eastAsia" w:ascii="宋体" w:hAnsi="宋体" w:eastAsia="宋体" w:cs="宋体"/>
          <w:bCs/>
          <w:color w:val="auto"/>
          <w:spacing w:val="0"/>
          <w:position w:val="0"/>
          <w:sz w:val="24"/>
          <w:szCs w:val="24"/>
          <w:highlight w:val="none"/>
        </w:rPr>
        <w:t>》及相关规定。</w:t>
      </w:r>
    </w:p>
    <w:p w14:paraId="241DF65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jc w:val="both"/>
        <w:textAlignment w:val="baseline"/>
        <w:outlineLvl w:val="1"/>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bookmarkStart w:id="235" w:name="_Toc11193"/>
      <w:bookmarkStart w:id="236" w:name="_Toc26582"/>
      <w:bookmarkStart w:id="237" w:name="_Toc13900"/>
      <w:bookmarkStart w:id="238" w:name="_Toc1861"/>
      <w:r>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t>35.解释权</w:t>
      </w:r>
      <w:bookmarkEnd w:id="235"/>
      <w:bookmarkEnd w:id="236"/>
      <w:bookmarkEnd w:id="237"/>
      <w:bookmarkEnd w:id="238"/>
    </w:p>
    <w:p w14:paraId="6016A1DD">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jc w:val="both"/>
        <w:textAlignment w:val="baseline"/>
        <w:rPr>
          <w:rFonts w:hint="default"/>
          <w:color w:val="auto"/>
          <w:spacing w:val="0"/>
          <w:position w:val="0"/>
          <w:highlight w:val="none"/>
          <w:u w:val="single"/>
          <w:lang w:val="en-US" w:eastAsia="zh-CN"/>
        </w:rPr>
        <w:sectPr>
          <w:footerReference r:id="rId4" w:type="default"/>
          <w:pgSz w:w="11906" w:h="16839"/>
          <w:pgMar w:top="1440" w:right="1380" w:bottom="1440" w:left="1706" w:header="0" w:footer="1200" w:gutter="0"/>
          <w:pgNumType w:fmt="decimal"/>
          <w:cols w:space="720" w:num="1"/>
        </w:sectPr>
      </w:pPr>
      <w:r>
        <w:rPr>
          <w:rFonts w:hint="eastAsia" w:ascii="宋体" w:hAnsi="宋体" w:eastAsia="宋体" w:cs="宋体"/>
          <w:bCs/>
          <w:color w:val="auto"/>
          <w:spacing w:val="0"/>
          <w:position w:val="0"/>
          <w:sz w:val="24"/>
          <w:szCs w:val="24"/>
          <w:highlight w:val="none"/>
          <w:lang w:val="en-US" w:eastAsia="zh-CN"/>
        </w:rPr>
        <w:t xml:space="preserve">35.1 </w:t>
      </w:r>
      <w:r>
        <w:rPr>
          <w:rFonts w:hint="eastAsia" w:ascii="宋体" w:hAnsi="宋体" w:eastAsia="宋体" w:cs="宋体"/>
          <w:bCs/>
          <w:color w:val="auto"/>
          <w:spacing w:val="0"/>
          <w:position w:val="0"/>
          <w:sz w:val="24"/>
          <w:szCs w:val="24"/>
          <w:highlight w:val="none"/>
        </w:rPr>
        <w:t>本</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是根据国家有关法律、法规以及采购管理有关规定编制，</w:t>
      </w:r>
      <w:r>
        <w:rPr>
          <w:rFonts w:hint="eastAsia" w:ascii="宋体" w:hAnsi="宋体" w:eastAsia="宋体" w:cs="宋体"/>
          <w:bCs/>
          <w:color w:val="auto"/>
          <w:spacing w:val="0"/>
          <w:position w:val="0"/>
          <w:sz w:val="24"/>
          <w:szCs w:val="24"/>
          <w:highlight w:val="none"/>
          <w:lang w:eastAsia="zh-CN"/>
        </w:rPr>
        <w:t>磋商文件</w:t>
      </w:r>
      <w:r>
        <w:rPr>
          <w:rFonts w:hint="eastAsia" w:ascii="宋体" w:hAnsi="宋体" w:eastAsia="宋体" w:cs="宋体"/>
          <w:bCs/>
          <w:color w:val="auto"/>
          <w:spacing w:val="0"/>
          <w:position w:val="0"/>
          <w:sz w:val="24"/>
          <w:szCs w:val="24"/>
          <w:highlight w:val="none"/>
        </w:rPr>
        <w:t>的最终解释权</w:t>
      </w:r>
      <w:bookmarkStart w:id="239" w:name="_Hlk99122309"/>
      <w:r>
        <w:rPr>
          <w:rFonts w:hint="eastAsia" w:ascii="宋体" w:hAnsi="宋体" w:eastAsia="宋体" w:cs="宋体"/>
          <w:bCs/>
          <w:color w:val="auto"/>
          <w:spacing w:val="0"/>
          <w:position w:val="0"/>
          <w:sz w:val="24"/>
          <w:szCs w:val="24"/>
          <w:highlight w:val="none"/>
        </w:rPr>
        <w:t>属于采购人、采购代理机构。</w:t>
      </w:r>
      <w:bookmarkEnd w:id="239"/>
      <w:r>
        <w:rPr>
          <w:rFonts w:hint="eastAsia" w:ascii="宋体" w:hAnsi="宋体" w:eastAsia="宋体" w:cs="宋体"/>
          <w:b/>
          <w:bCs/>
          <w:color w:val="auto"/>
          <w:szCs w:val="24"/>
          <w:highlight w:val="none"/>
          <w:lang w:eastAsia="zh-CN"/>
        </w:rPr>
        <w:t>（注：本项目为企业采购，参照中国政府采购法编制，最终解释权属于采购人、采购代理机构）</w:t>
      </w:r>
    </w:p>
    <w:p w14:paraId="0C315CA9">
      <w:pPr>
        <w:pStyle w:val="2"/>
        <w:keepNext/>
        <w:keepLines/>
        <w:pageBreakBefore w:val="0"/>
        <w:widowControl w:val="0"/>
        <w:numPr>
          <w:ilvl w:val="0"/>
          <w:numId w:val="2"/>
        </w:numPr>
        <w:kinsoku w:val="0"/>
        <w:wordWrap/>
        <w:overflowPunct/>
        <w:topLinePunct w:val="0"/>
        <w:autoSpaceDE w:val="0"/>
        <w:autoSpaceDN w:val="0"/>
        <w:bidi w:val="0"/>
        <w:adjustRightInd w:val="0"/>
        <w:snapToGrid w:val="0"/>
        <w:spacing w:line="240" w:lineRule="auto"/>
        <w:jc w:val="center"/>
        <w:textAlignment w:val="baseline"/>
        <w:rPr>
          <w:rFonts w:hint="eastAsia"/>
          <w:sz w:val="30"/>
          <w:szCs w:val="30"/>
          <w:highlight w:val="none"/>
          <w:lang w:eastAsia="zh-CN"/>
        </w:rPr>
      </w:pPr>
      <w:bookmarkStart w:id="240" w:name="bookmark53"/>
      <w:bookmarkEnd w:id="240"/>
      <w:bookmarkStart w:id="241" w:name="_Toc1921"/>
      <w:r>
        <w:rPr>
          <w:sz w:val="30"/>
          <w:szCs w:val="30"/>
          <w:highlight w:val="none"/>
          <w:lang w:eastAsia="zh-CN"/>
        </w:rPr>
        <w:t>拟签订的合同文本</w:t>
      </w:r>
      <w:r>
        <w:rPr>
          <w:rFonts w:hint="eastAsia"/>
          <w:sz w:val="30"/>
          <w:szCs w:val="30"/>
          <w:highlight w:val="none"/>
          <w:lang w:eastAsia="zh-CN"/>
        </w:rPr>
        <w:t>（</w:t>
      </w:r>
      <w:r>
        <w:rPr>
          <w:rFonts w:hint="eastAsia"/>
          <w:sz w:val="30"/>
          <w:szCs w:val="30"/>
          <w:highlight w:val="none"/>
          <w:lang w:val="en-US" w:eastAsia="zh-CN"/>
        </w:rPr>
        <w:t>参考格式</w:t>
      </w:r>
      <w:r>
        <w:rPr>
          <w:rFonts w:hint="eastAsia"/>
          <w:sz w:val="30"/>
          <w:szCs w:val="30"/>
          <w:highlight w:val="none"/>
          <w:lang w:eastAsia="zh-CN"/>
        </w:rPr>
        <w:t>）</w:t>
      </w:r>
      <w:bookmarkEnd w:id="241"/>
    </w:p>
    <w:p w14:paraId="6EF93BE2">
      <w:pPr>
        <w:adjustRightInd w:val="0"/>
        <w:snapToGrid w:val="0"/>
        <w:spacing w:before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采购合同编号：</w:t>
      </w:r>
    </w:p>
    <w:p w14:paraId="533DD66E">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3AE6BA6E">
      <w:pPr>
        <w:adjustRightInd w:val="0"/>
        <w:snapToGrid w:val="0"/>
        <w:spacing w:line="360" w:lineRule="auto"/>
        <w:ind w:firstLine="6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甲方</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（以下简称</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乙方</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（以下简称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和有关法律法规，遵循平等、自愿、公平和诚实信用原则，同意按照下面的条款和条件订立本采购合同，共同信守。</w:t>
      </w:r>
    </w:p>
    <w:p w14:paraId="1783FC31">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2" w:name="_Toc13230_WPSOffice_Level2"/>
      <w:r>
        <w:rPr>
          <w:rFonts w:hint="eastAsia" w:ascii="宋体" w:hAnsi="宋体" w:eastAsia="宋体" w:cs="宋体"/>
          <w:b/>
          <w:color w:val="auto"/>
          <w:sz w:val="24"/>
          <w:szCs w:val="24"/>
          <w:highlight w:val="none"/>
        </w:rPr>
        <w:t>一、采购合同文件</w:t>
      </w:r>
      <w:bookmarkEnd w:id="242"/>
    </w:p>
    <w:p w14:paraId="7934D00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本采购合同所附下列文件是构成本采购合同不可分割的部分：</w:t>
      </w:r>
    </w:p>
    <w:p w14:paraId="7BDBADDC">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221277A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文件的更正公告、变更公告；</w:t>
      </w:r>
    </w:p>
    <w:p w14:paraId="51A3F73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83E9F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4.采购合同条款；</w:t>
      </w:r>
    </w:p>
    <w:p w14:paraId="3A8DF119">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248A228B">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6.采购合同的其它附件。</w:t>
      </w:r>
    </w:p>
    <w:p w14:paraId="1BC258EB">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3" w:name="_Toc19527_WPSOffice_Level2"/>
      <w:r>
        <w:rPr>
          <w:rFonts w:hint="eastAsia" w:ascii="宋体" w:hAnsi="宋体" w:eastAsia="宋体" w:cs="宋体"/>
          <w:b/>
          <w:color w:val="auto"/>
          <w:sz w:val="24"/>
          <w:szCs w:val="24"/>
          <w:highlight w:val="none"/>
        </w:rPr>
        <w:t>二、采购合同范围和条件</w:t>
      </w:r>
      <w:bookmarkEnd w:id="243"/>
    </w:p>
    <w:p w14:paraId="00349C7A">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本采购合同的范围和条件与上述采购合同文件的规定相一致。</w:t>
      </w:r>
    </w:p>
    <w:p w14:paraId="070B95E1">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4" w:name="_Toc18050_WPSOffice_Level2"/>
      <w:r>
        <w:rPr>
          <w:rFonts w:hint="eastAsia" w:ascii="宋体" w:hAnsi="宋体" w:eastAsia="宋体" w:cs="宋体"/>
          <w:b/>
          <w:color w:val="auto"/>
          <w:sz w:val="24"/>
          <w:szCs w:val="24"/>
          <w:highlight w:val="none"/>
        </w:rPr>
        <w:t>三、采购合同标的</w:t>
      </w:r>
      <w:bookmarkEnd w:id="244"/>
    </w:p>
    <w:p w14:paraId="134AE25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本采购合同的标的和数量为采购合同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清单(同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val="en-US" w:eastAsia="zh-CN"/>
        </w:rPr>
        <w:t>分项价</w:t>
      </w:r>
      <w:r>
        <w:rPr>
          <w:rFonts w:hint="eastAsia" w:ascii="宋体" w:hAnsi="宋体" w:eastAsia="宋体" w:cs="宋体"/>
          <w:color w:val="auto"/>
          <w:sz w:val="24"/>
          <w:szCs w:val="24"/>
          <w:highlight w:val="none"/>
        </w:rPr>
        <w:t>格明细表)中所列服务。</w:t>
      </w:r>
    </w:p>
    <w:p w14:paraId="288B5F6E">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5" w:name="_Toc27886_WPSOffice_Level2"/>
      <w:r>
        <w:rPr>
          <w:rFonts w:hint="eastAsia" w:ascii="宋体" w:hAnsi="宋体" w:eastAsia="宋体" w:cs="宋体"/>
          <w:b/>
          <w:color w:val="auto"/>
          <w:sz w:val="24"/>
          <w:szCs w:val="24"/>
          <w:highlight w:val="none"/>
        </w:rPr>
        <w:t>四、采购合同金额</w:t>
      </w:r>
      <w:bookmarkEnd w:id="245"/>
    </w:p>
    <w:p w14:paraId="249C6110">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根据上述采购合同文件要求，采购合同的总金额为人民币（大写）：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，即RMB________。该合同总价是发生的所有含税费用。本合同执行期间合同总价不变。</w:t>
      </w:r>
    </w:p>
    <w:p w14:paraId="0F7AE287">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w:t>
      </w:r>
      <w:bookmarkStart w:id="246" w:name="_Toc22211_WPSOffice_Level2"/>
      <w:r>
        <w:rPr>
          <w:rFonts w:hint="eastAsia" w:ascii="宋体" w:hAnsi="宋体" w:eastAsia="宋体" w:cs="宋体"/>
          <w:b/>
          <w:color w:val="auto"/>
          <w:sz w:val="24"/>
          <w:szCs w:val="24"/>
          <w:highlight w:val="none"/>
        </w:rPr>
        <w:t>五、付款方式及条件</w:t>
      </w:r>
      <w:bookmarkEnd w:id="246"/>
    </w:p>
    <w:p w14:paraId="4865A383">
      <w:pPr>
        <w:adjustRightInd w:val="0"/>
        <w:snapToGrid w:val="0"/>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CBFF396">
      <w:pPr>
        <w:adjustRightInd w:val="0"/>
        <w:snapToGrid w:val="0"/>
        <w:spacing w:line="360" w:lineRule="auto"/>
        <w:ind w:firstLine="480"/>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2.付款方式：</w:t>
      </w:r>
      <w:r>
        <w:rPr>
          <w:rFonts w:hint="eastAsia" w:ascii="宋体" w:hAnsi="宋体" w:eastAsia="宋体" w:cs="宋体"/>
          <w:color w:val="auto"/>
          <w:sz w:val="24"/>
          <w:szCs w:val="24"/>
          <w:highlight w:val="none"/>
          <w:u w:val="single"/>
          <w:lang w:val="en-US" w:eastAsia="zh-CN"/>
        </w:rPr>
        <w:t xml:space="preserve">                    </w:t>
      </w:r>
    </w:p>
    <w:p w14:paraId="7B4681C9">
      <w:pPr>
        <w:adjustRightInd w:val="0"/>
        <w:snapToGrid w:val="0"/>
        <w:spacing w:line="360" w:lineRule="auto"/>
        <w:jc w:val="both"/>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 xml:space="preserve">    3.付款条件：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0C31F93B">
      <w:pPr>
        <w:adjustRightInd w:val="0"/>
        <w:snapToGrid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　　</w:t>
      </w:r>
      <w:bookmarkStart w:id="247" w:name="_Toc27813_WPSOffice_Level2"/>
      <w:r>
        <w:rPr>
          <w:rFonts w:hint="eastAsia" w:ascii="宋体" w:hAnsi="宋体" w:eastAsia="宋体" w:cs="宋体"/>
          <w:b/>
          <w:color w:val="auto"/>
          <w:sz w:val="24"/>
          <w:szCs w:val="24"/>
          <w:highlight w:val="none"/>
        </w:rPr>
        <w:t>六、</w:t>
      </w:r>
      <w:bookmarkEnd w:id="247"/>
      <w:r>
        <w:rPr>
          <w:rFonts w:hint="eastAsia" w:ascii="宋体" w:hAnsi="宋体" w:eastAsia="宋体" w:cs="宋体"/>
          <w:b/>
          <w:color w:val="auto"/>
          <w:sz w:val="24"/>
          <w:szCs w:val="24"/>
          <w:highlight w:val="none"/>
          <w:lang w:val="en-US" w:eastAsia="zh-CN"/>
        </w:rPr>
        <w:t>服务时间和服务地点</w:t>
      </w:r>
    </w:p>
    <w:p w14:paraId="7F2BBE38">
      <w:pPr>
        <w:adjustRightInd w:val="0"/>
        <w:snapToGrid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 xml:space="preserve">                    </w:t>
      </w:r>
    </w:p>
    <w:p w14:paraId="29CBE1AF">
      <w:pPr>
        <w:adjustRightInd w:val="0"/>
        <w:snapToGrid w:val="0"/>
        <w:spacing w:line="360" w:lineRule="auto"/>
        <w:jc w:val="both"/>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lang w:val="en-US" w:eastAsia="zh-CN"/>
        </w:rPr>
        <w:t xml:space="preserve">                    </w:t>
      </w:r>
    </w:p>
    <w:p w14:paraId="4DB35754">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售后服务</w:t>
      </w:r>
    </w:p>
    <w:p w14:paraId="0F1D2169">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lang w:val="en-US" w:eastAsia="zh-CN"/>
        </w:rPr>
        <w:t xml:space="preserve">                                    </w:t>
      </w:r>
      <w:bookmarkStart w:id="248" w:name="_Toc12497_WPSOffice_Level2"/>
    </w:p>
    <w:p w14:paraId="7352520D">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、验收要求</w:t>
      </w:r>
      <w:bookmarkEnd w:id="248"/>
    </w:p>
    <w:p w14:paraId="20FC6D25">
      <w:pPr>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val="en-US" w:eastAsia="zh-CN"/>
        </w:rPr>
        <w:t xml:space="preserve">                                     </w:t>
      </w:r>
    </w:p>
    <w:p w14:paraId="2BFD961C">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完全履行合同义务后，</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的最终用户按照采购合同文件列明的标准进行验收，验收不合格的，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需按照约定承担相应违约责任。</w:t>
      </w:r>
    </w:p>
    <w:p w14:paraId="6E448C22">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49" w:name="_Toc4868_WPSOffice_Level2"/>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bookmarkEnd w:id="249"/>
    </w:p>
    <w:p w14:paraId="672F9883">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1.甲方无正当理由拒付</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款的，由甲方向乙方偿付合同总价的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p>
    <w:p w14:paraId="1EBB1A47">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2.甲方应在合同规定时间内向乙方支付</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款，每逾期</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天甲方向乙方偿付欠款总额的</w:t>
      </w:r>
      <w:r>
        <w:rPr>
          <w:rFonts w:hint="eastAsia" w:ascii="宋体" w:hAnsi="宋体" w:eastAsia="宋体" w:cs="宋体"/>
          <w:strike w:val="0"/>
          <w:dstrike w:val="0"/>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滞纳金，累计滞纳金总额不超过欠款总额的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4198A45">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逾期</w:t>
      </w:r>
      <w:r>
        <w:rPr>
          <w:rFonts w:hint="eastAsia" w:ascii="宋体" w:hAnsi="宋体" w:eastAsia="宋体" w:cs="宋体"/>
          <w:color w:val="auto"/>
          <w:sz w:val="24"/>
          <w:szCs w:val="24"/>
          <w:highlight w:val="none"/>
          <w:lang w:val="en-US" w:eastAsia="zh-CN"/>
        </w:rPr>
        <w:t>提供服务</w:t>
      </w:r>
      <w:r>
        <w:rPr>
          <w:rFonts w:hint="eastAsia" w:ascii="宋体" w:hAnsi="宋体" w:eastAsia="宋体" w:cs="宋体"/>
          <w:color w:val="auto"/>
          <w:sz w:val="24"/>
          <w:szCs w:val="24"/>
          <w:highlight w:val="none"/>
        </w:rPr>
        <w:t>的，每逾期一天向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支付逾期</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有权单方面解除本协议。</w:t>
      </w:r>
    </w:p>
    <w:p w14:paraId="5B8020D5">
      <w:pPr>
        <w:adjustRightInd w:val="0"/>
        <w:snapToGrid w:val="0"/>
        <w:spacing w:line="360" w:lineRule="auto"/>
        <w:ind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如乙方未能履行合同规定的其它义务，乙方在收到甲方发出的违约通知后30天内，或经甲方书面认可延长的时间内未能纠正其过失。甲方可向乙方发出书面通知，终止部分或全部合同。在这种情况下，并不影响甲方向乙方提出的索赔。</w:t>
      </w:r>
    </w:p>
    <w:p w14:paraId="1808FBA2">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逾期付款的，每逾期一天向</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支付逾期金额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%的违约金，逾期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日的，</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有权单方面解除本协议。</w:t>
      </w:r>
    </w:p>
    <w:p w14:paraId="464024A2">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50" w:name="_Toc24496_WPSOffice_Level2"/>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、争议解决</w:t>
      </w:r>
      <w:bookmarkEnd w:id="250"/>
    </w:p>
    <w:p w14:paraId="3EB18AC9">
      <w:pPr>
        <w:adjustRightInd w:val="0"/>
        <w:snapToGrid w:val="0"/>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双方因履行本协议而产生的争议，应友好协商解决，如果协商或调解不能解决争议，则提请仲裁委员会按照其仲裁规则进行仲裁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任何一方可向</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所在地的人民法院提起诉讼。</w:t>
      </w:r>
    </w:p>
    <w:p w14:paraId="5A47A1DC">
      <w:pPr>
        <w:adjustRightInd w:val="0"/>
        <w:snapToGrid w:val="0"/>
        <w:spacing w:line="360" w:lineRule="auto"/>
        <w:ind w:firstLine="482" w:firstLineChars="200"/>
        <w:jc w:val="both"/>
        <w:rPr>
          <w:rFonts w:hint="eastAsia" w:ascii="宋体" w:hAnsi="宋体" w:eastAsia="宋体" w:cs="宋体"/>
          <w:b/>
          <w:color w:val="auto"/>
          <w:sz w:val="24"/>
          <w:szCs w:val="24"/>
          <w:highlight w:val="none"/>
        </w:rPr>
      </w:pPr>
      <w:bookmarkStart w:id="251" w:name="_Toc24974_WPSOffice_Level2"/>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、合同生效</w:t>
      </w:r>
      <w:bookmarkEnd w:id="251"/>
    </w:p>
    <w:p w14:paraId="21D226D0">
      <w:pPr>
        <w:adjustRightInd w:val="0"/>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本采购合同经双方授权代表签字盖章后生效。</w:t>
      </w:r>
    </w:p>
    <w:p w14:paraId="353CBEDD">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 xml:space="preserve">（公章）: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(公章):</w:t>
      </w:r>
    </w:p>
    <w:p w14:paraId="2C4F2FE4">
      <w:pPr>
        <w:adjustRightInd w:val="0"/>
        <w:snapToGrid w:val="0"/>
        <w:spacing w:line="360" w:lineRule="auto"/>
        <w:ind w:left="6719" w:leftChars="228" w:hanging="6240" w:hangingChars="26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法定代表人或授权代表人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2E2F8CA0">
      <w:pPr>
        <w:adjustRightInd w:val="0"/>
        <w:snapToGrid w:val="0"/>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(签字):  </w:t>
      </w:r>
    </w:p>
    <w:p w14:paraId="2955DBE0">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地址：</w:t>
      </w:r>
    </w:p>
    <w:p w14:paraId="28209C11">
      <w:pPr>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w:t>
      </w:r>
    </w:p>
    <w:p w14:paraId="60ADD745">
      <w:pPr>
        <w:adjustRightInd w:val="0"/>
        <w:snapToGrid w:val="0"/>
        <w:spacing w:line="360" w:lineRule="auto"/>
        <w:ind w:firstLine="480" w:firstLineChars="200"/>
        <w:jc w:val="both"/>
        <w:rPr>
          <w:rFonts w:hint="eastAsia"/>
          <w:color w:val="auto"/>
          <w:highlight w:val="none"/>
        </w:rPr>
      </w:pPr>
      <w:r>
        <w:rPr>
          <w:rFonts w:hint="eastAsia" w:ascii="宋体" w:hAnsi="宋体" w:eastAsia="宋体" w:cs="宋体"/>
          <w:color w:val="auto"/>
          <w:sz w:val="24"/>
          <w:szCs w:val="24"/>
          <w:highlight w:val="none"/>
        </w:rPr>
        <w:t xml:space="preserve">电话：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39655D89">
      <w:pPr>
        <w:adjustRightInd w:val="0"/>
        <w:snapToGrid w:val="0"/>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传真：</w:t>
      </w:r>
    </w:p>
    <w:p w14:paraId="2FCD1972">
      <w:pPr>
        <w:pStyle w:val="8"/>
        <w:keepNext w:val="0"/>
        <w:keepLines w:val="0"/>
        <w:pageBreakBefore w:val="0"/>
        <w:kinsoku w:val="0"/>
        <w:wordWrap/>
        <w:overflowPunct/>
        <w:topLinePunct w:val="0"/>
        <w:autoSpaceDE w:val="0"/>
        <w:autoSpaceDN w:val="0"/>
        <w:bidi w:val="0"/>
        <w:adjustRightInd w:val="0"/>
        <w:snapToGrid w:val="0"/>
        <w:spacing w:line="360" w:lineRule="auto"/>
        <w:ind w:left="0" w:leftChars="0" w:right="344" w:rightChars="164"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14:paraId="4EEEB760">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lang w:eastAsia="zh-CN"/>
        </w:rPr>
      </w:pPr>
    </w:p>
    <w:p w14:paraId="0BCDE0C4">
      <w:pPr>
        <w:pStyle w:val="2"/>
        <w:bidi w:val="0"/>
        <w:jc w:val="center"/>
        <w:rPr>
          <w:highlight w:val="none"/>
          <w:lang w:eastAsia="zh-CN"/>
        </w:rPr>
      </w:pPr>
      <w:bookmarkStart w:id="252" w:name="_Toc28886"/>
      <w:r>
        <w:rPr>
          <w:highlight w:val="none"/>
          <w:lang w:eastAsia="zh-CN"/>
        </w:rPr>
        <w:t xml:space="preserve">第四章  </w:t>
      </w:r>
      <w:r>
        <w:rPr>
          <w:rFonts w:hint="eastAsia"/>
          <w:highlight w:val="none"/>
          <w:lang w:eastAsia="zh-CN"/>
        </w:rPr>
        <w:t>响应文件</w:t>
      </w:r>
      <w:r>
        <w:rPr>
          <w:highlight w:val="none"/>
          <w:lang w:eastAsia="zh-CN"/>
        </w:rPr>
        <w:t>格式</w:t>
      </w:r>
      <w:bookmarkEnd w:id="252"/>
    </w:p>
    <w:p w14:paraId="57236709">
      <w:pPr>
        <w:pageBreakBefore w:val="0"/>
        <w:widowControl w:val="0"/>
        <w:wordWrap/>
        <w:overflowPunct/>
        <w:topLinePunct w:val="0"/>
        <w:bidi w:val="0"/>
        <w:spacing w:line="269" w:lineRule="auto"/>
        <w:jc w:val="center"/>
        <w:rPr>
          <w:color w:val="auto"/>
          <w:highlight w:val="none"/>
          <w:lang w:eastAsia="zh-CN"/>
        </w:rPr>
      </w:pPr>
    </w:p>
    <w:p w14:paraId="721FB9F7">
      <w:pPr>
        <w:pageBreakBefore w:val="0"/>
        <w:widowControl w:val="0"/>
        <w:wordWrap/>
        <w:overflowPunct/>
        <w:topLinePunct w:val="0"/>
        <w:bidi w:val="0"/>
        <w:spacing w:line="269" w:lineRule="auto"/>
        <w:jc w:val="center"/>
        <w:rPr>
          <w:color w:val="auto"/>
          <w:highlight w:val="none"/>
          <w:lang w:eastAsia="zh-CN"/>
        </w:rPr>
      </w:pPr>
    </w:p>
    <w:p w14:paraId="33267812">
      <w:pPr>
        <w:pageBreakBefore w:val="0"/>
        <w:widowControl w:val="0"/>
        <w:wordWrap/>
        <w:overflowPunct/>
        <w:topLinePunct w:val="0"/>
        <w:bidi w:val="0"/>
        <w:spacing w:line="269" w:lineRule="auto"/>
        <w:jc w:val="center"/>
        <w:rPr>
          <w:color w:val="auto"/>
          <w:highlight w:val="none"/>
          <w:lang w:eastAsia="zh-CN"/>
        </w:rPr>
      </w:pPr>
    </w:p>
    <w:p w14:paraId="66689C8F">
      <w:pPr>
        <w:pageBreakBefore w:val="0"/>
        <w:widowControl w:val="0"/>
        <w:wordWrap/>
        <w:overflowPunct/>
        <w:topLinePunct w:val="0"/>
        <w:bidi w:val="0"/>
        <w:spacing w:line="269" w:lineRule="auto"/>
        <w:jc w:val="center"/>
        <w:rPr>
          <w:color w:val="auto"/>
          <w:highlight w:val="none"/>
          <w:lang w:eastAsia="zh-CN"/>
        </w:rPr>
      </w:pPr>
    </w:p>
    <w:p w14:paraId="09BEE797">
      <w:pPr>
        <w:pageBreakBefore w:val="0"/>
        <w:widowControl w:val="0"/>
        <w:wordWrap/>
        <w:overflowPunct/>
        <w:topLinePunct w:val="0"/>
        <w:bidi w:val="0"/>
        <w:spacing w:before="100" w:line="225" w:lineRule="auto"/>
        <w:jc w:val="center"/>
        <w:rPr>
          <w:rFonts w:ascii="宋体" w:hAnsi="宋体" w:eastAsia="宋体" w:cs="宋体"/>
          <w:color w:val="auto"/>
          <w:sz w:val="31"/>
          <w:szCs w:val="31"/>
          <w:highlight w:val="none"/>
          <w:lang w:eastAsia="zh-CN"/>
        </w:rPr>
      </w:pPr>
      <w:r>
        <w:rPr>
          <w:rFonts w:hint="eastAsia" w:ascii="宋体" w:hAnsi="宋体" w:eastAsia="宋体" w:cs="宋体"/>
          <w:color w:val="auto"/>
          <w:spacing w:val="-5"/>
          <w:sz w:val="31"/>
          <w:szCs w:val="31"/>
          <w:highlight w:val="none"/>
          <w:lang w:val="en-US" w:eastAsia="zh-CN"/>
          <w14:textOutline w14:w="5791" w14:cap="sq" w14:cmpd="sng" w14:algn="ctr">
            <w14:solidFill>
              <w14:srgbClr w14:val="000000"/>
            </w14:solidFill>
            <w14:prstDash w14:val="solid"/>
            <w14:bevel/>
          </w14:textOutline>
        </w:rPr>
        <w:t>磋 商 响 应</w:t>
      </w:r>
      <w:r>
        <w:rPr>
          <w:rFonts w:ascii="宋体" w:hAnsi="宋体" w:eastAsia="宋体" w:cs="宋体"/>
          <w:color w:val="auto"/>
          <w:spacing w:val="21"/>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19"/>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件</w:t>
      </w:r>
    </w:p>
    <w:p w14:paraId="3410B60D">
      <w:pPr>
        <w:pageBreakBefore w:val="0"/>
        <w:widowControl w:val="0"/>
        <w:wordWrap/>
        <w:overflowPunct/>
        <w:topLinePunct w:val="0"/>
        <w:bidi w:val="0"/>
        <w:jc w:val="center"/>
        <w:rPr>
          <w:color w:val="auto"/>
          <w:highlight w:val="none"/>
          <w:lang w:eastAsia="zh-CN"/>
        </w:rPr>
      </w:pPr>
    </w:p>
    <w:p w14:paraId="527F7A84">
      <w:pPr>
        <w:pageBreakBefore w:val="0"/>
        <w:widowControl w:val="0"/>
        <w:wordWrap/>
        <w:overflowPunct/>
        <w:topLinePunct w:val="0"/>
        <w:bidi w:val="0"/>
        <w:rPr>
          <w:color w:val="auto"/>
          <w:highlight w:val="none"/>
          <w:lang w:eastAsia="zh-CN"/>
        </w:rPr>
      </w:pPr>
    </w:p>
    <w:p w14:paraId="74B9E822">
      <w:pPr>
        <w:pageBreakBefore w:val="0"/>
        <w:widowControl w:val="0"/>
        <w:wordWrap/>
        <w:overflowPunct/>
        <w:topLinePunct w:val="0"/>
        <w:bidi w:val="0"/>
        <w:rPr>
          <w:color w:val="auto"/>
          <w:highlight w:val="none"/>
          <w:lang w:eastAsia="zh-CN"/>
        </w:rPr>
      </w:pPr>
    </w:p>
    <w:p w14:paraId="4F2B5E9E">
      <w:pPr>
        <w:pageBreakBefore w:val="0"/>
        <w:widowControl w:val="0"/>
        <w:wordWrap/>
        <w:overflowPunct/>
        <w:topLinePunct w:val="0"/>
        <w:bidi w:val="0"/>
        <w:rPr>
          <w:color w:val="auto"/>
          <w:highlight w:val="none"/>
          <w:lang w:eastAsia="zh-CN"/>
        </w:rPr>
      </w:pPr>
    </w:p>
    <w:p w14:paraId="0CD036E5">
      <w:pPr>
        <w:pageBreakBefore w:val="0"/>
        <w:widowControl w:val="0"/>
        <w:wordWrap/>
        <w:overflowPunct/>
        <w:topLinePunct w:val="0"/>
        <w:bidi w:val="0"/>
        <w:rPr>
          <w:color w:val="auto"/>
          <w:highlight w:val="none"/>
          <w:lang w:eastAsia="zh-CN"/>
        </w:rPr>
      </w:pPr>
    </w:p>
    <w:p w14:paraId="2F2C135F">
      <w:pPr>
        <w:pageBreakBefore w:val="0"/>
        <w:widowControl w:val="0"/>
        <w:wordWrap/>
        <w:overflowPunct/>
        <w:topLinePunct w:val="0"/>
        <w:bidi w:val="0"/>
        <w:rPr>
          <w:color w:val="auto"/>
          <w:highlight w:val="none"/>
          <w:lang w:eastAsia="zh-CN"/>
        </w:rPr>
      </w:pPr>
    </w:p>
    <w:p w14:paraId="7BDD9BB7">
      <w:pPr>
        <w:pageBreakBefore w:val="0"/>
        <w:widowControl w:val="0"/>
        <w:wordWrap/>
        <w:overflowPunct/>
        <w:topLinePunct w:val="0"/>
        <w:bidi w:val="0"/>
        <w:rPr>
          <w:color w:val="auto"/>
          <w:highlight w:val="none"/>
          <w:lang w:eastAsia="zh-CN"/>
        </w:rPr>
      </w:pPr>
    </w:p>
    <w:p w14:paraId="4C859C55">
      <w:pPr>
        <w:pageBreakBefore w:val="0"/>
        <w:widowControl w:val="0"/>
        <w:wordWrap/>
        <w:overflowPunct/>
        <w:topLinePunct w:val="0"/>
        <w:bidi w:val="0"/>
        <w:rPr>
          <w:color w:val="auto"/>
          <w:highlight w:val="none"/>
          <w:lang w:eastAsia="zh-CN"/>
        </w:rPr>
      </w:pPr>
    </w:p>
    <w:p w14:paraId="5932539E">
      <w:pPr>
        <w:pageBreakBefore w:val="0"/>
        <w:widowControl w:val="0"/>
        <w:wordWrap/>
        <w:overflowPunct/>
        <w:topLinePunct w:val="0"/>
        <w:bidi w:val="0"/>
        <w:spacing w:line="241" w:lineRule="auto"/>
        <w:rPr>
          <w:color w:val="auto"/>
          <w:highlight w:val="none"/>
          <w:lang w:eastAsia="zh-CN"/>
        </w:rPr>
      </w:pPr>
    </w:p>
    <w:p w14:paraId="4EA87AA9">
      <w:pPr>
        <w:pageBreakBefore w:val="0"/>
        <w:widowControl w:val="0"/>
        <w:wordWrap/>
        <w:overflowPunct/>
        <w:topLinePunct w:val="0"/>
        <w:bidi w:val="0"/>
        <w:spacing w:line="241" w:lineRule="auto"/>
        <w:rPr>
          <w:color w:val="auto"/>
          <w:highlight w:val="none"/>
          <w:lang w:eastAsia="zh-CN"/>
        </w:rPr>
      </w:pPr>
    </w:p>
    <w:p w14:paraId="0C7F9968">
      <w:pPr>
        <w:pageBreakBefore w:val="0"/>
        <w:widowControl w:val="0"/>
        <w:wordWrap/>
        <w:overflowPunct/>
        <w:topLinePunct w:val="0"/>
        <w:bidi w:val="0"/>
        <w:spacing w:line="241" w:lineRule="auto"/>
        <w:rPr>
          <w:color w:val="auto"/>
          <w:highlight w:val="none"/>
          <w:lang w:eastAsia="zh-CN"/>
        </w:rPr>
      </w:pPr>
    </w:p>
    <w:p w14:paraId="36504F9E">
      <w:pPr>
        <w:pageBreakBefore w:val="0"/>
        <w:widowControl w:val="0"/>
        <w:wordWrap/>
        <w:overflowPunct/>
        <w:topLinePunct w:val="0"/>
        <w:bidi w:val="0"/>
        <w:spacing w:line="241" w:lineRule="auto"/>
        <w:rPr>
          <w:color w:val="auto"/>
          <w:highlight w:val="none"/>
          <w:lang w:eastAsia="zh-CN"/>
        </w:rPr>
      </w:pPr>
    </w:p>
    <w:p w14:paraId="11EBD63A">
      <w:pPr>
        <w:pageBreakBefore w:val="0"/>
        <w:widowControl w:val="0"/>
        <w:wordWrap/>
        <w:overflowPunct/>
        <w:topLinePunct w:val="0"/>
        <w:bidi w:val="0"/>
        <w:spacing w:line="241" w:lineRule="auto"/>
        <w:rPr>
          <w:color w:val="auto"/>
          <w:highlight w:val="none"/>
          <w:lang w:eastAsia="zh-CN"/>
        </w:rPr>
      </w:pPr>
    </w:p>
    <w:p w14:paraId="5D3C47F5">
      <w:pPr>
        <w:pageBreakBefore w:val="0"/>
        <w:widowControl w:val="0"/>
        <w:wordWrap/>
        <w:overflowPunct/>
        <w:topLinePunct w:val="0"/>
        <w:bidi w:val="0"/>
        <w:spacing w:line="241" w:lineRule="auto"/>
        <w:rPr>
          <w:color w:val="auto"/>
          <w:highlight w:val="none"/>
          <w:lang w:eastAsia="zh-CN"/>
        </w:rPr>
      </w:pPr>
    </w:p>
    <w:p w14:paraId="1DC09254">
      <w:pPr>
        <w:pageBreakBefore w:val="0"/>
        <w:widowControl w:val="0"/>
        <w:wordWrap/>
        <w:overflowPunct/>
        <w:topLinePunct w:val="0"/>
        <w:bidi w:val="0"/>
        <w:spacing w:line="241" w:lineRule="auto"/>
        <w:rPr>
          <w:color w:val="auto"/>
          <w:highlight w:val="none"/>
          <w:lang w:eastAsia="zh-CN"/>
        </w:rPr>
      </w:pPr>
    </w:p>
    <w:p w14:paraId="160D14CE">
      <w:pPr>
        <w:pageBreakBefore w:val="0"/>
        <w:widowControl w:val="0"/>
        <w:wordWrap/>
        <w:overflowPunct/>
        <w:topLinePunct w:val="0"/>
        <w:bidi w:val="0"/>
        <w:spacing w:line="241" w:lineRule="auto"/>
        <w:rPr>
          <w:color w:val="auto"/>
          <w:highlight w:val="none"/>
          <w:lang w:eastAsia="zh-CN"/>
        </w:rPr>
      </w:pPr>
    </w:p>
    <w:p w14:paraId="0C7FB1AD">
      <w:pPr>
        <w:pageBreakBefore w:val="0"/>
        <w:widowControl w:val="0"/>
        <w:wordWrap/>
        <w:overflowPunct/>
        <w:topLinePunct w:val="0"/>
        <w:bidi w:val="0"/>
        <w:spacing w:before="78" w:line="220"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项目名称：</w:t>
      </w:r>
    </w:p>
    <w:p w14:paraId="1582FA54">
      <w:pPr>
        <w:pageBreakBefore w:val="0"/>
        <w:widowControl w:val="0"/>
        <w:wordWrap/>
        <w:overflowPunct/>
        <w:topLinePunct w:val="0"/>
        <w:bidi w:val="0"/>
        <w:spacing w:line="258" w:lineRule="auto"/>
        <w:rPr>
          <w:color w:val="auto"/>
          <w:highlight w:val="none"/>
          <w:lang w:eastAsia="zh-CN"/>
        </w:rPr>
      </w:pPr>
    </w:p>
    <w:p w14:paraId="2BE9A9A3">
      <w:pPr>
        <w:pageBreakBefore w:val="0"/>
        <w:widowControl w:val="0"/>
        <w:wordWrap/>
        <w:overflowPunct/>
        <w:topLinePunct w:val="0"/>
        <w:bidi w:val="0"/>
        <w:spacing w:line="258" w:lineRule="auto"/>
        <w:rPr>
          <w:color w:val="auto"/>
          <w:highlight w:val="none"/>
          <w:lang w:eastAsia="zh-CN"/>
        </w:rPr>
      </w:pPr>
    </w:p>
    <w:p w14:paraId="252FF6CC">
      <w:pPr>
        <w:pageBreakBefore w:val="0"/>
        <w:widowControl w:val="0"/>
        <w:wordWrap/>
        <w:overflowPunct/>
        <w:topLinePunct w:val="0"/>
        <w:bidi w:val="0"/>
        <w:spacing w:line="258" w:lineRule="auto"/>
        <w:rPr>
          <w:color w:val="auto"/>
          <w:highlight w:val="none"/>
          <w:lang w:eastAsia="zh-CN"/>
        </w:rPr>
      </w:pPr>
    </w:p>
    <w:p w14:paraId="61E51377">
      <w:pPr>
        <w:pageBreakBefore w:val="0"/>
        <w:widowControl w:val="0"/>
        <w:wordWrap/>
        <w:overflowPunct/>
        <w:topLinePunct w:val="0"/>
        <w:bidi w:val="0"/>
        <w:spacing w:line="259" w:lineRule="auto"/>
        <w:rPr>
          <w:color w:val="auto"/>
          <w:highlight w:val="none"/>
          <w:lang w:eastAsia="zh-CN"/>
        </w:rPr>
      </w:pPr>
    </w:p>
    <w:p w14:paraId="60FB6ACC">
      <w:pPr>
        <w:pageBreakBefore w:val="0"/>
        <w:widowControl w:val="0"/>
        <w:wordWrap/>
        <w:overflowPunct/>
        <w:topLinePunct w:val="0"/>
        <w:bidi w:val="0"/>
        <w:spacing w:before="79" w:line="219"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项目编号：</w:t>
      </w:r>
    </w:p>
    <w:p w14:paraId="0D3F0CF5">
      <w:pPr>
        <w:pageBreakBefore w:val="0"/>
        <w:widowControl w:val="0"/>
        <w:wordWrap/>
        <w:overflowPunct/>
        <w:topLinePunct w:val="0"/>
        <w:bidi w:val="0"/>
        <w:spacing w:line="245" w:lineRule="auto"/>
        <w:rPr>
          <w:color w:val="auto"/>
          <w:highlight w:val="none"/>
          <w:lang w:eastAsia="zh-CN"/>
        </w:rPr>
      </w:pPr>
    </w:p>
    <w:p w14:paraId="2F52585E">
      <w:pPr>
        <w:pageBreakBefore w:val="0"/>
        <w:widowControl w:val="0"/>
        <w:wordWrap/>
        <w:overflowPunct/>
        <w:topLinePunct w:val="0"/>
        <w:bidi w:val="0"/>
        <w:spacing w:line="245" w:lineRule="auto"/>
        <w:rPr>
          <w:color w:val="auto"/>
          <w:highlight w:val="none"/>
          <w:lang w:eastAsia="zh-CN"/>
        </w:rPr>
      </w:pPr>
    </w:p>
    <w:p w14:paraId="018C8678">
      <w:pPr>
        <w:pageBreakBefore w:val="0"/>
        <w:widowControl w:val="0"/>
        <w:wordWrap/>
        <w:overflowPunct/>
        <w:topLinePunct w:val="0"/>
        <w:bidi w:val="0"/>
        <w:spacing w:line="245" w:lineRule="auto"/>
        <w:rPr>
          <w:color w:val="auto"/>
          <w:highlight w:val="none"/>
          <w:lang w:eastAsia="zh-CN"/>
        </w:rPr>
      </w:pPr>
    </w:p>
    <w:p w14:paraId="0E80AFAA">
      <w:pPr>
        <w:pageBreakBefore w:val="0"/>
        <w:widowControl w:val="0"/>
        <w:wordWrap/>
        <w:overflowPunct/>
        <w:topLinePunct w:val="0"/>
        <w:bidi w:val="0"/>
        <w:spacing w:line="245" w:lineRule="auto"/>
        <w:rPr>
          <w:color w:val="auto"/>
          <w:highlight w:val="none"/>
          <w:lang w:eastAsia="zh-CN"/>
        </w:rPr>
      </w:pPr>
    </w:p>
    <w:p w14:paraId="10788460">
      <w:pPr>
        <w:pageBreakBefore w:val="0"/>
        <w:widowControl w:val="0"/>
        <w:wordWrap/>
        <w:overflowPunct/>
        <w:topLinePunct w:val="0"/>
        <w:bidi w:val="0"/>
        <w:spacing w:line="246" w:lineRule="auto"/>
        <w:rPr>
          <w:color w:val="auto"/>
          <w:highlight w:val="none"/>
          <w:lang w:eastAsia="zh-CN"/>
        </w:rPr>
      </w:pPr>
    </w:p>
    <w:p w14:paraId="554A2FE5">
      <w:pPr>
        <w:pageBreakBefore w:val="0"/>
        <w:widowControl w:val="0"/>
        <w:wordWrap/>
        <w:overflowPunct/>
        <w:topLinePunct w:val="0"/>
        <w:bidi w:val="0"/>
        <w:spacing w:line="246" w:lineRule="auto"/>
        <w:rPr>
          <w:color w:val="auto"/>
          <w:highlight w:val="none"/>
          <w:lang w:eastAsia="zh-CN"/>
        </w:rPr>
      </w:pPr>
    </w:p>
    <w:p w14:paraId="4C00E6B6">
      <w:pPr>
        <w:pageBreakBefore w:val="0"/>
        <w:widowControl w:val="0"/>
        <w:wordWrap/>
        <w:overflowPunct/>
        <w:topLinePunct w:val="0"/>
        <w:bidi w:val="0"/>
        <w:spacing w:line="246" w:lineRule="auto"/>
        <w:rPr>
          <w:color w:val="auto"/>
          <w:highlight w:val="none"/>
          <w:lang w:eastAsia="zh-CN"/>
        </w:rPr>
      </w:pPr>
    </w:p>
    <w:p w14:paraId="4EDFF70D">
      <w:pPr>
        <w:pageBreakBefore w:val="0"/>
        <w:widowControl w:val="0"/>
        <w:wordWrap/>
        <w:overflowPunct/>
        <w:topLinePunct w:val="0"/>
        <w:bidi w:val="0"/>
        <w:spacing w:line="246" w:lineRule="auto"/>
        <w:rPr>
          <w:color w:val="auto"/>
          <w:highlight w:val="none"/>
          <w:lang w:eastAsia="zh-CN"/>
        </w:rPr>
      </w:pPr>
    </w:p>
    <w:p w14:paraId="4E2D3156">
      <w:pPr>
        <w:pageBreakBefore w:val="0"/>
        <w:widowControl w:val="0"/>
        <w:wordWrap/>
        <w:overflowPunct/>
        <w:topLinePunct w:val="0"/>
        <w:bidi w:val="0"/>
        <w:spacing w:before="78" w:line="219" w:lineRule="auto"/>
        <w:ind w:left="336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（签章）</w:t>
      </w:r>
    </w:p>
    <w:p w14:paraId="0F9139E2">
      <w:pPr>
        <w:pageBreakBefore w:val="0"/>
        <w:widowControl w:val="0"/>
        <w:wordWrap/>
        <w:overflowPunct/>
        <w:topLinePunct w:val="0"/>
        <w:bidi w:val="0"/>
        <w:spacing w:line="285" w:lineRule="auto"/>
        <w:rPr>
          <w:color w:val="auto"/>
          <w:highlight w:val="none"/>
          <w:lang w:eastAsia="zh-CN"/>
        </w:rPr>
      </w:pPr>
    </w:p>
    <w:p w14:paraId="0510BBF6">
      <w:pPr>
        <w:pageBreakBefore w:val="0"/>
        <w:widowControl w:val="0"/>
        <w:wordWrap/>
        <w:overflowPunct/>
        <w:topLinePunct w:val="0"/>
        <w:bidi w:val="0"/>
        <w:spacing w:line="285" w:lineRule="auto"/>
        <w:rPr>
          <w:color w:val="auto"/>
          <w:highlight w:val="none"/>
          <w:lang w:eastAsia="zh-CN"/>
        </w:rPr>
      </w:pPr>
    </w:p>
    <w:p w14:paraId="0F7FA8A4">
      <w:pPr>
        <w:pageBreakBefore w:val="0"/>
        <w:widowControl w:val="0"/>
        <w:wordWrap/>
        <w:overflowPunct/>
        <w:topLinePunct w:val="0"/>
        <w:bidi w:val="0"/>
        <w:spacing w:before="79" w:line="219" w:lineRule="auto"/>
        <w:jc w:val="center"/>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val="en-US" w:eastAsia="zh-CN"/>
        </w:rPr>
        <w:t xml:space="preserve"> </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24841241">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5" w:type="default"/>
          <w:pgSz w:w="11906" w:h="16839"/>
          <w:pgMar w:top="1032" w:right="1157" w:bottom="1032" w:left="1174" w:header="0" w:footer="1200" w:gutter="0"/>
          <w:pgNumType w:fmt="decimal"/>
          <w:cols w:space="720" w:num="1"/>
        </w:sectPr>
      </w:pPr>
    </w:p>
    <w:p w14:paraId="7812360A">
      <w:pPr>
        <w:pageBreakBefore w:val="0"/>
        <w:widowControl w:val="0"/>
        <w:wordWrap/>
        <w:overflowPunct/>
        <w:topLinePunct w:val="0"/>
        <w:bidi w:val="0"/>
        <w:spacing w:before="47" w:after="0" w:afterLines="150" w:afterAutospacing="0" w:line="219" w:lineRule="auto"/>
        <w:jc w:val="center"/>
        <w:rPr>
          <w:rFonts w:ascii="宋体" w:hAnsi="宋体" w:eastAsia="宋体" w:cs="宋体"/>
          <w:color w:val="auto"/>
          <w:sz w:val="24"/>
          <w:szCs w:val="24"/>
          <w:highlight w:val="none"/>
          <w:lang w:eastAsia="zh-CN"/>
        </w:rPr>
      </w:pPr>
      <w:bookmarkStart w:id="253" w:name="bookmark54"/>
      <w:bookmarkEnd w:id="253"/>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1．</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磋商响应</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书</w:t>
      </w:r>
    </w:p>
    <w:p w14:paraId="050A6F85">
      <w:pPr>
        <w:pageBreakBefore w:val="0"/>
        <w:widowControl w:val="0"/>
        <w:wordWrap/>
        <w:overflowPunct/>
        <w:topLinePunct w:val="0"/>
        <w:bidi w:val="0"/>
        <w:spacing w:beforeAutospacing="0" w:line="220" w:lineRule="auto"/>
        <w:ind w:left="1"/>
        <w:rPr>
          <w:rFonts w:ascii="宋体" w:hAnsi="宋体" w:eastAsia="宋体" w:cs="宋体"/>
          <w:b w:val="0"/>
          <w:bCs w:val="0"/>
          <w:color w:val="auto"/>
          <w:sz w:val="24"/>
          <w:szCs w:val="24"/>
          <w:highlight w:val="none"/>
          <w:lang w:eastAsia="zh-CN"/>
        </w:rPr>
      </w:pPr>
      <w:r>
        <w:rPr>
          <w:rFonts w:ascii="宋体" w:hAnsi="宋体" w:eastAsia="宋体" w:cs="宋体"/>
          <w:b w:val="0"/>
          <w:bCs w:val="0"/>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69"/>
          <w:sz w:val="24"/>
          <w:szCs w:val="24"/>
          <w:highlight w:val="none"/>
          <w:lang w:eastAsia="zh-CN"/>
        </w:rPr>
        <w:t xml:space="preserve"> </w:t>
      </w:r>
      <w:r>
        <w:rPr>
          <w:rFonts w:hint="eastAsia" w:ascii="宋体" w:hAnsi="宋体" w:eastAsia="宋体" w:cs="宋体"/>
          <w:b w:val="0"/>
          <w:bCs w:val="0"/>
          <w:color w:val="auto"/>
          <w:spacing w:val="-5"/>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6293BBCF">
      <w:pPr>
        <w:spacing w:line="400" w:lineRule="exact"/>
        <w:ind w:firstLine="480"/>
        <w:rPr>
          <w:rFonts w:ascii="宋体" w:hAnsi="宋体" w:eastAsia="宋体" w:cs="宋体"/>
          <w:i w:val="0"/>
          <w:iCs w:val="0"/>
          <w:color w:val="auto"/>
          <w:sz w:val="24"/>
          <w:szCs w:val="24"/>
          <w:highlight w:val="none"/>
          <w:lang w:eastAsia="zh-CN"/>
        </w:rPr>
      </w:pPr>
      <w:r>
        <w:rPr>
          <w:rFonts w:hint="eastAsia" w:ascii="宋体" w:hAnsi="宋体" w:cs="宋体"/>
          <w:i w:val="0"/>
          <w:iCs w:val="0"/>
          <w:color w:val="auto"/>
          <w:sz w:val="24"/>
          <w:highlight w:val="none"/>
        </w:rPr>
        <w:t>根据贵方为(</w:t>
      </w:r>
      <w:r>
        <w:rPr>
          <w:rFonts w:hint="eastAsia" w:ascii="宋体" w:hAnsi="宋体" w:cs="宋体"/>
          <w:i w:val="0"/>
          <w:iCs w:val="0"/>
          <w:color w:val="auto"/>
          <w:sz w:val="24"/>
          <w:highlight w:val="none"/>
          <w:u w:val="single"/>
        </w:rPr>
        <w:t>项目名称</w:t>
      </w:r>
      <w:r>
        <w:rPr>
          <w:rFonts w:hint="eastAsia" w:ascii="宋体" w:hAnsi="宋体" w:cs="宋体"/>
          <w:i w:val="0"/>
          <w:iCs w:val="0"/>
          <w:color w:val="auto"/>
          <w:sz w:val="24"/>
          <w:highlight w:val="none"/>
        </w:rPr>
        <w:t>)项目</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采购服务的</w:t>
      </w:r>
      <w:r>
        <w:rPr>
          <w:rFonts w:hint="eastAsia" w:ascii="宋体" w:hAnsi="宋体" w:eastAsia="宋体" w:cs="宋体"/>
          <w:i w:val="0"/>
          <w:iCs w:val="0"/>
          <w:color w:val="auto"/>
          <w:sz w:val="24"/>
          <w:highlight w:val="none"/>
          <w:lang w:eastAsia="zh-CN"/>
        </w:rPr>
        <w:t>磋商</w:t>
      </w:r>
      <w:r>
        <w:rPr>
          <w:rFonts w:hint="eastAsia" w:ascii="宋体" w:hAnsi="宋体" w:cs="宋体"/>
          <w:i w:val="0"/>
          <w:iCs w:val="0"/>
          <w:color w:val="auto"/>
          <w:sz w:val="24"/>
          <w:highlight w:val="none"/>
        </w:rPr>
        <w:t>邀请</w:t>
      </w:r>
      <w:r>
        <w:rPr>
          <w:rFonts w:hint="eastAsia" w:ascii="宋体" w:hAnsi="宋体" w:cs="宋体"/>
          <w:i w:val="0"/>
          <w:iCs w:val="0"/>
          <w:color w:val="auto"/>
          <w:sz w:val="24"/>
          <w:highlight w:val="none"/>
          <w:u w:val="single"/>
        </w:rPr>
        <w:t>(项目编号)</w:t>
      </w:r>
      <w:r>
        <w:rPr>
          <w:rFonts w:hint="eastAsia" w:ascii="宋体" w:hAnsi="宋体" w:cs="宋体"/>
          <w:i w:val="0"/>
          <w:iCs w:val="0"/>
          <w:color w:val="auto"/>
          <w:sz w:val="24"/>
          <w:highlight w:val="none"/>
        </w:rPr>
        <w:t>，签字代表(</w:t>
      </w:r>
      <w:r>
        <w:rPr>
          <w:rFonts w:hint="eastAsia" w:ascii="宋体" w:hAnsi="宋体" w:cs="宋体"/>
          <w:i w:val="0"/>
          <w:iCs w:val="0"/>
          <w:color w:val="auto"/>
          <w:sz w:val="24"/>
          <w:highlight w:val="none"/>
          <w:u w:val="single"/>
        </w:rPr>
        <w:t>姓名、职务</w:t>
      </w:r>
      <w:r>
        <w:rPr>
          <w:rFonts w:hint="eastAsia" w:ascii="宋体" w:hAnsi="宋体" w:cs="宋体"/>
          <w:i w:val="0"/>
          <w:iCs w:val="0"/>
          <w:color w:val="auto"/>
          <w:sz w:val="24"/>
          <w:highlight w:val="none"/>
        </w:rPr>
        <w:t>)经正式授权并代表我方</w:t>
      </w:r>
      <w:r>
        <w:rPr>
          <w:rFonts w:hint="eastAsia" w:ascii="宋体" w:hAnsi="宋体" w:cs="宋体"/>
          <w:i w:val="0"/>
          <w:iCs w:val="0"/>
          <w:color w:val="auto"/>
          <w:sz w:val="24"/>
          <w:highlight w:val="none"/>
          <w:u w:val="single"/>
        </w:rPr>
        <w:t>(</w:t>
      </w:r>
      <w:r>
        <w:rPr>
          <w:rFonts w:hint="eastAsia" w:ascii="宋体" w:hAnsi="宋体" w:eastAsia="宋体" w:cs="宋体"/>
          <w:i w:val="0"/>
          <w:iCs w:val="0"/>
          <w:color w:val="auto"/>
          <w:spacing w:val="-1"/>
          <w:sz w:val="24"/>
          <w:szCs w:val="24"/>
          <w:highlight w:val="none"/>
          <w:u w:val="single"/>
          <w:lang w:eastAsia="zh-CN"/>
        </w:rPr>
        <w:t>单位名称、地址)</w:t>
      </w:r>
      <w:r>
        <w:rPr>
          <w:rFonts w:hint="eastAsia" w:ascii="宋体" w:hAnsi="宋体" w:eastAsia="宋体" w:cs="宋体"/>
          <w:i w:val="0"/>
          <w:iCs w:val="0"/>
          <w:color w:val="auto"/>
          <w:spacing w:val="-1"/>
          <w:sz w:val="24"/>
          <w:szCs w:val="24"/>
          <w:highlight w:val="none"/>
          <w:lang w:eastAsia="zh-CN"/>
        </w:rPr>
        <w:t>提交下述文件:</w:t>
      </w:r>
      <w:r>
        <w:rPr>
          <w:rFonts w:ascii="宋体" w:hAnsi="宋体" w:eastAsia="宋体" w:cs="宋体"/>
          <w:i w:val="0"/>
          <w:iCs w:val="0"/>
          <w:color w:val="auto"/>
          <w:spacing w:val="-1"/>
          <w:sz w:val="24"/>
          <w:szCs w:val="24"/>
          <w:highlight w:val="none"/>
          <w:lang w:eastAsia="zh-CN"/>
        </w:rPr>
        <w:t>:</w:t>
      </w:r>
    </w:p>
    <w:p w14:paraId="53374046">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磋商响应</w:t>
      </w:r>
      <w:r>
        <w:rPr>
          <w:rFonts w:hint="eastAsia" w:ascii="宋体" w:hAnsi="宋体" w:eastAsia="宋体" w:cs="宋体"/>
          <w:color w:val="auto"/>
          <w:sz w:val="24"/>
          <w:szCs w:val="24"/>
          <w:highlight w:val="none"/>
        </w:rPr>
        <w:t>书</w:t>
      </w:r>
    </w:p>
    <w:p w14:paraId="3002DF8E">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14:paraId="0BEC9813">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w:t>
      </w:r>
    </w:p>
    <w:p w14:paraId="6582B384">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一览明细表</w:t>
      </w:r>
    </w:p>
    <w:p w14:paraId="576FE39C">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需求响应/偏离表</w:t>
      </w:r>
    </w:p>
    <w:p w14:paraId="51B46BAA">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6、商务条件响应/偏离表</w:t>
      </w:r>
    </w:p>
    <w:p w14:paraId="457540C6">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、为落实政府采购政策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须提供的证明材料</w:t>
      </w:r>
    </w:p>
    <w:p w14:paraId="5B3CC3AB">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、技术文件</w:t>
      </w:r>
    </w:p>
    <w:p w14:paraId="33F7CBA1">
      <w:pPr>
        <w:spacing w:line="38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应当提交的资格、资信证明文件</w:t>
      </w:r>
    </w:p>
    <w:p w14:paraId="5BE22F01">
      <w:pPr>
        <w:spacing w:line="380" w:lineRule="exact"/>
        <w:ind w:left="707" w:hanging="28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 其他证明资料</w:t>
      </w:r>
    </w:p>
    <w:p w14:paraId="594CC0A6">
      <w:pPr>
        <w:spacing w:line="400" w:lineRule="exact"/>
        <w:ind w:left="707" w:hanging="28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提交的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保证金，金额为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57F5A9">
      <w:pPr>
        <w:spacing w:line="400" w:lineRule="exact"/>
        <w:ind w:left="707" w:hanging="283"/>
        <w:rPr>
          <w:rFonts w:asciiTheme="minorEastAsia" w:hAnsiTheme="minorEastAsia" w:eastAsiaTheme="minorEastAsia" w:cstheme="minorEastAsia"/>
          <w:color w:val="auto"/>
          <w:sz w:val="24"/>
          <w:highlight w:val="none"/>
        </w:rPr>
      </w:pPr>
    </w:p>
    <w:p w14:paraId="3AB6C641">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据此函,签字代表宣布同意如下:</w:t>
      </w:r>
    </w:p>
    <w:p w14:paraId="39D2B1AA">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所附报价表中规定的应提供的服务总报价为（用文字和数字表示的总价）。</w:t>
      </w:r>
    </w:p>
    <w:p w14:paraId="02E5C9BB">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我方将按</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文件的规定履行合同责任和义务。</w:t>
      </w:r>
    </w:p>
    <w:p w14:paraId="69EF1CB0">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 我方已详细审查全部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文件，包括第</w:t>
      </w:r>
      <w:r>
        <w:rPr>
          <w:rFonts w:hint="eastAsia" w:asciiTheme="minorEastAsia" w:hAnsiTheme="minorEastAsia" w:eastAsiaTheme="minorEastAsia" w:cstheme="minorEastAsia"/>
          <w:color w:val="auto"/>
          <w:sz w:val="24"/>
          <w:highlight w:val="none"/>
          <w:u w:val="single"/>
        </w:rPr>
        <w:t>(编号、补遗函)(如果有的话)。</w:t>
      </w:r>
      <w:r>
        <w:rPr>
          <w:rFonts w:hint="eastAsia" w:asciiTheme="minorEastAsia" w:hAnsiTheme="minorEastAsia" w:eastAsiaTheme="minorEastAsia" w:cstheme="minorEastAsia"/>
          <w:color w:val="auto"/>
          <w:sz w:val="24"/>
          <w:highlight w:val="none"/>
        </w:rPr>
        <w:t>我们完全理解并同意放弃对这方面有不明及误解的权力。</w:t>
      </w:r>
    </w:p>
    <w:p w14:paraId="7166A356">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 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有效期为自</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之日起</w:t>
      </w:r>
      <w:r>
        <w:rPr>
          <w:rFonts w:hint="eastAsia" w:asciiTheme="minorEastAsia" w:hAnsiTheme="minorEastAsia" w:eastAsiaTheme="minorEastAsia" w:cstheme="minorEastAsia"/>
          <w:color w:val="auto"/>
          <w:sz w:val="24"/>
          <w:highlight w:val="none"/>
          <w:u w:val="single"/>
        </w:rPr>
        <w:t xml:space="preserve"> 90 </w:t>
      </w:r>
      <w:r>
        <w:rPr>
          <w:rFonts w:hint="eastAsia" w:asciiTheme="minorEastAsia" w:hAnsiTheme="minorEastAsia" w:eastAsiaTheme="minorEastAsia" w:cstheme="minorEastAsia"/>
          <w:color w:val="auto"/>
          <w:sz w:val="24"/>
          <w:highlight w:val="none"/>
        </w:rPr>
        <w:t>天。</w:t>
      </w:r>
    </w:p>
    <w:p w14:paraId="096EE0B7">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 如果在规定的</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时间后，我方在</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有效期内撤回响应文件，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保证金不予退还。</w:t>
      </w:r>
    </w:p>
    <w:p w14:paraId="4A7BB619">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 我方同意提供按照贵方可能要求的与其</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有关的一切数据或资料。</w:t>
      </w:r>
    </w:p>
    <w:p w14:paraId="2C7B634B">
      <w:pPr>
        <w:spacing w:line="400" w:lineRule="exact"/>
        <w:ind w:left="707" w:hanging="283"/>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 与本</w:t>
      </w: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有关的一切正式往来信函请寄:</w:t>
      </w:r>
    </w:p>
    <w:p w14:paraId="27D38C35">
      <w:pPr>
        <w:spacing w:line="400" w:lineRule="exact"/>
        <w:ind w:left="707" w:hanging="283"/>
        <w:rPr>
          <w:rFonts w:asciiTheme="minorEastAsia" w:hAnsiTheme="minorEastAsia" w:eastAsiaTheme="minorEastAsia" w:cstheme="minorEastAsia"/>
          <w:color w:val="auto"/>
          <w:sz w:val="24"/>
          <w:highlight w:val="none"/>
        </w:rPr>
      </w:pPr>
    </w:p>
    <w:p w14:paraId="3DD79A5B">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地址传真</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5F673604">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电话电子邮件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1ED044C5">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rPr>
        <w:t>供应商代表签字或签章</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u w:val="single"/>
          <w:lang w:val="en-US" w:eastAsia="zh-CN"/>
        </w:rPr>
        <w:t xml:space="preserve">              </w:t>
      </w:r>
    </w:p>
    <w:p w14:paraId="02CD28DA">
      <w:pPr>
        <w:spacing w:line="432" w:lineRule="auto"/>
        <w:ind w:firstLine="480" w:firstLineChars="200"/>
        <w:rPr>
          <w:rFonts w:hint="default"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lang w:eastAsia="zh-CN"/>
        </w:rPr>
        <w:t>供应商盖章：</w:t>
      </w:r>
      <w:r>
        <w:rPr>
          <w:rFonts w:hint="eastAsia" w:asciiTheme="minorEastAsia" w:hAnsiTheme="minorEastAsia" w:eastAsiaTheme="minorEastAsia" w:cstheme="minorEastAsia"/>
          <w:color w:val="auto"/>
          <w:sz w:val="24"/>
          <w:highlight w:val="none"/>
          <w:u w:val="single"/>
          <w:lang w:val="en-US" w:eastAsia="zh-CN"/>
        </w:rPr>
        <w:t xml:space="preserve">                        </w:t>
      </w:r>
    </w:p>
    <w:p w14:paraId="3288DA07">
      <w:pPr>
        <w:pageBreakBefore w:val="0"/>
        <w:widowControl w:val="0"/>
        <w:wordWrap/>
        <w:overflowPunct/>
        <w:topLinePunct w:val="0"/>
        <w:bidi w:val="0"/>
        <w:spacing w:before="0" w:beforeLines="50" w:beforeAutospacing="0" w:line="220" w:lineRule="auto"/>
        <w:ind w:left="420" w:leftChars="200" w:firstLine="0" w:firstLineChars="0"/>
        <w:rPr>
          <w:rFonts w:hint="default" w:ascii="宋体" w:hAnsi="宋体" w:eastAsia="宋体" w:cs="宋体"/>
          <w:color w:val="auto"/>
          <w:spacing w:val="0"/>
          <w:w w:val="100"/>
          <w:position w:val="0"/>
          <w:sz w:val="24"/>
          <w:szCs w:val="24"/>
          <w:highlight w:val="none"/>
          <w:u w:val="single"/>
          <w:lang w:val="en-US" w:eastAsia="zh-CN"/>
        </w:rPr>
      </w:pPr>
      <w:r>
        <w:rPr>
          <w:rFonts w:ascii="宋体" w:hAnsi="宋体" w:eastAsia="宋体" w:cs="宋体"/>
          <w:color w:val="auto"/>
          <w:spacing w:val="0"/>
          <w:w w:val="100"/>
          <w:position w:val="0"/>
          <w:sz w:val="24"/>
          <w:szCs w:val="24"/>
          <w:highlight w:val="none"/>
          <w:lang w:eastAsia="zh-CN"/>
        </w:rPr>
        <w:t>日期：</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highlight w:val="none"/>
          <w:u w:val="none"/>
          <w:lang w:val="en-US" w:eastAsia="zh-CN"/>
        </w:rPr>
        <w:t>日</w:t>
      </w:r>
    </w:p>
    <w:p w14:paraId="6716D041">
      <w:pPr>
        <w:pageBreakBefore w:val="0"/>
        <w:widowControl w:val="0"/>
        <w:wordWrap/>
        <w:overflowPunct/>
        <w:topLinePunct w:val="0"/>
        <w:bidi w:val="0"/>
        <w:spacing w:line="220" w:lineRule="auto"/>
        <w:rPr>
          <w:rFonts w:ascii="宋体" w:hAnsi="宋体" w:eastAsia="宋体" w:cs="宋体"/>
          <w:color w:val="auto"/>
          <w:sz w:val="24"/>
          <w:szCs w:val="24"/>
          <w:highlight w:val="none"/>
          <w:lang w:eastAsia="zh-CN"/>
        </w:rPr>
        <w:sectPr>
          <w:footerReference r:id="rId6" w:type="default"/>
          <w:pgSz w:w="11906" w:h="16839"/>
          <w:pgMar w:top="1426" w:right="1054" w:bottom="1362" w:left="1425" w:header="0" w:footer="1200" w:gutter="0"/>
          <w:pgNumType w:fmt="decimal"/>
          <w:cols w:space="720" w:num="1"/>
        </w:sectPr>
      </w:pPr>
    </w:p>
    <w:p w14:paraId="7509737C">
      <w:pPr>
        <w:pageBreakBefore w:val="0"/>
        <w:widowControl w:val="0"/>
        <w:wordWrap/>
        <w:overflowPunct/>
        <w:topLinePunct w:val="0"/>
        <w:bidi w:val="0"/>
        <w:spacing w:before="48" w:line="219" w:lineRule="auto"/>
        <w:ind w:left="3323"/>
        <w:outlineLvl w:val="1"/>
        <w:rPr>
          <w:rFonts w:ascii="宋体" w:hAnsi="宋体" w:eastAsia="宋体" w:cs="宋体"/>
          <w:color w:val="auto"/>
          <w:sz w:val="24"/>
          <w:szCs w:val="24"/>
          <w:highlight w:val="none"/>
          <w:lang w:eastAsia="zh-CN"/>
        </w:rPr>
      </w:pPr>
      <w:bookmarkStart w:id="254" w:name="bookmark55"/>
      <w:bookmarkEnd w:id="254"/>
      <w:bookmarkStart w:id="255" w:name="_Toc1546"/>
      <w:bookmarkStart w:id="256" w:name="_Toc5454"/>
      <w:bookmarkStart w:id="257" w:name="_Toc5394"/>
      <w:bookmarkStart w:id="258" w:name="_Toc18365"/>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报价</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一览表</w:t>
      </w:r>
      <w:bookmarkEnd w:id="255"/>
      <w:bookmarkEnd w:id="256"/>
      <w:bookmarkEnd w:id="257"/>
      <w:bookmarkEnd w:id="258"/>
    </w:p>
    <w:p w14:paraId="4AA2F70A">
      <w:pPr>
        <w:pageBreakBefore w:val="0"/>
        <w:widowControl w:val="0"/>
        <w:wordWrap/>
        <w:overflowPunct/>
        <w:topLinePunct w:val="0"/>
        <w:bidi w:val="0"/>
        <w:spacing w:line="276" w:lineRule="auto"/>
        <w:rPr>
          <w:color w:val="auto"/>
          <w:highlight w:val="none"/>
          <w:lang w:eastAsia="zh-CN"/>
        </w:rPr>
      </w:pPr>
    </w:p>
    <w:p w14:paraId="23ABB105">
      <w:pPr>
        <w:pageBreakBefore w:val="0"/>
        <w:widowControl w:val="0"/>
        <w:wordWrap/>
        <w:overflowPunct/>
        <w:topLinePunct w:val="0"/>
        <w:bidi w:val="0"/>
        <w:spacing w:line="276" w:lineRule="auto"/>
        <w:rPr>
          <w:color w:val="auto"/>
          <w:highlight w:val="none"/>
          <w:lang w:eastAsia="zh-CN"/>
        </w:rPr>
      </w:pPr>
    </w:p>
    <w:p w14:paraId="718C852F">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致：</w:t>
      </w:r>
    </w:p>
    <w:tbl>
      <w:tblPr>
        <w:tblStyle w:val="25"/>
        <w:tblpPr w:leftFromText="180" w:rightFromText="180" w:vertAnchor="text" w:horzAnchor="page" w:tblpX="1324" w:tblpY="1984"/>
        <w:tblOverlap w:val="never"/>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514"/>
        <w:gridCol w:w="2360"/>
        <w:gridCol w:w="3847"/>
      </w:tblGrid>
      <w:tr w14:paraId="56E6A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rPr>
        <w:tc>
          <w:tcPr>
            <w:tcW w:w="1858" w:type="dxa"/>
            <w:tcBorders>
              <w:left w:val="single" w:color="000000" w:sz="2" w:space="0"/>
            </w:tcBorders>
          </w:tcPr>
          <w:p w14:paraId="0BB48285">
            <w:pPr>
              <w:pStyle w:val="26"/>
              <w:spacing w:before="279" w:line="228" w:lineRule="auto"/>
              <w:ind w:left="75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服务名称</w:t>
            </w:r>
          </w:p>
        </w:tc>
        <w:tc>
          <w:tcPr>
            <w:tcW w:w="1514" w:type="dxa"/>
            <w:tcBorders>
              <w:right w:val="single" w:color="000000" w:sz="2" w:space="0"/>
            </w:tcBorders>
          </w:tcPr>
          <w:p w14:paraId="5AC73B65">
            <w:pPr>
              <w:pStyle w:val="26"/>
              <w:spacing w:before="279" w:line="228" w:lineRule="auto"/>
              <w:ind w:left="4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数量</w:t>
            </w:r>
          </w:p>
        </w:tc>
        <w:tc>
          <w:tcPr>
            <w:tcW w:w="2360" w:type="dxa"/>
            <w:tcBorders>
              <w:left w:val="single" w:color="000000" w:sz="2" w:space="0"/>
              <w:right w:val="single" w:color="000000" w:sz="2" w:space="0"/>
            </w:tcBorders>
          </w:tcPr>
          <w:p w14:paraId="12BDD65D">
            <w:pPr>
              <w:pStyle w:val="26"/>
              <w:spacing w:before="75"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总金额</w:t>
            </w:r>
          </w:p>
          <w:p w14:paraId="5A706246">
            <w:pPr>
              <w:pStyle w:val="26"/>
              <w:spacing w:before="161"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（人民币元）</w:t>
            </w:r>
          </w:p>
        </w:tc>
        <w:tc>
          <w:tcPr>
            <w:tcW w:w="3847" w:type="dxa"/>
            <w:tcBorders>
              <w:left w:val="single" w:color="000000" w:sz="2" w:space="0"/>
            </w:tcBorders>
          </w:tcPr>
          <w:p w14:paraId="615AD5B8">
            <w:pPr>
              <w:pStyle w:val="26"/>
              <w:spacing w:before="280" w:line="229" w:lineRule="auto"/>
              <w:ind w:left="5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50C6F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858" w:type="dxa"/>
            <w:tcBorders>
              <w:left w:val="single" w:color="000000" w:sz="2" w:space="0"/>
            </w:tcBorders>
          </w:tcPr>
          <w:p w14:paraId="3E71C1DD">
            <w:pPr>
              <w:rPr>
                <w:rFonts w:hint="eastAsia" w:ascii="宋体" w:hAnsi="宋体" w:eastAsia="宋体" w:cs="宋体"/>
                <w:color w:val="auto"/>
                <w:sz w:val="22"/>
                <w:szCs w:val="22"/>
                <w:highlight w:val="none"/>
              </w:rPr>
            </w:pPr>
          </w:p>
        </w:tc>
        <w:tc>
          <w:tcPr>
            <w:tcW w:w="1514" w:type="dxa"/>
            <w:tcBorders>
              <w:right w:val="single" w:color="000000" w:sz="2" w:space="0"/>
            </w:tcBorders>
          </w:tcPr>
          <w:p w14:paraId="21527761">
            <w:pPr>
              <w:rPr>
                <w:rFonts w:hint="eastAsia" w:ascii="宋体" w:hAnsi="宋体" w:eastAsia="宋体" w:cs="宋体"/>
                <w:color w:val="auto"/>
                <w:sz w:val="22"/>
                <w:szCs w:val="22"/>
                <w:highlight w:val="none"/>
              </w:rPr>
            </w:pPr>
          </w:p>
        </w:tc>
        <w:tc>
          <w:tcPr>
            <w:tcW w:w="2360" w:type="dxa"/>
            <w:tcBorders>
              <w:left w:val="single" w:color="000000" w:sz="2" w:space="0"/>
              <w:right w:val="single" w:color="000000" w:sz="2" w:space="0"/>
            </w:tcBorders>
          </w:tcPr>
          <w:p w14:paraId="44BC8142">
            <w:pPr>
              <w:pStyle w:val="26"/>
              <w:spacing w:before="125" w:line="230" w:lineRule="auto"/>
              <w:ind w:left="534"/>
              <w:rPr>
                <w:rFonts w:hint="eastAsia" w:ascii="宋体" w:hAnsi="宋体" w:eastAsia="宋体" w:cs="宋体"/>
                <w:color w:val="auto"/>
                <w:sz w:val="21"/>
                <w:szCs w:val="21"/>
                <w:highlight w:val="none"/>
              </w:rPr>
            </w:pPr>
          </w:p>
        </w:tc>
        <w:tc>
          <w:tcPr>
            <w:tcW w:w="3847" w:type="dxa"/>
            <w:tcBorders>
              <w:left w:val="single" w:color="000000" w:sz="2" w:space="0"/>
            </w:tcBorders>
          </w:tcPr>
          <w:p w14:paraId="0AEAFB5B">
            <w:pPr>
              <w:rPr>
                <w:rFonts w:hint="eastAsia" w:ascii="宋体" w:hAnsi="宋体" w:eastAsia="宋体" w:cs="宋体"/>
                <w:color w:val="auto"/>
                <w:sz w:val="22"/>
                <w:szCs w:val="22"/>
                <w:highlight w:val="none"/>
              </w:rPr>
            </w:pPr>
          </w:p>
        </w:tc>
      </w:tr>
      <w:tr w14:paraId="12DAF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579" w:type="dxa"/>
            <w:gridSpan w:val="4"/>
            <w:tcBorders>
              <w:left w:val="single" w:color="000000" w:sz="2" w:space="0"/>
            </w:tcBorders>
          </w:tcPr>
          <w:p w14:paraId="6EA0B812">
            <w:pPr>
              <w:pStyle w:val="26"/>
              <w:spacing w:before="134" w:line="228" w:lineRule="auto"/>
              <w:ind w:left="536"/>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总金额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0"/>
                <w:sz w:val="21"/>
                <w:szCs w:val="21"/>
                <w:highlight w:val="none"/>
              </w:rPr>
              <w:t>大写）</w:t>
            </w:r>
            <w:r>
              <w:rPr>
                <w:rFonts w:hint="eastAsia" w:ascii="宋体" w:hAnsi="宋体" w:eastAsia="宋体" w:cs="宋体"/>
                <w:color w:val="auto"/>
                <w:spacing w:val="10"/>
                <w:sz w:val="21"/>
                <w:szCs w:val="21"/>
                <w:highlight w:val="none"/>
                <w:lang w:val="en-US" w:eastAsia="zh-CN"/>
              </w:rPr>
              <w:t xml:space="preserve">                      </w:t>
            </w:r>
            <w:r>
              <w:rPr>
                <w:rFonts w:hint="eastAsia" w:ascii="宋体" w:hAnsi="宋体" w:eastAsia="宋体" w:cs="宋体"/>
                <w:color w:val="auto"/>
                <w:spacing w:val="1"/>
                <w:sz w:val="21"/>
                <w:szCs w:val="21"/>
                <w:highlight w:val="none"/>
              </w:rPr>
              <w:t>小写：</w:t>
            </w:r>
          </w:p>
        </w:tc>
      </w:tr>
    </w:tbl>
    <w:p w14:paraId="3F9150D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在研究了</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文件中所有文件和材料的服务需求后，我们对《</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》（项目名称）（招标编号：）报价如下：</w:t>
      </w:r>
    </w:p>
    <w:p w14:paraId="4D7A5EF9">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lang w:val="zh-CN" w:eastAsia="zh-CN"/>
        </w:rPr>
      </w:pPr>
    </w:p>
    <w:p w14:paraId="32AA73ED">
      <w:pPr>
        <w:tabs>
          <w:tab w:val="left" w:pos="654"/>
          <w:tab w:val="left" w:pos="1734"/>
          <w:tab w:val="left" w:pos="2814"/>
          <w:tab w:val="left" w:pos="3894"/>
          <w:tab w:val="left" w:pos="5334"/>
          <w:tab w:val="left" w:pos="6414"/>
          <w:tab w:val="left" w:pos="7254"/>
          <w:tab w:val="left" w:pos="8574"/>
          <w:tab w:val="left" w:pos="9654"/>
        </w:tabs>
        <w:spacing w:line="360" w:lineRule="auto"/>
        <w:ind w:left="970" w:hanging="97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zh-CN" w:eastAsia="zh-CN"/>
        </w:rPr>
        <w:t>注：</w:t>
      </w:r>
    </w:p>
    <w:p w14:paraId="115F9D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zh-CN" w:eastAsia="zh-CN"/>
        </w:rPr>
        <w:t>、此表应经法定代表人或法定代表授权委托人签名，并加盖公章。</w:t>
      </w:r>
    </w:p>
    <w:p w14:paraId="6E02C2D8">
      <w:pPr>
        <w:spacing w:line="360" w:lineRule="auto"/>
        <w:ind w:firstLine="480" w:firstLineChars="200"/>
        <w:rPr>
          <w:rFonts w:hint="eastAsia" w:ascii="宋体" w:hAnsi="宋体" w:eastAsia="宋体" w:cs="宋体"/>
          <w:color w:val="auto"/>
          <w:sz w:val="24"/>
          <w:szCs w:val="24"/>
          <w:highlight w:val="none"/>
          <w:lang w:eastAsia="zh-CN"/>
        </w:rPr>
      </w:pPr>
    </w:p>
    <w:p w14:paraId="0B058EFC">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供应商名称</w:t>
      </w:r>
      <w:r>
        <w:rPr>
          <w:rFonts w:hint="eastAsia" w:ascii="宋体" w:hAnsi="宋体" w:eastAsia="宋体" w:cs="宋体"/>
          <w:color w:val="auto"/>
          <w:sz w:val="24"/>
          <w:szCs w:val="24"/>
          <w:highlight w:val="none"/>
          <w:lang w:eastAsia="zh-CN"/>
        </w:rPr>
        <w:t>：（盖公章）：</w:t>
      </w:r>
    </w:p>
    <w:p w14:paraId="3AAA5E8D">
      <w:pPr>
        <w:spacing w:line="432" w:lineRule="auto"/>
        <w:ind w:firstLine="3840" w:firstLineChars="16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法定代表人或授权代表签字：</w:t>
      </w:r>
    </w:p>
    <w:p w14:paraId="1EC9DB16">
      <w:pPr>
        <w:spacing w:line="432" w:lineRule="auto"/>
        <w:ind w:firstLine="3840" w:firstLineChars="1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日期：年　月　日</w:t>
      </w:r>
    </w:p>
    <w:p w14:paraId="3D2451C5">
      <w:pPr>
        <w:pageBreakBefore w:val="0"/>
        <w:widowControl w:val="0"/>
        <w:wordWrap/>
        <w:overflowPunct/>
        <w:topLinePunct w:val="0"/>
        <w:bidi w:val="0"/>
        <w:rPr>
          <w:color w:val="auto"/>
          <w:highlight w:val="none"/>
          <w:lang w:eastAsia="zh-CN"/>
        </w:rPr>
      </w:pPr>
    </w:p>
    <w:p w14:paraId="307A5854">
      <w:pPr>
        <w:pageBreakBefore w:val="0"/>
        <w:widowControl w:val="0"/>
        <w:wordWrap/>
        <w:overflowPunct/>
        <w:topLinePunct w:val="0"/>
        <w:bidi w:val="0"/>
        <w:rPr>
          <w:color w:val="auto"/>
          <w:highlight w:val="none"/>
          <w:lang w:eastAsia="zh-CN"/>
        </w:rPr>
      </w:pPr>
    </w:p>
    <w:p w14:paraId="7AE9382E">
      <w:pPr>
        <w:pageBreakBefore w:val="0"/>
        <w:widowControl w:val="0"/>
        <w:wordWrap/>
        <w:overflowPunct/>
        <w:topLinePunct w:val="0"/>
        <w:bidi w:val="0"/>
        <w:rPr>
          <w:color w:val="auto"/>
          <w:highlight w:val="none"/>
          <w:lang w:eastAsia="zh-CN"/>
        </w:rPr>
      </w:pPr>
    </w:p>
    <w:p w14:paraId="44398459">
      <w:pPr>
        <w:pageBreakBefore w:val="0"/>
        <w:widowControl w:val="0"/>
        <w:wordWrap/>
        <w:overflowPunct/>
        <w:topLinePunct w:val="0"/>
        <w:bidi w:val="0"/>
        <w:rPr>
          <w:color w:val="auto"/>
          <w:highlight w:val="none"/>
          <w:lang w:eastAsia="zh-CN"/>
        </w:rPr>
      </w:pPr>
    </w:p>
    <w:p w14:paraId="6C97F685">
      <w:pPr>
        <w:pageBreakBefore w:val="0"/>
        <w:widowControl w:val="0"/>
        <w:wordWrap/>
        <w:overflowPunct/>
        <w:topLinePunct w:val="0"/>
        <w:bidi w:val="0"/>
        <w:rPr>
          <w:color w:val="auto"/>
          <w:highlight w:val="none"/>
          <w:lang w:eastAsia="zh-CN"/>
        </w:rPr>
      </w:pPr>
    </w:p>
    <w:p w14:paraId="1879BA46">
      <w:pPr>
        <w:pageBreakBefore w:val="0"/>
        <w:widowControl w:val="0"/>
        <w:wordWrap/>
        <w:overflowPunct/>
        <w:topLinePunct w:val="0"/>
        <w:bidi w:val="0"/>
        <w:rPr>
          <w:color w:val="auto"/>
          <w:highlight w:val="none"/>
          <w:lang w:eastAsia="zh-CN"/>
        </w:rPr>
      </w:pPr>
    </w:p>
    <w:p w14:paraId="4FD2609A">
      <w:pPr>
        <w:pageBreakBefore w:val="0"/>
        <w:widowControl w:val="0"/>
        <w:wordWrap/>
        <w:overflowPunct/>
        <w:topLinePunct w:val="0"/>
        <w:bidi w:val="0"/>
        <w:rPr>
          <w:color w:val="auto"/>
          <w:highlight w:val="none"/>
          <w:lang w:eastAsia="zh-CN"/>
        </w:rPr>
      </w:pPr>
    </w:p>
    <w:p w14:paraId="76D003D1">
      <w:pPr>
        <w:pageBreakBefore w:val="0"/>
        <w:widowControl w:val="0"/>
        <w:wordWrap/>
        <w:overflowPunct/>
        <w:topLinePunct w:val="0"/>
        <w:bidi w:val="0"/>
        <w:rPr>
          <w:color w:val="auto"/>
          <w:highlight w:val="none"/>
          <w:lang w:eastAsia="zh-CN"/>
        </w:rPr>
      </w:pPr>
    </w:p>
    <w:p w14:paraId="0A7ACF81">
      <w:pPr>
        <w:pageBreakBefore w:val="0"/>
        <w:widowControl w:val="0"/>
        <w:wordWrap/>
        <w:overflowPunct/>
        <w:topLinePunct w:val="0"/>
        <w:bidi w:val="0"/>
        <w:rPr>
          <w:color w:val="auto"/>
          <w:highlight w:val="none"/>
          <w:lang w:eastAsia="zh-CN"/>
        </w:rPr>
      </w:pPr>
    </w:p>
    <w:p w14:paraId="509A6900">
      <w:pPr>
        <w:pageBreakBefore w:val="0"/>
        <w:widowControl w:val="0"/>
        <w:wordWrap/>
        <w:overflowPunct/>
        <w:topLinePunct w:val="0"/>
        <w:bidi w:val="0"/>
        <w:rPr>
          <w:color w:val="auto"/>
          <w:highlight w:val="none"/>
          <w:lang w:eastAsia="zh-CN"/>
        </w:rPr>
      </w:pPr>
    </w:p>
    <w:p w14:paraId="6F237084">
      <w:pPr>
        <w:pageBreakBefore w:val="0"/>
        <w:widowControl w:val="0"/>
        <w:wordWrap/>
        <w:overflowPunct/>
        <w:topLinePunct w:val="0"/>
        <w:bidi w:val="0"/>
        <w:rPr>
          <w:color w:val="auto"/>
          <w:highlight w:val="none"/>
          <w:lang w:eastAsia="zh-CN"/>
        </w:rPr>
      </w:pPr>
    </w:p>
    <w:p w14:paraId="70E2DEBB">
      <w:pPr>
        <w:pageBreakBefore w:val="0"/>
        <w:widowControl w:val="0"/>
        <w:wordWrap/>
        <w:overflowPunct/>
        <w:topLinePunct w:val="0"/>
        <w:bidi w:val="0"/>
        <w:rPr>
          <w:color w:val="auto"/>
          <w:highlight w:val="none"/>
          <w:lang w:eastAsia="zh-CN"/>
        </w:rPr>
      </w:pPr>
    </w:p>
    <w:p w14:paraId="10125FEF">
      <w:pPr>
        <w:pageBreakBefore w:val="0"/>
        <w:widowControl w:val="0"/>
        <w:wordWrap/>
        <w:overflowPunct/>
        <w:topLinePunct w:val="0"/>
        <w:bidi w:val="0"/>
        <w:rPr>
          <w:color w:val="auto"/>
          <w:highlight w:val="none"/>
          <w:lang w:eastAsia="zh-CN"/>
        </w:rPr>
      </w:pPr>
    </w:p>
    <w:p w14:paraId="37F86F8C">
      <w:pPr>
        <w:pageBreakBefore w:val="0"/>
        <w:widowControl w:val="0"/>
        <w:wordWrap/>
        <w:overflowPunct/>
        <w:topLinePunct w:val="0"/>
        <w:bidi w:val="0"/>
        <w:rPr>
          <w:color w:val="auto"/>
          <w:highlight w:val="none"/>
          <w:lang w:eastAsia="zh-CN"/>
        </w:rPr>
      </w:pPr>
    </w:p>
    <w:p w14:paraId="5C12EDC1">
      <w:pPr>
        <w:pageBreakBefore w:val="0"/>
        <w:widowControl w:val="0"/>
        <w:wordWrap/>
        <w:overflowPunct/>
        <w:topLinePunct w:val="0"/>
        <w:bidi w:val="0"/>
        <w:spacing w:line="241" w:lineRule="auto"/>
        <w:rPr>
          <w:color w:val="auto"/>
          <w:highlight w:val="none"/>
          <w:lang w:eastAsia="zh-CN"/>
        </w:rPr>
      </w:pPr>
    </w:p>
    <w:p w14:paraId="4F9EB988">
      <w:pPr>
        <w:pStyle w:val="6"/>
        <w:rPr>
          <w:color w:val="auto"/>
          <w:highlight w:val="none"/>
          <w:lang w:eastAsia="zh-CN"/>
        </w:rPr>
      </w:pPr>
    </w:p>
    <w:p w14:paraId="044169FE">
      <w:pPr>
        <w:pStyle w:val="7"/>
        <w:rPr>
          <w:color w:val="auto"/>
          <w:highlight w:val="none"/>
          <w:lang w:eastAsia="zh-CN"/>
        </w:rPr>
      </w:pPr>
    </w:p>
    <w:p w14:paraId="2605747C">
      <w:pPr>
        <w:pStyle w:val="7"/>
        <w:rPr>
          <w:color w:val="auto"/>
          <w:highlight w:val="none"/>
          <w:lang w:eastAsia="zh-CN"/>
        </w:rPr>
      </w:pPr>
    </w:p>
    <w:p w14:paraId="5C1AA24E">
      <w:pPr>
        <w:pStyle w:val="7"/>
        <w:rPr>
          <w:color w:val="auto"/>
          <w:highlight w:val="none"/>
          <w:lang w:eastAsia="zh-CN"/>
        </w:rPr>
      </w:pPr>
    </w:p>
    <w:p w14:paraId="51678AB0">
      <w:pPr>
        <w:pageBreakBefore w:val="0"/>
        <w:widowControl w:val="0"/>
        <w:wordWrap/>
        <w:overflowPunct/>
        <w:topLinePunct w:val="0"/>
        <w:bidi w:val="0"/>
        <w:spacing w:line="241" w:lineRule="auto"/>
        <w:rPr>
          <w:color w:val="auto"/>
          <w:highlight w:val="none"/>
          <w:lang w:eastAsia="zh-CN"/>
        </w:rPr>
      </w:pPr>
    </w:p>
    <w:p w14:paraId="7A4187BF">
      <w:pPr>
        <w:pageBreakBefore w:val="0"/>
        <w:widowControl w:val="0"/>
        <w:wordWrap/>
        <w:overflowPunct/>
        <w:topLinePunct w:val="0"/>
        <w:bidi w:val="0"/>
        <w:spacing w:line="241" w:lineRule="auto"/>
        <w:rPr>
          <w:color w:val="auto"/>
          <w:highlight w:val="none"/>
          <w:lang w:eastAsia="zh-CN"/>
        </w:rPr>
      </w:pPr>
    </w:p>
    <w:p w14:paraId="3E7075CA">
      <w:pPr>
        <w:pageBreakBefore w:val="0"/>
        <w:widowControl w:val="0"/>
        <w:wordWrap/>
        <w:overflowPunct/>
        <w:topLinePunct w:val="0"/>
        <w:bidi w:val="0"/>
        <w:spacing w:before="78" w:line="218" w:lineRule="auto"/>
        <w:ind w:left="3323"/>
        <w:outlineLvl w:val="1"/>
        <w:rPr>
          <w:rFonts w:ascii="宋体" w:hAnsi="宋体" w:eastAsia="宋体" w:cs="宋体"/>
          <w:color w:val="auto"/>
          <w:sz w:val="24"/>
          <w:szCs w:val="24"/>
          <w:highlight w:val="none"/>
          <w:lang w:eastAsia="zh-CN"/>
        </w:rPr>
      </w:pPr>
      <w:bookmarkStart w:id="259" w:name="bookmark56"/>
      <w:bookmarkEnd w:id="259"/>
      <w:bookmarkStart w:id="260" w:name="_Toc29138"/>
      <w:bookmarkStart w:id="261" w:name="_Toc25701"/>
      <w:bookmarkStart w:id="262" w:name="_Toc12162"/>
      <w:bookmarkStart w:id="263" w:name="_Toc32477"/>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3.分项报价表</w:t>
      </w:r>
      <w:bookmarkEnd w:id="260"/>
      <w:bookmarkEnd w:id="261"/>
      <w:bookmarkEnd w:id="262"/>
      <w:bookmarkEnd w:id="263"/>
    </w:p>
    <w:p w14:paraId="05486862">
      <w:pPr>
        <w:pageBreakBefore w:val="0"/>
        <w:widowControl w:val="0"/>
        <w:wordWrap/>
        <w:overflowPunct/>
        <w:topLinePunct w:val="0"/>
        <w:bidi w:val="0"/>
        <w:spacing w:line="363" w:lineRule="auto"/>
        <w:rPr>
          <w:color w:val="auto"/>
          <w:highlight w:val="none"/>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8"/>
        <w:gridCol w:w="738"/>
        <w:gridCol w:w="738"/>
        <w:gridCol w:w="939"/>
        <w:gridCol w:w="939"/>
        <w:gridCol w:w="766"/>
        <w:gridCol w:w="739"/>
        <w:gridCol w:w="739"/>
        <w:gridCol w:w="739"/>
        <w:gridCol w:w="739"/>
      </w:tblGrid>
      <w:tr w14:paraId="482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Pr>
          <w:p w14:paraId="3AE90E66">
            <w:pPr>
              <w:pageBreakBefore w:val="0"/>
              <w:widowControl w:val="0"/>
              <w:kinsoku/>
              <w:wordWrap/>
              <w:overflowPunct/>
              <w:topLinePunct w:val="0"/>
              <w:bidi w:val="0"/>
              <w:spacing w:line="219"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采购项目名称</w:t>
            </w:r>
          </w:p>
        </w:tc>
        <w:tc>
          <w:tcPr>
            <w:tcW w:w="738" w:type="dxa"/>
          </w:tcPr>
          <w:p w14:paraId="7E09C0FC">
            <w:pPr>
              <w:pageBreakBefore w:val="0"/>
              <w:widowControl w:val="0"/>
              <w:kinsoku/>
              <w:wordWrap/>
              <w:overflowPunct/>
              <w:topLinePunct w:val="0"/>
              <w:bidi w:val="0"/>
              <w:spacing w:line="219" w:lineRule="auto"/>
              <w:jc w:val="both"/>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采购项目</w:t>
            </w:r>
            <w:r>
              <w:rPr>
                <w:rFonts w:hint="eastAsia" w:ascii="宋体" w:hAnsi="宋体" w:eastAsia="宋体" w:cs="宋体"/>
                <w:b/>
                <w:bCs/>
                <w:color w:val="auto"/>
                <w:sz w:val="24"/>
                <w:szCs w:val="24"/>
                <w:highlight w:val="none"/>
                <w:vertAlign w:val="baseline"/>
                <w:lang w:val="en-US" w:eastAsia="zh-CN"/>
              </w:rPr>
              <w:t>编号</w:t>
            </w:r>
          </w:p>
        </w:tc>
        <w:tc>
          <w:tcPr>
            <w:tcW w:w="738" w:type="dxa"/>
          </w:tcPr>
          <w:p w14:paraId="38175B6A">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738" w:type="dxa"/>
          </w:tcPr>
          <w:p w14:paraId="3EEF4CDC">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939" w:type="dxa"/>
          </w:tcPr>
          <w:p w14:paraId="6568673E">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939" w:type="dxa"/>
          </w:tcPr>
          <w:p w14:paraId="341EA60E">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合价（元）</w:t>
            </w:r>
          </w:p>
        </w:tc>
        <w:tc>
          <w:tcPr>
            <w:tcW w:w="766" w:type="dxa"/>
          </w:tcPr>
          <w:p w14:paraId="4ADE778F">
            <w:pPr>
              <w:pageBreakBefore w:val="0"/>
              <w:widowControl w:val="0"/>
              <w:kinsoku/>
              <w:wordWrap/>
              <w:overflowPunct/>
              <w:topLinePunct w:val="0"/>
              <w:bidi w:val="0"/>
              <w:spacing w:line="219" w:lineRule="auto"/>
              <w:jc w:val="both"/>
              <w:rPr>
                <w:rFonts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预算总价(元)</w:t>
            </w:r>
          </w:p>
        </w:tc>
        <w:tc>
          <w:tcPr>
            <w:tcW w:w="739" w:type="dxa"/>
          </w:tcPr>
          <w:p w14:paraId="1CCD3854">
            <w:pPr>
              <w:pageBreakBefore w:val="0"/>
              <w:widowControl w:val="0"/>
              <w:kinsoku/>
              <w:wordWrap/>
              <w:overflowPunct/>
              <w:topLinePunct w:val="0"/>
              <w:bidi w:val="0"/>
              <w:spacing w:line="219"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制造商（</w:t>
            </w:r>
            <w:r>
              <w:rPr>
                <w:rFonts w:hint="eastAsia" w:ascii="宋体" w:hAnsi="宋体" w:eastAsia="宋体" w:cs="宋体"/>
                <w:b/>
                <w:bCs/>
                <w:color w:val="auto"/>
                <w:sz w:val="24"/>
                <w:szCs w:val="24"/>
                <w:highlight w:val="none"/>
                <w:vertAlign w:val="baseline"/>
                <w:lang w:val="en-US" w:eastAsia="zh-CN"/>
              </w:rPr>
              <w:t>服务商</w:t>
            </w:r>
            <w:r>
              <w:rPr>
                <w:rFonts w:hint="eastAsia" w:ascii="宋体" w:hAnsi="宋体" w:eastAsia="宋体" w:cs="宋体"/>
                <w:b/>
                <w:bCs/>
                <w:color w:val="auto"/>
                <w:sz w:val="24"/>
                <w:szCs w:val="24"/>
                <w:highlight w:val="none"/>
                <w:vertAlign w:val="baseline"/>
                <w:lang w:eastAsia="zh-CN"/>
              </w:rPr>
              <w:t>）</w:t>
            </w:r>
          </w:p>
        </w:tc>
        <w:tc>
          <w:tcPr>
            <w:tcW w:w="739" w:type="dxa"/>
          </w:tcPr>
          <w:p w14:paraId="1400E633">
            <w:pPr>
              <w:pageBreakBefore w:val="0"/>
              <w:widowControl w:val="0"/>
              <w:kinsoku/>
              <w:wordWrap/>
              <w:overflowPunct/>
              <w:topLinePunct w:val="0"/>
              <w:bidi w:val="0"/>
              <w:spacing w:line="219" w:lineRule="auto"/>
              <w:jc w:val="both"/>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eastAsia="zh-CN"/>
              </w:rPr>
              <w:t>品牌（</w:t>
            </w:r>
            <w:r>
              <w:rPr>
                <w:rFonts w:hint="eastAsia" w:ascii="宋体" w:hAnsi="宋体" w:eastAsia="宋体" w:cs="宋体"/>
                <w:b/>
                <w:bCs/>
                <w:color w:val="auto"/>
                <w:sz w:val="24"/>
                <w:szCs w:val="24"/>
                <w:highlight w:val="none"/>
                <w:vertAlign w:val="baseline"/>
                <w:lang w:val="en-US" w:eastAsia="zh-CN"/>
              </w:rPr>
              <w:t>如有</w:t>
            </w:r>
            <w:r>
              <w:rPr>
                <w:rFonts w:hint="eastAsia" w:ascii="宋体" w:hAnsi="宋体" w:eastAsia="宋体" w:cs="宋体"/>
                <w:b/>
                <w:bCs/>
                <w:color w:val="auto"/>
                <w:sz w:val="24"/>
                <w:szCs w:val="24"/>
                <w:highlight w:val="none"/>
                <w:vertAlign w:val="baseline"/>
                <w:lang w:eastAsia="zh-CN"/>
              </w:rPr>
              <w:t>）</w:t>
            </w:r>
          </w:p>
        </w:tc>
        <w:tc>
          <w:tcPr>
            <w:tcW w:w="739" w:type="dxa"/>
          </w:tcPr>
          <w:p w14:paraId="73D5EBBB">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739" w:type="dxa"/>
          </w:tcPr>
          <w:p w14:paraId="23FCC446">
            <w:pPr>
              <w:pageBreakBefore w:val="0"/>
              <w:widowControl w:val="0"/>
              <w:kinsoku/>
              <w:wordWrap/>
              <w:overflowPunct/>
              <w:topLinePunct w:val="0"/>
              <w:bidi w:val="0"/>
              <w:spacing w:line="219" w:lineRule="auto"/>
              <w:jc w:val="both"/>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型号（如有）</w:t>
            </w:r>
          </w:p>
        </w:tc>
      </w:tr>
      <w:tr w14:paraId="5804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8" w:type="dxa"/>
          </w:tcPr>
          <w:p w14:paraId="6F0B8C5A">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00F69D31">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1C865693">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8" w:type="dxa"/>
          </w:tcPr>
          <w:p w14:paraId="1438C78C">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939" w:type="dxa"/>
          </w:tcPr>
          <w:p w14:paraId="523ADCFB">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939" w:type="dxa"/>
          </w:tcPr>
          <w:p w14:paraId="0914E176">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66" w:type="dxa"/>
          </w:tcPr>
          <w:p w14:paraId="4B545477">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0ABE0EE3">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2BE6E1FB">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759845DD">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c>
          <w:tcPr>
            <w:tcW w:w="739" w:type="dxa"/>
          </w:tcPr>
          <w:p w14:paraId="490BBB88">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vertAlign w:val="baseline"/>
                <w:lang w:eastAsia="zh-CN"/>
              </w:rPr>
            </w:pPr>
          </w:p>
        </w:tc>
      </w:tr>
    </w:tbl>
    <w:p w14:paraId="2BAA831D">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4A347BE2">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供应商盖章：</w:t>
      </w:r>
    </w:p>
    <w:p w14:paraId="60B608AF">
      <w:pPr>
        <w:pageBreakBefore w:val="0"/>
        <w:widowControl w:val="0"/>
        <w:kinsoku/>
        <w:wordWrap/>
        <w:overflowPunct/>
        <w:topLinePunct w:val="0"/>
        <w:bidi w:val="0"/>
        <w:spacing w:line="219" w:lineRule="auto"/>
        <w:jc w:val="both"/>
        <w:rPr>
          <w:rFonts w:hint="eastAsia" w:ascii="宋体" w:hAnsi="宋体" w:eastAsia="宋体" w:cs="宋体"/>
          <w:color w:val="auto"/>
          <w:sz w:val="24"/>
          <w:szCs w:val="24"/>
          <w:highlight w:val="none"/>
          <w:lang w:eastAsia="zh-CN"/>
        </w:rPr>
      </w:pPr>
    </w:p>
    <w:p w14:paraId="23F019D2">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lang w:eastAsia="zh-CN"/>
        </w:rPr>
        <w:sectPr>
          <w:footerReference r:id="rId7" w:type="default"/>
          <w:pgSz w:w="11906" w:h="16839"/>
          <w:pgMar w:top="1426" w:right="1785" w:bottom="1429" w:left="1785" w:header="0" w:footer="1200" w:gutter="0"/>
          <w:cols w:space="720" w:num="1"/>
        </w:sectPr>
      </w:pPr>
      <w:r>
        <w:rPr>
          <w:rFonts w:hint="eastAsia" w:ascii="宋体" w:hAnsi="宋体" w:eastAsia="宋体" w:cs="宋体"/>
          <w:color w:val="auto"/>
          <w:sz w:val="24"/>
          <w:szCs w:val="24"/>
          <w:highlight w:val="none"/>
          <w:lang w:eastAsia="zh-CN"/>
        </w:rPr>
        <w:t>法定代表人或授权代表签字或签章：</w:t>
      </w:r>
    </w:p>
    <w:p w14:paraId="3070AFC5">
      <w:pPr>
        <w:pageBreakBefore w:val="0"/>
        <w:widowControl w:val="0"/>
        <w:wordWrap/>
        <w:overflowPunct/>
        <w:topLinePunct w:val="0"/>
        <w:bidi w:val="0"/>
        <w:spacing w:before="78" w:line="218" w:lineRule="auto"/>
        <w:ind w:left="3323"/>
        <w:outlineLvl w:val="1"/>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pPr>
      <w:bookmarkStart w:id="264" w:name="_Toc16969"/>
      <w:bookmarkStart w:id="265" w:name="_Toc16035"/>
      <w:bookmarkStart w:id="266" w:name="_Toc822"/>
      <w:bookmarkStart w:id="267" w:name="_Toc32190"/>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报价一览明细表</w:t>
      </w:r>
      <w:bookmarkEnd w:id="264"/>
      <w:bookmarkEnd w:id="265"/>
      <w:bookmarkEnd w:id="266"/>
      <w:bookmarkEnd w:id="267"/>
    </w:p>
    <w:p w14:paraId="397612C9">
      <w:pPr>
        <w:pStyle w:val="6"/>
        <w:rPr>
          <w:color w:val="auto"/>
          <w:highlight w:val="none"/>
          <w:lang w:eastAsia="zh-CN"/>
        </w:rPr>
      </w:pPr>
    </w:p>
    <w:p w14:paraId="6F964793">
      <w:pPr>
        <w:rPr>
          <w:rFonts w:asciiTheme="minorEastAsia" w:hAnsiTheme="minorEastAsia" w:eastAsiaTheme="minorEastAsia" w:cstheme="minorEastAsia"/>
          <w:color w:val="auto"/>
          <w:highlight w:val="none"/>
        </w:rPr>
      </w:pPr>
      <w:bookmarkStart w:id="268" w:name="bookmark57"/>
      <w:bookmarkEnd w:id="268"/>
      <w:r>
        <w:rPr>
          <w:rFonts w:hint="eastAsia" w:asciiTheme="minorEastAsia" w:hAnsiTheme="minorEastAsia" w:eastAsiaTheme="minorEastAsia" w:cstheme="minorEastAsia"/>
          <w:color w:val="auto"/>
          <w:sz w:val="24"/>
          <w:highlight w:val="none"/>
        </w:rPr>
        <w:t>供应商名称：</w:t>
      </w:r>
    </w:p>
    <w:tbl>
      <w:tblPr>
        <w:tblStyle w:val="17"/>
        <w:tblW w:w="9585" w:type="dxa"/>
        <w:tblInd w:w="1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5"/>
        <w:gridCol w:w="1335"/>
        <w:gridCol w:w="780"/>
        <w:gridCol w:w="1470"/>
        <w:gridCol w:w="1665"/>
        <w:gridCol w:w="1770"/>
        <w:gridCol w:w="1710"/>
      </w:tblGrid>
      <w:tr w14:paraId="3C2AC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exact"/>
        </w:trPr>
        <w:tc>
          <w:tcPr>
            <w:tcW w:w="855" w:type="dxa"/>
            <w:tcBorders>
              <w:top w:val="single" w:color="auto" w:sz="4" w:space="0"/>
              <w:left w:val="single" w:color="auto" w:sz="4" w:space="0"/>
              <w:right w:val="single" w:color="auto" w:sz="4" w:space="0"/>
            </w:tcBorders>
            <w:vAlign w:val="center"/>
          </w:tcPr>
          <w:p w14:paraId="734BB110">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335" w:type="dxa"/>
            <w:tcBorders>
              <w:top w:val="single" w:color="auto" w:sz="4" w:space="0"/>
              <w:left w:val="single" w:color="auto" w:sz="4" w:space="0"/>
              <w:right w:val="single" w:color="auto" w:sz="4" w:space="0"/>
            </w:tcBorders>
            <w:vAlign w:val="center"/>
          </w:tcPr>
          <w:p w14:paraId="0E1CA1F5">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费用名称</w:t>
            </w:r>
          </w:p>
        </w:tc>
        <w:tc>
          <w:tcPr>
            <w:tcW w:w="780" w:type="dxa"/>
            <w:tcBorders>
              <w:top w:val="single" w:color="auto" w:sz="4" w:space="0"/>
              <w:right w:val="single" w:color="auto" w:sz="4" w:space="0"/>
            </w:tcBorders>
            <w:vAlign w:val="center"/>
          </w:tcPr>
          <w:p w14:paraId="4AF1ABA6">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1470" w:type="dxa"/>
            <w:tcBorders>
              <w:top w:val="single" w:color="auto" w:sz="4" w:space="0"/>
              <w:left w:val="single" w:color="auto" w:sz="4" w:space="0"/>
              <w:right w:val="single" w:color="auto" w:sz="4" w:space="0"/>
            </w:tcBorders>
            <w:vAlign w:val="center"/>
          </w:tcPr>
          <w:p w14:paraId="5E8CB66D">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单价（元）</w:t>
            </w:r>
          </w:p>
        </w:tc>
        <w:tc>
          <w:tcPr>
            <w:tcW w:w="1665" w:type="dxa"/>
            <w:tcBorders>
              <w:top w:val="single" w:color="auto" w:sz="4" w:space="0"/>
              <w:left w:val="single" w:color="auto" w:sz="4" w:space="0"/>
              <w:right w:val="single" w:color="auto" w:sz="4" w:space="0"/>
            </w:tcBorders>
            <w:vAlign w:val="center"/>
          </w:tcPr>
          <w:p w14:paraId="4890F157">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总价（元）</w:t>
            </w:r>
          </w:p>
        </w:tc>
        <w:tc>
          <w:tcPr>
            <w:tcW w:w="1770" w:type="dxa"/>
            <w:tcBorders>
              <w:top w:val="single" w:color="auto" w:sz="4" w:space="0"/>
              <w:left w:val="single" w:color="auto" w:sz="4" w:space="0"/>
              <w:right w:val="single" w:color="auto" w:sz="4" w:space="0"/>
            </w:tcBorders>
            <w:vAlign w:val="center"/>
          </w:tcPr>
          <w:p w14:paraId="49854DA0">
            <w:pPr>
              <w:spacing w:line="400" w:lineRule="exact"/>
              <w:jc w:val="center"/>
              <w:rPr>
                <w:rFonts w:asciiTheme="minorEastAsia" w:hAnsiTheme="minorEastAsia" w:eastAsiaTheme="minorEastAsia" w:cstheme="minorEastAsia"/>
                <w:color w:val="auto"/>
                <w:sz w:val="24"/>
                <w:highlight w:val="none"/>
              </w:rPr>
            </w:pPr>
            <w:r>
              <w:rPr>
                <w:rFonts w:hint="eastAsia" w:ascii="宋体" w:hAnsi="宋体" w:cs="宋体"/>
                <w:color w:val="auto"/>
                <w:sz w:val="24"/>
                <w:highlight w:val="none"/>
              </w:rPr>
              <w:t>是否属于</w:t>
            </w:r>
            <w:r>
              <w:rPr>
                <w:rFonts w:hint="eastAsia" w:cs="仿宋" w:asciiTheme="minorEastAsia" w:hAnsiTheme="minorEastAsia" w:eastAsiaTheme="minorEastAsia"/>
                <w:color w:val="auto"/>
                <w:sz w:val="24"/>
                <w:szCs w:val="24"/>
                <w:highlight w:val="none"/>
                <w:lang w:eastAsia="zh-CN"/>
              </w:rPr>
              <w:t>中、</w:t>
            </w:r>
            <w:r>
              <w:rPr>
                <w:rFonts w:hint="eastAsia" w:cs="仿宋" w:asciiTheme="minorEastAsia" w:hAnsiTheme="minorEastAsia" w:eastAsiaTheme="minorEastAsia"/>
                <w:color w:val="auto"/>
                <w:sz w:val="24"/>
                <w:szCs w:val="24"/>
                <w:highlight w:val="none"/>
              </w:rPr>
              <w:t>小</w:t>
            </w:r>
            <w:r>
              <w:rPr>
                <w:rFonts w:hint="eastAsia" w:ascii="宋体" w:hAnsi="宋体" w:cs="宋体"/>
                <w:color w:val="auto"/>
                <w:sz w:val="24"/>
                <w:highlight w:val="none"/>
              </w:rPr>
              <w:t>、微企业或监狱企业或残疾人福利性单位产品</w:t>
            </w:r>
          </w:p>
        </w:tc>
        <w:tc>
          <w:tcPr>
            <w:tcW w:w="1710" w:type="dxa"/>
            <w:tcBorders>
              <w:top w:val="single" w:color="auto" w:sz="4" w:space="0"/>
              <w:left w:val="single" w:color="auto" w:sz="4" w:space="0"/>
              <w:right w:val="single" w:color="auto" w:sz="4" w:space="0"/>
            </w:tcBorders>
            <w:vAlign w:val="center"/>
          </w:tcPr>
          <w:p w14:paraId="02B6B10A">
            <w:pPr>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753B7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725A55C">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1335" w:type="dxa"/>
            <w:tcBorders>
              <w:left w:val="single" w:color="auto" w:sz="4" w:space="0"/>
              <w:right w:val="single" w:color="auto" w:sz="4" w:space="0"/>
            </w:tcBorders>
            <w:vAlign w:val="center"/>
          </w:tcPr>
          <w:p w14:paraId="7B11BA99">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18B2F207">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1017F559">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51B3669C">
            <w:pPr>
              <w:spacing w:line="400" w:lineRule="exact"/>
              <w:jc w:val="center"/>
              <w:rPr>
                <w:rFonts w:asciiTheme="minorEastAsia" w:hAnsiTheme="minorEastAsia" w:eastAsiaTheme="minorEastAsia" w:cstheme="minorEastAsia"/>
                <w:color w:val="auto"/>
                <w:sz w:val="24"/>
                <w:highlight w:val="none"/>
              </w:rPr>
            </w:pPr>
          </w:p>
        </w:tc>
        <w:tc>
          <w:tcPr>
            <w:tcW w:w="1770" w:type="dxa"/>
            <w:vMerge w:val="restart"/>
            <w:tcBorders>
              <w:left w:val="single" w:color="auto" w:sz="4" w:space="0"/>
              <w:right w:val="single" w:color="auto" w:sz="4" w:space="0"/>
            </w:tcBorders>
            <w:vAlign w:val="center"/>
          </w:tcPr>
          <w:p w14:paraId="601BA4E1">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53935A76">
            <w:pPr>
              <w:spacing w:line="400" w:lineRule="exact"/>
              <w:jc w:val="center"/>
              <w:rPr>
                <w:rFonts w:asciiTheme="minorEastAsia" w:hAnsiTheme="minorEastAsia" w:eastAsiaTheme="minorEastAsia" w:cstheme="minorEastAsia"/>
                <w:color w:val="auto"/>
                <w:sz w:val="24"/>
                <w:highlight w:val="none"/>
              </w:rPr>
            </w:pPr>
          </w:p>
        </w:tc>
      </w:tr>
      <w:tr w14:paraId="47E19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6651293F">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1335" w:type="dxa"/>
            <w:tcBorders>
              <w:left w:val="single" w:color="auto" w:sz="4" w:space="0"/>
              <w:right w:val="single" w:color="auto" w:sz="4" w:space="0"/>
            </w:tcBorders>
            <w:vAlign w:val="center"/>
          </w:tcPr>
          <w:p w14:paraId="1C0C93B6">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2EA811FB">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19546A01">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054284EB">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3A0F72BD">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13E8F0D3">
            <w:pPr>
              <w:spacing w:line="400" w:lineRule="exact"/>
              <w:jc w:val="center"/>
              <w:rPr>
                <w:rFonts w:asciiTheme="minorEastAsia" w:hAnsiTheme="minorEastAsia" w:eastAsiaTheme="minorEastAsia" w:cstheme="minorEastAsia"/>
                <w:color w:val="auto"/>
                <w:sz w:val="24"/>
                <w:highlight w:val="none"/>
              </w:rPr>
            </w:pPr>
          </w:p>
        </w:tc>
      </w:tr>
      <w:tr w14:paraId="4296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285735F">
            <w:pPr>
              <w:spacing w:line="400" w:lineRule="exact"/>
              <w:jc w:val="center"/>
              <w:rPr>
                <w:rFonts w:asciiTheme="minorEastAsia" w:hAnsiTheme="minorEastAsia" w:eastAsiaTheme="minorEastAsia" w:cstheme="minorEastAsia"/>
                <w:color w:val="auto"/>
                <w:sz w:val="24"/>
                <w:highlight w:val="none"/>
              </w:rPr>
            </w:pPr>
          </w:p>
        </w:tc>
        <w:tc>
          <w:tcPr>
            <w:tcW w:w="1335" w:type="dxa"/>
            <w:tcBorders>
              <w:left w:val="single" w:color="auto" w:sz="4" w:space="0"/>
              <w:right w:val="single" w:color="auto" w:sz="4" w:space="0"/>
            </w:tcBorders>
            <w:vAlign w:val="center"/>
          </w:tcPr>
          <w:p w14:paraId="4F15CC97">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3FA2FF7F">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63438C83">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7F72E14E">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064BC01A">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30969918">
            <w:pPr>
              <w:spacing w:line="400" w:lineRule="exact"/>
              <w:jc w:val="center"/>
              <w:rPr>
                <w:rFonts w:asciiTheme="minorEastAsia" w:hAnsiTheme="minorEastAsia" w:eastAsiaTheme="minorEastAsia" w:cstheme="minorEastAsia"/>
                <w:color w:val="auto"/>
                <w:sz w:val="24"/>
                <w:highlight w:val="none"/>
              </w:rPr>
            </w:pPr>
          </w:p>
        </w:tc>
      </w:tr>
      <w:tr w14:paraId="2DFC9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855" w:type="dxa"/>
            <w:tcBorders>
              <w:left w:val="single" w:color="auto" w:sz="4" w:space="0"/>
              <w:right w:val="single" w:color="auto" w:sz="4" w:space="0"/>
            </w:tcBorders>
            <w:vAlign w:val="center"/>
          </w:tcPr>
          <w:p w14:paraId="5CDC0451">
            <w:pPr>
              <w:spacing w:line="400" w:lineRule="exact"/>
              <w:jc w:val="center"/>
              <w:rPr>
                <w:rFonts w:asciiTheme="minorEastAsia" w:hAnsiTheme="minorEastAsia" w:eastAsiaTheme="minorEastAsia" w:cstheme="minorEastAsia"/>
                <w:color w:val="auto"/>
                <w:sz w:val="24"/>
                <w:highlight w:val="none"/>
              </w:rPr>
            </w:pPr>
          </w:p>
        </w:tc>
        <w:tc>
          <w:tcPr>
            <w:tcW w:w="1335" w:type="dxa"/>
            <w:tcBorders>
              <w:left w:val="single" w:color="auto" w:sz="4" w:space="0"/>
              <w:right w:val="single" w:color="auto" w:sz="4" w:space="0"/>
            </w:tcBorders>
            <w:vAlign w:val="center"/>
          </w:tcPr>
          <w:p w14:paraId="36CCD535">
            <w:pPr>
              <w:spacing w:line="400" w:lineRule="exact"/>
              <w:jc w:val="center"/>
              <w:rPr>
                <w:rFonts w:asciiTheme="minorEastAsia" w:hAnsiTheme="minorEastAsia" w:eastAsiaTheme="minorEastAsia" w:cstheme="minorEastAsia"/>
                <w:color w:val="auto"/>
                <w:sz w:val="24"/>
                <w:highlight w:val="none"/>
              </w:rPr>
            </w:pPr>
          </w:p>
        </w:tc>
        <w:tc>
          <w:tcPr>
            <w:tcW w:w="780" w:type="dxa"/>
            <w:tcBorders>
              <w:right w:val="single" w:color="auto" w:sz="4" w:space="0"/>
            </w:tcBorders>
            <w:vAlign w:val="center"/>
          </w:tcPr>
          <w:p w14:paraId="0ED63B87">
            <w:pPr>
              <w:spacing w:line="400" w:lineRule="exact"/>
              <w:jc w:val="center"/>
              <w:rPr>
                <w:rFonts w:asciiTheme="minorEastAsia" w:hAnsiTheme="minorEastAsia" w:eastAsiaTheme="minorEastAsia" w:cstheme="minorEastAsia"/>
                <w:color w:val="auto"/>
                <w:sz w:val="24"/>
                <w:highlight w:val="none"/>
              </w:rPr>
            </w:pPr>
          </w:p>
        </w:tc>
        <w:tc>
          <w:tcPr>
            <w:tcW w:w="1470" w:type="dxa"/>
            <w:tcBorders>
              <w:left w:val="single" w:color="auto" w:sz="4" w:space="0"/>
              <w:right w:val="single" w:color="auto" w:sz="4" w:space="0"/>
            </w:tcBorders>
            <w:vAlign w:val="center"/>
          </w:tcPr>
          <w:p w14:paraId="638B53F0">
            <w:pPr>
              <w:spacing w:line="400" w:lineRule="exact"/>
              <w:jc w:val="center"/>
              <w:rPr>
                <w:rFonts w:asciiTheme="minorEastAsia" w:hAnsiTheme="minorEastAsia" w:eastAsiaTheme="minorEastAsia" w:cstheme="minorEastAsia"/>
                <w:color w:val="auto"/>
                <w:sz w:val="24"/>
                <w:highlight w:val="none"/>
              </w:rPr>
            </w:pPr>
          </w:p>
        </w:tc>
        <w:tc>
          <w:tcPr>
            <w:tcW w:w="1665" w:type="dxa"/>
            <w:tcBorders>
              <w:left w:val="single" w:color="auto" w:sz="4" w:space="0"/>
              <w:right w:val="single" w:color="auto" w:sz="4" w:space="0"/>
            </w:tcBorders>
            <w:vAlign w:val="center"/>
          </w:tcPr>
          <w:p w14:paraId="34A27678">
            <w:pPr>
              <w:spacing w:line="400" w:lineRule="exact"/>
              <w:jc w:val="center"/>
              <w:rPr>
                <w:rFonts w:asciiTheme="minorEastAsia" w:hAnsiTheme="minorEastAsia" w:eastAsiaTheme="minorEastAsia" w:cstheme="minorEastAsia"/>
                <w:color w:val="auto"/>
                <w:sz w:val="24"/>
                <w:highlight w:val="none"/>
              </w:rPr>
            </w:pPr>
          </w:p>
        </w:tc>
        <w:tc>
          <w:tcPr>
            <w:tcW w:w="1770" w:type="dxa"/>
            <w:vMerge w:val="continue"/>
            <w:tcBorders>
              <w:left w:val="single" w:color="auto" w:sz="4" w:space="0"/>
              <w:right w:val="single" w:color="auto" w:sz="4" w:space="0"/>
            </w:tcBorders>
            <w:vAlign w:val="center"/>
          </w:tcPr>
          <w:p w14:paraId="3A82E104">
            <w:pPr>
              <w:spacing w:line="400" w:lineRule="exact"/>
              <w:jc w:val="center"/>
              <w:rPr>
                <w:rFonts w:asciiTheme="minorEastAsia" w:hAnsiTheme="minorEastAsia" w:eastAsiaTheme="minorEastAsia" w:cstheme="minorEastAsia"/>
                <w:color w:val="auto"/>
                <w:sz w:val="24"/>
                <w:highlight w:val="none"/>
              </w:rPr>
            </w:pPr>
          </w:p>
        </w:tc>
        <w:tc>
          <w:tcPr>
            <w:tcW w:w="1710" w:type="dxa"/>
            <w:tcBorders>
              <w:left w:val="single" w:color="auto" w:sz="4" w:space="0"/>
              <w:right w:val="single" w:color="auto" w:sz="4" w:space="0"/>
            </w:tcBorders>
            <w:vAlign w:val="center"/>
          </w:tcPr>
          <w:p w14:paraId="29971032">
            <w:pPr>
              <w:spacing w:line="400" w:lineRule="exact"/>
              <w:jc w:val="center"/>
              <w:rPr>
                <w:rFonts w:asciiTheme="minorEastAsia" w:hAnsiTheme="minorEastAsia" w:eastAsiaTheme="minorEastAsia" w:cstheme="minorEastAsia"/>
                <w:color w:val="auto"/>
                <w:sz w:val="24"/>
                <w:highlight w:val="none"/>
              </w:rPr>
            </w:pPr>
          </w:p>
        </w:tc>
      </w:tr>
      <w:tr w14:paraId="53728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7875" w:type="dxa"/>
            <w:gridSpan w:val="6"/>
            <w:tcBorders>
              <w:left w:val="single" w:color="auto" w:sz="4" w:space="0"/>
              <w:bottom w:val="single" w:color="auto" w:sz="4" w:space="0"/>
              <w:right w:val="single" w:color="auto" w:sz="4" w:space="0"/>
            </w:tcBorders>
            <w:vAlign w:val="center"/>
          </w:tcPr>
          <w:p w14:paraId="34D55F6A">
            <w:pPr>
              <w:spacing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合计（大写）：</w:t>
            </w:r>
          </w:p>
        </w:tc>
        <w:tc>
          <w:tcPr>
            <w:tcW w:w="1710" w:type="dxa"/>
            <w:tcBorders>
              <w:bottom w:val="single" w:color="auto" w:sz="4" w:space="0"/>
              <w:right w:val="single" w:color="auto" w:sz="4" w:space="0"/>
            </w:tcBorders>
            <w:vAlign w:val="center"/>
          </w:tcPr>
          <w:p w14:paraId="1FBB80B8">
            <w:pPr>
              <w:spacing w:line="400" w:lineRule="exact"/>
              <w:rPr>
                <w:rFonts w:hint="eastAsia" w:asciiTheme="minorEastAsia" w:hAnsiTheme="minorEastAsia" w:eastAsiaTheme="minorEastAsia" w:cstheme="minorEastAsia"/>
                <w:color w:val="auto"/>
                <w:sz w:val="24"/>
                <w:highlight w:val="none"/>
              </w:rPr>
            </w:pPr>
          </w:p>
        </w:tc>
      </w:tr>
    </w:tbl>
    <w:p w14:paraId="3F107F49">
      <w:pPr>
        <w:spacing w:line="380" w:lineRule="exact"/>
        <w:rPr>
          <w:rFonts w:asciiTheme="minorEastAsia" w:hAnsiTheme="minorEastAsia" w:eastAsiaTheme="minorEastAsia" w:cstheme="minorEastAsia"/>
          <w:color w:val="auto"/>
          <w:highlight w:val="none"/>
        </w:rPr>
      </w:pPr>
    </w:p>
    <w:p w14:paraId="68252104">
      <w:pPr>
        <w:spacing w:line="380" w:lineRule="exact"/>
        <w:rPr>
          <w:rFonts w:asciiTheme="minorEastAsia" w:hAnsiTheme="minorEastAsia" w:eastAsiaTheme="minorEastAsia" w:cstheme="minorEastAsia"/>
          <w:color w:val="auto"/>
          <w:highlight w:val="none"/>
        </w:rPr>
      </w:pPr>
    </w:p>
    <w:p w14:paraId="7315371A">
      <w:pPr>
        <w:pageBreakBefore w:val="0"/>
        <w:widowControl w:val="0"/>
        <w:wordWrap/>
        <w:overflowPunct/>
        <w:topLinePunct w:val="0"/>
        <w:bidi w:val="0"/>
        <w:spacing w:before="135" w:line="219" w:lineRule="auto"/>
        <w:ind w:left="127"/>
        <w:rPr>
          <w:rFonts w:ascii="宋体" w:hAnsi="宋体" w:eastAsia="宋体" w:cs="宋体"/>
          <w:color w:val="auto"/>
          <w:sz w:val="24"/>
          <w:szCs w:val="24"/>
          <w:highlight w:val="none"/>
          <w:lang w:eastAsia="zh-CN"/>
        </w:rPr>
        <w:sectPr>
          <w:footerReference r:id="rId8" w:type="default"/>
          <w:pgSz w:w="11906" w:h="16839"/>
          <w:pgMar w:top="1118" w:right="1362" w:bottom="1322" w:left="1012" w:header="0" w:footer="1200" w:gutter="0"/>
          <w:pgNumType w:fmt="decimal"/>
          <w:cols w:space="720" w:num="1"/>
        </w:sectPr>
      </w:pPr>
      <w:r>
        <w:rPr>
          <w:rFonts w:hint="eastAsia" w:asciiTheme="minorEastAsia" w:hAnsiTheme="minorEastAsia" w:eastAsiaTheme="minorEastAsia" w:cstheme="minorEastAsia"/>
          <w:color w:val="auto"/>
          <w:sz w:val="24"/>
          <w:szCs w:val="24"/>
          <w:highlight w:val="none"/>
        </w:rPr>
        <w:t>供应商盖章</w:t>
      </w:r>
      <w:r>
        <w:rPr>
          <w:rFonts w:ascii="宋体" w:hAnsi="宋体" w:eastAsia="宋体" w:cs="宋体"/>
          <w:color w:val="auto"/>
          <w:spacing w:val="-1"/>
          <w:sz w:val="24"/>
          <w:szCs w:val="24"/>
          <w:highlight w:val="none"/>
          <w:lang w:eastAsia="zh-CN"/>
        </w:rPr>
        <w:t>：</w:t>
      </w:r>
    </w:p>
    <w:p w14:paraId="1A1C27E5">
      <w:pPr>
        <w:pageBreakBefore w:val="0"/>
        <w:widowControl w:val="0"/>
        <w:wordWrap/>
        <w:overflowPunct/>
        <w:topLinePunct w:val="0"/>
        <w:bidi w:val="0"/>
        <w:spacing w:before="78" w:line="219" w:lineRule="auto"/>
        <w:jc w:val="center"/>
        <w:outlineLvl w:val="1"/>
        <w:rPr>
          <w:rFonts w:ascii="宋体" w:hAnsi="宋体" w:eastAsia="宋体" w:cs="宋体"/>
          <w:color w:val="auto"/>
          <w:sz w:val="24"/>
          <w:szCs w:val="24"/>
          <w:highlight w:val="none"/>
          <w:lang w:eastAsia="zh-CN"/>
        </w:rPr>
      </w:pPr>
      <w:bookmarkStart w:id="269" w:name="bookmark58"/>
      <w:bookmarkEnd w:id="269"/>
      <w:bookmarkStart w:id="270" w:name="_Toc13758"/>
      <w:bookmarkStart w:id="271" w:name="_Toc3682"/>
      <w:bookmarkStart w:id="272" w:name="_Toc23069"/>
      <w:bookmarkStart w:id="273" w:name="_Toc1695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服务要</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求响应/偏离表</w:t>
      </w:r>
      <w:bookmarkEnd w:id="270"/>
      <w:bookmarkEnd w:id="271"/>
      <w:bookmarkEnd w:id="272"/>
      <w:bookmarkEnd w:id="273"/>
    </w:p>
    <w:p w14:paraId="6E9F13A9">
      <w:pPr>
        <w:pageBreakBefore w:val="0"/>
        <w:widowControl w:val="0"/>
        <w:tabs>
          <w:tab w:val="left" w:pos="6090"/>
        </w:tabs>
        <w:wordWrap/>
        <w:overflowPunct/>
        <w:topLinePunct w:val="0"/>
        <w:bidi w:val="0"/>
        <w:spacing w:before="24"/>
        <w:rPr>
          <w:color w:val="auto"/>
          <w:highlight w:val="none"/>
          <w:lang w:eastAsia="zh-CN"/>
        </w:rPr>
      </w:pPr>
    </w:p>
    <w:tbl>
      <w:tblPr>
        <w:tblStyle w:val="25"/>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04EB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356" w:type="dxa"/>
            <w:vAlign w:val="bottom"/>
          </w:tcPr>
          <w:p w14:paraId="0FBC478A">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256" w:type="dxa"/>
            <w:vAlign w:val="center"/>
          </w:tcPr>
          <w:p w14:paraId="113A3B1C">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磋商</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p>
          <w:p w14:paraId="2CEB7B16">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服务要求</w:t>
            </w:r>
          </w:p>
        </w:tc>
        <w:tc>
          <w:tcPr>
            <w:tcW w:w="2700" w:type="dxa"/>
            <w:vAlign w:val="center"/>
          </w:tcPr>
          <w:p w14:paraId="5ED94E7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w:t>
            </w:r>
          </w:p>
          <w:p w14:paraId="19ECD7C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rPr>
              <w:t>的具体内容</w:t>
            </w:r>
          </w:p>
        </w:tc>
        <w:tc>
          <w:tcPr>
            <w:tcW w:w="1559" w:type="dxa"/>
            <w:vAlign w:val="bottom"/>
          </w:tcPr>
          <w:p w14:paraId="0D764E58">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1421" w:type="dxa"/>
            <w:vAlign w:val="bottom"/>
          </w:tcPr>
          <w:p w14:paraId="0532C8A9">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447D7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3233222A">
            <w:pPr>
              <w:pStyle w:val="26"/>
              <w:pageBreakBefore w:val="0"/>
              <w:widowControl w:val="0"/>
              <w:tabs>
                <w:tab w:val="left" w:pos="6090"/>
              </w:tabs>
              <w:wordWrap/>
              <w:overflowPunct/>
              <w:topLinePunct w:val="0"/>
              <w:bidi w:val="0"/>
              <w:rPr>
                <w:color w:val="auto"/>
                <w:highlight w:val="none"/>
              </w:rPr>
            </w:pPr>
          </w:p>
        </w:tc>
        <w:tc>
          <w:tcPr>
            <w:tcW w:w="2256" w:type="dxa"/>
          </w:tcPr>
          <w:p w14:paraId="50B0D1A3">
            <w:pPr>
              <w:pStyle w:val="26"/>
              <w:pageBreakBefore w:val="0"/>
              <w:widowControl w:val="0"/>
              <w:tabs>
                <w:tab w:val="left" w:pos="6090"/>
              </w:tabs>
              <w:wordWrap/>
              <w:overflowPunct/>
              <w:topLinePunct w:val="0"/>
              <w:bidi w:val="0"/>
              <w:rPr>
                <w:color w:val="auto"/>
                <w:highlight w:val="none"/>
              </w:rPr>
            </w:pPr>
          </w:p>
        </w:tc>
        <w:tc>
          <w:tcPr>
            <w:tcW w:w="2700" w:type="dxa"/>
          </w:tcPr>
          <w:p w14:paraId="1ADB4F5D">
            <w:pPr>
              <w:pStyle w:val="26"/>
              <w:pageBreakBefore w:val="0"/>
              <w:widowControl w:val="0"/>
              <w:tabs>
                <w:tab w:val="left" w:pos="6090"/>
              </w:tabs>
              <w:wordWrap/>
              <w:overflowPunct/>
              <w:topLinePunct w:val="0"/>
              <w:bidi w:val="0"/>
              <w:rPr>
                <w:color w:val="auto"/>
                <w:highlight w:val="none"/>
              </w:rPr>
            </w:pPr>
          </w:p>
        </w:tc>
        <w:tc>
          <w:tcPr>
            <w:tcW w:w="1559" w:type="dxa"/>
          </w:tcPr>
          <w:p w14:paraId="2F574B8F">
            <w:pPr>
              <w:pStyle w:val="26"/>
              <w:pageBreakBefore w:val="0"/>
              <w:widowControl w:val="0"/>
              <w:tabs>
                <w:tab w:val="left" w:pos="6090"/>
              </w:tabs>
              <w:wordWrap/>
              <w:overflowPunct/>
              <w:topLinePunct w:val="0"/>
              <w:bidi w:val="0"/>
              <w:rPr>
                <w:color w:val="auto"/>
                <w:highlight w:val="none"/>
              </w:rPr>
            </w:pPr>
          </w:p>
        </w:tc>
        <w:tc>
          <w:tcPr>
            <w:tcW w:w="1421" w:type="dxa"/>
          </w:tcPr>
          <w:p w14:paraId="2038A189">
            <w:pPr>
              <w:pStyle w:val="26"/>
              <w:pageBreakBefore w:val="0"/>
              <w:widowControl w:val="0"/>
              <w:tabs>
                <w:tab w:val="left" w:pos="6090"/>
              </w:tabs>
              <w:wordWrap/>
              <w:overflowPunct/>
              <w:topLinePunct w:val="0"/>
              <w:bidi w:val="0"/>
              <w:rPr>
                <w:color w:val="auto"/>
                <w:highlight w:val="none"/>
              </w:rPr>
            </w:pPr>
          </w:p>
        </w:tc>
      </w:tr>
      <w:tr w14:paraId="30B14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2C2EE846">
            <w:pPr>
              <w:pStyle w:val="26"/>
              <w:pageBreakBefore w:val="0"/>
              <w:widowControl w:val="0"/>
              <w:tabs>
                <w:tab w:val="left" w:pos="6090"/>
              </w:tabs>
              <w:wordWrap/>
              <w:overflowPunct/>
              <w:topLinePunct w:val="0"/>
              <w:bidi w:val="0"/>
              <w:rPr>
                <w:color w:val="auto"/>
                <w:highlight w:val="none"/>
              </w:rPr>
            </w:pPr>
          </w:p>
        </w:tc>
        <w:tc>
          <w:tcPr>
            <w:tcW w:w="2256" w:type="dxa"/>
          </w:tcPr>
          <w:p w14:paraId="1C8EEEF3">
            <w:pPr>
              <w:pStyle w:val="26"/>
              <w:pageBreakBefore w:val="0"/>
              <w:widowControl w:val="0"/>
              <w:tabs>
                <w:tab w:val="left" w:pos="6090"/>
              </w:tabs>
              <w:wordWrap/>
              <w:overflowPunct/>
              <w:topLinePunct w:val="0"/>
              <w:bidi w:val="0"/>
              <w:rPr>
                <w:color w:val="auto"/>
                <w:highlight w:val="none"/>
              </w:rPr>
            </w:pPr>
          </w:p>
        </w:tc>
        <w:tc>
          <w:tcPr>
            <w:tcW w:w="2700" w:type="dxa"/>
          </w:tcPr>
          <w:p w14:paraId="4EA91D19">
            <w:pPr>
              <w:pStyle w:val="26"/>
              <w:pageBreakBefore w:val="0"/>
              <w:widowControl w:val="0"/>
              <w:tabs>
                <w:tab w:val="left" w:pos="6090"/>
              </w:tabs>
              <w:wordWrap/>
              <w:overflowPunct/>
              <w:topLinePunct w:val="0"/>
              <w:bidi w:val="0"/>
              <w:rPr>
                <w:color w:val="auto"/>
                <w:highlight w:val="none"/>
              </w:rPr>
            </w:pPr>
          </w:p>
        </w:tc>
        <w:tc>
          <w:tcPr>
            <w:tcW w:w="1559" w:type="dxa"/>
          </w:tcPr>
          <w:p w14:paraId="48408987">
            <w:pPr>
              <w:pStyle w:val="26"/>
              <w:pageBreakBefore w:val="0"/>
              <w:widowControl w:val="0"/>
              <w:tabs>
                <w:tab w:val="left" w:pos="6090"/>
              </w:tabs>
              <w:wordWrap/>
              <w:overflowPunct/>
              <w:topLinePunct w:val="0"/>
              <w:bidi w:val="0"/>
              <w:rPr>
                <w:color w:val="auto"/>
                <w:highlight w:val="none"/>
              </w:rPr>
            </w:pPr>
          </w:p>
        </w:tc>
        <w:tc>
          <w:tcPr>
            <w:tcW w:w="1421" w:type="dxa"/>
          </w:tcPr>
          <w:p w14:paraId="3F12C73B">
            <w:pPr>
              <w:pStyle w:val="26"/>
              <w:pageBreakBefore w:val="0"/>
              <w:widowControl w:val="0"/>
              <w:tabs>
                <w:tab w:val="left" w:pos="6090"/>
              </w:tabs>
              <w:wordWrap/>
              <w:overflowPunct/>
              <w:topLinePunct w:val="0"/>
              <w:bidi w:val="0"/>
              <w:rPr>
                <w:color w:val="auto"/>
                <w:highlight w:val="none"/>
              </w:rPr>
            </w:pPr>
          </w:p>
        </w:tc>
      </w:tr>
      <w:tr w14:paraId="2D9DD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3C722E6D">
            <w:pPr>
              <w:pStyle w:val="26"/>
              <w:pageBreakBefore w:val="0"/>
              <w:widowControl w:val="0"/>
              <w:tabs>
                <w:tab w:val="left" w:pos="6090"/>
              </w:tabs>
              <w:wordWrap/>
              <w:overflowPunct/>
              <w:topLinePunct w:val="0"/>
              <w:bidi w:val="0"/>
              <w:rPr>
                <w:color w:val="auto"/>
                <w:highlight w:val="none"/>
              </w:rPr>
            </w:pPr>
          </w:p>
        </w:tc>
        <w:tc>
          <w:tcPr>
            <w:tcW w:w="2256" w:type="dxa"/>
          </w:tcPr>
          <w:p w14:paraId="2994A61F">
            <w:pPr>
              <w:pStyle w:val="26"/>
              <w:pageBreakBefore w:val="0"/>
              <w:widowControl w:val="0"/>
              <w:tabs>
                <w:tab w:val="left" w:pos="6090"/>
              </w:tabs>
              <w:wordWrap/>
              <w:overflowPunct/>
              <w:topLinePunct w:val="0"/>
              <w:bidi w:val="0"/>
              <w:rPr>
                <w:color w:val="auto"/>
                <w:highlight w:val="none"/>
              </w:rPr>
            </w:pPr>
          </w:p>
        </w:tc>
        <w:tc>
          <w:tcPr>
            <w:tcW w:w="2700" w:type="dxa"/>
          </w:tcPr>
          <w:p w14:paraId="3390181F">
            <w:pPr>
              <w:pStyle w:val="26"/>
              <w:pageBreakBefore w:val="0"/>
              <w:widowControl w:val="0"/>
              <w:tabs>
                <w:tab w:val="left" w:pos="6090"/>
              </w:tabs>
              <w:wordWrap/>
              <w:overflowPunct/>
              <w:topLinePunct w:val="0"/>
              <w:bidi w:val="0"/>
              <w:rPr>
                <w:color w:val="auto"/>
                <w:highlight w:val="none"/>
              </w:rPr>
            </w:pPr>
          </w:p>
        </w:tc>
        <w:tc>
          <w:tcPr>
            <w:tcW w:w="1559" w:type="dxa"/>
          </w:tcPr>
          <w:p w14:paraId="0D46DA78">
            <w:pPr>
              <w:pStyle w:val="26"/>
              <w:pageBreakBefore w:val="0"/>
              <w:widowControl w:val="0"/>
              <w:tabs>
                <w:tab w:val="left" w:pos="6090"/>
              </w:tabs>
              <w:wordWrap/>
              <w:overflowPunct/>
              <w:topLinePunct w:val="0"/>
              <w:bidi w:val="0"/>
              <w:rPr>
                <w:color w:val="auto"/>
                <w:highlight w:val="none"/>
              </w:rPr>
            </w:pPr>
          </w:p>
        </w:tc>
        <w:tc>
          <w:tcPr>
            <w:tcW w:w="1421" w:type="dxa"/>
          </w:tcPr>
          <w:p w14:paraId="70A32887">
            <w:pPr>
              <w:pStyle w:val="26"/>
              <w:pageBreakBefore w:val="0"/>
              <w:widowControl w:val="0"/>
              <w:tabs>
                <w:tab w:val="left" w:pos="6090"/>
              </w:tabs>
              <w:wordWrap/>
              <w:overflowPunct/>
              <w:topLinePunct w:val="0"/>
              <w:bidi w:val="0"/>
              <w:rPr>
                <w:color w:val="auto"/>
                <w:highlight w:val="none"/>
              </w:rPr>
            </w:pPr>
          </w:p>
        </w:tc>
      </w:tr>
      <w:tr w14:paraId="6ADCD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077907F4">
            <w:pPr>
              <w:pStyle w:val="26"/>
              <w:pageBreakBefore w:val="0"/>
              <w:widowControl w:val="0"/>
              <w:tabs>
                <w:tab w:val="left" w:pos="6090"/>
              </w:tabs>
              <w:wordWrap/>
              <w:overflowPunct/>
              <w:topLinePunct w:val="0"/>
              <w:bidi w:val="0"/>
              <w:rPr>
                <w:color w:val="auto"/>
                <w:highlight w:val="none"/>
              </w:rPr>
            </w:pPr>
          </w:p>
        </w:tc>
        <w:tc>
          <w:tcPr>
            <w:tcW w:w="2256" w:type="dxa"/>
          </w:tcPr>
          <w:p w14:paraId="09F3F661">
            <w:pPr>
              <w:pStyle w:val="26"/>
              <w:pageBreakBefore w:val="0"/>
              <w:widowControl w:val="0"/>
              <w:tabs>
                <w:tab w:val="left" w:pos="6090"/>
              </w:tabs>
              <w:wordWrap/>
              <w:overflowPunct/>
              <w:topLinePunct w:val="0"/>
              <w:bidi w:val="0"/>
              <w:rPr>
                <w:color w:val="auto"/>
                <w:highlight w:val="none"/>
              </w:rPr>
            </w:pPr>
          </w:p>
        </w:tc>
        <w:tc>
          <w:tcPr>
            <w:tcW w:w="2700" w:type="dxa"/>
          </w:tcPr>
          <w:p w14:paraId="3EC039E5">
            <w:pPr>
              <w:pStyle w:val="26"/>
              <w:pageBreakBefore w:val="0"/>
              <w:widowControl w:val="0"/>
              <w:tabs>
                <w:tab w:val="left" w:pos="6090"/>
              </w:tabs>
              <w:wordWrap/>
              <w:overflowPunct/>
              <w:topLinePunct w:val="0"/>
              <w:bidi w:val="0"/>
              <w:rPr>
                <w:color w:val="auto"/>
                <w:highlight w:val="none"/>
              </w:rPr>
            </w:pPr>
          </w:p>
        </w:tc>
        <w:tc>
          <w:tcPr>
            <w:tcW w:w="1559" w:type="dxa"/>
          </w:tcPr>
          <w:p w14:paraId="7D4913DC">
            <w:pPr>
              <w:pStyle w:val="26"/>
              <w:pageBreakBefore w:val="0"/>
              <w:widowControl w:val="0"/>
              <w:tabs>
                <w:tab w:val="left" w:pos="6090"/>
              </w:tabs>
              <w:wordWrap/>
              <w:overflowPunct/>
              <w:topLinePunct w:val="0"/>
              <w:bidi w:val="0"/>
              <w:rPr>
                <w:color w:val="auto"/>
                <w:highlight w:val="none"/>
              </w:rPr>
            </w:pPr>
          </w:p>
        </w:tc>
        <w:tc>
          <w:tcPr>
            <w:tcW w:w="1421" w:type="dxa"/>
          </w:tcPr>
          <w:p w14:paraId="669AA1D0">
            <w:pPr>
              <w:pStyle w:val="26"/>
              <w:pageBreakBefore w:val="0"/>
              <w:widowControl w:val="0"/>
              <w:tabs>
                <w:tab w:val="left" w:pos="6090"/>
              </w:tabs>
              <w:wordWrap/>
              <w:overflowPunct/>
              <w:topLinePunct w:val="0"/>
              <w:bidi w:val="0"/>
              <w:rPr>
                <w:color w:val="auto"/>
                <w:highlight w:val="none"/>
              </w:rPr>
            </w:pPr>
          </w:p>
        </w:tc>
      </w:tr>
      <w:tr w14:paraId="0FD6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14805E63">
            <w:pPr>
              <w:pStyle w:val="26"/>
              <w:pageBreakBefore w:val="0"/>
              <w:widowControl w:val="0"/>
              <w:tabs>
                <w:tab w:val="left" w:pos="6090"/>
              </w:tabs>
              <w:wordWrap/>
              <w:overflowPunct/>
              <w:topLinePunct w:val="0"/>
              <w:bidi w:val="0"/>
              <w:rPr>
                <w:color w:val="auto"/>
                <w:highlight w:val="none"/>
              </w:rPr>
            </w:pPr>
          </w:p>
        </w:tc>
        <w:tc>
          <w:tcPr>
            <w:tcW w:w="2256" w:type="dxa"/>
          </w:tcPr>
          <w:p w14:paraId="4E0E1A5F">
            <w:pPr>
              <w:pStyle w:val="26"/>
              <w:pageBreakBefore w:val="0"/>
              <w:widowControl w:val="0"/>
              <w:tabs>
                <w:tab w:val="left" w:pos="6090"/>
              </w:tabs>
              <w:wordWrap/>
              <w:overflowPunct/>
              <w:topLinePunct w:val="0"/>
              <w:bidi w:val="0"/>
              <w:rPr>
                <w:color w:val="auto"/>
                <w:highlight w:val="none"/>
              </w:rPr>
            </w:pPr>
          </w:p>
        </w:tc>
        <w:tc>
          <w:tcPr>
            <w:tcW w:w="2700" w:type="dxa"/>
          </w:tcPr>
          <w:p w14:paraId="02A74E47">
            <w:pPr>
              <w:pStyle w:val="26"/>
              <w:pageBreakBefore w:val="0"/>
              <w:widowControl w:val="0"/>
              <w:tabs>
                <w:tab w:val="left" w:pos="6090"/>
              </w:tabs>
              <w:wordWrap/>
              <w:overflowPunct/>
              <w:topLinePunct w:val="0"/>
              <w:bidi w:val="0"/>
              <w:rPr>
                <w:color w:val="auto"/>
                <w:highlight w:val="none"/>
              </w:rPr>
            </w:pPr>
          </w:p>
        </w:tc>
        <w:tc>
          <w:tcPr>
            <w:tcW w:w="1559" w:type="dxa"/>
          </w:tcPr>
          <w:p w14:paraId="7928739E">
            <w:pPr>
              <w:pStyle w:val="26"/>
              <w:pageBreakBefore w:val="0"/>
              <w:widowControl w:val="0"/>
              <w:tabs>
                <w:tab w:val="left" w:pos="6090"/>
              </w:tabs>
              <w:wordWrap/>
              <w:overflowPunct/>
              <w:topLinePunct w:val="0"/>
              <w:bidi w:val="0"/>
              <w:rPr>
                <w:color w:val="auto"/>
                <w:highlight w:val="none"/>
              </w:rPr>
            </w:pPr>
          </w:p>
        </w:tc>
        <w:tc>
          <w:tcPr>
            <w:tcW w:w="1421" w:type="dxa"/>
          </w:tcPr>
          <w:p w14:paraId="2313CBD4">
            <w:pPr>
              <w:pStyle w:val="26"/>
              <w:pageBreakBefore w:val="0"/>
              <w:widowControl w:val="0"/>
              <w:tabs>
                <w:tab w:val="left" w:pos="6090"/>
              </w:tabs>
              <w:wordWrap/>
              <w:overflowPunct/>
              <w:topLinePunct w:val="0"/>
              <w:bidi w:val="0"/>
              <w:rPr>
                <w:color w:val="auto"/>
                <w:highlight w:val="none"/>
              </w:rPr>
            </w:pPr>
          </w:p>
        </w:tc>
      </w:tr>
      <w:tr w14:paraId="11D6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1356" w:type="dxa"/>
          </w:tcPr>
          <w:p w14:paraId="5C20A373">
            <w:pPr>
              <w:pStyle w:val="26"/>
              <w:pageBreakBefore w:val="0"/>
              <w:widowControl w:val="0"/>
              <w:tabs>
                <w:tab w:val="left" w:pos="6090"/>
              </w:tabs>
              <w:wordWrap/>
              <w:overflowPunct/>
              <w:topLinePunct w:val="0"/>
              <w:bidi w:val="0"/>
              <w:rPr>
                <w:color w:val="auto"/>
                <w:highlight w:val="none"/>
              </w:rPr>
            </w:pPr>
          </w:p>
        </w:tc>
        <w:tc>
          <w:tcPr>
            <w:tcW w:w="2256" w:type="dxa"/>
          </w:tcPr>
          <w:p w14:paraId="2F44347A">
            <w:pPr>
              <w:pStyle w:val="26"/>
              <w:pageBreakBefore w:val="0"/>
              <w:widowControl w:val="0"/>
              <w:tabs>
                <w:tab w:val="left" w:pos="6090"/>
              </w:tabs>
              <w:wordWrap/>
              <w:overflowPunct/>
              <w:topLinePunct w:val="0"/>
              <w:bidi w:val="0"/>
              <w:rPr>
                <w:color w:val="auto"/>
                <w:highlight w:val="none"/>
              </w:rPr>
            </w:pPr>
          </w:p>
        </w:tc>
        <w:tc>
          <w:tcPr>
            <w:tcW w:w="2700" w:type="dxa"/>
          </w:tcPr>
          <w:p w14:paraId="0C908EBE">
            <w:pPr>
              <w:pStyle w:val="26"/>
              <w:pageBreakBefore w:val="0"/>
              <w:widowControl w:val="0"/>
              <w:tabs>
                <w:tab w:val="left" w:pos="6090"/>
              </w:tabs>
              <w:wordWrap/>
              <w:overflowPunct/>
              <w:topLinePunct w:val="0"/>
              <w:bidi w:val="0"/>
              <w:rPr>
                <w:color w:val="auto"/>
                <w:highlight w:val="none"/>
              </w:rPr>
            </w:pPr>
          </w:p>
        </w:tc>
        <w:tc>
          <w:tcPr>
            <w:tcW w:w="1559" w:type="dxa"/>
          </w:tcPr>
          <w:p w14:paraId="3300073C">
            <w:pPr>
              <w:pStyle w:val="26"/>
              <w:pageBreakBefore w:val="0"/>
              <w:widowControl w:val="0"/>
              <w:tabs>
                <w:tab w:val="left" w:pos="6090"/>
              </w:tabs>
              <w:wordWrap/>
              <w:overflowPunct/>
              <w:topLinePunct w:val="0"/>
              <w:bidi w:val="0"/>
              <w:rPr>
                <w:color w:val="auto"/>
                <w:highlight w:val="none"/>
              </w:rPr>
            </w:pPr>
          </w:p>
        </w:tc>
        <w:tc>
          <w:tcPr>
            <w:tcW w:w="1421" w:type="dxa"/>
          </w:tcPr>
          <w:p w14:paraId="0C2C9EBB">
            <w:pPr>
              <w:pStyle w:val="26"/>
              <w:pageBreakBefore w:val="0"/>
              <w:widowControl w:val="0"/>
              <w:tabs>
                <w:tab w:val="left" w:pos="6090"/>
              </w:tabs>
              <w:wordWrap/>
              <w:overflowPunct/>
              <w:topLinePunct w:val="0"/>
              <w:bidi w:val="0"/>
              <w:rPr>
                <w:color w:val="auto"/>
                <w:highlight w:val="none"/>
              </w:rPr>
            </w:pPr>
          </w:p>
        </w:tc>
      </w:tr>
      <w:tr w14:paraId="355F9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356" w:type="dxa"/>
          </w:tcPr>
          <w:p w14:paraId="5C241DA0">
            <w:pPr>
              <w:pStyle w:val="26"/>
              <w:pageBreakBefore w:val="0"/>
              <w:widowControl w:val="0"/>
              <w:tabs>
                <w:tab w:val="left" w:pos="6090"/>
              </w:tabs>
              <w:wordWrap/>
              <w:overflowPunct/>
              <w:topLinePunct w:val="0"/>
              <w:bidi w:val="0"/>
              <w:rPr>
                <w:color w:val="auto"/>
                <w:highlight w:val="none"/>
              </w:rPr>
            </w:pPr>
          </w:p>
        </w:tc>
        <w:tc>
          <w:tcPr>
            <w:tcW w:w="2256" w:type="dxa"/>
          </w:tcPr>
          <w:p w14:paraId="47819287">
            <w:pPr>
              <w:pStyle w:val="26"/>
              <w:pageBreakBefore w:val="0"/>
              <w:widowControl w:val="0"/>
              <w:tabs>
                <w:tab w:val="left" w:pos="6090"/>
              </w:tabs>
              <w:wordWrap/>
              <w:overflowPunct/>
              <w:topLinePunct w:val="0"/>
              <w:bidi w:val="0"/>
              <w:rPr>
                <w:color w:val="auto"/>
                <w:highlight w:val="none"/>
              </w:rPr>
            </w:pPr>
          </w:p>
        </w:tc>
        <w:tc>
          <w:tcPr>
            <w:tcW w:w="2700" w:type="dxa"/>
          </w:tcPr>
          <w:p w14:paraId="748C5DE1">
            <w:pPr>
              <w:pStyle w:val="26"/>
              <w:pageBreakBefore w:val="0"/>
              <w:widowControl w:val="0"/>
              <w:tabs>
                <w:tab w:val="left" w:pos="6090"/>
              </w:tabs>
              <w:wordWrap/>
              <w:overflowPunct/>
              <w:topLinePunct w:val="0"/>
              <w:bidi w:val="0"/>
              <w:rPr>
                <w:color w:val="auto"/>
                <w:highlight w:val="none"/>
              </w:rPr>
            </w:pPr>
          </w:p>
        </w:tc>
        <w:tc>
          <w:tcPr>
            <w:tcW w:w="1559" w:type="dxa"/>
          </w:tcPr>
          <w:p w14:paraId="550E7C61">
            <w:pPr>
              <w:pStyle w:val="26"/>
              <w:pageBreakBefore w:val="0"/>
              <w:widowControl w:val="0"/>
              <w:tabs>
                <w:tab w:val="left" w:pos="6090"/>
              </w:tabs>
              <w:wordWrap/>
              <w:overflowPunct/>
              <w:topLinePunct w:val="0"/>
              <w:bidi w:val="0"/>
              <w:rPr>
                <w:color w:val="auto"/>
                <w:highlight w:val="none"/>
              </w:rPr>
            </w:pPr>
          </w:p>
        </w:tc>
        <w:tc>
          <w:tcPr>
            <w:tcW w:w="1421" w:type="dxa"/>
          </w:tcPr>
          <w:p w14:paraId="7688EE45">
            <w:pPr>
              <w:pStyle w:val="26"/>
              <w:pageBreakBefore w:val="0"/>
              <w:widowControl w:val="0"/>
              <w:tabs>
                <w:tab w:val="left" w:pos="6090"/>
              </w:tabs>
              <w:wordWrap/>
              <w:overflowPunct/>
              <w:topLinePunct w:val="0"/>
              <w:bidi w:val="0"/>
              <w:rPr>
                <w:color w:val="auto"/>
                <w:highlight w:val="none"/>
              </w:rPr>
            </w:pPr>
          </w:p>
        </w:tc>
      </w:tr>
      <w:tr w14:paraId="41797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356" w:type="dxa"/>
          </w:tcPr>
          <w:p w14:paraId="6A8E7BF2">
            <w:pPr>
              <w:pStyle w:val="26"/>
              <w:pageBreakBefore w:val="0"/>
              <w:widowControl w:val="0"/>
              <w:tabs>
                <w:tab w:val="left" w:pos="6090"/>
              </w:tabs>
              <w:wordWrap/>
              <w:overflowPunct/>
              <w:topLinePunct w:val="0"/>
              <w:bidi w:val="0"/>
              <w:rPr>
                <w:color w:val="auto"/>
                <w:highlight w:val="none"/>
              </w:rPr>
            </w:pPr>
          </w:p>
        </w:tc>
        <w:tc>
          <w:tcPr>
            <w:tcW w:w="2256" w:type="dxa"/>
          </w:tcPr>
          <w:p w14:paraId="1898E240">
            <w:pPr>
              <w:pStyle w:val="26"/>
              <w:pageBreakBefore w:val="0"/>
              <w:widowControl w:val="0"/>
              <w:tabs>
                <w:tab w:val="left" w:pos="6090"/>
              </w:tabs>
              <w:wordWrap/>
              <w:overflowPunct/>
              <w:topLinePunct w:val="0"/>
              <w:bidi w:val="0"/>
              <w:rPr>
                <w:color w:val="auto"/>
                <w:highlight w:val="none"/>
              </w:rPr>
            </w:pPr>
          </w:p>
        </w:tc>
        <w:tc>
          <w:tcPr>
            <w:tcW w:w="2700" w:type="dxa"/>
          </w:tcPr>
          <w:p w14:paraId="36021A1F">
            <w:pPr>
              <w:pStyle w:val="26"/>
              <w:pageBreakBefore w:val="0"/>
              <w:widowControl w:val="0"/>
              <w:tabs>
                <w:tab w:val="left" w:pos="6090"/>
              </w:tabs>
              <w:wordWrap/>
              <w:overflowPunct/>
              <w:topLinePunct w:val="0"/>
              <w:bidi w:val="0"/>
              <w:rPr>
                <w:color w:val="auto"/>
                <w:highlight w:val="none"/>
              </w:rPr>
            </w:pPr>
          </w:p>
        </w:tc>
        <w:tc>
          <w:tcPr>
            <w:tcW w:w="1559" w:type="dxa"/>
          </w:tcPr>
          <w:p w14:paraId="76E02B37">
            <w:pPr>
              <w:pStyle w:val="26"/>
              <w:pageBreakBefore w:val="0"/>
              <w:widowControl w:val="0"/>
              <w:tabs>
                <w:tab w:val="left" w:pos="6090"/>
              </w:tabs>
              <w:wordWrap/>
              <w:overflowPunct/>
              <w:topLinePunct w:val="0"/>
              <w:bidi w:val="0"/>
              <w:rPr>
                <w:color w:val="auto"/>
                <w:highlight w:val="none"/>
              </w:rPr>
            </w:pPr>
          </w:p>
        </w:tc>
        <w:tc>
          <w:tcPr>
            <w:tcW w:w="1421" w:type="dxa"/>
          </w:tcPr>
          <w:p w14:paraId="0C1EEFC4">
            <w:pPr>
              <w:pStyle w:val="26"/>
              <w:pageBreakBefore w:val="0"/>
              <w:widowControl w:val="0"/>
              <w:tabs>
                <w:tab w:val="left" w:pos="6090"/>
              </w:tabs>
              <w:wordWrap/>
              <w:overflowPunct/>
              <w:topLinePunct w:val="0"/>
              <w:bidi w:val="0"/>
              <w:rPr>
                <w:color w:val="auto"/>
                <w:highlight w:val="none"/>
              </w:rPr>
            </w:pPr>
          </w:p>
        </w:tc>
      </w:tr>
    </w:tbl>
    <w:p w14:paraId="1C32A7EA">
      <w:pPr>
        <w:pageBreakBefore w:val="0"/>
        <w:widowControl w:val="0"/>
        <w:tabs>
          <w:tab w:val="left" w:pos="6090"/>
        </w:tabs>
        <w:wordWrap/>
        <w:overflowPunct/>
        <w:topLinePunct w:val="0"/>
        <w:bidi w:val="0"/>
        <w:spacing w:line="252" w:lineRule="auto"/>
        <w:rPr>
          <w:color w:val="auto"/>
          <w:position w:val="0"/>
          <w:highlight w:val="none"/>
        </w:rPr>
      </w:pPr>
    </w:p>
    <w:p w14:paraId="2E7093F6">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right="510" w:rightChars="243"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1、供应商应当如实填写上表“响应文件中响应的具体内容”处内容，对采购文件提出的要求和条件作出明确响应，并列明具体响应数值或内容，只注明符合、满足等无具体内容表述的，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。供应商需要说明的内容若需特殊表达，应先在本表中进行相应说明，再另页应答。</w:t>
      </w:r>
    </w:p>
    <w:p w14:paraId="056D3F8D">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right="420" w:rightChars="200" w:firstLine="482" w:firstLineChars="200"/>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47AA6E56">
      <w:pPr>
        <w:keepNext w:val="0"/>
        <w:keepLines w:val="0"/>
        <w:pageBreakBefore w:val="0"/>
        <w:widowControl w:val="0"/>
        <w:kinsoku w:val="0"/>
        <w:wordWrap/>
        <w:overflowPunct/>
        <w:topLinePunct w:val="0"/>
        <w:autoSpaceDE w:val="0"/>
        <w:autoSpaceDN w:val="0"/>
        <w:bidi w:val="0"/>
        <w:adjustRightInd w:val="0"/>
        <w:snapToGrid w:val="0"/>
        <w:spacing w:line="360" w:lineRule="exact"/>
        <w:ind w:left="-199" w:leftChars="-95" w:firstLine="480"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6811234B">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038D9B8E">
      <w:pPr>
        <w:pageBreakBefore w:val="0"/>
        <w:widowControl w:val="0"/>
        <w:wordWrap/>
        <w:overflowPunct/>
        <w:topLinePunct w:val="0"/>
        <w:bidi w:val="0"/>
        <w:spacing w:before="78" w:line="219" w:lineRule="auto"/>
        <w:ind w:left="125"/>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1532689E">
      <w:pPr>
        <w:pageBreakBefore w:val="0"/>
        <w:widowControl w:val="0"/>
        <w:tabs>
          <w:tab w:val="left" w:pos="6090"/>
        </w:tabs>
        <w:wordWrap/>
        <w:overflowPunct/>
        <w:topLinePunct w:val="0"/>
        <w:bidi w:val="0"/>
        <w:spacing w:before="79" w:line="219" w:lineRule="auto"/>
        <w:ind w:left="123"/>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3DE64121">
      <w:pPr>
        <w:pageBreakBefore w:val="0"/>
        <w:widowControl w:val="0"/>
        <w:tabs>
          <w:tab w:val="left" w:pos="6090"/>
        </w:tabs>
        <w:wordWrap/>
        <w:overflowPunct/>
        <w:topLinePunct w:val="0"/>
        <w:bidi w:val="0"/>
        <w:spacing w:line="219" w:lineRule="auto"/>
        <w:rPr>
          <w:rFonts w:ascii="宋体" w:hAnsi="宋体" w:eastAsia="宋体" w:cs="宋体"/>
          <w:color w:val="auto"/>
          <w:sz w:val="24"/>
          <w:szCs w:val="24"/>
          <w:highlight w:val="none"/>
          <w:lang w:eastAsia="zh-CN"/>
        </w:rPr>
        <w:sectPr>
          <w:footerReference r:id="rId9" w:type="default"/>
          <w:pgSz w:w="11906" w:h="16839"/>
          <w:pgMar w:top="1431" w:right="873" w:bottom="1156" w:left="1701" w:header="0" w:footer="994" w:gutter="0"/>
          <w:pgNumType w:fmt="decimal"/>
          <w:cols w:space="720" w:num="1"/>
        </w:sectPr>
      </w:pPr>
    </w:p>
    <w:p w14:paraId="36C5ADB9">
      <w:pPr>
        <w:pageBreakBefore w:val="0"/>
        <w:widowControl w:val="0"/>
        <w:tabs>
          <w:tab w:val="left" w:pos="6090"/>
        </w:tabs>
        <w:wordWrap/>
        <w:overflowPunct/>
        <w:topLinePunct w:val="0"/>
        <w:bidi w:val="0"/>
        <w:spacing w:before="101" w:line="219" w:lineRule="auto"/>
        <w:ind w:left="3427"/>
        <w:outlineLvl w:val="1"/>
        <w:rPr>
          <w:rFonts w:ascii="宋体" w:hAnsi="宋体" w:eastAsia="宋体" w:cs="宋体"/>
          <w:color w:val="auto"/>
          <w:sz w:val="24"/>
          <w:szCs w:val="24"/>
          <w:highlight w:val="none"/>
          <w:lang w:eastAsia="zh-CN"/>
        </w:rPr>
      </w:pPr>
      <w:bookmarkStart w:id="274" w:name="bookmark59"/>
      <w:bookmarkEnd w:id="274"/>
      <w:bookmarkStart w:id="275" w:name="_Toc2174"/>
      <w:bookmarkStart w:id="276" w:name="_Toc22248"/>
      <w:bookmarkStart w:id="277" w:name="_Toc15896"/>
      <w:bookmarkStart w:id="278" w:name="_Toc26923"/>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6.商务条件响应/偏离表</w:t>
      </w:r>
      <w:bookmarkEnd w:id="275"/>
      <w:bookmarkEnd w:id="276"/>
      <w:bookmarkEnd w:id="277"/>
      <w:bookmarkEnd w:id="278"/>
    </w:p>
    <w:p w14:paraId="78635566">
      <w:pPr>
        <w:pageBreakBefore w:val="0"/>
        <w:widowControl w:val="0"/>
        <w:tabs>
          <w:tab w:val="left" w:pos="6090"/>
        </w:tabs>
        <w:wordWrap/>
        <w:overflowPunct/>
        <w:topLinePunct w:val="0"/>
        <w:bidi w:val="0"/>
        <w:spacing w:before="26"/>
        <w:rPr>
          <w:color w:val="auto"/>
          <w:highlight w:val="none"/>
          <w:lang w:eastAsia="zh-CN"/>
        </w:rPr>
      </w:pPr>
    </w:p>
    <w:tbl>
      <w:tblPr>
        <w:tblStyle w:val="25"/>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556"/>
        <w:gridCol w:w="2644"/>
        <w:gridCol w:w="1656"/>
        <w:gridCol w:w="1389"/>
      </w:tblGrid>
      <w:tr w14:paraId="2694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97" w:type="dxa"/>
          </w:tcPr>
          <w:p w14:paraId="2545B92E">
            <w:pPr>
              <w:pageBreakBefore w:val="0"/>
              <w:widowControl w:val="0"/>
              <w:tabs>
                <w:tab w:val="left" w:pos="6090"/>
              </w:tabs>
              <w:wordWrap/>
              <w:overflowPunct/>
              <w:topLinePunct w:val="0"/>
              <w:bidi w:val="0"/>
              <w:spacing w:before="300" w:line="221" w:lineRule="auto"/>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556" w:type="dxa"/>
          </w:tcPr>
          <w:p w14:paraId="4A5BE289">
            <w:pPr>
              <w:pageBreakBefore w:val="0"/>
              <w:widowControl w:val="0"/>
              <w:tabs>
                <w:tab w:val="left" w:pos="6090"/>
              </w:tabs>
              <w:wordWrap/>
              <w:overflowPunct/>
              <w:topLinePunct w:val="0"/>
              <w:bidi w:val="0"/>
              <w:spacing w:before="301" w:line="219" w:lineRule="auto"/>
              <w:ind w:left="153"/>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磋商文件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2644" w:type="dxa"/>
            <w:vAlign w:val="center"/>
          </w:tcPr>
          <w:p w14:paraId="34FA8356">
            <w:pPr>
              <w:pageBreakBefore w:val="0"/>
              <w:widowControl w:val="0"/>
              <w:tabs>
                <w:tab w:val="left" w:pos="6090"/>
              </w:tabs>
              <w:wordWrap/>
              <w:overflowPunct/>
              <w:topLinePunct w:val="0"/>
              <w:bidi w:val="0"/>
              <w:spacing w:line="240"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响应文件中响应</w:t>
            </w:r>
          </w:p>
          <w:p w14:paraId="47DCD453">
            <w:pPr>
              <w:pageBreakBefore w:val="0"/>
              <w:widowControl w:val="0"/>
              <w:tabs>
                <w:tab w:val="left" w:pos="6090"/>
              </w:tabs>
              <w:wordWrap/>
              <w:overflowPunct/>
              <w:topLinePunct w:val="0"/>
              <w:bidi w:val="0"/>
              <w:spacing w:line="24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的具体内容</w:t>
            </w:r>
          </w:p>
        </w:tc>
        <w:tc>
          <w:tcPr>
            <w:tcW w:w="1656" w:type="dxa"/>
            <w:vAlign w:val="center"/>
          </w:tcPr>
          <w:p w14:paraId="237EA961">
            <w:pPr>
              <w:pageBreakBefore w:val="0"/>
              <w:widowControl w:val="0"/>
              <w:tabs>
                <w:tab w:val="left" w:pos="6090"/>
              </w:tabs>
              <w:wordWrap/>
              <w:overflowPunct/>
              <w:topLinePunct w:val="0"/>
              <w:bidi w:val="0"/>
              <w:spacing w:before="68" w:line="240" w:lineRule="auto"/>
              <w:ind w:left="206"/>
              <w:jc w:val="center"/>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响应/偏离</w:t>
            </w:r>
          </w:p>
        </w:tc>
        <w:tc>
          <w:tcPr>
            <w:tcW w:w="1389" w:type="dxa"/>
          </w:tcPr>
          <w:p w14:paraId="7B7BD26A">
            <w:pPr>
              <w:pageBreakBefore w:val="0"/>
              <w:widowControl w:val="0"/>
              <w:tabs>
                <w:tab w:val="left" w:pos="6090"/>
              </w:tabs>
              <w:wordWrap/>
              <w:overflowPunct/>
              <w:topLinePunct w:val="0"/>
              <w:bidi w:val="0"/>
              <w:spacing w:before="301" w:line="219"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2453E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200A6E95">
            <w:pPr>
              <w:pStyle w:val="26"/>
              <w:pageBreakBefore w:val="0"/>
              <w:widowControl w:val="0"/>
              <w:tabs>
                <w:tab w:val="left" w:pos="6090"/>
              </w:tabs>
              <w:wordWrap/>
              <w:overflowPunct/>
              <w:topLinePunct w:val="0"/>
              <w:bidi w:val="0"/>
              <w:rPr>
                <w:color w:val="auto"/>
                <w:highlight w:val="none"/>
              </w:rPr>
            </w:pPr>
          </w:p>
        </w:tc>
        <w:tc>
          <w:tcPr>
            <w:tcW w:w="2556" w:type="dxa"/>
          </w:tcPr>
          <w:p w14:paraId="2C8CD30A">
            <w:pPr>
              <w:pStyle w:val="26"/>
              <w:pageBreakBefore w:val="0"/>
              <w:widowControl w:val="0"/>
              <w:tabs>
                <w:tab w:val="left" w:pos="6090"/>
              </w:tabs>
              <w:wordWrap/>
              <w:overflowPunct/>
              <w:topLinePunct w:val="0"/>
              <w:bidi w:val="0"/>
              <w:rPr>
                <w:color w:val="auto"/>
                <w:highlight w:val="none"/>
              </w:rPr>
            </w:pPr>
          </w:p>
        </w:tc>
        <w:tc>
          <w:tcPr>
            <w:tcW w:w="2644" w:type="dxa"/>
          </w:tcPr>
          <w:p w14:paraId="4202055D">
            <w:pPr>
              <w:pStyle w:val="26"/>
              <w:pageBreakBefore w:val="0"/>
              <w:widowControl w:val="0"/>
              <w:tabs>
                <w:tab w:val="left" w:pos="6090"/>
              </w:tabs>
              <w:wordWrap/>
              <w:overflowPunct/>
              <w:topLinePunct w:val="0"/>
              <w:bidi w:val="0"/>
              <w:rPr>
                <w:color w:val="auto"/>
                <w:highlight w:val="none"/>
              </w:rPr>
            </w:pPr>
          </w:p>
        </w:tc>
        <w:tc>
          <w:tcPr>
            <w:tcW w:w="1656" w:type="dxa"/>
          </w:tcPr>
          <w:p w14:paraId="417E59E0">
            <w:pPr>
              <w:pStyle w:val="26"/>
              <w:pageBreakBefore w:val="0"/>
              <w:widowControl w:val="0"/>
              <w:tabs>
                <w:tab w:val="left" w:pos="6090"/>
              </w:tabs>
              <w:wordWrap/>
              <w:overflowPunct/>
              <w:topLinePunct w:val="0"/>
              <w:bidi w:val="0"/>
              <w:rPr>
                <w:color w:val="auto"/>
                <w:highlight w:val="none"/>
              </w:rPr>
            </w:pPr>
          </w:p>
        </w:tc>
        <w:tc>
          <w:tcPr>
            <w:tcW w:w="1389" w:type="dxa"/>
          </w:tcPr>
          <w:p w14:paraId="2AAF129C">
            <w:pPr>
              <w:pStyle w:val="26"/>
              <w:pageBreakBefore w:val="0"/>
              <w:widowControl w:val="0"/>
              <w:tabs>
                <w:tab w:val="left" w:pos="6090"/>
              </w:tabs>
              <w:wordWrap/>
              <w:overflowPunct/>
              <w:topLinePunct w:val="0"/>
              <w:bidi w:val="0"/>
              <w:rPr>
                <w:color w:val="auto"/>
                <w:highlight w:val="none"/>
              </w:rPr>
            </w:pPr>
          </w:p>
        </w:tc>
      </w:tr>
      <w:tr w14:paraId="4CBAF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2" w:hRule="atLeast"/>
        </w:trPr>
        <w:tc>
          <w:tcPr>
            <w:tcW w:w="1297" w:type="dxa"/>
          </w:tcPr>
          <w:p w14:paraId="7128805A">
            <w:pPr>
              <w:pStyle w:val="26"/>
              <w:pageBreakBefore w:val="0"/>
              <w:widowControl w:val="0"/>
              <w:tabs>
                <w:tab w:val="left" w:pos="6090"/>
              </w:tabs>
              <w:wordWrap/>
              <w:overflowPunct/>
              <w:topLinePunct w:val="0"/>
              <w:bidi w:val="0"/>
              <w:rPr>
                <w:color w:val="auto"/>
                <w:highlight w:val="none"/>
              </w:rPr>
            </w:pPr>
          </w:p>
        </w:tc>
        <w:tc>
          <w:tcPr>
            <w:tcW w:w="2556" w:type="dxa"/>
          </w:tcPr>
          <w:p w14:paraId="7B4ECBE0">
            <w:pPr>
              <w:pStyle w:val="26"/>
              <w:pageBreakBefore w:val="0"/>
              <w:widowControl w:val="0"/>
              <w:tabs>
                <w:tab w:val="left" w:pos="6090"/>
              </w:tabs>
              <w:wordWrap/>
              <w:overflowPunct/>
              <w:topLinePunct w:val="0"/>
              <w:bidi w:val="0"/>
              <w:rPr>
                <w:color w:val="auto"/>
                <w:highlight w:val="none"/>
              </w:rPr>
            </w:pPr>
          </w:p>
        </w:tc>
        <w:tc>
          <w:tcPr>
            <w:tcW w:w="2644" w:type="dxa"/>
          </w:tcPr>
          <w:p w14:paraId="16F90977">
            <w:pPr>
              <w:pStyle w:val="26"/>
              <w:pageBreakBefore w:val="0"/>
              <w:widowControl w:val="0"/>
              <w:tabs>
                <w:tab w:val="left" w:pos="6090"/>
              </w:tabs>
              <w:wordWrap/>
              <w:overflowPunct/>
              <w:topLinePunct w:val="0"/>
              <w:bidi w:val="0"/>
              <w:rPr>
                <w:color w:val="auto"/>
                <w:highlight w:val="none"/>
              </w:rPr>
            </w:pPr>
          </w:p>
        </w:tc>
        <w:tc>
          <w:tcPr>
            <w:tcW w:w="1656" w:type="dxa"/>
          </w:tcPr>
          <w:p w14:paraId="5843D3B5">
            <w:pPr>
              <w:pStyle w:val="26"/>
              <w:pageBreakBefore w:val="0"/>
              <w:widowControl w:val="0"/>
              <w:tabs>
                <w:tab w:val="left" w:pos="6090"/>
              </w:tabs>
              <w:wordWrap/>
              <w:overflowPunct/>
              <w:topLinePunct w:val="0"/>
              <w:bidi w:val="0"/>
              <w:rPr>
                <w:color w:val="auto"/>
                <w:highlight w:val="none"/>
              </w:rPr>
            </w:pPr>
          </w:p>
        </w:tc>
        <w:tc>
          <w:tcPr>
            <w:tcW w:w="1389" w:type="dxa"/>
          </w:tcPr>
          <w:p w14:paraId="56456B8B">
            <w:pPr>
              <w:pStyle w:val="26"/>
              <w:pageBreakBefore w:val="0"/>
              <w:widowControl w:val="0"/>
              <w:tabs>
                <w:tab w:val="left" w:pos="6090"/>
              </w:tabs>
              <w:wordWrap/>
              <w:overflowPunct/>
              <w:topLinePunct w:val="0"/>
              <w:bidi w:val="0"/>
              <w:rPr>
                <w:color w:val="auto"/>
                <w:highlight w:val="none"/>
              </w:rPr>
            </w:pPr>
          </w:p>
        </w:tc>
      </w:tr>
      <w:tr w14:paraId="00C9E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742EABFB">
            <w:pPr>
              <w:pStyle w:val="26"/>
              <w:pageBreakBefore w:val="0"/>
              <w:widowControl w:val="0"/>
              <w:tabs>
                <w:tab w:val="left" w:pos="6090"/>
              </w:tabs>
              <w:wordWrap/>
              <w:overflowPunct/>
              <w:topLinePunct w:val="0"/>
              <w:bidi w:val="0"/>
              <w:rPr>
                <w:color w:val="auto"/>
                <w:highlight w:val="none"/>
              </w:rPr>
            </w:pPr>
          </w:p>
        </w:tc>
        <w:tc>
          <w:tcPr>
            <w:tcW w:w="2556" w:type="dxa"/>
          </w:tcPr>
          <w:p w14:paraId="7F7A3F92">
            <w:pPr>
              <w:pStyle w:val="26"/>
              <w:pageBreakBefore w:val="0"/>
              <w:widowControl w:val="0"/>
              <w:tabs>
                <w:tab w:val="left" w:pos="6090"/>
              </w:tabs>
              <w:wordWrap/>
              <w:overflowPunct/>
              <w:topLinePunct w:val="0"/>
              <w:bidi w:val="0"/>
              <w:rPr>
                <w:color w:val="auto"/>
                <w:highlight w:val="none"/>
              </w:rPr>
            </w:pPr>
          </w:p>
        </w:tc>
        <w:tc>
          <w:tcPr>
            <w:tcW w:w="2644" w:type="dxa"/>
          </w:tcPr>
          <w:p w14:paraId="1D701DCF">
            <w:pPr>
              <w:pStyle w:val="26"/>
              <w:pageBreakBefore w:val="0"/>
              <w:widowControl w:val="0"/>
              <w:tabs>
                <w:tab w:val="left" w:pos="6090"/>
              </w:tabs>
              <w:wordWrap/>
              <w:overflowPunct/>
              <w:topLinePunct w:val="0"/>
              <w:bidi w:val="0"/>
              <w:rPr>
                <w:color w:val="auto"/>
                <w:highlight w:val="none"/>
              </w:rPr>
            </w:pPr>
          </w:p>
        </w:tc>
        <w:tc>
          <w:tcPr>
            <w:tcW w:w="1656" w:type="dxa"/>
          </w:tcPr>
          <w:p w14:paraId="7ECBA87F">
            <w:pPr>
              <w:pStyle w:val="26"/>
              <w:pageBreakBefore w:val="0"/>
              <w:widowControl w:val="0"/>
              <w:tabs>
                <w:tab w:val="left" w:pos="6090"/>
              </w:tabs>
              <w:wordWrap/>
              <w:overflowPunct/>
              <w:topLinePunct w:val="0"/>
              <w:bidi w:val="0"/>
              <w:rPr>
                <w:color w:val="auto"/>
                <w:highlight w:val="none"/>
              </w:rPr>
            </w:pPr>
          </w:p>
        </w:tc>
        <w:tc>
          <w:tcPr>
            <w:tcW w:w="1389" w:type="dxa"/>
          </w:tcPr>
          <w:p w14:paraId="17B0D47E">
            <w:pPr>
              <w:pStyle w:val="26"/>
              <w:pageBreakBefore w:val="0"/>
              <w:widowControl w:val="0"/>
              <w:tabs>
                <w:tab w:val="left" w:pos="6090"/>
              </w:tabs>
              <w:wordWrap/>
              <w:overflowPunct/>
              <w:topLinePunct w:val="0"/>
              <w:bidi w:val="0"/>
              <w:rPr>
                <w:color w:val="auto"/>
                <w:highlight w:val="none"/>
              </w:rPr>
            </w:pPr>
          </w:p>
        </w:tc>
      </w:tr>
      <w:tr w14:paraId="5F6E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668BBCA3">
            <w:pPr>
              <w:pStyle w:val="26"/>
              <w:pageBreakBefore w:val="0"/>
              <w:widowControl w:val="0"/>
              <w:tabs>
                <w:tab w:val="left" w:pos="6090"/>
              </w:tabs>
              <w:wordWrap/>
              <w:overflowPunct/>
              <w:topLinePunct w:val="0"/>
              <w:bidi w:val="0"/>
              <w:rPr>
                <w:color w:val="auto"/>
                <w:highlight w:val="none"/>
              </w:rPr>
            </w:pPr>
          </w:p>
        </w:tc>
        <w:tc>
          <w:tcPr>
            <w:tcW w:w="2556" w:type="dxa"/>
          </w:tcPr>
          <w:p w14:paraId="6F45E57C">
            <w:pPr>
              <w:pStyle w:val="26"/>
              <w:pageBreakBefore w:val="0"/>
              <w:widowControl w:val="0"/>
              <w:tabs>
                <w:tab w:val="left" w:pos="6090"/>
              </w:tabs>
              <w:wordWrap/>
              <w:overflowPunct/>
              <w:topLinePunct w:val="0"/>
              <w:bidi w:val="0"/>
              <w:rPr>
                <w:color w:val="auto"/>
                <w:highlight w:val="none"/>
              </w:rPr>
            </w:pPr>
          </w:p>
        </w:tc>
        <w:tc>
          <w:tcPr>
            <w:tcW w:w="2644" w:type="dxa"/>
          </w:tcPr>
          <w:p w14:paraId="0F64EE77">
            <w:pPr>
              <w:pStyle w:val="26"/>
              <w:pageBreakBefore w:val="0"/>
              <w:widowControl w:val="0"/>
              <w:tabs>
                <w:tab w:val="left" w:pos="6090"/>
              </w:tabs>
              <w:wordWrap/>
              <w:overflowPunct/>
              <w:topLinePunct w:val="0"/>
              <w:bidi w:val="0"/>
              <w:rPr>
                <w:color w:val="auto"/>
                <w:highlight w:val="none"/>
              </w:rPr>
            </w:pPr>
          </w:p>
        </w:tc>
        <w:tc>
          <w:tcPr>
            <w:tcW w:w="1656" w:type="dxa"/>
          </w:tcPr>
          <w:p w14:paraId="0080DF33">
            <w:pPr>
              <w:pStyle w:val="26"/>
              <w:pageBreakBefore w:val="0"/>
              <w:widowControl w:val="0"/>
              <w:tabs>
                <w:tab w:val="left" w:pos="6090"/>
              </w:tabs>
              <w:wordWrap/>
              <w:overflowPunct/>
              <w:topLinePunct w:val="0"/>
              <w:bidi w:val="0"/>
              <w:rPr>
                <w:color w:val="auto"/>
                <w:highlight w:val="none"/>
              </w:rPr>
            </w:pPr>
          </w:p>
        </w:tc>
        <w:tc>
          <w:tcPr>
            <w:tcW w:w="1389" w:type="dxa"/>
          </w:tcPr>
          <w:p w14:paraId="40E7507E">
            <w:pPr>
              <w:pStyle w:val="26"/>
              <w:pageBreakBefore w:val="0"/>
              <w:widowControl w:val="0"/>
              <w:tabs>
                <w:tab w:val="left" w:pos="6090"/>
              </w:tabs>
              <w:wordWrap/>
              <w:overflowPunct/>
              <w:topLinePunct w:val="0"/>
              <w:bidi w:val="0"/>
              <w:rPr>
                <w:color w:val="auto"/>
                <w:highlight w:val="none"/>
              </w:rPr>
            </w:pPr>
          </w:p>
        </w:tc>
      </w:tr>
      <w:tr w14:paraId="63BB8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495013E0">
            <w:pPr>
              <w:pStyle w:val="26"/>
              <w:pageBreakBefore w:val="0"/>
              <w:widowControl w:val="0"/>
              <w:tabs>
                <w:tab w:val="left" w:pos="6090"/>
              </w:tabs>
              <w:wordWrap/>
              <w:overflowPunct/>
              <w:topLinePunct w:val="0"/>
              <w:bidi w:val="0"/>
              <w:rPr>
                <w:color w:val="auto"/>
                <w:highlight w:val="none"/>
              </w:rPr>
            </w:pPr>
          </w:p>
        </w:tc>
        <w:tc>
          <w:tcPr>
            <w:tcW w:w="2556" w:type="dxa"/>
          </w:tcPr>
          <w:p w14:paraId="518B12B0">
            <w:pPr>
              <w:pStyle w:val="26"/>
              <w:pageBreakBefore w:val="0"/>
              <w:widowControl w:val="0"/>
              <w:tabs>
                <w:tab w:val="left" w:pos="6090"/>
              </w:tabs>
              <w:wordWrap/>
              <w:overflowPunct/>
              <w:topLinePunct w:val="0"/>
              <w:bidi w:val="0"/>
              <w:rPr>
                <w:color w:val="auto"/>
                <w:highlight w:val="none"/>
              </w:rPr>
            </w:pPr>
          </w:p>
        </w:tc>
        <w:tc>
          <w:tcPr>
            <w:tcW w:w="2644" w:type="dxa"/>
          </w:tcPr>
          <w:p w14:paraId="16F48E62">
            <w:pPr>
              <w:pStyle w:val="26"/>
              <w:pageBreakBefore w:val="0"/>
              <w:widowControl w:val="0"/>
              <w:tabs>
                <w:tab w:val="left" w:pos="6090"/>
              </w:tabs>
              <w:wordWrap/>
              <w:overflowPunct/>
              <w:topLinePunct w:val="0"/>
              <w:bidi w:val="0"/>
              <w:rPr>
                <w:color w:val="auto"/>
                <w:highlight w:val="none"/>
              </w:rPr>
            </w:pPr>
          </w:p>
        </w:tc>
        <w:tc>
          <w:tcPr>
            <w:tcW w:w="1656" w:type="dxa"/>
          </w:tcPr>
          <w:p w14:paraId="5C08513F">
            <w:pPr>
              <w:pStyle w:val="26"/>
              <w:pageBreakBefore w:val="0"/>
              <w:widowControl w:val="0"/>
              <w:tabs>
                <w:tab w:val="left" w:pos="6090"/>
              </w:tabs>
              <w:wordWrap/>
              <w:overflowPunct/>
              <w:topLinePunct w:val="0"/>
              <w:bidi w:val="0"/>
              <w:rPr>
                <w:color w:val="auto"/>
                <w:highlight w:val="none"/>
              </w:rPr>
            </w:pPr>
          </w:p>
        </w:tc>
        <w:tc>
          <w:tcPr>
            <w:tcW w:w="1389" w:type="dxa"/>
          </w:tcPr>
          <w:p w14:paraId="7AAF1C33">
            <w:pPr>
              <w:pStyle w:val="26"/>
              <w:pageBreakBefore w:val="0"/>
              <w:widowControl w:val="0"/>
              <w:tabs>
                <w:tab w:val="left" w:pos="6090"/>
              </w:tabs>
              <w:wordWrap/>
              <w:overflowPunct/>
              <w:topLinePunct w:val="0"/>
              <w:bidi w:val="0"/>
              <w:rPr>
                <w:color w:val="auto"/>
                <w:highlight w:val="none"/>
              </w:rPr>
            </w:pPr>
          </w:p>
        </w:tc>
      </w:tr>
      <w:tr w14:paraId="780A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253FC6B2">
            <w:pPr>
              <w:pStyle w:val="26"/>
              <w:pageBreakBefore w:val="0"/>
              <w:widowControl w:val="0"/>
              <w:tabs>
                <w:tab w:val="left" w:pos="6090"/>
              </w:tabs>
              <w:wordWrap/>
              <w:overflowPunct/>
              <w:topLinePunct w:val="0"/>
              <w:bidi w:val="0"/>
              <w:rPr>
                <w:color w:val="auto"/>
                <w:highlight w:val="none"/>
              </w:rPr>
            </w:pPr>
          </w:p>
        </w:tc>
        <w:tc>
          <w:tcPr>
            <w:tcW w:w="2556" w:type="dxa"/>
          </w:tcPr>
          <w:p w14:paraId="3E1A527D">
            <w:pPr>
              <w:pStyle w:val="26"/>
              <w:pageBreakBefore w:val="0"/>
              <w:widowControl w:val="0"/>
              <w:tabs>
                <w:tab w:val="left" w:pos="6090"/>
              </w:tabs>
              <w:wordWrap/>
              <w:overflowPunct/>
              <w:topLinePunct w:val="0"/>
              <w:bidi w:val="0"/>
              <w:rPr>
                <w:color w:val="auto"/>
                <w:highlight w:val="none"/>
              </w:rPr>
            </w:pPr>
          </w:p>
        </w:tc>
        <w:tc>
          <w:tcPr>
            <w:tcW w:w="2644" w:type="dxa"/>
          </w:tcPr>
          <w:p w14:paraId="09802BF5">
            <w:pPr>
              <w:pStyle w:val="26"/>
              <w:pageBreakBefore w:val="0"/>
              <w:widowControl w:val="0"/>
              <w:tabs>
                <w:tab w:val="left" w:pos="6090"/>
              </w:tabs>
              <w:wordWrap/>
              <w:overflowPunct/>
              <w:topLinePunct w:val="0"/>
              <w:bidi w:val="0"/>
              <w:rPr>
                <w:color w:val="auto"/>
                <w:highlight w:val="none"/>
              </w:rPr>
            </w:pPr>
          </w:p>
        </w:tc>
        <w:tc>
          <w:tcPr>
            <w:tcW w:w="1656" w:type="dxa"/>
          </w:tcPr>
          <w:p w14:paraId="09546CFD">
            <w:pPr>
              <w:pStyle w:val="26"/>
              <w:pageBreakBefore w:val="0"/>
              <w:widowControl w:val="0"/>
              <w:tabs>
                <w:tab w:val="left" w:pos="6090"/>
              </w:tabs>
              <w:wordWrap/>
              <w:overflowPunct/>
              <w:topLinePunct w:val="0"/>
              <w:bidi w:val="0"/>
              <w:rPr>
                <w:color w:val="auto"/>
                <w:highlight w:val="none"/>
              </w:rPr>
            </w:pPr>
          </w:p>
        </w:tc>
        <w:tc>
          <w:tcPr>
            <w:tcW w:w="1389" w:type="dxa"/>
          </w:tcPr>
          <w:p w14:paraId="6C829D27">
            <w:pPr>
              <w:pStyle w:val="26"/>
              <w:pageBreakBefore w:val="0"/>
              <w:widowControl w:val="0"/>
              <w:tabs>
                <w:tab w:val="left" w:pos="6090"/>
              </w:tabs>
              <w:wordWrap/>
              <w:overflowPunct/>
              <w:topLinePunct w:val="0"/>
              <w:bidi w:val="0"/>
              <w:rPr>
                <w:color w:val="auto"/>
                <w:highlight w:val="none"/>
              </w:rPr>
            </w:pPr>
          </w:p>
        </w:tc>
      </w:tr>
      <w:tr w14:paraId="08918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60C9290A">
            <w:pPr>
              <w:pStyle w:val="26"/>
              <w:pageBreakBefore w:val="0"/>
              <w:widowControl w:val="0"/>
              <w:tabs>
                <w:tab w:val="left" w:pos="6090"/>
              </w:tabs>
              <w:wordWrap/>
              <w:overflowPunct/>
              <w:topLinePunct w:val="0"/>
              <w:bidi w:val="0"/>
              <w:rPr>
                <w:color w:val="auto"/>
                <w:highlight w:val="none"/>
              </w:rPr>
            </w:pPr>
          </w:p>
        </w:tc>
        <w:tc>
          <w:tcPr>
            <w:tcW w:w="2556" w:type="dxa"/>
          </w:tcPr>
          <w:p w14:paraId="3585EFB2">
            <w:pPr>
              <w:pStyle w:val="26"/>
              <w:pageBreakBefore w:val="0"/>
              <w:widowControl w:val="0"/>
              <w:tabs>
                <w:tab w:val="left" w:pos="6090"/>
              </w:tabs>
              <w:wordWrap/>
              <w:overflowPunct/>
              <w:topLinePunct w:val="0"/>
              <w:bidi w:val="0"/>
              <w:rPr>
                <w:color w:val="auto"/>
                <w:highlight w:val="none"/>
              </w:rPr>
            </w:pPr>
          </w:p>
        </w:tc>
        <w:tc>
          <w:tcPr>
            <w:tcW w:w="2644" w:type="dxa"/>
          </w:tcPr>
          <w:p w14:paraId="1382477C">
            <w:pPr>
              <w:pStyle w:val="26"/>
              <w:pageBreakBefore w:val="0"/>
              <w:widowControl w:val="0"/>
              <w:tabs>
                <w:tab w:val="left" w:pos="6090"/>
              </w:tabs>
              <w:wordWrap/>
              <w:overflowPunct/>
              <w:topLinePunct w:val="0"/>
              <w:bidi w:val="0"/>
              <w:rPr>
                <w:color w:val="auto"/>
                <w:highlight w:val="none"/>
              </w:rPr>
            </w:pPr>
          </w:p>
        </w:tc>
        <w:tc>
          <w:tcPr>
            <w:tcW w:w="1656" w:type="dxa"/>
          </w:tcPr>
          <w:p w14:paraId="33901D91">
            <w:pPr>
              <w:pStyle w:val="26"/>
              <w:pageBreakBefore w:val="0"/>
              <w:widowControl w:val="0"/>
              <w:tabs>
                <w:tab w:val="left" w:pos="6090"/>
              </w:tabs>
              <w:wordWrap/>
              <w:overflowPunct/>
              <w:topLinePunct w:val="0"/>
              <w:bidi w:val="0"/>
              <w:rPr>
                <w:color w:val="auto"/>
                <w:highlight w:val="none"/>
              </w:rPr>
            </w:pPr>
          </w:p>
        </w:tc>
        <w:tc>
          <w:tcPr>
            <w:tcW w:w="1389" w:type="dxa"/>
          </w:tcPr>
          <w:p w14:paraId="6D6E2832">
            <w:pPr>
              <w:pStyle w:val="26"/>
              <w:pageBreakBefore w:val="0"/>
              <w:widowControl w:val="0"/>
              <w:tabs>
                <w:tab w:val="left" w:pos="6090"/>
              </w:tabs>
              <w:wordWrap/>
              <w:overflowPunct/>
              <w:topLinePunct w:val="0"/>
              <w:bidi w:val="0"/>
              <w:rPr>
                <w:color w:val="auto"/>
                <w:highlight w:val="none"/>
              </w:rPr>
            </w:pPr>
          </w:p>
        </w:tc>
      </w:tr>
      <w:tr w14:paraId="1306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297" w:type="dxa"/>
          </w:tcPr>
          <w:p w14:paraId="3AC6C4F4">
            <w:pPr>
              <w:pStyle w:val="26"/>
              <w:pageBreakBefore w:val="0"/>
              <w:widowControl w:val="0"/>
              <w:tabs>
                <w:tab w:val="left" w:pos="6090"/>
              </w:tabs>
              <w:wordWrap/>
              <w:overflowPunct/>
              <w:topLinePunct w:val="0"/>
              <w:bidi w:val="0"/>
              <w:rPr>
                <w:color w:val="auto"/>
                <w:highlight w:val="none"/>
              </w:rPr>
            </w:pPr>
          </w:p>
        </w:tc>
        <w:tc>
          <w:tcPr>
            <w:tcW w:w="2556" w:type="dxa"/>
          </w:tcPr>
          <w:p w14:paraId="6191094C">
            <w:pPr>
              <w:pStyle w:val="26"/>
              <w:pageBreakBefore w:val="0"/>
              <w:widowControl w:val="0"/>
              <w:tabs>
                <w:tab w:val="left" w:pos="6090"/>
              </w:tabs>
              <w:wordWrap/>
              <w:overflowPunct/>
              <w:topLinePunct w:val="0"/>
              <w:bidi w:val="0"/>
              <w:rPr>
                <w:color w:val="auto"/>
                <w:highlight w:val="none"/>
              </w:rPr>
            </w:pPr>
          </w:p>
        </w:tc>
        <w:tc>
          <w:tcPr>
            <w:tcW w:w="2644" w:type="dxa"/>
          </w:tcPr>
          <w:p w14:paraId="11861C42">
            <w:pPr>
              <w:pStyle w:val="26"/>
              <w:pageBreakBefore w:val="0"/>
              <w:widowControl w:val="0"/>
              <w:tabs>
                <w:tab w:val="left" w:pos="6090"/>
              </w:tabs>
              <w:wordWrap/>
              <w:overflowPunct/>
              <w:topLinePunct w:val="0"/>
              <w:bidi w:val="0"/>
              <w:rPr>
                <w:color w:val="auto"/>
                <w:highlight w:val="none"/>
              </w:rPr>
            </w:pPr>
          </w:p>
        </w:tc>
        <w:tc>
          <w:tcPr>
            <w:tcW w:w="1656" w:type="dxa"/>
          </w:tcPr>
          <w:p w14:paraId="1A83DA97">
            <w:pPr>
              <w:pStyle w:val="26"/>
              <w:pageBreakBefore w:val="0"/>
              <w:widowControl w:val="0"/>
              <w:tabs>
                <w:tab w:val="left" w:pos="6090"/>
              </w:tabs>
              <w:wordWrap/>
              <w:overflowPunct/>
              <w:topLinePunct w:val="0"/>
              <w:bidi w:val="0"/>
              <w:rPr>
                <w:color w:val="auto"/>
                <w:highlight w:val="none"/>
              </w:rPr>
            </w:pPr>
          </w:p>
        </w:tc>
        <w:tc>
          <w:tcPr>
            <w:tcW w:w="1389" w:type="dxa"/>
          </w:tcPr>
          <w:p w14:paraId="214CBA1B">
            <w:pPr>
              <w:pStyle w:val="26"/>
              <w:pageBreakBefore w:val="0"/>
              <w:widowControl w:val="0"/>
              <w:tabs>
                <w:tab w:val="left" w:pos="6090"/>
              </w:tabs>
              <w:wordWrap/>
              <w:overflowPunct/>
              <w:topLinePunct w:val="0"/>
              <w:bidi w:val="0"/>
              <w:rPr>
                <w:color w:val="auto"/>
                <w:highlight w:val="none"/>
              </w:rPr>
            </w:pPr>
          </w:p>
        </w:tc>
      </w:tr>
    </w:tbl>
    <w:p w14:paraId="06231C03">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288" w:rightChars="137" w:firstLine="480" w:firstLineChars="200"/>
        <w:jc w:val="both"/>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1、供应商应当如实填写上表“响应文件中响应的具体内容”处内容，对采购文件提出的要求和条件作出明确响应，并列明具体响应数值或内容，只注明符合、满足等无具体内容表述的，</w:t>
      </w:r>
      <w:r>
        <w:rPr>
          <w:rFonts w:ascii="宋体" w:hAnsi="宋体" w:eastAsia="宋体" w:cs="宋体"/>
          <w:color w:val="auto"/>
          <w:spacing w:val="0"/>
          <w:position w:val="0"/>
          <w:sz w:val="24"/>
          <w:szCs w:val="24"/>
          <w:highlight w:val="none"/>
          <w:lang w:eastAsia="zh-CN"/>
        </w:rPr>
        <w:t>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。供应商需要说明的内容若需特殊表达，应先在本表中进行相应说明，再另页应答。</w:t>
      </w:r>
    </w:p>
    <w:p w14:paraId="43BBDD9E">
      <w:pPr>
        <w:keepNext w:val="0"/>
        <w:keepLines w:val="0"/>
        <w:pageBreakBefore w:val="0"/>
        <w:widowControl w:val="0"/>
        <w:kinsoku w:val="0"/>
        <w:wordWrap/>
        <w:overflowPunct/>
        <w:topLinePunct w:val="0"/>
        <w:autoSpaceDE w:val="0"/>
        <w:autoSpaceDN w:val="0"/>
        <w:bidi w:val="0"/>
        <w:adjustRightInd w:val="0"/>
        <w:snapToGrid w:val="0"/>
        <w:spacing w:line="360" w:lineRule="exact"/>
        <w:ind w:left="0" w:leftChars="0" w:right="420" w:rightChars="200" w:firstLine="605" w:firstLineChars="251"/>
        <w:jc w:val="both"/>
        <w:textAlignment w:val="baseline"/>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2</w:t>
      </w:r>
      <w:r>
        <w:rPr>
          <w:rFonts w:ascii="宋体" w:hAnsi="宋体" w:eastAsia="宋体" w:cs="宋体"/>
          <w:b/>
          <w:bCs/>
          <w:color w:val="auto"/>
          <w:spacing w:val="0"/>
          <w:position w:val="0"/>
          <w:sz w:val="24"/>
          <w:szCs w:val="24"/>
          <w:highlight w:val="none"/>
          <w:lang w:eastAsia="zh-CN"/>
        </w:rPr>
        <w:t>、响应/偏离内容</w:t>
      </w:r>
      <w:r>
        <w:rPr>
          <w:rFonts w:hint="eastAsia" w:ascii="宋体" w:hAnsi="宋体" w:eastAsia="宋体" w:cs="宋体"/>
          <w:b/>
          <w:bCs/>
          <w:color w:val="auto"/>
          <w:spacing w:val="0"/>
          <w:position w:val="0"/>
          <w:sz w:val="24"/>
          <w:szCs w:val="24"/>
          <w:highlight w:val="none"/>
          <w:lang w:eastAsia="zh-CN"/>
        </w:rPr>
        <w:t>项下应按下列规定填写：优于的，填写“正偏离”；符合的，填写“无偏离”；低于的，填写“负偏离”</w:t>
      </w:r>
      <w:r>
        <w:rPr>
          <w:rFonts w:ascii="宋体" w:hAnsi="宋体" w:eastAsia="宋体" w:cs="宋体"/>
          <w:b/>
          <w:bCs/>
          <w:color w:val="auto"/>
          <w:spacing w:val="0"/>
          <w:position w:val="0"/>
          <w:sz w:val="24"/>
          <w:szCs w:val="24"/>
          <w:highlight w:val="none"/>
          <w:lang w:eastAsia="zh-CN"/>
        </w:rPr>
        <w:t>；</w:t>
      </w:r>
    </w:p>
    <w:p w14:paraId="385CACE1">
      <w:pPr>
        <w:keepNext w:val="0"/>
        <w:keepLines w:val="0"/>
        <w:pageBreakBefore w:val="0"/>
        <w:widowControl w:val="0"/>
        <w:kinsoku w:val="0"/>
        <w:wordWrap/>
        <w:overflowPunct/>
        <w:topLinePunct w:val="0"/>
        <w:autoSpaceDE w:val="0"/>
        <w:autoSpaceDN w:val="0"/>
        <w:bidi w:val="0"/>
        <w:adjustRightInd w:val="0"/>
        <w:snapToGrid w:val="0"/>
        <w:spacing w:line="360" w:lineRule="exact"/>
        <w:ind w:left="122" w:firstLine="480" w:firstLineChars="20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3、</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2CB3DE20">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1491D8D1">
      <w:pPr>
        <w:pageBreakBefore w:val="0"/>
        <w:widowControl w:val="0"/>
        <w:wordWrap/>
        <w:overflowPunct/>
        <w:topLinePunct w:val="0"/>
        <w:bidi w:val="0"/>
        <w:spacing w:before="78" w:line="219" w:lineRule="auto"/>
        <w:ind w:left="125" w:firstLine="468"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25F73A3C">
      <w:pPr>
        <w:keepNext w:val="0"/>
        <w:keepLines w:val="0"/>
        <w:pageBreakBefore w:val="0"/>
        <w:widowControl w:val="0"/>
        <w:tabs>
          <w:tab w:val="left" w:pos="6090"/>
        </w:tabs>
        <w:kinsoku w:val="0"/>
        <w:wordWrap/>
        <w:overflowPunct/>
        <w:topLinePunct w:val="0"/>
        <w:autoSpaceDE w:val="0"/>
        <w:autoSpaceDN w:val="0"/>
        <w:bidi w:val="0"/>
        <w:adjustRightInd w:val="0"/>
        <w:snapToGrid w:val="0"/>
        <w:spacing w:line="360" w:lineRule="auto"/>
        <w:ind w:left="543"/>
        <w:textAlignment w:val="baseline"/>
        <w:outlineLvl w:val="0"/>
        <w:rPr>
          <w:rFonts w:hint="default" w:ascii="宋体" w:hAnsi="宋体" w:eastAsia="宋体" w:cs="宋体"/>
          <w:color w:val="auto"/>
          <w:spacing w:val="-1"/>
          <w:sz w:val="24"/>
          <w:szCs w:val="24"/>
          <w:highlight w:val="none"/>
          <w:u w:val="single"/>
          <w:lang w:val="en-US" w:eastAsia="zh-CN"/>
        </w:rPr>
      </w:pPr>
      <w:bookmarkStart w:id="279" w:name="_Toc15907"/>
      <w:bookmarkStart w:id="280" w:name="_Toc31310"/>
      <w:bookmarkStart w:id="281" w:name="_Toc12810"/>
      <w:bookmarkStart w:id="282" w:name="_Toc5119"/>
      <w:r>
        <w:rPr>
          <w:rFonts w:ascii="宋体" w:hAnsi="宋体" w:eastAsia="宋体" w:cs="宋体"/>
          <w:color w:val="auto"/>
          <w:spacing w:val="-1"/>
          <w:sz w:val="24"/>
          <w:szCs w:val="24"/>
          <w:highlight w:val="none"/>
          <w:lang w:eastAsia="zh-CN"/>
        </w:rPr>
        <w:t>法定代表人或授权代表签字或签章：</w:t>
      </w:r>
      <w:bookmarkEnd w:id="279"/>
      <w:bookmarkEnd w:id="280"/>
      <w:bookmarkEnd w:id="281"/>
      <w:bookmarkEnd w:id="282"/>
      <w:r>
        <w:rPr>
          <w:rFonts w:hint="eastAsia" w:ascii="宋体" w:hAnsi="宋体" w:eastAsia="宋体" w:cs="宋体"/>
          <w:color w:val="auto"/>
          <w:spacing w:val="-1"/>
          <w:sz w:val="24"/>
          <w:szCs w:val="24"/>
          <w:highlight w:val="none"/>
          <w:u w:val="single"/>
          <w:lang w:val="en-US" w:eastAsia="zh-CN"/>
        </w:rPr>
        <w:t xml:space="preserve">                   </w:t>
      </w:r>
    </w:p>
    <w:p w14:paraId="7BEBBB88">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bookmarkStart w:id="283" w:name="_Toc28380"/>
      <w:bookmarkStart w:id="284" w:name="_Toc18118"/>
      <w:bookmarkStart w:id="285" w:name="_Toc28643"/>
      <w:bookmarkStart w:id="286" w:name="_Toc8554"/>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hint="eastAsia" w:cs="宋体"/>
          <w:color w:val="auto"/>
          <w:spacing w:val="-1"/>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应当提交的资格证明文件</w:t>
      </w:r>
      <w:bookmarkEnd w:id="283"/>
      <w:bookmarkEnd w:id="284"/>
      <w:bookmarkEnd w:id="285"/>
      <w:bookmarkEnd w:id="286"/>
    </w:p>
    <w:p w14:paraId="77B1F5EE">
      <w:pPr>
        <w:pStyle w:val="27"/>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bookmarkStart w:id="287" w:name="_Toc11210"/>
      <w:bookmarkStart w:id="288" w:name="_Toc26198"/>
      <w:bookmarkStart w:id="289" w:name="_Toc8955"/>
      <w:bookmarkStart w:id="290" w:name="_Toc23297"/>
      <w:r>
        <w:rPr>
          <w:rFonts w:hint="eastAsia" w:cs="宋体"/>
          <w:color w:val="auto"/>
          <w:spacing w:val="-1"/>
          <w:sz w:val="24"/>
          <w:szCs w:val="24"/>
          <w:highlight w:val="none"/>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7-</w:t>
      </w:r>
      <w:r>
        <w:rPr>
          <w:rFonts w:hint="eastAsia" w:cs="宋体"/>
          <w:color w:val="auto"/>
          <w:spacing w:val="-2"/>
          <w:sz w:val="24"/>
          <w:szCs w:val="24"/>
          <w:highlight w:val="none"/>
          <w:lang w:val="en-US" w:eastAsia="zh-CN"/>
          <w14:textOutline w14:w="4356" w14:cap="sq" w14:cmpd="sng" w14:algn="ctr">
            <w14:solidFill>
              <w14:srgbClr w14:val="000000"/>
            </w14:solidFill>
            <w14:prstDash w14:val="solid"/>
            <w14:bevel/>
          </w14:textOutline>
        </w:rPr>
        <w:t>1 江西省政府采购供应商资格信用承诺函</w:t>
      </w:r>
      <w:bookmarkEnd w:id="287"/>
      <w:bookmarkEnd w:id="288"/>
      <w:bookmarkEnd w:id="289"/>
      <w:bookmarkEnd w:id="290"/>
      <w:r>
        <w:rPr>
          <w:rFonts w:hint="eastAsia" w:ascii="宋体" w:hAnsi="宋体" w:eastAsia="宋体" w:cs="宋体"/>
          <w:b/>
          <w:bCs/>
          <w:color w:val="auto"/>
          <w:sz w:val="24"/>
          <w:szCs w:val="24"/>
          <w:highlight w:val="none"/>
          <w:lang w:val="en-US" w:eastAsia="zh-CN"/>
        </w:rPr>
        <w:t xml:space="preserve"> </w:t>
      </w:r>
    </w:p>
    <w:p w14:paraId="17B4791C">
      <w:pPr>
        <w:pStyle w:val="28"/>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79FB0D79">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13253FA9">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6151ACEF">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3F04EA63">
      <w:pPr>
        <w:pStyle w:val="2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4F822D2A">
      <w:pPr>
        <w:pStyle w:val="2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75769F75">
      <w:pPr>
        <w:pStyle w:val="2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1EC706F6">
      <w:pPr>
        <w:pStyle w:val="2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5184AF43">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5C80B0F7">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79F0620">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7AA47725">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35B4E8EB">
      <w:pPr>
        <w:pStyle w:val="2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6A6CEC69">
      <w:pPr>
        <w:pStyle w:val="2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B8E2B69">
      <w:pPr>
        <w:pStyle w:val="2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44900830">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43D43EFA">
      <w:pPr>
        <w:pStyle w:val="2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6F284F0A">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52CBEE7B">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458CF82B">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7128CD19">
      <w:pPr>
        <w:pStyle w:val="2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p>
    <w:p w14:paraId="66EA0E3B">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ascii="宋体" w:hAnsi="宋体" w:eastAsia="宋体" w:cs="宋体"/>
          <w:b w:val="0"/>
          <w:bCs w:val="0"/>
          <w:color w:val="auto"/>
          <w:spacing w:val="0"/>
          <w:w w:val="100"/>
          <w:position w:val="0"/>
          <w:sz w:val="24"/>
          <w:szCs w:val="24"/>
          <w:highlight w:val="none"/>
        </w:rPr>
        <w:t>供应商须在</w:t>
      </w:r>
      <w:r>
        <w:rPr>
          <w:rFonts w:hint="eastAsia" w:ascii="宋体" w:hAnsi="宋体" w:eastAsia="宋体" w:cs="宋体"/>
          <w:b w:val="0"/>
          <w:bCs w:val="0"/>
          <w:color w:val="auto"/>
          <w:spacing w:val="0"/>
          <w:w w:val="100"/>
          <w:position w:val="0"/>
          <w:sz w:val="24"/>
          <w:szCs w:val="24"/>
          <w:highlight w:val="none"/>
          <w:lang w:eastAsia="zh-CN"/>
        </w:rPr>
        <w:t>响应文件</w:t>
      </w:r>
      <w:r>
        <w:rPr>
          <w:rFonts w:ascii="宋体" w:hAnsi="宋体" w:eastAsia="宋体" w:cs="宋体"/>
          <w:b w:val="0"/>
          <w:bCs w:val="0"/>
          <w:color w:val="auto"/>
          <w:spacing w:val="0"/>
          <w:w w:val="100"/>
          <w:position w:val="0"/>
          <w:sz w:val="24"/>
          <w:szCs w:val="24"/>
          <w:highlight w:val="none"/>
        </w:rPr>
        <w:t>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w:t>
      </w:r>
      <w:r>
        <w:rPr>
          <w:rFonts w:hint="eastAsia" w:ascii="宋体" w:hAnsi="宋体" w:eastAsia="宋体" w:cs="宋体"/>
          <w:b w:val="0"/>
          <w:bCs w:val="0"/>
          <w:color w:val="auto"/>
          <w:spacing w:val="0"/>
          <w:w w:val="100"/>
          <w:position w:val="0"/>
          <w:sz w:val="24"/>
          <w:szCs w:val="24"/>
          <w:highlight w:val="none"/>
          <w:lang w:val="en-US" w:eastAsia="zh-CN"/>
        </w:rPr>
        <w:t>磋商</w:t>
      </w:r>
      <w:r>
        <w:rPr>
          <w:rFonts w:ascii="宋体" w:hAnsi="宋体" w:eastAsia="宋体" w:cs="宋体"/>
          <w:b w:val="0"/>
          <w:bCs w:val="0"/>
          <w:color w:val="auto"/>
          <w:spacing w:val="0"/>
          <w:w w:val="100"/>
          <w:position w:val="0"/>
          <w:sz w:val="24"/>
          <w:szCs w:val="24"/>
          <w:highlight w:val="none"/>
        </w:rPr>
        <w:t>文件要求，</w:t>
      </w:r>
      <w:r>
        <w:rPr>
          <w:rFonts w:ascii="宋体" w:hAnsi="宋体" w:eastAsia="宋体" w:cs="宋体"/>
          <w:b/>
          <w:bCs/>
          <w:color w:val="auto"/>
          <w:spacing w:val="0"/>
          <w:w w:val="100"/>
          <w:position w:val="0"/>
          <w:sz w:val="24"/>
          <w:szCs w:val="24"/>
          <w:highlight w:val="none"/>
        </w:rPr>
        <w:t>按无效</w:t>
      </w:r>
      <w:r>
        <w:rPr>
          <w:rFonts w:hint="eastAsia" w:ascii="宋体" w:hAnsi="宋体" w:eastAsia="宋体" w:cs="宋体"/>
          <w:b/>
          <w:bCs/>
          <w:color w:val="auto"/>
          <w:spacing w:val="0"/>
          <w:w w:val="100"/>
          <w:position w:val="0"/>
          <w:sz w:val="24"/>
          <w:szCs w:val="24"/>
          <w:highlight w:val="none"/>
          <w:lang w:val="en-US" w:eastAsia="zh-CN"/>
        </w:rPr>
        <w:t>响应</w:t>
      </w:r>
      <w:r>
        <w:rPr>
          <w:rFonts w:ascii="宋体" w:hAnsi="宋体" w:eastAsia="宋体" w:cs="宋体"/>
          <w:b/>
          <w:bCs/>
          <w:color w:val="auto"/>
          <w:spacing w:val="0"/>
          <w:w w:val="100"/>
          <w:position w:val="0"/>
          <w:sz w:val="24"/>
          <w:szCs w:val="24"/>
          <w:highlight w:val="none"/>
        </w:rPr>
        <w:t>处理</w:t>
      </w:r>
      <w:r>
        <w:rPr>
          <w:rFonts w:hint="eastAsia" w:ascii="宋体" w:hAnsi="宋体" w:eastAsia="宋体" w:cs="宋体"/>
          <w:b w:val="0"/>
          <w:bCs w:val="0"/>
          <w:color w:val="auto"/>
          <w:spacing w:val="0"/>
          <w:w w:val="100"/>
          <w:position w:val="0"/>
          <w:sz w:val="24"/>
          <w:szCs w:val="24"/>
          <w:highlight w:val="none"/>
          <w:lang w:eastAsia="zh-CN"/>
        </w:rPr>
        <w:t>。</w:t>
      </w:r>
    </w:p>
    <w:p w14:paraId="60AB64EB">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结果后、签订政府采购合同前, 核实</w:t>
      </w:r>
      <w:r>
        <w:rPr>
          <w:rFonts w:hint="eastAsia" w:ascii="宋体" w:hAnsi="宋体" w:eastAsia="宋体" w:cs="宋体"/>
          <w:b w:val="0"/>
          <w:bCs w:val="0"/>
          <w:color w:val="auto"/>
          <w:spacing w:val="0"/>
          <w:w w:val="100"/>
          <w:position w:val="0"/>
          <w:sz w:val="24"/>
          <w:szCs w:val="24"/>
          <w:highlight w:val="none"/>
          <w:lang w:val="en-US" w:eastAsia="zh-CN"/>
        </w:rPr>
        <w:t>成交</w:t>
      </w:r>
      <w:r>
        <w:rPr>
          <w:rFonts w:hint="eastAsia" w:ascii="宋体" w:hAnsi="宋体" w:eastAsia="宋体" w:cs="宋体"/>
          <w:b w:val="0"/>
          <w:bCs w:val="0"/>
          <w:color w:val="auto"/>
          <w:spacing w:val="0"/>
          <w:w w:val="100"/>
          <w:position w:val="0"/>
          <w:sz w:val="24"/>
          <w:szCs w:val="24"/>
          <w:highlight w:val="none"/>
        </w:rPr>
        <w:t>供应商所作信用承诺事项的真实性。</w:t>
      </w:r>
    </w:p>
    <w:p w14:paraId="03A55C44">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0" w:type="default"/>
          <w:pgSz w:w="11906" w:h="16839"/>
          <w:pgMar w:top="1431" w:right="1018" w:bottom="1156" w:left="1281" w:header="0" w:footer="994" w:gutter="0"/>
          <w:pgNumType w:fmt="decimal"/>
          <w:cols w:space="720" w:num="1"/>
        </w:sectPr>
      </w:pPr>
    </w:p>
    <w:p w14:paraId="13D3026A">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jc w:val="both"/>
        <w:textAlignment w:val="baseline"/>
        <w:outlineLvl w:val="1"/>
        <w:rPr>
          <w:rFonts w:hint="eastAsia" w:ascii="宋体" w:hAnsi="宋体" w:eastAsia="宋体" w:cs="宋体"/>
          <w:b/>
          <w:bCs/>
          <w:color w:val="auto"/>
          <w:spacing w:val="0"/>
          <w:sz w:val="24"/>
          <w:szCs w:val="24"/>
          <w:highlight w:val="none"/>
          <w:lang w:val="en-US" w:eastAsia="zh-CN"/>
        </w:rPr>
      </w:pPr>
      <w:bookmarkStart w:id="291" w:name="bookmark61"/>
      <w:bookmarkEnd w:id="291"/>
      <w:bookmarkStart w:id="292" w:name="bookmark60"/>
      <w:bookmarkEnd w:id="292"/>
      <w:bookmarkStart w:id="293" w:name="_Toc22704"/>
      <w:bookmarkStart w:id="294" w:name="_Toc9736"/>
      <w:bookmarkStart w:id="295" w:name="_Toc20074"/>
      <w:bookmarkStart w:id="296" w:name="_Toc26901"/>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r>
        <w:rPr>
          <w:rFonts w:hint="eastAsia" w:ascii="宋体" w:hAnsi="宋体" w:eastAsia="宋体" w:cs="宋体"/>
          <w:b/>
          <w:bCs/>
          <w:color w:val="auto"/>
          <w:spacing w:val="0"/>
          <w:sz w:val="24"/>
          <w:szCs w:val="24"/>
          <w:highlight w:val="none"/>
          <w:lang w:val="en-US" w:eastAsia="zh-CN"/>
        </w:rPr>
        <w:t>如为联合体投标的，联合体各方均应提供</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eastAsia="zh-CN"/>
        </w:rPr>
        <w:t>。</w:t>
      </w:r>
      <w:bookmarkEnd w:id="293"/>
      <w:bookmarkEnd w:id="294"/>
      <w:bookmarkEnd w:id="295"/>
      <w:bookmarkEnd w:id="296"/>
    </w:p>
    <w:p w14:paraId="28CF62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0"/>
        <w:textAlignment w:val="baseline"/>
        <w:outlineLvl w:val="1"/>
        <w:rPr>
          <w:rFonts w:ascii="宋体" w:hAnsi="宋体" w:eastAsia="宋体" w:cs="宋体"/>
          <w:color w:val="auto"/>
          <w:spacing w:val="0"/>
          <w:sz w:val="24"/>
          <w:szCs w:val="24"/>
          <w:highlight w:val="none"/>
          <w:lang w:eastAsia="zh-CN"/>
        </w:rPr>
      </w:pPr>
      <w:bookmarkStart w:id="297" w:name="_Toc18785"/>
      <w:bookmarkStart w:id="298" w:name="_Toc8388"/>
      <w:bookmarkStart w:id="299" w:name="_Toc10323"/>
      <w:bookmarkStart w:id="300" w:name="_Toc28864"/>
      <w:r>
        <w:rPr>
          <w:rFonts w:hint="eastAsia" w:ascii="宋体" w:hAnsi="宋体" w:eastAsia="宋体" w:cs="宋体"/>
          <w:b/>
          <w:bCs/>
          <w:color w:val="auto"/>
          <w:spacing w:val="0"/>
          <w:sz w:val="24"/>
          <w:szCs w:val="24"/>
          <w:highlight w:val="none"/>
          <w:lang w:val="en-US" w:eastAsia="zh-CN"/>
        </w:rPr>
        <w:t>1、</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具有独立承担民事责任的能力的资格证明文件</w:t>
      </w:r>
      <w:bookmarkEnd w:id="297"/>
      <w:bookmarkEnd w:id="298"/>
      <w:bookmarkEnd w:id="299"/>
      <w:bookmarkEnd w:id="300"/>
    </w:p>
    <w:p w14:paraId="55B0677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76" w:leftChars="0" w:right="99" w:firstLine="0" w:firstLineChars="0"/>
        <w:jc w:val="both"/>
        <w:textAlignment w:val="baseline"/>
        <w:rPr>
          <w:color w:val="auto"/>
          <w:spacing w:val="0"/>
          <w:highlight w:val="none"/>
          <w:lang w:eastAsia="zh-CN"/>
        </w:rPr>
      </w:pPr>
      <w:r>
        <w:rPr>
          <w:rFonts w:ascii="宋体" w:hAnsi="宋体" w:eastAsia="宋体" w:cs="宋体"/>
          <w:color w:val="auto"/>
          <w:spacing w:val="0"/>
          <w:sz w:val="24"/>
          <w:szCs w:val="24"/>
          <w:highlight w:val="none"/>
          <w:lang w:eastAsia="zh-CN"/>
        </w:rPr>
        <w:t>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是企业的（包括合伙企业）应提供有效的“企业法人营业执照 ”或“营业执照 ”；如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是事业单位的应提供“事业单位法人证书 ”；如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是非企业专业服务机构的应提供执业许可证等证明文件；</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是个体工商户的应提供有效的“个体工商户营业执照 ”、组织机构代码证证明文件（实行“统一社会信用代码 ”的不需单独提供组织机构代码证）；如</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是自然人的，应提供有效的自然人的身份证明(中国公民)。</w:t>
      </w:r>
    </w:p>
    <w:p w14:paraId="2946D04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textAlignment w:val="baseline"/>
        <w:outlineLvl w:val="1"/>
        <w:rPr>
          <w:rFonts w:ascii="宋体" w:hAnsi="宋体" w:eastAsia="宋体" w:cs="宋体"/>
          <w:color w:val="auto"/>
          <w:spacing w:val="0"/>
          <w:sz w:val="24"/>
          <w:szCs w:val="24"/>
          <w:highlight w:val="none"/>
          <w:lang w:eastAsia="zh-CN"/>
        </w:rPr>
      </w:pPr>
      <w:bookmarkStart w:id="301" w:name="bookmark62"/>
      <w:bookmarkEnd w:id="301"/>
      <w:bookmarkStart w:id="302" w:name="_Toc24167"/>
      <w:bookmarkStart w:id="303" w:name="_Toc11033"/>
      <w:bookmarkStart w:id="304" w:name="_Toc5019"/>
      <w:bookmarkStart w:id="305" w:name="_Toc29791"/>
      <w:r>
        <w:rPr>
          <w:rFonts w:hint="eastAsia" w:ascii="宋体" w:hAnsi="宋体" w:eastAsia="宋体" w:cs="宋体"/>
          <w:b/>
          <w:bCs/>
          <w:color w:val="auto"/>
          <w:spacing w:val="0"/>
          <w:sz w:val="24"/>
          <w:szCs w:val="24"/>
          <w:highlight w:val="none"/>
          <w:lang w:val="en-US" w:eastAsia="zh-CN"/>
        </w:rPr>
        <w:t>2、</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具有良好的商业信誉和健全的财务会计制度的证明文件</w:t>
      </w:r>
      <w:bookmarkEnd w:id="302"/>
      <w:bookmarkEnd w:id="303"/>
      <w:bookmarkEnd w:id="304"/>
      <w:bookmarkEnd w:id="305"/>
    </w:p>
    <w:p w14:paraId="13812C7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99"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是法人的，提供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前二个年度内任一年度经审计的财务状况报告，或在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前三个月内其基本开户银行出具的资信证明；其他组织和自然人，没有经审计的财务报告，可以提供在</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前三个月内银行出具的资信证明；个体工商户提供</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前三个月中国人民银行征信中心开具个人信用报告。</w:t>
      </w:r>
    </w:p>
    <w:p w14:paraId="5AA4FCA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44" w:leftChars="21" w:firstLine="0" w:firstLineChars="0"/>
        <w:jc w:val="both"/>
        <w:textAlignment w:val="baseline"/>
        <w:outlineLvl w:val="1"/>
        <w:rPr>
          <w:rFonts w:ascii="宋体" w:hAnsi="宋体" w:eastAsia="宋体" w:cs="宋体"/>
          <w:color w:val="auto"/>
          <w:spacing w:val="0"/>
          <w:sz w:val="24"/>
          <w:szCs w:val="24"/>
          <w:highlight w:val="none"/>
          <w:lang w:eastAsia="zh-CN"/>
        </w:rPr>
      </w:pPr>
      <w:bookmarkStart w:id="306" w:name="bookmark63"/>
      <w:bookmarkEnd w:id="306"/>
      <w:bookmarkStart w:id="307" w:name="_Toc23669"/>
      <w:bookmarkStart w:id="308" w:name="_Toc32697"/>
      <w:bookmarkStart w:id="309" w:name="_Toc17535"/>
      <w:bookmarkStart w:id="310" w:name="_Toc16968"/>
      <w:bookmarkStart w:id="311" w:name="_Toc20144"/>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具有履行合同所必需的设备和专业技术能力的证明文件</w:t>
      </w:r>
      <w:bookmarkEnd w:id="307"/>
      <w:bookmarkEnd w:id="308"/>
      <w:bookmarkEnd w:id="309"/>
      <w:bookmarkEnd w:id="310"/>
      <w:bookmarkEnd w:id="311"/>
    </w:p>
    <w:p w14:paraId="36F9602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0" w:leftChars="0" w:firstLine="42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提供具有履行合同所必</w:t>
      </w:r>
      <w:r>
        <w:rPr>
          <w:rFonts w:hint="eastAsia" w:ascii="宋体" w:hAnsi="宋体" w:eastAsia="宋体" w:cs="宋体"/>
          <w:color w:val="auto"/>
          <w:spacing w:val="0"/>
          <w:sz w:val="24"/>
          <w:szCs w:val="24"/>
          <w:highlight w:val="none"/>
          <w:lang w:val="en-US" w:eastAsia="zh-CN"/>
        </w:rPr>
        <w:t>需</w:t>
      </w:r>
      <w:r>
        <w:rPr>
          <w:rFonts w:ascii="宋体" w:hAnsi="宋体" w:eastAsia="宋体" w:cs="宋体"/>
          <w:color w:val="auto"/>
          <w:spacing w:val="0"/>
          <w:sz w:val="24"/>
          <w:szCs w:val="24"/>
          <w:highlight w:val="none"/>
          <w:lang w:eastAsia="zh-CN"/>
        </w:rPr>
        <w:t>的设备和专业技术能力的承诺函；</w:t>
      </w:r>
    </w:p>
    <w:p w14:paraId="0AF8133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12" w:name="bookmark64"/>
      <w:bookmarkEnd w:id="312"/>
      <w:bookmarkStart w:id="313" w:name="_Toc8122"/>
      <w:bookmarkStart w:id="314" w:name="_Toc27760"/>
      <w:bookmarkStart w:id="315" w:name="_Toc6601"/>
      <w:bookmarkStart w:id="316" w:name="_Toc28183"/>
      <w:bookmarkStart w:id="317" w:name="_Toc6925"/>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有依法缴纳税收和社会保障资金的良好记录的证明文件</w:t>
      </w:r>
      <w:bookmarkEnd w:id="313"/>
      <w:bookmarkEnd w:id="314"/>
      <w:bookmarkEnd w:id="315"/>
      <w:bookmarkEnd w:id="316"/>
      <w:bookmarkEnd w:id="317"/>
    </w:p>
    <w:p w14:paraId="454ADBF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55"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税务登记证（实行“统一社会信用代码 ”的不需单独提供）和</w:t>
      </w: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 意一个月的企业缴税凭证或证明；</w:t>
      </w:r>
    </w:p>
    <w:p w14:paraId="004CEB5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65" w:leftChars="0" w:right="99" w:firstLine="0" w:firstLineChars="0"/>
        <w:jc w:val="both"/>
        <w:textAlignment w:val="baseline"/>
        <w:rPr>
          <w:color w:val="auto"/>
          <w:spacing w:val="0"/>
          <w:highlight w:val="none"/>
          <w:lang w:eastAsia="zh-CN"/>
        </w:rPr>
      </w:pPr>
      <w:r>
        <w:rPr>
          <w:rFonts w:hint="eastAsia" w:ascii="宋体" w:hAnsi="宋体" w:eastAsia="宋体" w:cs="宋体"/>
          <w:color w:val="auto"/>
          <w:spacing w:val="0"/>
          <w:sz w:val="24"/>
          <w:szCs w:val="24"/>
          <w:highlight w:val="none"/>
          <w:lang w:val="en-US" w:eastAsia="zh-CN"/>
        </w:rPr>
        <w:t>磋商</w:t>
      </w:r>
      <w:r>
        <w:rPr>
          <w:rFonts w:ascii="宋体" w:hAnsi="宋体" w:eastAsia="宋体" w:cs="宋体"/>
          <w:color w:val="auto"/>
          <w:spacing w:val="0"/>
          <w:sz w:val="24"/>
          <w:szCs w:val="24"/>
          <w:highlight w:val="none"/>
          <w:lang w:eastAsia="zh-CN"/>
        </w:rPr>
        <w:t>前六个月内任意一个月的缴纳社会保障资金的凭证或当地社会保障局出具的缴纳明细。依法免税或不需要缴纳社会保障资金的</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，应当提供相关文件证明其依法免税或不需要缴纳社会保障资金。</w:t>
      </w:r>
    </w:p>
    <w:p w14:paraId="5A69423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rPr>
      </w:pPr>
      <w:bookmarkStart w:id="318" w:name="bookmark65"/>
      <w:bookmarkEnd w:id="318"/>
      <w:bookmarkStart w:id="319" w:name="_Toc24004"/>
      <w:bookmarkStart w:id="320" w:name="_Toc18666"/>
      <w:bookmarkStart w:id="321" w:name="_Toc14438"/>
      <w:bookmarkStart w:id="322" w:name="_Toc12866"/>
      <w:bookmarkStart w:id="323" w:name="_Toc22100"/>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前三年内，在经营活动中没有重大违法记录的证明文件</w:t>
      </w:r>
      <w:bookmarkEnd w:id="319"/>
      <w:bookmarkEnd w:id="320"/>
      <w:bookmarkEnd w:id="321"/>
      <w:bookmarkEnd w:id="322"/>
      <w:bookmarkEnd w:id="323"/>
    </w:p>
    <w:p w14:paraId="3CAA8F31">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ascii="宋体" w:hAnsi="宋体" w:eastAsia="宋体" w:cs="宋体"/>
          <w:color w:val="auto"/>
          <w:spacing w:val="0"/>
          <w:sz w:val="24"/>
          <w:szCs w:val="24"/>
          <w:highlight w:val="none"/>
          <w:lang w:eastAsia="zh-CN"/>
        </w:rPr>
      </w:pPr>
      <w:r>
        <w:rPr>
          <w:rFonts w:ascii="宋体" w:hAnsi="宋体" w:eastAsia="宋体" w:cs="宋体"/>
          <w:color w:val="auto"/>
          <w:spacing w:val="0"/>
          <w:sz w:val="24"/>
          <w:szCs w:val="24"/>
          <w:highlight w:val="none"/>
          <w:lang w:eastAsia="zh-CN"/>
        </w:rPr>
        <w:t>参加政府采购</w:t>
      </w:r>
      <w:r>
        <w:rPr>
          <w:rFonts w:hint="eastAsia" w:ascii="宋体" w:hAnsi="宋体" w:eastAsia="宋体" w:cs="宋体"/>
          <w:color w:val="auto"/>
          <w:spacing w:val="0"/>
          <w:sz w:val="24"/>
          <w:szCs w:val="24"/>
          <w:highlight w:val="none"/>
          <w:lang w:eastAsia="zh-CN"/>
        </w:rPr>
        <w:t>活动</w:t>
      </w:r>
      <w:r>
        <w:rPr>
          <w:rFonts w:ascii="宋体" w:hAnsi="宋体" w:eastAsia="宋体" w:cs="宋体"/>
          <w:color w:val="auto"/>
          <w:spacing w:val="0"/>
          <w:sz w:val="24"/>
          <w:szCs w:val="24"/>
          <w:highlight w:val="none"/>
          <w:lang w:eastAsia="zh-CN"/>
        </w:rPr>
        <w:t>前三年内,在经营活动中没有重大违法记录承诺函；重大违法记录，是指</w:t>
      </w:r>
      <w:r>
        <w:rPr>
          <w:rFonts w:hint="eastAsia" w:ascii="宋体" w:hAnsi="宋体" w:eastAsia="宋体" w:cs="宋体"/>
          <w:color w:val="auto"/>
          <w:spacing w:val="0"/>
          <w:sz w:val="24"/>
          <w:szCs w:val="24"/>
          <w:highlight w:val="none"/>
          <w:lang w:eastAsia="zh-CN"/>
        </w:rPr>
        <w:t>供应商</w:t>
      </w:r>
      <w:r>
        <w:rPr>
          <w:rFonts w:ascii="宋体" w:hAnsi="宋体" w:eastAsia="宋体" w:cs="宋体"/>
          <w:color w:val="auto"/>
          <w:spacing w:val="0"/>
          <w:sz w:val="24"/>
          <w:szCs w:val="24"/>
          <w:highlight w:val="none"/>
          <w:lang w:eastAsia="zh-CN"/>
        </w:rPr>
        <w:t>因违法经营受到刑事处罚或者责令停产停业、吊销许可证或者执照、较大罚款等行政处罚。</w:t>
      </w:r>
    </w:p>
    <w:p w14:paraId="73D629D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1"/>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324" w:name="_Toc28248"/>
      <w:bookmarkStart w:id="325" w:name="_Toc18209"/>
      <w:bookmarkStart w:id="326" w:name="_Toc26988"/>
      <w:bookmarkStart w:id="327" w:name="_Toc284"/>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324"/>
      <w:bookmarkEnd w:id="325"/>
      <w:bookmarkEnd w:id="326"/>
      <w:bookmarkEnd w:id="327"/>
    </w:p>
    <w:p w14:paraId="213D7D5B">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09CBBDCB">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3A7CD37D">
      <w:pPr>
        <w:pStyle w:val="24"/>
        <w:pageBreakBefore w:val="0"/>
        <w:widowControl w:val="0"/>
        <w:wordWrap/>
        <w:overflowPunct/>
        <w:topLinePunct w:val="0"/>
        <w:bidi w:val="0"/>
        <w:rPr>
          <w:rFonts w:hint="default"/>
          <w:color w:val="auto"/>
          <w:highlight w:val="none"/>
          <w:lang w:val="en-US" w:eastAsia="zh-CN"/>
        </w:rPr>
        <w:sectPr>
          <w:footerReference r:id="rId11" w:type="default"/>
          <w:pgSz w:w="11906" w:h="16839"/>
          <w:pgMar w:top="1431" w:right="1148" w:bottom="1156" w:left="1165" w:header="0" w:footer="994" w:gutter="0"/>
          <w:pgNumType w:fmt="decimal"/>
          <w:cols w:space="720" w:num="1"/>
        </w:sectPr>
      </w:pPr>
    </w:p>
    <w:p w14:paraId="59E5FDD9">
      <w:pPr>
        <w:pageBreakBefore w:val="0"/>
        <w:widowControl w:val="0"/>
        <w:wordWrap/>
        <w:overflowPunct/>
        <w:topLinePunct w:val="0"/>
        <w:bidi w:val="0"/>
        <w:spacing w:before="100" w:line="219" w:lineRule="auto"/>
        <w:ind w:left="3013"/>
        <w:outlineLvl w:val="1"/>
        <w:rPr>
          <w:rFonts w:ascii="宋体" w:hAnsi="宋体" w:eastAsia="宋体" w:cs="宋体"/>
          <w:color w:val="auto"/>
          <w:sz w:val="24"/>
          <w:szCs w:val="24"/>
          <w:highlight w:val="none"/>
          <w:lang w:eastAsia="zh-CN"/>
        </w:rPr>
      </w:pPr>
      <w:bookmarkStart w:id="328" w:name="bookmark66"/>
      <w:bookmarkEnd w:id="328"/>
      <w:bookmarkStart w:id="329" w:name="_Toc3889"/>
      <w:bookmarkStart w:id="330" w:name="_Toc8881"/>
      <w:bookmarkStart w:id="331" w:name="_Toc11358"/>
      <w:bookmarkStart w:id="332" w:name="_Toc29338"/>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法定代表人授权书</w:t>
      </w:r>
      <w:bookmarkEnd w:id="329"/>
      <w:bookmarkEnd w:id="330"/>
      <w:bookmarkEnd w:id="331"/>
      <w:bookmarkEnd w:id="332"/>
    </w:p>
    <w:p w14:paraId="5AA330C8">
      <w:pPr>
        <w:pageBreakBefore w:val="0"/>
        <w:widowControl w:val="0"/>
        <w:wordWrap/>
        <w:overflowPunct/>
        <w:topLinePunct w:val="0"/>
        <w:bidi w:val="0"/>
        <w:spacing w:line="276" w:lineRule="auto"/>
        <w:rPr>
          <w:color w:val="auto"/>
          <w:highlight w:val="none"/>
          <w:lang w:eastAsia="zh-CN"/>
        </w:rPr>
      </w:pPr>
    </w:p>
    <w:p w14:paraId="69B0BCD7">
      <w:pPr>
        <w:pageBreakBefore w:val="0"/>
        <w:widowControl w:val="0"/>
        <w:wordWrap/>
        <w:overflowPunct/>
        <w:topLinePunct w:val="0"/>
        <w:bidi w:val="0"/>
        <w:spacing w:line="276" w:lineRule="auto"/>
        <w:rPr>
          <w:color w:val="auto"/>
          <w:highlight w:val="none"/>
          <w:lang w:eastAsia="zh-CN"/>
        </w:rPr>
      </w:pPr>
    </w:p>
    <w:p w14:paraId="22229D7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5D830AB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F67650D">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78" w:line="480" w:lineRule="auto"/>
        <w:ind w:firstLine="480"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（全</w:t>
      </w:r>
      <w:r>
        <w:rPr>
          <w:rFonts w:ascii="宋体" w:hAnsi="宋体" w:eastAsia="宋体" w:cs="宋体"/>
          <w:color w:val="auto"/>
          <w:spacing w:val="2"/>
          <w:sz w:val="24"/>
          <w:szCs w:val="24"/>
          <w:highlight w:val="none"/>
          <w:lang w:eastAsia="zh-CN"/>
        </w:rPr>
        <w:t>权代表姓名）为全权代表,参加贵处组织的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活动，全权代表我方处理</w:t>
      </w:r>
      <w:r>
        <w:rPr>
          <w:rFonts w:hint="eastAsia" w:ascii="宋体" w:hAnsi="宋体" w:eastAsia="宋体" w:cs="宋体"/>
          <w:color w:val="auto"/>
          <w:spacing w:val="-3"/>
          <w:sz w:val="24"/>
          <w:szCs w:val="24"/>
          <w:highlight w:val="none"/>
          <w:lang w:val="en-US" w:eastAsia="zh-CN"/>
        </w:rPr>
        <w:t>磋商</w:t>
      </w:r>
      <w:r>
        <w:rPr>
          <w:rFonts w:ascii="宋体" w:hAnsi="宋体" w:eastAsia="宋体" w:cs="宋体"/>
          <w:color w:val="auto"/>
          <w:spacing w:val="-3"/>
          <w:sz w:val="24"/>
          <w:szCs w:val="24"/>
          <w:highlight w:val="none"/>
          <w:lang w:eastAsia="zh-CN"/>
        </w:rPr>
        <w:t>活动中的一切事宜。</w:t>
      </w:r>
    </w:p>
    <w:p w14:paraId="405B877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1C95DA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1017663">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59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法定代表人签字或签章：</w:t>
      </w:r>
    </w:p>
    <w:p w14:paraId="12413B1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51806DF">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56ED917">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3E08647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6EF3E7E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36DF2811">
      <w:pPr>
        <w:pStyle w:val="28"/>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highlight w:val="none"/>
          <w:lang w:eastAsia="zh-CN"/>
        </w:rPr>
      </w:pPr>
      <w:r>
        <w:rPr>
          <w:rFonts w:hint="eastAsia" w:cs="宋体"/>
          <w:color w:val="auto"/>
          <w:spacing w:val="-21"/>
          <w:sz w:val="24"/>
          <w:szCs w:val="24"/>
          <w:highlight w:val="none"/>
          <w:lang w:val="en-US" w:eastAsia="zh-CN"/>
        </w:rPr>
        <w:t xml:space="preserve">                                       </w:t>
      </w:r>
      <w:r>
        <w:rPr>
          <w:rFonts w:ascii="宋体" w:hAnsi="宋体" w:eastAsia="宋体" w:cs="宋体"/>
          <w:color w:val="auto"/>
          <w:spacing w:val="-21"/>
          <w:sz w:val="24"/>
          <w:szCs w:val="24"/>
          <w:highlight w:val="none"/>
          <w:lang w:eastAsia="zh-CN"/>
        </w:rPr>
        <w:t>日</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60AD06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0C04140">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76C44B8A">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position w:val="17"/>
          <w:sz w:val="24"/>
          <w:szCs w:val="24"/>
          <w:highlight w:val="none"/>
          <w:lang w:eastAsia="zh-CN"/>
        </w:rPr>
        <w:t>全权代表姓名：</w:t>
      </w:r>
    </w:p>
    <w:p w14:paraId="77C5D4E9">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6FFB3707">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57EAE8B7">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73B07F61">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电 子 邮 箱</w:t>
      </w:r>
      <w:r>
        <w:rPr>
          <w:rFonts w:ascii="宋体" w:hAnsi="宋体" w:eastAsia="宋体" w:cs="宋体"/>
          <w:color w:val="auto"/>
          <w:spacing w:val="-10"/>
          <w:sz w:val="24"/>
          <w:szCs w:val="24"/>
          <w:highlight w:val="none"/>
          <w:lang w:eastAsia="zh-CN"/>
        </w:rPr>
        <w:t>：</w:t>
      </w:r>
    </w:p>
    <w:p w14:paraId="6F35B65D">
      <w:pPr>
        <w:pStyle w:val="6"/>
        <w:rPr>
          <w:color w:val="auto"/>
          <w:highlight w:val="none"/>
          <w:lang w:eastAsia="zh-CN"/>
        </w:rPr>
      </w:pPr>
    </w:p>
    <w:p w14:paraId="6E4A275B">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val="en-US" w:eastAsia="zh-CN"/>
        </w:rPr>
        <w:t>及全权代表</w:t>
      </w:r>
      <w:r>
        <w:rPr>
          <w:rFonts w:ascii="宋体" w:hAnsi="宋体" w:eastAsia="宋体" w:cs="宋体"/>
          <w:color w:val="auto"/>
          <w:spacing w:val="-2"/>
          <w:sz w:val="24"/>
          <w:szCs w:val="24"/>
          <w:highlight w:val="none"/>
          <w:lang w:eastAsia="zh-CN"/>
        </w:rPr>
        <w:t>身份证扫描件（正、反面）</w:t>
      </w:r>
    </w:p>
    <w:p w14:paraId="5E8C15AA">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说明：法定代表人参加采购，不用提供授权书。</w:t>
      </w:r>
    </w:p>
    <w:p w14:paraId="41533C5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footerReference r:id="rId12" w:type="default"/>
          <w:pgSz w:w="11906" w:h="16839"/>
          <w:pgMar w:top="1431" w:right="1587" w:bottom="1429" w:left="1582" w:header="0" w:footer="994" w:gutter="0"/>
          <w:pgNumType w:fmt="decimal"/>
          <w:cols w:space="720" w:num="1"/>
        </w:sectPr>
      </w:pPr>
    </w:p>
    <w:p w14:paraId="24173CF5">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color w:val="auto"/>
          <w:highlight w:val="none"/>
          <w:lang w:eastAsia="zh-CN"/>
        </w:rPr>
      </w:pPr>
      <w:bookmarkStart w:id="333" w:name="bookmark67"/>
      <w:bookmarkEnd w:id="333"/>
      <w:bookmarkStart w:id="334" w:name="_Toc11173"/>
      <w:bookmarkStart w:id="335" w:name="_Toc900"/>
      <w:bookmarkStart w:id="336" w:name="_Toc20193"/>
      <w:bookmarkStart w:id="337" w:name="_Toc22533"/>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5"/>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的资格声明</w:t>
      </w:r>
      <w:bookmarkEnd w:id="334"/>
      <w:bookmarkEnd w:id="335"/>
      <w:bookmarkEnd w:id="336"/>
      <w:bookmarkEnd w:id="337"/>
    </w:p>
    <w:p w14:paraId="724C841A">
      <w:pPr>
        <w:keepNext w:val="0"/>
        <w:keepLines w:val="0"/>
        <w:pageBreakBefore w:val="0"/>
        <w:widowControl w:val="0"/>
        <w:kinsoku w:val="0"/>
        <w:wordWrap/>
        <w:overflowPunct/>
        <w:topLinePunct w:val="0"/>
        <w:autoSpaceDE w:val="0"/>
        <w:autoSpaceDN w:val="0"/>
        <w:bidi w:val="0"/>
        <w:adjustRightInd w:val="0"/>
        <w:snapToGrid w:val="0"/>
        <w:spacing w:before="78" w:after="0" w:afterLines="121" w:afterAutospacing="0" w:line="360" w:lineRule="auto"/>
        <w:ind w:left="90" w:leftChars="43" w:firstLine="0" w:firstLineChars="0"/>
        <w:jc w:val="center"/>
        <w:textAlignment w:val="baseline"/>
        <w:rPr>
          <w:rFonts w:ascii="宋体" w:hAnsi="宋体" w:eastAsia="宋体" w:cs="宋体"/>
          <w:color w:val="auto"/>
          <w:spacing w:val="-4"/>
          <w:sz w:val="24"/>
          <w:szCs w:val="24"/>
          <w:highlight w:val="none"/>
          <w:lang w:eastAsia="zh-CN"/>
        </w:rPr>
      </w:pPr>
      <w:r>
        <w:rPr>
          <w:rFonts w:ascii="宋体" w:hAnsi="宋体" w:eastAsia="宋体" w:cs="宋体"/>
          <w:color w:val="auto"/>
          <w:spacing w:val="-4"/>
          <w:sz w:val="24"/>
          <w:szCs w:val="24"/>
          <w:highlight w:val="none"/>
          <w:lang w:eastAsia="zh-CN"/>
        </w:rPr>
        <w:t>（参考格式）</w:t>
      </w:r>
    </w:p>
    <w:p w14:paraId="3CF1432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rFonts w:hint="default"/>
          <w:color w:val="auto"/>
          <w:highlight w:val="none"/>
          <w:u w:val="single"/>
          <w:lang w:val="en-US"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val="en-US" w:eastAsia="zh-CN"/>
        </w:rPr>
        <w:t xml:space="preserve">   </w:t>
      </w:r>
    </w:p>
    <w:p w14:paraId="220E546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0C9DF83E">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val="en-US" w:eastAsia="zh-CN"/>
        </w:rPr>
        <w:t>本项目磋商文件第五章</w:t>
      </w:r>
      <w:r>
        <w:rPr>
          <w:rFonts w:ascii="宋体" w:hAnsi="宋体" w:eastAsia="宋体" w:cs="宋体"/>
          <w:color w:val="auto"/>
          <w:spacing w:val="-2"/>
          <w:sz w:val="24"/>
          <w:szCs w:val="24"/>
          <w:highlight w:val="none"/>
          <w:lang w:eastAsia="zh-CN"/>
        </w:rPr>
        <w:t>采</w:t>
      </w:r>
      <w:r>
        <w:rPr>
          <w:rFonts w:ascii="宋体" w:hAnsi="宋体" w:eastAsia="宋体" w:cs="宋体"/>
          <w:color w:val="auto"/>
          <w:spacing w:val="-1"/>
          <w:sz w:val="24"/>
          <w:szCs w:val="24"/>
          <w:highlight w:val="none"/>
          <w:lang w:eastAsia="zh-CN"/>
        </w:rPr>
        <w:t>购需求规定的服务，提交下述文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7D03AE2B">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786F1B98">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76" w:firstLineChars="200"/>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关系的不同供应商，参</w:t>
      </w:r>
      <w:r>
        <w:rPr>
          <w:rFonts w:hint="eastAsia" w:ascii="宋体" w:hAnsi="宋体" w:eastAsia="宋体" w:cs="宋体"/>
          <w:color w:val="auto"/>
          <w:spacing w:val="-2"/>
          <w:position w:val="17"/>
          <w:sz w:val="24"/>
          <w:szCs w:val="24"/>
          <w:highlight w:val="none"/>
          <w:lang w:val="en-US" w:eastAsia="zh-CN"/>
        </w:rPr>
        <w:t>加本项目采购活动的情形；</w:t>
      </w:r>
    </w:p>
    <w:p w14:paraId="75066A33">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76" w:firstLineChars="20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position w:val="17"/>
          <w:sz w:val="24"/>
          <w:szCs w:val="24"/>
          <w:highlight w:val="none"/>
          <w:lang w:val="en-US"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w:t>
      </w:r>
      <w:r>
        <w:rPr>
          <w:rFonts w:hint="eastAsia" w:ascii="宋体" w:hAnsi="宋体" w:eastAsia="宋体" w:cs="宋体"/>
          <w:color w:val="auto"/>
          <w:spacing w:val="-2"/>
          <w:position w:val="17"/>
          <w:sz w:val="24"/>
          <w:szCs w:val="24"/>
          <w:highlight w:val="none"/>
          <w:lang w:val="en-US" w:eastAsia="zh-CN"/>
        </w:rPr>
        <w:t>情形。</w:t>
      </w:r>
    </w:p>
    <w:p w14:paraId="53F3DD7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E2748E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78AC518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469564B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highlight w:val="none"/>
          <w:lang w:eastAsia="zh-CN"/>
        </w:rPr>
      </w:pPr>
    </w:p>
    <w:p w14:paraId="18601DA8">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27217D62">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0681E98B">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val="en-US"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1FE30C1">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z w:val="24"/>
          <w:szCs w:val="24"/>
          <w:highlight w:val="none"/>
          <w:lang w:eastAsia="zh-CN"/>
        </w:rPr>
        <w:sectPr>
          <w:footerReference r:id="rId13" w:type="default"/>
          <w:pgSz w:w="11906" w:h="16839"/>
          <w:pgMar w:top="1431" w:right="1582" w:bottom="1429" w:left="1582" w:header="0" w:footer="994" w:gutter="0"/>
          <w:pgNumType w:fmt="decimal"/>
          <w:cols w:space="720" w:num="1"/>
        </w:sectPr>
      </w:pPr>
    </w:p>
    <w:p w14:paraId="1AF346EC">
      <w:pPr>
        <w:pageBreakBefore w:val="0"/>
        <w:widowControl w:val="0"/>
        <w:wordWrap/>
        <w:overflowPunct/>
        <w:topLinePunct w:val="0"/>
        <w:bidi w:val="0"/>
        <w:spacing w:before="101" w:after="0" w:afterLines="100" w:afterAutospacing="0" w:line="219" w:lineRule="auto"/>
        <w:ind w:left="0" w:leftChars="0" w:firstLine="0" w:firstLineChars="0"/>
        <w:jc w:val="center"/>
        <w:outlineLvl w:val="1"/>
        <w:rPr>
          <w:rFonts w:ascii="宋体" w:hAnsi="宋体" w:eastAsia="宋体" w:cs="宋体"/>
          <w:color w:val="auto"/>
          <w:sz w:val="24"/>
          <w:szCs w:val="24"/>
          <w:highlight w:val="none"/>
          <w:lang w:eastAsia="zh-CN"/>
        </w:rPr>
      </w:pPr>
      <w:bookmarkStart w:id="338" w:name="bookmark68"/>
      <w:bookmarkEnd w:id="338"/>
      <w:bookmarkStart w:id="339" w:name="bookmark73"/>
      <w:bookmarkEnd w:id="339"/>
      <w:bookmarkStart w:id="340" w:name="_Toc12280"/>
      <w:bookmarkStart w:id="341" w:name="_Toc4396"/>
      <w:bookmarkStart w:id="342" w:name="_Toc543"/>
      <w:bookmarkStart w:id="343" w:name="_Toc26674"/>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 xml:space="preserve">4 </w:t>
      </w:r>
      <w:r>
        <w:rPr>
          <w:rFonts w:hint="eastAsia"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磋商保证金</w:t>
      </w:r>
      <w:r>
        <w:rPr>
          <w:rFonts w:ascii="宋体" w:hAnsi="宋体" w:eastAsia="宋体" w:cs="宋体"/>
          <w:color w:val="auto"/>
          <w:spacing w:val="-3"/>
          <w:sz w:val="24"/>
          <w:szCs w:val="24"/>
          <w:highlight w:val="none"/>
          <w:lang w:eastAsia="zh-CN"/>
          <w14:textOutline w14:w="4356" w14:cap="sq" w14:cmpd="sng" w14:algn="ctr">
            <w14:solidFill>
              <w14:srgbClr w14:val="000000"/>
            </w14:solidFill>
            <w14:prstDash w14:val="solid"/>
            <w14:bevel/>
          </w14:textOutline>
        </w:rPr>
        <w:t>凭证</w:t>
      </w:r>
      <w:bookmarkEnd w:id="340"/>
      <w:bookmarkEnd w:id="341"/>
      <w:bookmarkEnd w:id="342"/>
      <w:bookmarkEnd w:id="343"/>
    </w:p>
    <w:p w14:paraId="6504F00D">
      <w:pPr>
        <w:keepNext w:val="0"/>
        <w:keepLines w:val="0"/>
        <w:pageBreakBefore w:val="0"/>
        <w:widowControl w:val="0"/>
        <w:kinsoku/>
        <w:wordWrap/>
        <w:overflowPunct/>
        <w:topLinePunct w:val="0"/>
        <w:autoSpaceDE/>
        <w:autoSpaceDN/>
        <w:bidi w:val="0"/>
        <w:adjustRightInd/>
        <w:snapToGrid/>
        <w:spacing w:beforeAutospacing="0" w:line="360" w:lineRule="auto"/>
        <w:jc w:val="both"/>
        <w:textAlignment w:val="auto"/>
        <w:rPr>
          <w:rFonts w:hint="eastAsia" w:ascii="宋体" w:hAnsi="宋体" w:eastAsia="宋体" w:cs="仿宋"/>
          <w:color w:val="auto"/>
          <w:sz w:val="24"/>
          <w:szCs w:val="24"/>
          <w:highlight w:val="none"/>
        </w:rPr>
      </w:pPr>
      <w:bookmarkStart w:id="344" w:name="bookmark69"/>
      <w:bookmarkEnd w:id="344"/>
      <w:bookmarkStart w:id="345" w:name="bookmark74"/>
      <w:bookmarkEnd w:id="345"/>
    </w:p>
    <w:p w14:paraId="58EBCA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4"/>
          <w:szCs w:val="24"/>
          <w:highlight w:val="none"/>
          <w:lang w:val="en-US" w:eastAsia="zh-CN"/>
        </w:rPr>
      </w:pPr>
      <w:r>
        <w:rPr>
          <w:rFonts w:hint="eastAsia" w:ascii="宋体" w:hAnsi="宋体" w:eastAsia="宋体" w:cs="仿宋"/>
          <w:color w:val="auto"/>
          <w:sz w:val="24"/>
          <w:szCs w:val="24"/>
          <w:highlight w:val="none"/>
        </w:rPr>
        <w:t>附：</w:t>
      </w:r>
      <w:r>
        <w:rPr>
          <w:rFonts w:hint="eastAsia" w:ascii="宋体" w:hAnsi="宋体" w:eastAsia="宋体" w:cs="仿宋"/>
          <w:color w:val="auto"/>
          <w:sz w:val="24"/>
          <w:szCs w:val="24"/>
          <w:highlight w:val="none"/>
          <w:lang w:eastAsia="zh-CN"/>
        </w:rPr>
        <w:t>供应商</w:t>
      </w:r>
      <w:r>
        <w:rPr>
          <w:rFonts w:hint="eastAsia" w:ascii="宋体" w:hAnsi="宋体" w:eastAsia="宋体" w:cs="仿宋"/>
          <w:color w:val="auto"/>
          <w:sz w:val="24"/>
          <w:szCs w:val="24"/>
          <w:highlight w:val="none"/>
        </w:rPr>
        <w:t>盖章的保证金凭证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val="en-US" w:eastAsia="zh-CN"/>
        </w:rPr>
        <w:t xml:space="preserve"> </w:t>
      </w:r>
    </w:p>
    <w:p w14:paraId="70AE99D8">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本项目保证金应当采用支票、汇票、本票、网上银行支付或者金融机构、担保机构出具的保函、保险公司出具的保证保险等非现金形式交纳。</w:t>
      </w:r>
    </w:p>
    <w:p w14:paraId="3DFEE7A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1</w:t>
      </w:r>
      <w:r>
        <w:rPr>
          <w:rFonts w:hint="eastAsia" w:ascii="宋体" w:hAnsi="宋体" w:eastAsia="宋体" w:cs="仿宋"/>
          <w:color w:val="auto"/>
          <w:sz w:val="24"/>
          <w:szCs w:val="24"/>
          <w:highlight w:val="none"/>
          <w:lang w:eastAsia="zh-CN"/>
        </w:rPr>
        <w:t>、</w:t>
      </w:r>
      <w:r>
        <w:rPr>
          <w:rFonts w:hint="eastAsia" w:ascii="宋体" w:hAnsi="宋体" w:eastAsia="宋体" w:cs="仿宋"/>
          <w:color w:val="auto"/>
          <w:sz w:val="24"/>
          <w:szCs w:val="24"/>
          <w:highlight w:val="none"/>
        </w:rPr>
        <w:t>采用银行电汇、转账、网上银行形式：</w:t>
      </w:r>
    </w:p>
    <w:p w14:paraId="2AE233A6">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保证金交至</w:t>
      </w:r>
      <w:r>
        <w:rPr>
          <w:rFonts w:hint="eastAsia" w:ascii="宋体" w:hAnsi="宋体" w:eastAsia="宋体" w:cs="仿宋"/>
          <w:color w:val="auto"/>
          <w:sz w:val="24"/>
          <w:szCs w:val="24"/>
          <w:highlight w:val="none"/>
          <w:lang w:val="en-US" w:eastAsia="zh-CN"/>
        </w:rPr>
        <w:t>磋商文件规定的</w:t>
      </w:r>
      <w:r>
        <w:rPr>
          <w:rFonts w:hint="eastAsia" w:ascii="宋体" w:hAnsi="宋体" w:eastAsia="宋体" w:cs="仿宋"/>
          <w:color w:val="auto"/>
          <w:sz w:val="24"/>
          <w:szCs w:val="24"/>
          <w:highlight w:val="none"/>
        </w:rPr>
        <w:t>账户，并在</w:t>
      </w:r>
      <w:r>
        <w:rPr>
          <w:rFonts w:hint="eastAsia" w:ascii="宋体" w:hAnsi="宋体" w:eastAsia="宋体" w:cs="仿宋"/>
          <w:color w:val="auto"/>
          <w:sz w:val="24"/>
          <w:szCs w:val="24"/>
          <w:highlight w:val="none"/>
          <w:lang w:eastAsia="zh-CN"/>
        </w:rPr>
        <w:t>响应文件</w:t>
      </w:r>
      <w:r>
        <w:rPr>
          <w:rFonts w:hint="eastAsia" w:ascii="宋体" w:hAnsi="宋体" w:eastAsia="宋体" w:cs="仿宋"/>
          <w:color w:val="auto"/>
          <w:sz w:val="24"/>
          <w:szCs w:val="24"/>
          <w:highlight w:val="none"/>
        </w:rPr>
        <w:t>中提供交纳保证金凭证</w:t>
      </w:r>
      <w:r>
        <w:rPr>
          <w:rFonts w:hint="eastAsia" w:ascii="宋体" w:hAnsi="宋体" w:eastAsia="宋体" w:cs="仿宋"/>
          <w:color w:val="auto"/>
          <w:sz w:val="24"/>
          <w:szCs w:val="24"/>
          <w:highlight w:val="none"/>
          <w:lang w:val="en-US" w:eastAsia="zh-CN"/>
        </w:rPr>
        <w:t>扫描件</w:t>
      </w:r>
      <w:r>
        <w:rPr>
          <w:rFonts w:hint="eastAsia" w:ascii="宋体" w:hAnsi="宋体" w:eastAsia="宋体" w:cs="仿宋"/>
          <w:color w:val="auto"/>
          <w:sz w:val="24"/>
          <w:szCs w:val="24"/>
          <w:highlight w:val="none"/>
        </w:rPr>
        <w:t>或截图</w:t>
      </w:r>
      <w:r>
        <w:rPr>
          <w:rFonts w:hint="eastAsia" w:ascii="宋体" w:hAnsi="宋体" w:eastAsia="宋体" w:cs="仿宋"/>
          <w:color w:val="auto"/>
          <w:sz w:val="24"/>
          <w:szCs w:val="24"/>
          <w:highlight w:val="none"/>
          <w:lang w:eastAsia="zh-CN"/>
        </w:rPr>
        <w:t>：</w:t>
      </w:r>
    </w:p>
    <w:p w14:paraId="38C1E86B">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2、采用保函形式：</w:t>
      </w:r>
    </w:p>
    <w:p w14:paraId="6873B964">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2.1采用银行保函的，须为供应商基本账户（</w:t>
      </w:r>
      <w:r>
        <w:rPr>
          <w:rFonts w:hint="eastAsia" w:ascii="宋体" w:hAnsi="宋体" w:eastAsia="宋体" w:cs="仿宋"/>
          <w:color w:val="auto"/>
          <w:sz w:val="24"/>
          <w:szCs w:val="24"/>
          <w:highlight w:val="none"/>
          <w:lang w:val="en-US" w:eastAsia="zh-CN"/>
        </w:rPr>
        <w:t>响应文件</w:t>
      </w:r>
      <w:r>
        <w:rPr>
          <w:rFonts w:hint="eastAsia" w:ascii="宋体" w:hAnsi="宋体" w:eastAsia="宋体" w:cs="仿宋"/>
          <w:color w:val="auto"/>
          <w:sz w:val="24"/>
          <w:szCs w:val="24"/>
          <w:highlight w:val="none"/>
        </w:rPr>
        <w:t>中提供开户许可复印件）或江西省辖区内商业银行营业网点出具的不可撤销、见索即付的独立保函；采用专业担保机构出具保函的，须为担保机构出具的不可撤销、见索即付的独立保函；</w:t>
      </w:r>
    </w:p>
    <w:p w14:paraId="40B75B86">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z w:val="24"/>
          <w:szCs w:val="24"/>
          <w:highlight w:val="none"/>
          <w:lang w:val="en-US" w:eastAsia="zh-CN"/>
        </w:rPr>
        <w:t>官方</w:t>
      </w:r>
      <w:r>
        <w:rPr>
          <w:rFonts w:hint="eastAsia" w:ascii="宋体" w:hAnsi="宋体" w:eastAsia="宋体" w:cs="仿宋"/>
          <w:color w:val="auto"/>
          <w:sz w:val="24"/>
          <w:szCs w:val="24"/>
          <w:highlight w:val="none"/>
        </w:rPr>
        <w:t>网站验证查询，如以上渠道未能验证查询到的，</w:t>
      </w:r>
      <w:r>
        <w:rPr>
          <w:rFonts w:hint="eastAsia" w:ascii="宋体" w:hAnsi="宋体" w:eastAsia="宋体" w:cs="仿宋"/>
          <w:b/>
          <w:bCs/>
          <w:color w:val="auto"/>
          <w:sz w:val="24"/>
          <w:szCs w:val="24"/>
          <w:highlight w:val="none"/>
        </w:rPr>
        <w:t>视为无效保函</w:t>
      </w:r>
      <w:r>
        <w:rPr>
          <w:rFonts w:hint="eastAsia" w:ascii="宋体" w:hAnsi="宋体" w:eastAsia="宋体" w:cs="仿宋"/>
          <w:color w:val="auto"/>
          <w:sz w:val="24"/>
          <w:szCs w:val="24"/>
          <w:highlight w:val="none"/>
          <w:lang w:eastAsia="zh-CN"/>
        </w:rPr>
        <w:t>；</w:t>
      </w:r>
    </w:p>
    <w:p w14:paraId="215DBE1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3</w:t>
      </w:r>
      <w:r>
        <w:rPr>
          <w:rFonts w:hint="eastAsia" w:ascii="宋体" w:hAnsi="宋体" w:eastAsia="宋体" w:cs="仿宋"/>
          <w:color w:val="auto"/>
          <w:sz w:val="24"/>
          <w:szCs w:val="24"/>
          <w:highlight w:val="none"/>
        </w:rPr>
        <w:t>保函有效期须不少于</w:t>
      </w:r>
      <w:r>
        <w:rPr>
          <w:rFonts w:hint="eastAsia" w:ascii="宋体" w:hAnsi="宋体" w:eastAsia="宋体" w:cs="仿宋"/>
          <w:color w:val="auto"/>
          <w:sz w:val="24"/>
          <w:szCs w:val="24"/>
          <w:highlight w:val="none"/>
          <w:lang w:eastAsia="zh-CN"/>
        </w:rPr>
        <w:t>磋商有效期</w:t>
      </w:r>
      <w:r>
        <w:rPr>
          <w:rFonts w:hint="eastAsia" w:ascii="宋体" w:hAnsi="宋体" w:eastAsia="宋体" w:cs="仿宋"/>
          <w:color w:val="auto"/>
          <w:sz w:val="24"/>
          <w:szCs w:val="24"/>
          <w:highlight w:val="none"/>
        </w:rPr>
        <w:t>，否则视为不满足要求</w:t>
      </w:r>
      <w:r>
        <w:rPr>
          <w:rFonts w:hint="eastAsia" w:ascii="宋体" w:hAnsi="宋体" w:eastAsia="宋体" w:cs="仿宋"/>
          <w:color w:val="auto"/>
          <w:sz w:val="24"/>
          <w:szCs w:val="24"/>
          <w:highlight w:val="none"/>
          <w:lang w:eastAsia="zh-CN"/>
        </w:rPr>
        <w:t>；</w:t>
      </w:r>
    </w:p>
    <w:p w14:paraId="0812A13D">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2.</w:t>
      </w:r>
      <w:r>
        <w:rPr>
          <w:rFonts w:hint="eastAsia" w:ascii="宋体" w:hAnsi="宋体" w:eastAsia="宋体" w:cs="仿宋"/>
          <w:color w:val="auto"/>
          <w:sz w:val="24"/>
          <w:szCs w:val="24"/>
          <w:highlight w:val="none"/>
          <w:lang w:val="en-US" w:eastAsia="zh-CN"/>
        </w:rPr>
        <w:t>4保函保证担保范围须包含采购文件约定的不予退还磋商保证金的情形，</w:t>
      </w:r>
      <w:r>
        <w:rPr>
          <w:rFonts w:hint="eastAsia" w:ascii="宋体" w:hAnsi="宋体" w:eastAsia="宋体" w:cs="仿宋"/>
          <w:color w:val="auto"/>
          <w:sz w:val="24"/>
          <w:szCs w:val="24"/>
          <w:highlight w:val="none"/>
        </w:rPr>
        <w:t>否则视为不满足要求。</w:t>
      </w:r>
    </w:p>
    <w:p w14:paraId="381E4A6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3、采用其他形式缴纳保证金的，需提供符合国家规定的相应凭证。</w:t>
      </w:r>
    </w:p>
    <w:p w14:paraId="43BD2F73">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未提供保证金凭证、或提供的保证金凭证及资料不满足上述要求的，视为未缴纳保证金。</w:t>
      </w:r>
    </w:p>
    <w:p w14:paraId="2F047D53">
      <w:pPr>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br w:type="page"/>
      </w:r>
    </w:p>
    <w:p w14:paraId="1AA3BB3B">
      <w:pPr>
        <w:pageBreakBefore w:val="0"/>
        <w:widowControl w:val="0"/>
        <w:wordWrap/>
        <w:overflowPunct/>
        <w:topLinePunct w:val="0"/>
        <w:bidi w:val="0"/>
        <w:spacing w:before="101" w:line="219" w:lineRule="auto"/>
        <w:jc w:val="center"/>
        <w:outlineLvl w:val="1"/>
        <w:rPr>
          <w:rFonts w:ascii="宋体" w:hAnsi="宋体" w:eastAsia="宋体" w:cs="宋体"/>
          <w:color w:val="auto"/>
          <w:sz w:val="24"/>
          <w:szCs w:val="24"/>
          <w:highlight w:val="none"/>
          <w:lang w:eastAsia="zh-CN"/>
        </w:rPr>
      </w:pPr>
      <w:bookmarkStart w:id="346" w:name="_Toc4239"/>
      <w:bookmarkStart w:id="347" w:name="_Toc372"/>
      <w:bookmarkStart w:id="348" w:name="_Toc8707"/>
      <w:bookmarkStart w:id="349" w:name="_Toc1726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制造商出具的授权函（适用于</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服务项目含有</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进口产品参加</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磋商</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346"/>
      <w:bookmarkEnd w:id="347"/>
      <w:bookmarkEnd w:id="348"/>
      <w:bookmarkEnd w:id="349"/>
    </w:p>
    <w:p w14:paraId="4EF4B630">
      <w:pPr>
        <w:pageBreakBefore w:val="0"/>
        <w:widowControl w:val="0"/>
        <w:wordWrap/>
        <w:overflowPunct/>
        <w:topLinePunct w:val="0"/>
        <w:bidi w:val="0"/>
        <w:spacing w:line="362" w:lineRule="auto"/>
        <w:rPr>
          <w:color w:val="auto"/>
          <w:highlight w:val="none"/>
          <w:lang w:eastAsia="zh-CN"/>
        </w:rPr>
      </w:pPr>
    </w:p>
    <w:p w14:paraId="7C480926">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本格式仅作为“制造商出具的授权函”格式，如</w:t>
      </w:r>
      <w:r>
        <w:rPr>
          <w:rFonts w:hint="eastAsia" w:ascii="宋体" w:hAnsi="宋体" w:eastAsia="宋体" w:cs="宋体"/>
          <w:color w:val="auto"/>
          <w:sz w:val="24"/>
          <w:szCs w:val="24"/>
          <w:highlight w:val="none"/>
          <w:lang w:eastAsia="zh-CN"/>
        </w:rPr>
        <w:t>是“制造商的授权代理商出具的授权函”请参照本格式另行制定，磋商文件另有规定的从其规定）</w:t>
      </w:r>
    </w:p>
    <w:p w14:paraId="3404F3AF">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highlight w:val="none"/>
          <w:lang w:eastAsia="zh-CN"/>
        </w:rPr>
      </w:pPr>
    </w:p>
    <w:p w14:paraId="17A69559">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color w:val="auto"/>
          <w:highlight w:val="none"/>
          <w:lang w:eastAsia="zh-CN"/>
        </w:rPr>
      </w:pPr>
      <w:r>
        <w:rPr>
          <w:rFonts w:ascii="宋体" w:hAnsi="宋体" w:eastAsia="宋体" w:cs="宋体"/>
          <w:color w:val="auto"/>
          <w:spacing w:val="-2"/>
          <w:sz w:val="24"/>
          <w:szCs w:val="24"/>
          <w:highlight w:val="none"/>
          <w:lang w:eastAsia="zh-CN"/>
        </w:rPr>
        <w:t>致：采购代理机构</w:t>
      </w:r>
    </w:p>
    <w:p w14:paraId="5B1C6961">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76"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我们</w:t>
      </w:r>
      <w:r>
        <w:rPr>
          <w:rFonts w:ascii="宋体" w:hAnsi="宋体" w:eastAsia="宋体" w:cs="宋体"/>
          <w:color w:val="auto"/>
          <w:spacing w:val="-1"/>
          <w:sz w:val="24"/>
          <w:szCs w:val="24"/>
          <w:highlight w:val="none"/>
          <w:u w:val="single"/>
          <w:lang w:eastAsia="zh-CN"/>
        </w:rPr>
        <w:t>(制造商名称)</w:t>
      </w:r>
      <w:r>
        <w:rPr>
          <w:rFonts w:ascii="宋体" w:hAnsi="宋体" w:eastAsia="宋体" w:cs="宋体"/>
          <w:color w:val="auto"/>
          <w:spacing w:val="-1"/>
          <w:sz w:val="24"/>
          <w:szCs w:val="24"/>
          <w:highlight w:val="none"/>
          <w:lang w:eastAsia="zh-CN"/>
        </w:rPr>
        <w:t>，主要营业地点设在(</w:t>
      </w:r>
      <w:r>
        <w:rPr>
          <w:rFonts w:ascii="宋体" w:hAnsi="宋体" w:eastAsia="宋体" w:cs="宋体"/>
          <w:color w:val="auto"/>
          <w:spacing w:val="-1"/>
          <w:sz w:val="24"/>
          <w:szCs w:val="24"/>
          <w:highlight w:val="none"/>
          <w:u w:val="single"/>
          <w:lang w:eastAsia="zh-CN"/>
        </w:rPr>
        <w:t>制造商地址)</w:t>
      </w:r>
      <w:r>
        <w:rPr>
          <w:rFonts w:ascii="宋体" w:hAnsi="宋体" w:eastAsia="宋体" w:cs="宋体"/>
          <w:color w:val="auto"/>
          <w:spacing w:val="-2"/>
          <w:sz w:val="24"/>
          <w:szCs w:val="24"/>
          <w:highlight w:val="none"/>
          <w:lang w:eastAsia="zh-CN"/>
        </w:rPr>
        <w:t>。我们获悉按中华人民共和</w:t>
      </w:r>
      <w:r>
        <w:rPr>
          <w:rFonts w:ascii="宋体" w:hAnsi="宋体" w:eastAsia="宋体" w:cs="宋体"/>
          <w:color w:val="auto"/>
          <w:sz w:val="24"/>
          <w:szCs w:val="24"/>
          <w:highlight w:val="none"/>
          <w:lang w:eastAsia="zh-CN"/>
        </w:rPr>
        <w:t>国法律成立的,主要营业地点设在</w:t>
      </w:r>
      <w:r>
        <w:rPr>
          <w:rFonts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地址)</w:t>
      </w:r>
      <w:r>
        <w:rPr>
          <w:rFonts w:ascii="宋体" w:hAnsi="宋体" w:eastAsia="宋体" w:cs="宋体"/>
          <w:color w:val="auto"/>
          <w:sz w:val="24"/>
          <w:szCs w:val="24"/>
          <w:highlight w:val="none"/>
          <w:lang w:eastAsia="zh-CN"/>
        </w:rPr>
        <w:t>的</w:t>
      </w:r>
      <w:r>
        <w:rPr>
          <w:rFonts w:ascii="宋体" w:hAnsi="宋体" w:eastAsia="宋体" w:cs="宋体"/>
          <w:color w:val="auto"/>
          <w:spacing w:val="-66"/>
          <w:sz w:val="24"/>
          <w:szCs w:val="24"/>
          <w:highlight w:val="none"/>
          <w:u w:val="single"/>
          <w:lang w:eastAsia="zh-CN"/>
        </w:rPr>
        <w:t xml:space="preserve"> </w:t>
      </w:r>
      <w:r>
        <w:rPr>
          <w:rFonts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名称)</w:t>
      </w:r>
      <w:r>
        <w:rPr>
          <w:rFonts w:ascii="宋体" w:hAnsi="宋体" w:eastAsia="宋体" w:cs="宋体"/>
          <w:color w:val="auto"/>
          <w:sz w:val="24"/>
          <w:szCs w:val="24"/>
          <w:highlight w:val="none"/>
          <w:lang w:eastAsia="zh-CN"/>
        </w:rPr>
        <w:t>将以我</w:t>
      </w:r>
      <w:r>
        <w:rPr>
          <w:rFonts w:ascii="宋体" w:hAnsi="宋体" w:eastAsia="宋体" w:cs="宋体"/>
          <w:color w:val="auto"/>
          <w:spacing w:val="-1"/>
          <w:sz w:val="24"/>
          <w:szCs w:val="24"/>
          <w:highlight w:val="none"/>
          <w:lang w:eastAsia="zh-CN"/>
        </w:rPr>
        <w:t>方的产品</w:t>
      </w:r>
    </w:p>
    <w:p w14:paraId="44D82F24">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对贵公司的</w:t>
      </w:r>
      <w:r>
        <w:rPr>
          <w:rFonts w:hint="eastAsia" w:ascii="宋体" w:hAnsi="宋体" w:eastAsia="宋体" w:cs="宋体"/>
          <w:color w:val="auto"/>
          <w:spacing w:val="-1"/>
          <w:sz w:val="24"/>
          <w:szCs w:val="24"/>
          <w:highlight w:val="none"/>
          <w:lang w:val="en-US" w:eastAsia="zh-CN"/>
        </w:rPr>
        <w:t>磋商</w:t>
      </w:r>
      <w:r>
        <w:rPr>
          <w:rFonts w:ascii="宋体" w:hAnsi="宋体" w:eastAsia="宋体" w:cs="宋体"/>
          <w:color w:val="auto"/>
          <w:spacing w:val="-1"/>
          <w:sz w:val="24"/>
          <w:szCs w:val="24"/>
          <w:highlight w:val="none"/>
          <w:lang w:eastAsia="zh-CN"/>
        </w:rPr>
        <w:t>项目进行</w:t>
      </w:r>
      <w:r>
        <w:rPr>
          <w:rFonts w:hint="eastAsia" w:ascii="宋体" w:hAnsi="宋体" w:eastAsia="宋体" w:cs="宋体"/>
          <w:color w:val="auto"/>
          <w:spacing w:val="-1"/>
          <w:sz w:val="24"/>
          <w:szCs w:val="24"/>
          <w:highlight w:val="none"/>
          <w:lang w:val="en-US" w:eastAsia="zh-CN"/>
        </w:rPr>
        <w:t>响应</w:t>
      </w:r>
      <w:r>
        <w:rPr>
          <w:rFonts w:ascii="宋体" w:hAnsi="宋体" w:eastAsia="宋体" w:cs="宋体"/>
          <w:color w:val="auto"/>
          <w:spacing w:val="-1"/>
          <w:sz w:val="24"/>
          <w:szCs w:val="24"/>
          <w:highlight w:val="none"/>
          <w:lang w:eastAsia="zh-CN"/>
        </w:rPr>
        <w:t>，我们特作如下说明：</w:t>
      </w:r>
    </w:p>
    <w:p w14:paraId="5339CDB6">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（1）同意</w:t>
      </w:r>
      <w:r>
        <w:rPr>
          <w:rFonts w:ascii="宋体" w:hAnsi="宋体" w:eastAsia="宋体" w:cs="宋体"/>
          <w:color w:val="auto"/>
          <w:spacing w:val="-3"/>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pacing w:val="-3"/>
          <w:sz w:val="24"/>
          <w:szCs w:val="24"/>
          <w:highlight w:val="none"/>
          <w:u w:val="single"/>
          <w:lang w:eastAsia="zh-CN"/>
        </w:rPr>
        <w:t>名称)</w:t>
      </w:r>
      <w:r>
        <w:rPr>
          <w:rFonts w:ascii="宋体" w:hAnsi="宋体" w:eastAsia="宋体" w:cs="宋体"/>
          <w:color w:val="auto"/>
          <w:spacing w:val="-3"/>
          <w:sz w:val="24"/>
          <w:szCs w:val="24"/>
          <w:highlight w:val="none"/>
          <w:lang w:eastAsia="zh-CN"/>
        </w:rPr>
        <w:t>在中华人民共和国境内以</w:t>
      </w:r>
      <w:r>
        <w:rPr>
          <w:rFonts w:ascii="宋体" w:hAnsi="宋体" w:eastAsia="宋体" w:cs="宋体"/>
          <w:color w:val="auto"/>
          <w:spacing w:val="-3"/>
          <w:sz w:val="24"/>
          <w:szCs w:val="24"/>
          <w:highlight w:val="none"/>
          <w:u w:val="single"/>
          <w:lang w:eastAsia="zh-CN"/>
        </w:rPr>
        <w:t>(制造商名称)</w:t>
      </w:r>
      <w:r>
        <w:rPr>
          <w:rFonts w:ascii="宋体" w:hAnsi="宋体" w:eastAsia="宋体" w:cs="宋体"/>
          <w:color w:val="auto"/>
          <w:spacing w:val="-3"/>
          <w:sz w:val="24"/>
          <w:szCs w:val="24"/>
          <w:highlight w:val="none"/>
          <w:lang w:eastAsia="zh-CN"/>
        </w:rPr>
        <w:t>的（</w:t>
      </w:r>
      <w:r>
        <w:rPr>
          <w:rFonts w:ascii="宋体" w:hAnsi="宋体" w:eastAsia="宋体" w:cs="宋体"/>
          <w:color w:val="auto"/>
          <w:spacing w:val="-3"/>
          <w:sz w:val="24"/>
          <w:szCs w:val="24"/>
          <w:highlight w:val="none"/>
          <w:u w:val="single"/>
          <w:lang w:eastAsia="zh-CN"/>
        </w:rPr>
        <w:t>产品名称、</w:t>
      </w:r>
      <w:r>
        <w:rPr>
          <w:rFonts w:ascii="宋体" w:hAnsi="宋体" w:eastAsia="宋体" w:cs="宋体"/>
          <w:color w:val="auto"/>
          <w:spacing w:val="16"/>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型号）</w:t>
      </w:r>
      <w:r>
        <w:rPr>
          <w:rFonts w:ascii="宋体" w:hAnsi="宋体" w:eastAsia="宋体" w:cs="宋体"/>
          <w:color w:val="auto"/>
          <w:spacing w:val="-1"/>
          <w:sz w:val="24"/>
          <w:szCs w:val="24"/>
          <w:highlight w:val="none"/>
          <w:lang w:eastAsia="zh-CN"/>
        </w:rPr>
        <w:t>参加贵公司有关</w:t>
      </w:r>
      <w:r>
        <w:rPr>
          <w:rFonts w:ascii="宋体" w:hAnsi="宋体" w:eastAsia="宋体" w:cs="宋体"/>
          <w:color w:val="auto"/>
          <w:spacing w:val="-1"/>
          <w:sz w:val="24"/>
          <w:szCs w:val="24"/>
          <w:highlight w:val="none"/>
          <w:u w:val="single"/>
          <w:lang w:eastAsia="zh-CN"/>
        </w:rPr>
        <w:t>（项目名称、项目编号</w:t>
      </w:r>
      <w:r>
        <w:rPr>
          <w:rFonts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lang w:eastAsia="zh-CN"/>
        </w:rPr>
        <w:t>，并在</w:t>
      </w:r>
      <w:r>
        <w:rPr>
          <w:rFonts w:hint="eastAsia" w:ascii="宋体" w:hAnsi="宋体" w:eastAsia="宋体" w:cs="宋体"/>
          <w:color w:val="auto"/>
          <w:spacing w:val="-2"/>
          <w:sz w:val="24"/>
          <w:szCs w:val="24"/>
          <w:highlight w:val="none"/>
          <w:lang w:val="en-US" w:eastAsia="zh-CN"/>
        </w:rPr>
        <w:t>成交</w:t>
      </w:r>
      <w:r>
        <w:rPr>
          <w:rFonts w:ascii="宋体" w:hAnsi="宋体" w:eastAsia="宋体" w:cs="宋体"/>
          <w:color w:val="auto"/>
          <w:spacing w:val="-2"/>
          <w:sz w:val="24"/>
          <w:szCs w:val="24"/>
          <w:highlight w:val="none"/>
          <w:lang w:eastAsia="zh-CN"/>
        </w:rPr>
        <w:t>后向我方购买相关产</w:t>
      </w:r>
      <w:r>
        <w:rPr>
          <w:rFonts w:ascii="宋体" w:hAnsi="宋体" w:eastAsia="宋体" w:cs="宋体"/>
          <w:color w:val="auto"/>
          <w:spacing w:val="-15"/>
          <w:sz w:val="24"/>
          <w:szCs w:val="24"/>
          <w:highlight w:val="none"/>
          <w:lang w:eastAsia="zh-CN"/>
        </w:rPr>
        <w:t>品。</w:t>
      </w:r>
    </w:p>
    <w:p w14:paraId="1BF00F90">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ascii="宋体" w:hAnsi="宋体" w:eastAsia="宋体" w:cs="宋体"/>
          <w:color w:val="auto"/>
          <w:spacing w:val="-11"/>
          <w:sz w:val="24"/>
          <w:szCs w:val="24"/>
          <w:highlight w:val="none"/>
          <w:lang w:eastAsia="zh-CN"/>
        </w:rPr>
        <w:t>）</w:t>
      </w:r>
      <w:r>
        <w:rPr>
          <w:rFonts w:ascii="宋体" w:hAnsi="宋体" w:eastAsia="宋体" w:cs="宋体"/>
          <w:color w:val="auto"/>
          <w:spacing w:val="-11"/>
          <w:sz w:val="24"/>
          <w:szCs w:val="24"/>
          <w:highlight w:val="none"/>
          <w:u w:val="single"/>
          <w:lang w:eastAsia="zh-CN"/>
        </w:rPr>
        <w:t>（</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z w:val="24"/>
          <w:szCs w:val="24"/>
          <w:highlight w:val="none"/>
          <w:u w:val="single"/>
          <w:lang w:eastAsia="zh-CN"/>
        </w:rPr>
        <w:t>名称）</w:t>
      </w:r>
      <w:r>
        <w:rPr>
          <w:rFonts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lang w:eastAsia="zh-CN"/>
        </w:rPr>
        <w:t>后，将按照与采购人签订的合同承担责任。</w:t>
      </w:r>
    </w:p>
    <w:p w14:paraId="63CA5CEB">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（3）我们将依法承担制造商的责任。</w:t>
      </w:r>
    </w:p>
    <w:p w14:paraId="06C68995">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highlight w:val="none"/>
          <w:lang w:eastAsia="zh-CN"/>
        </w:rPr>
      </w:pPr>
    </w:p>
    <w:p w14:paraId="7C7A2A85">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6" w:leftChars="22" w:firstLine="472" w:firstLineChars="200"/>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我方于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日签署本文件，</w:t>
      </w:r>
      <w:r>
        <w:rPr>
          <w:rFonts w:ascii="宋体" w:hAnsi="宋体" w:eastAsia="宋体" w:cs="宋体"/>
          <w:color w:val="auto"/>
          <w:spacing w:val="-63"/>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供应商</w:t>
      </w:r>
      <w:r>
        <w:rPr>
          <w:rFonts w:ascii="宋体" w:hAnsi="宋体" w:eastAsia="宋体" w:cs="宋体"/>
          <w:color w:val="auto"/>
          <w:spacing w:val="-2"/>
          <w:sz w:val="24"/>
          <w:szCs w:val="24"/>
          <w:highlight w:val="none"/>
          <w:u w:val="single"/>
          <w:lang w:eastAsia="zh-CN"/>
        </w:rPr>
        <w:t>名称</w:t>
      </w:r>
      <w:r>
        <w:rPr>
          <w:rFonts w:ascii="宋体" w:hAnsi="宋体" w:eastAsia="宋体" w:cs="宋体"/>
          <w:color w:val="auto"/>
          <w:spacing w:val="-2"/>
          <w:sz w:val="24"/>
          <w:szCs w:val="24"/>
          <w:highlight w:val="none"/>
          <w:lang w:eastAsia="zh-CN"/>
        </w:rPr>
        <w:t>于</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年</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月</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日接受此件，以此为证。</w:t>
      </w:r>
    </w:p>
    <w:p w14:paraId="072A9370">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color w:val="auto"/>
          <w:highlight w:val="none"/>
          <w:lang w:eastAsia="zh-CN"/>
        </w:rPr>
      </w:pPr>
    </w:p>
    <w:p w14:paraId="484F8C41">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12ECA5D3">
      <w:pPr>
        <w:pStyle w:val="6"/>
        <w:rPr>
          <w:color w:val="auto"/>
          <w:highlight w:val="none"/>
          <w:lang w:eastAsia="zh-CN"/>
        </w:rPr>
        <w:sectPr>
          <w:footerReference r:id="rId14" w:type="default"/>
          <w:pgSz w:w="11906" w:h="16839"/>
          <w:pgMar w:top="1431" w:right="1587" w:bottom="1429" w:left="1587" w:header="0" w:footer="994" w:gutter="0"/>
          <w:pgNumType w:fmt="decimal"/>
          <w:cols w:equalWidth="0" w:num="1">
            <w:col w:w="8953"/>
          </w:cols>
        </w:sectPr>
      </w:pPr>
    </w:p>
    <w:p w14:paraId="77F0E952">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ascii="宋体" w:hAnsi="宋体" w:eastAsia="宋体" w:cs="宋体"/>
          <w:color w:val="auto"/>
          <w:spacing w:val="0"/>
          <w:sz w:val="24"/>
          <w:szCs w:val="24"/>
          <w:highlight w:val="none"/>
          <w:u w:val="none"/>
          <w:lang w:eastAsia="zh-CN"/>
        </w:rPr>
      </w:pPr>
      <w:r>
        <w:rPr>
          <w:rFonts w:hint="eastAsia" w:ascii="宋体" w:hAnsi="宋体" w:eastAsia="宋体" w:cs="宋体"/>
          <w:color w:val="auto"/>
          <w:sz w:val="24"/>
          <w:szCs w:val="24"/>
          <w:highlight w:val="none"/>
          <w:u w:val="none"/>
          <w:lang w:eastAsia="zh-CN"/>
        </w:rPr>
        <w:t>供应商名称</w:t>
      </w:r>
      <w:r>
        <w:rPr>
          <w:rFonts w:ascii="宋体" w:hAnsi="宋体" w:eastAsia="宋体" w:cs="宋体"/>
          <w:color w:val="auto"/>
          <w:spacing w:val="0"/>
          <w:sz w:val="24"/>
          <w:szCs w:val="24"/>
          <w:highlight w:val="none"/>
          <w:u w:val="none"/>
          <w:lang w:eastAsia="zh-CN"/>
        </w:rPr>
        <w:t>：</w:t>
      </w:r>
    </w:p>
    <w:p w14:paraId="6E9798F5">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职务：</w:t>
      </w:r>
    </w:p>
    <w:p w14:paraId="0A58357E">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color w:val="auto"/>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姓名：</w:t>
      </w:r>
    </w:p>
    <w:p w14:paraId="05275A61">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签字人签名或签章：</w:t>
      </w:r>
    </w:p>
    <w:p w14:paraId="45D5887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ascii="宋体" w:hAnsi="宋体" w:eastAsia="宋体" w:cs="宋体"/>
          <w:color w:val="auto"/>
          <w:spacing w:val="-2"/>
          <w:sz w:val="24"/>
          <w:szCs w:val="24"/>
          <w:highlight w:val="none"/>
          <w:lang w:eastAsia="zh-CN"/>
        </w:rPr>
      </w:pPr>
      <w:r>
        <w:rPr>
          <w:color w:val="auto"/>
          <w:sz w:val="2"/>
          <w:szCs w:val="2"/>
          <w:highlight w:val="none"/>
          <w:lang w:eastAsia="zh-CN"/>
        </w:rPr>
        <w:br w:type="column"/>
      </w:r>
      <w:r>
        <w:rPr>
          <w:rFonts w:ascii="宋体" w:hAnsi="宋体" w:eastAsia="宋体" w:cs="宋体"/>
          <w:color w:val="auto"/>
          <w:spacing w:val="-2"/>
          <w:sz w:val="24"/>
          <w:szCs w:val="24"/>
          <w:highlight w:val="none"/>
          <w:lang w:eastAsia="zh-CN"/>
        </w:rPr>
        <w:t>制造商</w:t>
      </w:r>
      <w:r>
        <w:rPr>
          <w:rFonts w:hint="eastAsia" w:ascii="宋体" w:hAnsi="宋体" w:eastAsia="宋体" w:cs="宋体"/>
          <w:color w:val="auto"/>
          <w:spacing w:val="-2"/>
          <w:sz w:val="24"/>
          <w:szCs w:val="24"/>
          <w:highlight w:val="none"/>
          <w:lang w:eastAsia="zh-CN"/>
        </w:rPr>
        <w:t>名称</w:t>
      </w:r>
      <w:r>
        <w:rPr>
          <w:rFonts w:ascii="宋体" w:hAnsi="宋体" w:eastAsia="宋体" w:cs="宋体"/>
          <w:color w:val="auto"/>
          <w:spacing w:val="-2"/>
          <w:sz w:val="24"/>
          <w:szCs w:val="24"/>
          <w:highlight w:val="none"/>
          <w:lang w:eastAsia="zh-CN"/>
        </w:rPr>
        <w:t>：</w:t>
      </w:r>
    </w:p>
    <w:p w14:paraId="6FB988C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color w:val="auto"/>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职务：</w:t>
      </w:r>
    </w:p>
    <w:p w14:paraId="1FAD2086">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32" w:afterAutospacing="0" w:line="500" w:lineRule="atLeast"/>
        <w:ind w:left="0" w:leftChars="0" w:firstLine="0" w:firstLineChars="0"/>
        <w:textAlignment w:val="baseline"/>
        <w:rPr>
          <w:rFonts w:ascii="宋体" w:hAnsi="宋体" w:eastAsia="宋体" w:cs="宋体"/>
          <w:color w:val="auto"/>
          <w:spacing w:val="-2"/>
          <w:sz w:val="24"/>
          <w:szCs w:val="24"/>
          <w:highlight w:val="none"/>
          <w:lang w:eastAsia="zh-CN"/>
        </w:rPr>
      </w:pPr>
      <w:r>
        <w:rPr>
          <w:rFonts w:ascii="宋体" w:hAnsi="宋体" w:eastAsia="宋体" w:cs="宋体"/>
          <w:color w:val="auto"/>
          <w:spacing w:val="-2"/>
          <w:sz w:val="24"/>
          <w:szCs w:val="24"/>
          <w:highlight w:val="none"/>
          <w:lang w:eastAsia="zh-CN"/>
        </w:rPr>
        <w:t>签字人</w:t>
      </w:r>
      <w:r>
        <w:rPr>
          <w:rFonts w:hint="eastAsia" w:ascii="宋体" w:hAnsi="宋体" w:eastAsia="宋体" w:cs="宋体"/>
          <w:color w:val="auto"/>
          <w:spacing w:val="-2"/>
          <w:sz w:val="24"/>
          <w:szCs w:val="24"/>
          <w:highlight w:val="none"/>
          <w:lang w:eastAsia="zh-CN"/>
        </w:rPr>
        <w:t>姓名：</w:t>
      </w:r>
    </w:p>
    <w:p w14:paraId="6034A785">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50" w:afterAutospacing="0" w:line="500" w:lineRule="atLeast"/>
        <w:ind w:left="0" w:leftChars="0" w:firstLine="0" w:firstLineChars="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签字人签名或签章：</w:t>
      </w:r>
    </w:p>
    <w:p w14:paraId="74000205">
      <w:pPr>
        <w:pStyle w:val="6"/>
        <w:spacing w:beforeAutospacing="0"/>
        <w:rPr>
          <w:color w:val="auto"/>
          <w:highlight w:val="none"/>
          <w:lang w:eastAsia="zh-CN"/>
        </w:rPr>
      </w:pPr>
    </w:p>
    <w:p w14:paraId="559F97F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z w:val="24"/>
          <w:szCs w:val="24"/>
          <w:highlight w:val="none"/>
          <w:lang w:eastAsia="zh-CN"/>
        </w:rPr>
        <w:sectPr>
          <w:type w:val="continuous"/>
          <w:pgSz w:w="11906" w:h="16839"/>
          <w:pgMar w:top="1431" w:right="1167" w:bottom="1156" w:left="1785" w:header="0" w:footer="994" w:gutter="0"/>
          <w:pgNumType w:fmt="decimal"/>
          <w:cols w:equalWidth="0" w:num="2">
            <w:col w:w="5063" w:space="100"/>
            <w:col w:w="3790"/>
          </w:cols>
        </w:sectPr>
      </w:pPr>
    </w:p>
    <w:p w14:paraId="05811173">
      <w:pPr>
        <w:pageBreakBefore w:val="0"/>
        <w:widowControl w:val="0"/>
        <w:wordWrap/>
        <w:overflowPunct/>
        <w:topLinePunct w:val="0"/>
        <w:bidi w:val="0"/>
        <w:spacing w:before="101" w:line="219" w:lineRule="auto"/>
        <w:ind w:left="2109"/>
        <w:outlineLvl w:val="1"/>
        <w:rPr>
          <w:rFonts w:ascii="宋体" w:hAnsi="宋体" w:eastAsia="宋体" w:cs="宋体"/>
          <w:color w:val="auto"/>
          <w:sz w:val="24"/>
          <w:szCs w:val="24"/>
          <w:highlight w:val="none"/>
          <w:lang w:eastAsia="zh-CN"/>
        </w:rPr>
      </w:pPr>
      <w:bookmarkStart w:id="350" w:name="bookmark70"/>
      <w:bookmarkEnd w:id="350"/>
      <w:bookmarkStart w:id="351" w:name="bookmark75"/>
      <w:bookmarkEnd w:id="351"/>
      <w:bookmarkStart w:id="352" w:name="_Toc27428"/>
      <w:bookmarkStart w:id="353" w:name="_Toc7518"/>
      <w:bookmarkStart w:id="354" w:name="_Toc574"/>
      <w:bookmarkStart w:id="355" w:name="_Toc12910"/>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联合体协议（适用于联合体</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响应</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bookmarkEnd w:id="352"/>
      <w:bookmarkEnd w:id="353"/>
      <w:bookmarkEnd w:id="354"/>
      <w:bookmarkEnd w:id="355"/>
    </w:p>
    <w:p w14:paraId="1CBCC2CB">
      <w:pPr>
        <w:pageBreakBefore w:val="0"/>
        <w:widowControl w:val="0"/>
        <w:wordWrap/>
        <w:overflowPunct/>
        <w:topLinePunct w:val="0"/>
        <w:bidi w:val="0"/>
        <w:spacing w:line="361" w:lineRule="auto"/>
        <w:rPr>
          <w:color w:val="auto"/>
          <w:highlight w:val="none"/>
          <w:lang w:eastAsia="zh-CN"/>
        </w:rPr>
      </w:pPr>
    </w:p>
    <w:p w14:paraId="46C91608">
      <w:pPr>
        <w:pageBreakBefore w:val="0"/>
        <w:widowControl w:val="0"/>
        <w:wordWrap/>
        <w:overflowPunct/>
        <w:topLinePunct w:val="0"/>
        <w:bidi w:val="0"/>
        <w:spacing w:before="78" w:line="219"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联合协议应当载明联合体各方承担的工作和义务，联合体协议各方均应当签章。</w:t>
      </w:r>
    </w:p>
    <w:p w14:paraId="0B4017B6">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5" w:type="default"/>
          <w:pgSz w:w="11906" w:h="16839"/>
          <w:pgMar w:top="1431" w:right="1731" w:bottom="1156" w:left="1785" w:header="0" w:footer="994" w:gutter="0"/>
          <w:pgNumType w:fmt="decimal"/>
          <w:cols w:space="720" w:num="1"/>
        </w:sectPr>
      </w:pPr>
    </w:p>
    <w:p w14:paraId="61AFCDC8">
      <w:pPr>
        <w:pageBreakBefore w:val="0"/>
        <w:widowControl w:val="0"/>
        <w:wordWrap/>
        <w:overflowPunct/>
        <w:topLinePunct w:val="0"/>
        <w:bidi w:val="0"/>
        <w:jc w:val="center"/>
        <w:rPr>
          <w:rFonts w:hint="eastAsia" w:ascii="宋体" w:hAnsi="宋体" w:eastAsia="宋体" w:cs="宋体"/>
          <w:b/>
          <w:color w:val="auto"/>
          <w:sz w:val="24"/>
          <w:szCs w:val="24"/>
          <w:highlight w:val="none"/>
        </w:rPr>
      </w:pPr>
      <w:bookmarkStart w:id="356" w:name="bookmark76"/>
      <w:bookmarkEnd w:id="356"/>
      <w:bookmarkStart w:id="357" w:name="bookmark71"/>
      <w:bookmarkEnd w:id="357"/>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7 本项目的其它特定资格证明材料</w:t>
      </w:r>
    </w:p>
    <w:p w14:paraId="419F7D79">
      <w:pPr>
        <w:pageBreakBefore w:val="0"/>
        <w:widowControl w:val="0"/>
        <w:wordWrap/>
        <w:overflowPunct/>
        <w:topLinePunct w:val="0"/>
        <w:bidi w:val="0"/>
        <w:jc w:val="both"/>
        <w:rPr>
          <w:rFonts w:hint="eastAsia" w:ascii="宋体" w:hAnsi="宋体" w:eastAsia="宋体" w:cs="仿宋"/>
          <w:color w:val="auto"/>
          <w:kern w:val="0"/>
          <w:highlight w:val="none"/>
          <w:shd w:val="clear" w:color="auto" w:fill="FFFFFF"/>
        </w:rPr>
      </w:pPr>
    </w:p>
    <w:p w14:paraId="0D25DA9D">
      <w:pPr>
        <w:pageBreakBefore w:val="0"/>
        <w:widowControl w:val="0"/>
        <w:wordWrap/>
        <w:overflowPunct/>
        <w:topLinePunct w:val="0"/>
        <w:bidi w:val="0"/>
        <w:jc w:val="center"/>
        <w:rPr>
          <w:rFonts w:ascii="宋体" w:hAnsi="宋体" w:eastAsia="宋体" w:cs="仿宋"/>
          <w:color w:val="auto"/>
          <w:kern w:val="0"/>
          <w:sz w:val="24"/>
          <w:szCs w:val="24"/>
          <w:highlight w:val="none"/>
          <w:shd w:val="clear" w:color="auto" w:fill="FFFFFF"/>
        </w:rPr>
      </w:pPr>
      <w:r>
        <w:rPr>
          <w:rFonts w:hint="eastAsia" w:ascii="宋体" w:hAnsi="宋体" w:eastAsia="宋体" w:cs="仿宋"/>
          <w:color w:val="auto"/>
          <w:kern w:val="0"/>
          <w:sz w:val="24"/>
          <w:szCs w:val="24"/>
          <w:highlight w:val="none"/>
          <w:shd w:val="clear" w:color="auto" w:fill="FFFFFF"/>
        </w:rPr>
        <w:t>（如属于特定行业项目,供应商应当具备特定行业法定准入要求。)</w:t>
      </w:r>
    </w:p>
    <w:p w14:paraId="5695E52B">
      <w:pPr>
        <w:pageBreakBefore w:val="0"/>
        <w:widowControl w:val="0"/>
        <w:wordWrap/>
        <w:overflowPunct/>
        <w:topLinePunct w:val="0"/>
        <w:autoSpaceDE w:val="0"/>
        <w:autoSpaceDN w:val="0"/>
        <w:bidi w:val="0"/>
        <w:adjustRightInd w:val="0"/>
        <w:jc w:val="center"/>
        <w:textAlignment w:val="baseline"/>
        <w:rPr>
          <w:rFonts w:ascii="宋体" w:hAnsi="宋体" w:eastAsia="宋体" w:cs="宋体"/>
          <w:b/>
          <w:color w:val="auto"/>
          <w:kern w:val="0"/>
          <w:highlight w:val="none"/>
        </w:rPr>
      </w:pPr>
    </w:p>
    <w:p w14:paraId="33798413">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40F0444C">
      <w:pPr>
        <w:pStyle w:val="3"/>
        <w:pageBreakBefore w:val="0"/>
        <w:widowControl w:val="0"/>
        <w:wordWrap/>
        <w:overflowPunct/>
        <w:topLinePunct w:val="0"/>
        <w:bidi w:val="0"/>
        <w:rPr>
          <w:rFonts w:ascii="宋体" w:hAnsi="宋体" w:eastAsia="宋体" w:cs="宋体"/>
          <w:color w:val="auto"/>
          <w:spacing w:val="20"/>
          <w:kern w:val="30"/>
          <w:sz w:val="24"/>
          <w:szCs w:val="24"/>
          <w:highlight w:val="none"/>
          <w:lang w:eastAsia="zh-CN"/>
        </w:rPr>
      </w:pPr>
    </w:p>
    <w:p w14:paraId="0A7010CD">
      <w:pPr>
        <w:pageBreakBefore w:val="0"/>
        <w:widowControl w:val="0"/>
        <w:wordWrap/>
        <w:overflowPunct/>
        <w:topLinePunct w:val="0"/>
        <w:bidi w:val="0"/>
        <w:rPr>
          <w:rFonts w:ascii="宋体" w:hAnsi="宋体" w:eastAsia="宋体" w:cs="宋体"/>
          <w:color w:val="auto"/>
          <w:spacing w:val="20"/>
          <w:kern w:val="30"/>
          <w:sz w:val="24"/>
          <w:szCs w:val="24"/>
          <w:highlight w:val="none"/>
          <w:lang w:eastAsia="zh-CN"/>
        </w:rPr>
      </w:pPr>
    </w:p>
    <w:p w14:paraId="276C4F75">
      <w:pPr>
        <w:pStyle w:val="3"/>
        <w:pageBreakBefore w:val="0"/>
        <w:widowControl w:val="0"/>
        <w:wordWrap/>
        <w:overflowPunct/>
        <w:topLinePunct w:val="0"/>
        <w:bidi w:val="0"/>
        <w:rPr>
          <w:color w:val="auto"/>
          <w:highlight w:val="none"/>
          <w:lang w:eastAsia="zh-CN"/>
        </w:rPr>
      </w:pPr>
    </w:p>
    <w:p w14:paraId="54A37A75">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19FF211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t>特别</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w:t>
      </w:r>
    </w:p>
    <w:p w14:paraId="1A4632D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应当提交的资格证明文件均为扫描件,未提交或不满足要求均视为无效</w:t>
      </w:r>
      <w:r>
        <w:rPr>
          <w:rFonts w:hint="eastAsia"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t>响应</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。文件另有具体要求的从其规定。</w:t>
      </w:r>
    </w:p>
    <w:p w14:paraId="7ACDFF55">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default" w:ascii="宋体" w:hAnsi="宋体" w:eastAsia="宋体" w:cs="宋体"/>
          <w:color w:val="auto"/>
          <w:sz w:val="24"/>
          <w:szCs w:val="24"/>
          <w:highlight w:val="none"/>
          <w:lang w:val="en-US" w:eastAsia="zh-CN"/>
          <w14:textOutline w14:w="4356" w14:cap="sq" w14:cmpd="sng" w14:algn="ctr">
            <w14:solidFill>
              <w14:srgbClr w14:val="000000"/>
            </w14:solidFill>
            <w14:prstDash w14:val="solid"/>
            <w14:bevel/>
          </w14:textOutline>
        </w:rPr>
      </w:pPr>
    </w:p>
    <w:p w14:paraId="5BC1436C">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3E7EEE58">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0B06024A">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1E296883">
      <w:pPr>
        <w:pStyle w:val="24"/>
        <w:pageBreakBefore w:val="0"/>
        <w:widowControl w:val="0"/>
        <w:wordWrap/>
        <w:overflowPunct/>
        <w:topLinePunct w:val="0"/>
        <w:bidi w:val="0"/>
        <w:rPr>
          <w:rFonts w:hint="default" w:ascii="宋体" w:hAnsi="宋体" w:eastAsia="宋体" w:cs="仿宋"/>
          <w:b/>
          <w:color w:val="auto"/>
          <w:kern w:val="2"/>
          <w:sz w:val="24"/>
          <w:szCs w:val="24"/>
          <w:highlight w:val="none"/>
          <w:lang w:val="en-US" w:eastAsia="zh-CN" w:bidi="ar-SA"/>
        </w:rPr>
      </w:pPr>
    </w:p>
    <w:p w14:paraId="70215548">
      <w:pPr>
        <w:pStyle w:val="24"/>
        <w:pageBreakBefore w:val="0"/>
        <w:widowControl w:val="0"/>
        <w:wordWrap/>
        <w:overflowPunct/>
        <w:topLinePunct w:val="0"/>
        <w:bidi w:val="0"/>
        <w:rPr>
          <w:rFonts w:hint="eastAsia" w:ascii="宋体" w:hAnsi="宋体" w:eastAsia="宋体" w:cs="仿宋"/>
          <w:b/>
          <w:color w:val="auto"/>
          <w:kern w:val="2"/>
          <w:sz w:val="24"/>
          <w:szCs w:val="24"/>
          <w:highlight w:val="none"/>
          <w:lang w:val="en-US" w:eastAsia="zh-CN" w:bidi="ar-SA"/>
        </w:rPr>
      </w:pPr>
    </w:p>
    <w:p w14:paraId="74883422">
      <w:pPr>
        <w:pageBreakBefore w:val="0"/>
        <w:widowControl w:val="0"/>
        <w:wordWrap/>
        <w:overflowPunct/>
        <w:topLinePunct w:val="0"/>
        <w:bidi w:val="0"/>
        <w:spacing w:line="420" w:lineRule="exact"/>
        <w:ind w:left="13" w:hanging="14" w:hangingChars="5"/>
        <w:rPr>
          <w:rFonts w:ascii="宋体" w:hAnsi="宋体" w:eastAsia="宋体" w:cs="宋体"/>
          <w:color w:val="auto"/>
          <w:spacing w:val="20"/>
          <w:kern w:val="30"/>
          <w:sz w:val="24"/>
          <w:szCs w:val="24"/>
          <w:highlight w:val="none"/>
          <w:lang w:eastAsia="zh-CN"/>
        </w:rPr>
      </w:pPr>
    </w:p>
    <w:p w14:paraId="4E328EED">
      <w:pPr>
        <w:pageBreakBefore w:val="0"/>
        <w:widowControl w:val="0"/>
        <w:wordWrap/>
        <w:overflowPunct/>
        <w:topLinePunct w:val="0"/>
        <w:bidi w:val="0"/>
        <w:spacing w:before="100" w:line="219" w:lineRule="auto"/>
        <w:outlineLvl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358" w:name="bookmark72"/>
      <w:bookmarkEnd w:id="358"/>
    </w:p>
    <w:p w14:paraId="62E7439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7B9CA169">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6D7F051B">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4A177041">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3D28225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4FFB215">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34CF517">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B78013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53D81667">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77FD44AC">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147D1F05">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5F7C33AF">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F1B952F">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3911C4B3">
      <w:pPr>
        <w:pStyle w:val="24"/>
        <w:pageBreakBefore w:val="0"/>
        <w:widowControl w:val="0"/>
        <w:wordWrap/>
        <w:overflowPunct/>
        <w:topLinePunct w:val="0"/>
        <w:bidi w:val="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20BE375E">
      <w:pP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br w:type="page"/>
      </w:r>
    </w:p>
    <w:p w14:paraId="4B9DA095">
      <w:pPr>
        <w:pageBreakBefore w:val="0"/>
        <w:widowControl w:val="0"/>
        <w:wordWrap/>
        <w:overflowPunct/>
        <w:topLinePunct w:val="0"/>
        <w:bidi w:val="0"/>
        <w:spacing w:before="100" w:line="219" w:lineRule="auto"/>
        <w:ind w:left="1930"/>
        <w:outlineLvl w:val="0"/>
        <w:rPr>
          <w:rFonts w:ascii="宋体" w:hAnsi="宋体" w:eastAsia="宋体" w:cs="宋体"/>
          <w:color w:val="auto"/>
          <w:sz w:val="24"/>
          <w:szCs w:val="24"/>
          <w:highlight w:val="none"/>
          <w:lang w:eastAsia="zh-CN"/>
        </w:rPr>
      </w:pPr>
      <w:bookmarkStart w:id="359" w:name="_Toc4313"/>
      <w:bookmarkStart w:id="360" w:name="_Toc11157"/>
      <w:bookmarkStart w:id="361" w:name="_Toc21967"/>
      <w:bookmarkStart w:id="362" w:name="_Toc12771"/>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8.为落实政府采购政策</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须提供的证明材料</w:t>
      </w:r>
      <w:bookmarkEnd w:id="359"/>
      <w:bookmarkEnd w:id="360"/>
      <w:bookmarkEnd w:id="361"/>
      <w:bookmarkEnd w:id="362"/>
    </w:p>
    <w:p w14:paraId="1B3D0B20">
      <w:pPr>
        <w:pageBreakBefore w:val="0"/>
        <w:widowControl w:val="0"/>
        <w:wordWrap/>
        <w:overflowPunct/>
        <w:topLinePunct w:val="0"/>
        <w:bidi w:val="0"/>
        <w:spacing w:line="363" w:lineRule="auto"/>
        <w:rPr>
          <w:color w:val="auto"/>
          <w:highlight w:val="none"/>
          <w:lang w:eastAsia="zh-CN"/>
        </w:rPr>
      </w:pPr>
    </w:p>
    <w:p w14:paraId="3D58E5CE">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28"/>
          <w:sz w:val="24"/>
          <w:szCs w:val="24"/>
          <w:highlight w:val="none"/>
          <w:lang w:eastAsia="zh-CN"/>
        </w:rPr>
        <w:t xml:space="preserve"> </w:t>
      </w: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中小企业声明函（工程、服务</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w:t>
      </w:r>
    </w:p>
    <w:p w14:paraId="3A114C60">
      <w:pPr>
        <w:pStyle w:val="6"/>
        <w:rPr>
          <w:rFonts w:hint="eastAsia"/>
          <w:highlight w:val="none"/>
          <w:lang w:eastAsia="zh-CN"/>
        </w:rPr>
      </w:pPr>
    </w:p>
    <w:p w14:paraId="5C4DDB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本公司（联合体）郑重声明，根据《政府采购促进中小企业发展管理办法》（财库﹝2020﹞46 号）的规定，本公司（联合体）参加</w:t>
      </w:r>
      <w:r>
        <w:rPr>
          <w:rFonts w:ascii="宋体" w:hAnsi="宋体" w:eastAsia="宋体" w:cs="宋体"/>
          <w:sz w:val="24"/>
          <w:szCs w:val="24"/>
          <w:highlight w:val="none"/>
          <w:u w:val="single"/>
        </w:rPr>
        <w:t>（单位名称）</w:t>
      </w:r>
      <w:r>
        <w:rPr>
          <w:rFonts w:ascii="宋体" w:hAnsi="宋体" w:eastAsia="宋体" w:cs="宋体"/>
          <w:sz w:val="24"/>
          <w:szCs w:val="24"/>
          <w:highlight w:val="none"/>
        </w:rPr>
        <w:t>的</w:t>
      </w:r>
      <w:r>
        <w:rPr>
          <w:rFonts w:ascii="宋体" w:hAnsi="宋体" w:eastAsia="宋体" w:cs="宋体"/>
          <w:sz w:val="24"/>
          <w:szCs w:val="24"/>
          <w:highlight w:val="none"/>
          <w:u w:val="single"/>
        </w:rPr>
        <w:t>（项目名称）</w:t>
      </w:r>
      <w:r>
        <w:rPr>
          <w:rFonts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256EAB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1.</w:t>
      </w:r>
      <w:r>
        <w:rPr>
          <w:rFonts w:ascii="宋体" w:hAnsi="宋体" w:eastAsia="宋体" w:cs="宋体"/>
          <w:sz w:val="24"/>
          <w:szCs w:val="24"/>
          <w:highlight w:val="none"/>
          <w:u w:val="single"/>
        </w:rPr>
        <w:t>（标的名称）</w:t>
      </w:r>
      <w:r>
        <w:rPr>
          <w:rFonts w:ascii="宋体" w:hAnsi="宋体" w:eastAsia="宋体" w:cs="宋体"/>
          <w:sz w:val="24"/>
          <w:szCs w:val="24"/>
          <w:highlight w:val="none"/>
        </w:rPr>
        <w:t>，属于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 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u w:val="single"/>
        </w:rPr>
        <w:t xml:space="preserve"> </w:t>
      </w:r>
      <w:r>
        <w:rPr>
          <w:rFonts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 ，属于</w:t>
      </w:r>
      <w:r>
        <w:rPr>
          <w:rFonts w:ascii="宋体" w:hAnsi="宋体" w:eastAsia="宋体" w:cs="宋体"/>
          <w:sz w:val="24"/>
          <w:szCs w:val="24"/>
          <w:highlight w:val="none"/>
          <w:u w:val="single"/>
        </w:rPr>
        <w:t>（中型企业、 小型企业、微型企业）</w:t>
      </w:r>
      <w:r>
        <w:rPr>
          <w:rFonts w:ascii="宋体" w:hAnsi="宋体" w:eastAsia="宋体" w:cs="宋体"/>
          <w:sz w:val="24"/>
          <w:szCs w:val="24"/>
          <w:highlight w:val="none"/>
        </w:rPr>
        <w:t>；</w:t>
      </w:r>
    </w:p>
    <w:p w14:paraId="3FDCE2B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2.</w:t>
      </w:r>
      <w:r>
        <w:rPr>
          <w:rFonts w:ascii="宋体" w:hAnsi="宋体" w:eastAsia="宋体" w:cs="宋体"/>
          <w:sz w:val="24"/>
          <w:szCs w:val="24"/>
          <w:highlight w:val="none"/>
          <w:u w:val="single"/>
        </w:rPr>
        <w:t>（标的名称）</w:t>
      </w:r>
      <w:r>
        <w:rPr>
          <w:rFonts w:ascii="宋体" w:hAnsi="宋体" w:eastAsia="宋体" w:cs="宋体"/>
          <w:sz w:val="24"/>
          <w:szCs w:val="24"/>
          <w:highlight w:val="none"/>
        </w:rPr>
        <w:t xml:space="preserve"> ，属于</w:t>
      </w:r>
      <w:r>
        <w:rPr>
          <w:rFonts w:ascii="宋体" w:hAnsi="宋体" w:eastAsia="宋体" w:cs="宋体"/>
          <w:sz w:val="24"/>
          <w:szCs w:val="24"/>
          <w:highlight w:val="none"/>
          <w:u w:val="single"/>
        </w:rPr>
        <w:t>（采购文件中明确的所属行业）</w:t>
      </w:r>
      <w:r>
        <w:rPr>
          <w:rFonts w:ascii="宋体" w:hAnsi="宋体" w:eastAsia="宋体" w:cs="宋体"/>
          <w:sz w:val="24"/>
          <w:szCs w:val="24"/>
          <w:highlight w:val="none"/>
        </w:rPr>
        <w:t>； 承建（承接）企业为</w:t>
      </w:r>
      <w:r>
        <w:rPr>
          <w:rFonts w:ascii="宋体" w:hAnsi="宋体" w:eastAsia="宋体" w:cs="宋体"/>
          <w:sz w:val="24"/>
          <w:szCs w:val="24"/>
          <w:highlight w:val="none"/>
          <w:u w:val="single"/>
        </w:rPr>
        <w:t>（企业名称）</w:t>
      </w:r>
      <w:r>
        <w:rPr>
          <w:rFonts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ascii="宋体" w:hAnsi="宋体" w:eastAsia="宋体" w:cs="宋体"/>
          <w:sz w:val="24"/>
          <w:szCs w:val="24"/>
          <w:highlight w:val="none"/>
        </w:rPr>
        <w:t>万元，属于</w:t>
      </w:r>
      <w:r>
        <w:rPr>
          <w:rFonts w:ascii="宋体" w:hAnsi="宋体" w:eastAsia="宋体" w:cs="宋体"/>
          <w:sz w:val="24"/>
          <w:szCs w:val="24"/>
          <w:highlight w:val="none"/>
          <w:u w:val="single"/>
        </w:rPr>
        <w:t>（中型企业、 小型企业、微型企业）</w:t>
      </w:r>
      <w:r>
        <w:rPr>
          <w:rFonts w:ascii="宋体" w:hAnsi="宋体" w:eastAsia="宋体" w:cs="宋体"/>
          <w:sz w:val="24"/>
          <w:szCs w:val="24"/>
          <w:highlight w:val="none"/>
        </w:rPr>
        <w:t xml:space="preserve">； </w:t>
      </w:r>
    </w:p>
    <w:p w14:paraId="1B4AC3A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w:t>
      </w:r>
    </w:p>
    <w:p w14:paraId="39DCF0E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以上企业，不属于大企业的分支机构，不存在控股股东为大企业的情形，也不存在与大企业的负责人为同一人的情形。</w:t>
      </w:r>
    </w:p>
    <w:p w14:paraId="2DCFC8A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120" w:leftChars="0" w:firstLine="480" w:firstLineChars="2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 本企业对上述声明内容的真实性负责。如有虚假，将依法承担相应责任。 </w:t>
      </w:r>
    </w:p>
    <w:p w14:paraId="74AFF461">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highlight w:val="none"/>
        </w:rPr>
      </w:pPr>
    </w:p>
    <w:p w14:paraId="299E470F">
      <w:pPr>
        <w:pStyle w:val="6"/>
        <w:rPr>
          <w:rFonts w:ascii="宋体" w:hAnsi="宋体" w:eastAsia="宋体" w:cs="宋体"/>
          <w:sz w:val="24"/>
          <w:szCs w:val="24"/>
          <w:highlight w:val="none"/>
        </w:rPr>
      </w:pPr>
    </w:p>
    <w:p w14:paraId="0FF9E2EF">
      <w:pPr>
        <w:pStyle w:val="7"/>
        <w:rPr>
          <w:highlight w:val="none"/>
        </w:rPr>
      </w:pPr>
    </w:p>
    <w:p w14:paraId="00B7EA9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highlight w:val="none"/>
        </w:rPr>
      </w:pPr>
    </w:p>
    <w:p w14:paraId="6F5D78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rFonts w:ascii="宋体" w:hAnsi="宋体" w:eastAsia="宋体" w:cs="宋体"/>
          <w:sz w:val="24"/>
          <w:szCs w:val="24"/>
          <w:highlight w:val="none"/>
        </w:rPr>
      </w:pPr>
      <w:r>
        <w:rPr>
          <w:rFonts w:ascii="宋体" w:hAnsi="宋体" w:eastAsia="宋体" w:cs="宋体"/>
          <w:sz w:val="24"/>
          <w:szCs w:val="24"/>
          <w:highlight w:val="none"/>
        </w:rPr>
        <w:t xml:space="preserve">企业名称（盖章）： </w:t>
      </w:r>
    </w:p>
    <w:p w14:paraId="0EDD35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520" w:firstLineChars="2300"/>
        <w:jc w:val="both"/>
        <w:textAlignment w:val="baseline"/>
        <w:rPr>
          <w:color w:val="auto"/>
          <w:highlight w:val="none"/>
          <w:lang w:eastAsia="zh-CN"/>
        </w:rPr>
      </w:pPr>
      <w:r>
        <w:rPr>
          <w:rFonts w:ascii="宋体" w:hAnsi="宋体" w:eastAsia="宋体" w:cs="宋体"/>
          <w:sz w:val="24"/>
          <w:szCs w:val="24"/>
          <w:highlight w:val="none"/>
        </w:rPr>
        <w:t>日 期：</w:t>
      </w:r>
    </w:p>
    <w:p w14:paraId="20A91EE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highlight w:val="none"/>
          <w:lang w:eastAsia="zh-CN"/>
        </w:rPr>
      </w:pPr>
    </w:p>
    <w:p w14:paraId="25804011">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注：1、从业人员、营业收入、资产总额填报上一年度数据</w:t>
      </w:r>
      <w:r>
        <w:rPr>
          <w:rFonts w:ascii="宋体" w:hAnsi="宋体" w:eastAsia="宋体" w:cs="宋体"/>
          <w:color w:val="auto"/>
          <w:spacing w:val="-1"/>
          <w:position w:val="17"/>
          <w:sz w:val="24"/>
          <w:szCs w:val="24"/>
          <w:highlight w:val="none"/>
          <w:lang w:eastAsia="zh-CN"/>
        </w:rPr>
        <w:t>，无上一年度数据的新成</w:t>
      </w:r>
      <w:r>
        <w:rPr>
          <w:rFonts w:hint="eastAsia" w:ascii="宋体" w:hAnsi="宋体" w:eastAsia="宋体" w:cs="宋体"/>
          <w:color w:val="auto"/>
          <w:spacing w:val="-1"/>
          <w:position w:val="17"/>
          <w:sz w:val="24"/>
          <w:szCs w:val="24"/>
          <w:highlight w:val="none"/>
          <w:lang w:val="en-US" w:eastAsia="zh-CN"/>
        </w:rPr>
        <w:t>立企业可不填报。</w:t>
      </w:r>
    </w:p>
    <w:p w14:paraId="6A4E65F4">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FCD40FC">
      <w:pPr>
        <w:keepNext w:val="0"/>
        <w:keepLines w:val="0"/>
        <w:pageBreakBefore w:val="0"/>
        <w:widowControl/>
        <w:kinsoku w:val="0"/>
        <w:wordWrap/>
        <w:overflowPunct/>
        <w:topLinePunct w:val="0"/>
        <w:autoSpaceDE w:val="0"/>
        <w:autoSpaceDN w:val="0"/>
        <w:bidi w:val="0"/>
        <w:adjustRightInd w:val="0"/>
        <w:snapToGrid w:val="0"/>
        <w:spacing w:after="0" w:afterLines="100"/>
        <w:textAlignment w:val="baseline"/>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《中小企业声明函》填写指引及风险提示：</w:t>
      </w:r>
    </w:p>
    <w:p w14:paraId="7FA61CE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（一）填写指引：</w:t>
      </w:r>
    </w:p>
    <w:p w14:paraId="3FEBAF52">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1、供应商在填写时请依照磋商文件提供的格式和内容填写，</w:t>
      </w:r>
      <w:r>
        <w:rPr>
          <w:rFonts w:hint="eastAsia" w:ascii="宋体" w:hAnsi="宋体" w:eastAsia="宋体" w:cs="宋体"/>
          <w:b/>
          <w:bCs/>
          <w:color w:val="auto"/>
          <w:kern w:val="0"/>
          <w:sz w:val="24"/>
          <w:szCs w:val="24"/>
          <w:highlight w:val="none"/>
          <w:lang w:val="en-US" w:eastAsia="zh-CN"/>
        </w:rPr>
        <w:t>不得随意变更格式</w:t>
      </w:r>
      <w:r>
        <w:rPr>
          <w:rFonts w:hint="eastAsia" w:ascii="宋体" w:hAnsi="宋体" w:eastAsia="宋体" w:cs="宋体"/>
          <w:b w:val="0"/>
          <w:bCs w:val="0"/>
          <w:color w:val="auto"/>
          <w:kern w:val="0"/>
          <w:sz w:val="24"/>
          <w:szCs w:val="24"/>
          <w:highlight w:val="none"/>
          <w:lang w:val="en-US" w:eastAsia="zh-CN"/>
        </w:rPr>
        <w:t>。</w:t>
      </w:r>
    </w:p>
    <w:p w14:paraId="0D086AB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2、《中小企业声明函》由供应商根据承接服务的企业实际情况填写，不符合要求的供应商可以不填写或直接删除本格式。</w:t>
      </w:r>
    </w:p>
    <w:p w14:paraId="6B34841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3、填写需参考的相关文件：（1）《政府采购促进中小企业发展管理办法》（财库【2020】46号）、《关于中小企业划型标准规定的通知》（工信部联企业【2011】300号文，详见下述附表）</w:t>
      </w:r>
    </w:p>
    <w:p w14:paraId="0FECAFF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4、具体要求：</w:t>
      </w:r>
    </w:p>
    <w:p w14:paraId="63F6F6E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（1）第一处，在“单位名称”“项目名称”下划线处填写本采购项目的采购人名称和项目名称。</w:t>
      </w:r>
    </w:p>
    <w:p w14:paraId="1882583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第二处，在“标的名称”下划线处填写本项目采购具体品目的名称，如是单品目，直接填写项目名称或品目名称。在“采购文件中明确的所属行业”中填写本磋商文件第二章“供应商须知前附表”中列明的行业，一定要按照磋商文件明确的内容进行填写。</w:t>
      </w:r>
    </w:p>
    <w:p w14:paraId="75E90D8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第三处，在“企业名称”下划线处如实填写承接服务的企业名称，在“从业人员”“营业收入”“资产总额”下划线处如实填写承接服务的企业相关信息，数据务必向承接服务的企业进行核实；如是多品目，须填写每一品目的承接服务的企业信息。如承接服务的企业是供应商，则填写供应商信息。</w:t>
      </w:r>
    </w:p>
    <w:p w14:paraId="5EE51E7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（4）第四处在“中型企业、小型企业、微型企业”下划线处如实依照300号文确定承接服务的企业类型并填写。</w:t>
      </w:r>
    </w:p>
    <w:p w14:paraId="12759C3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（5）填写内容应一一对应，不能漏填或误填。</w:t>
      </w:r>
    </w:p>
    <w:p w14:paraId="292DBB9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655C89DA">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lang w:val="en-US" w:eastAsia="zh-CN"/>
        </w:rPr>
        <w:t>（二）风险提示：</w:t>
      </w:r>
    </w:p>
    <w:p w14:paraId="27811107">
      <w:pPr>
        <w:pStyle w:val="6"/>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1、供应商填写</w:t>
      </w:r>
      <w:r>
        <w:rPr>
          <w:rFonts w:hint="eastAsia" w:ascii="宋体" w:hAnsi="宋体" w:eastAsia="宋体" w:cs="宋体"/>
          <w:b w:val="0"/>
          <w:bCs w:val="0"/>
          <w:color w:val="auto"/>
          <w:kern w:val="0"/>
          <w:sz w:val="24"/>
          <w:szCs w:val="24"/>
          <w:highlight w:val="none"/>
          <w:lang w:val="en-US" w:eastAsia="zh-CN"/>
        </w:rPr>
        <w:t>《中小企业声明函》的,必须如实填报，成交供应商享受了磋商文件规定的中小企业扶持政策的,《中小企业声明函》随成交结果公开，接受社会监督。</w:t>
      </w:r>
    </w:p>
    <w:p w14:paraId="7D751ED6">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2、承接本项目服务的企业本身为中小企业，但存在属于大企业的分支机构或控股股东为大企业或与大企业的负责人为同一人的情形，也不享受磋商文件规定的中小企业扶持政策。</w:t>
      </w:r>
    </w:p>
    <w:p w14:paraId="568C425D">
      <w:pPr>
        <w:keepNext w:val="0"/>
        <w:keepLines/>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3、供应商提供声明函内容不实的，属于提供虚假材料谋取成交，依照《中华人民共和国政府采购法》等国家有关规定追究相应责任</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5"/>
          <w:sz w:val="24"/>
          <w:szCs w:val="24"/>
          <w:highlight w:val="none"/>
          <w:lang w:val="en-US" w:eastAsia="zh-CN"/>
          <w14:textOutline w14:w="4356" w14:cap="sq" w14:cmpd="sng" w14:algn="ctr">
            <w14:solidFill>
              <w14:srgbClr w14:val="000000"/>
            </w14:solidFill>
            <w14:prstDash w14:val="solid"/>
            <w14:bevel/>
          </w14:textOutline>
        </w:rPr>
        <w:br w:type="page"/>
      </w:r>
      <w:r>
        <w:rPr>
          <w:rFonts w:hint="eastAsia" w:ascii="宋体" w:hAnsi="宋体" w:eastAsia="宋体" w:cs="宋体"/>
          <w:b/>
          <w:bCs/>
          <w:color w:val="auto"/>
          <w:kern w:val="0"/>
          <w:sz w:val="24"/>
          <w:szCs w:val="24"/>
          <w:highlight w:val="none"/>
        </w:rPr>
        <w:t>附表</w:t>
      </w:r>
    </w:p>
    <w:p w14:paraId="1A4C6A0A">
      <w:pPr>
        <w:pStyle w:val="15"/>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5"/>
          <w:kern w:val="0"/>
          <w:sz w:val="24"/>
          <w:szCs w:val="24"/>
          <w:highlight w:val="none"/>
          <w:lang w:val="en-US" w:eastAsia="zh-CN" w:bidi="ar-SA"/>
          <w14:textOutline w14:w="4356" w14:cap="sq" w14:cmpd="sng" w14:algn="ctr">
            <w14:solidFill>
              <w14:srgbClr w14:val="000000"/>
            </w14:solidFill>
            <w14:prstDash w14:val="solid"/>
            <w14:bevel/>
          </w14:textOutline>
        </w:rPr>
        <w:t>中小企业划型标准规定</w:t>
      </w:r>
    </w:p>
    <w:p w14:paraId="12271B52">
      <w:pPr>
        <w:pStyle w:val="15"/>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工信部联企业〔2011〕300号</w:t>
      </w:r>
      <w:r>
        <w:rPr>
          <w:rFonts w:hint="eastAsia" w:ascii="宋体" w:hAnsi="宋体" w:eastAsia="宋体" w:cs="宋体"/>
          <w:b/>
          <w:bCs/>
          <w:color w:val="auto"/>
          <w:sz w:val="24"/>
          <w:szCs w:val="24"/>
          <w:highlight w:val="none"/>
        </w:rPr>
        <w:t>）</w:t>
      </w:r>
    </w:p>
    <w:p w14:paraId="49AF058C">
      <w:pPr>
        <w:pStyle w:val="15"/>
        <w:pageBreakBefore w:val="0"/>
        <w:widowControl w:val="0"/>
        <w:wordWrap/>
        <w:overflowPunct/>
        <w:topLinePunct w:val="0"/>
        <w:bidi w:val="0"/>
        <w:spacing w:before="0" w:beforeAutospacing="0" w:after="0" w:afterAutospacing="0" w:line="350" w:lineRule="exact"/>
        <w:jc w:val="righ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---（摘要）</w:t>
      </w:r>
    </w:p>
    <w:p w14:paraId="2FD6E76C">
      <w:pPr>
        <w:pStyle w:val="15"/>
        <w:pageBreakBefore w:val="0"/>
        <w:widowControl w:val="0"/>
        <w:numPr>
          <w:ilvl w:val="0"/>
          <w:numId w:val="3"/>
        </w:numPr>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本规定适用的行业包括：</w:t>
      </w:r>
    </w:p>
    <w:p w14:paraId="7B07F0A0">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95689BF">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二、各行业划型标准为：</w:t>
      </w:r>
    </w:p>
    <w:p w14:paraId="25CDA428">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（一）农、林、牧、渔业。</w:t>
      </w:r>
      <w:r>
        <w:rPr>
          <w:rFonts w:hint="eastAsia" w:ascii="宋体" w:hAnsi="宋体" w:eastAsia="宋体" w:cs="宋体"/>
          <w:color w:val="auto"/>
          <w:sz w:val="24"/>
          <w:szCs w:val="24"/>
          <w:highlight w:val="none"/>
        </w:rPr>
        <w:t>营业收入20000万元以下的为中小微型企业。其中，营业收入500万元及以上的为中型企业，营业收入50万元及以上的为小型企业，营业收入50万元以下的为微型企业。</w:t>
      </w:r>
    </w:p>
    <w:p w14:paraId="275DC0F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（二）工业。</w:t>
      </w:r>
      <w:r>
        <w:rPr>
          <w:rFonts w:hint="eastAsia" w:ascii="宋体" w:hAnsi="宋体" w:eastAsia="宋体" w:cs="宋体"/>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934389">
      <w:pPr>
        <w:pageBreakBefore w:val="0"/>
        <w:widowControl w:val="0"/>
        <w:kinsoku w:val="0"/>
        <w:wordWrap/>
        <w:overflowPunct/>
        <w:topLinePunct w:val="0"/>
        <w:autoSpaceDE w:val="0"/>
        <w:autoSpaceDN w:val="0"/>
        <w:bidi w:val="0"/>
        <w:adjustRightInd w:val="0"/>
        <w:snapToGrid w:val="0"/>
        <w:spacing w:before="0" w:beforeLines="33"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（三）建筑业。</w:t>
      </w:r>
      <w:r>
        <w:rPr>
          <w:rFonts w:hint="eastAsia" w:ascii="宋体" w:hAnsi="宋体" w:eastAsia="宋体" w:cs="宋体"/>
          <w:color w:val="auto"/>
          <w:sz w:val="24"/>
          <w:szCs w:val="24"/>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65B96D">
      <w:pPr>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（四）批发业。</w:t>
      </w:r>
      <w:r>
        <w:rPr>
          <w:rFonts w:hint="eastAsia" w:ascii="宋体" w:hAnsi="宋体" w:eastAsia="宋体" w:cs="宋体"/>
          <w:color w:val="auto"/>
          <w:sz w:val="24"/>
          <w:szCs w:val="24"/>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B3259EC">
      <w:pPr>
        <w:pageBreakBefore w:val="0"/>
        <w:widowControl w:val="0"/>
        <w:kinsoku w:val="0"/>
        <w:wordWrap/>
        <w:overflowPunct/>
        <w:topLinePunct w:val="0"/>
        <w:autoSpaceDE w:val="0"/>
        <w:autoSpaceDN w:val="0"/>
        <w:bidi w:val="0"/>
        <w:adjustRightInd w:val="0"/>
        <w:snapToGrid w:val="0"/>
        <w:spacing w:before="0" w:beforeLines="50" w:before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（五）零售业。</w:t>
      </w:r>
      <w:r>
        <w:rPr>
          <w:rFonts w:hint="eastAsia" w:ascii="宋体" w:hAnsi="宋体" w:eastAsia="宋体" w:cs="宋体"/>
          <w:color w:val="auto"/>
          <w:sz w:val="24"/>
          <w:szCs w:val="24"/>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114163D">
      <w:pPr>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（六）交通运输业。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1DFDB9">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（七）仓储业。</w:t>
      </w:r>
      <w:r>
        <w:rPr>
          <w:rFonts w:hint="eastAsia" w:ascii="宋体" w:hAnsi="宋体" w:eastAsia="宋体" w:cs="宋体"/>
          <w:color w:val="auto"/>
          <w:sz w:val="24"/>
          <w:szCs w:val="24"/>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FDA68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（八）邮政业。</w:t>
      </w:r>
      <w:r>
        <w:rPr>
          <w:rFonts w:hint="eastAsia" w:ascii="宋体" w:hAnsi="宋体" w:eastAsia="宋体" w:cs="宋体"/>
          <w:color w:val="auto"/>
          <w:sz w:val="24"/>
          <w:szCs w:val="24"/>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85709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（九）住宿业。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282358">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（十）餐饮业。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AB280A">
      <w:pPr>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（十一）信息传输业。</w:t>
      </w:r>
      <w:r>
        <w:rPr>
          <w:rFonts w:hint="eastAsia" w:ascii="宋体" w:hAnsi="宋体" w:eastAsia="宋体" w:cs="宋体"/>
          <w:color w:val="auto"/>
          <w:sz w:val="24"/>
          <w:szCs w:val="24"/>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50E295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（十二）软件和信息技术服务业。</w:t>
      </w:r>
      <w:r>
        <w:rPr>
          <w:rFonts w:hint="eastAsia" w:ascii="宋体" w:hAnsi="宋体" w:eastAsia="宋体" w:cs="宋体"/>
          <w:color w:val="auto"/>
          <w:sz w:val="24"/>
          <w:szCs w:val="24"/>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81421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（十三）房地产开发经营。</w:t>
      </w:r>
      <w:r>
        <w:rPr>
          <w:rFonts w:hint="eastAsia" w:ascii="宋体" w:hAnsi="宋体" w:eastAsia="宋体" w:cs="宋体"/>
          <w:color w:val="auto"/>
          <w:sz w:val="24"/>
          <w:szCs w:val="24"/>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1A1237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（十四）物业管理。</w:t>
      </w:r>
      <w:r>
        <w:rPr>
          <w:rFonts w:hint="eastAsia" w:ascii="宋体" w:hAnsi="宋体" w:eastAsia="宋体" w:cs="宋体"/>
          <w:color w:val="auto"/>
          <w:sz w:val="24"/>
          <w:szCs w:val="24"/>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1352F4">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（十五）租赁和商务服务业。</w:t>
      </w:r>
      <w:r>
        <w:rPr>
          <w:rFonts w:hint="eastAsia" w:ascii="宋体" w:hAnsi="宋体" w:eastAsia="宋体" w:cs="宋体"/>
          <w:color w:val="auto"/>
          <w:sz w:val="24"/>
          <w:szCs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B5B050">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　（十六）其他未列明行业。</w:t>
      </w:r>
      <w:r>
        <w:rPr>
          <w:rFonts w:hint="eastAsia" w:ascii="宋体" w:hAnsi="宋体" w:eastAsia="宋体" w:cs="宋体"/>
          <w:color w:val="auto"/>
          <w:sz w:val="24"/>
          <w:szCs w:val="24"/>
          <w:highlight w:val="none"/>
        </w:rPr>
        <w:t>从业人员300人以下的为中小微型企业。其中，从业人员100人及以上的为中型企业；从业人员10人及以上的为小型企业；从业人员10人以下的为微型企业。</w:t>
      </w:r>
    </w:p>
    <w:p w14:paraId="69123F25">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三、本规定适用于在中华人民共和国境内依法设立的各类所有制和各种组织形式的企业。个体工商户和本规定以外的行业，参照本规定进行划型。</w:t>
      </w:r>
    </w:p>
    <w:p w14:paraId="43C7B407">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四、本规定的中型企业标准上限即为大型企业标准的下限，国家统计部门据此制定大中小微型企业的统计分类。国务院有关部门据此进行相关数据分析，不得制定与本规定不一致的企业划型标准。</w:t>
      </w:r>
    </w:p>
    <w:p w14:paraId="305A5D82">
      <w:pPr>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pPr>
    </w:p>
    <w:p w14:paraId="5B0011FB">
      <w:pPr>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z w:val="24"/>
          <w:szCs w:val="24"/>
          <w:highlight w:val="none"/>
          <w:lang w:eastAsia="zh-CN"/>
        </w:rPr>
        <w:sectPr>
          <w:footerReference r:id="rId16" w:type="default"/>
          <w:pgSz w:w="11906" w:h="16839"/>
          <w:pgMar w:top="1431" w:right="1587" w:bottom="1429" w:left="1587" w:header="0" w:footer="994" w:gutter="0"/>
          <w:pgNumType w:fmt="decimal"/>
          <w:cols w:space="720" w:num="1"/>
        </w:sectPr>
      </w:pPr>
    </w:p>
    <w:p w14:paraId="3350687C">
      <w:pPr>
        <w:pageBreakBefore w:val="0"/>
        <w:widowControl w:val="0"/>
        <w:wordWrap/>
        <w:overflowPunct/>
        <w:topLinePunct w:val="0"/>
        <w:bidi w:val="0"/>
        <w:spacing w:before="101" w:line="219" w:lineRule="auto"/>
        <w:jc w:val="right"/>
        <w:outlineLvl w:val="1"/>
        <w:rPr>
          <w:rFonts w:ascii="宋体" w:hAnsi="宋体" w:eastAsia="宋体" w:cs="宋体"/>
          <w:color w:val="auto"/>
          <w:sz w:val="24"/>
          <w:szCs w:val="24"/>
          <w:highlight w:val="none"/>
          <w:lang w:eastAsia="zh-CN"/>
        </w:rPr>
      </w:pPr>
      <w:bookmarkStart w:id="363" w:name="_Toc26222"/>
      <w:bookmarkStart w:id="364" w:name="_Toc28663"/>
      <w:bookmarkStart w:id="365" w:name="_Toc26313"/>
      <w:bookmarkStart w:id="366" w:name="_Toc27122"/>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省级以上监狱管理局、戒毒管理局（含新疆生产建设兵团）出具的属于监狱</w:t>
      </w:r>
      <w:bookmarkEnd w:id="363"/>
      <w:bookmarkEnd w:id="364"/>
      <w:bookmarkEnd w:id="365"/>
      <w:bookmarkEnd w:id="366"/>
    </w:p>
    <w:p w14:paraId="352BEAFC">
      <w:pPr>
        <w:pageBreakBefore w:val="0"/>
        <w:widowControl w:val="0"/>
        <w:wordWrap/>
        <w:overflowPunct/>
        <w:topLinePunct w:val="0"/>
        <w:bidi w:val="0"/>
        <w:spacing w:before="183" w:line="219" w:lineRule="auto"/>
        <w:ind w:left="374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企业证明文件</w:t>
      </w:r>
    </w:p>
    <w:p w14:paraId="18FA1A15">
      <w:pPr>
        <w:pageBreakBefore w:val="0"/>
        <w:widowControl w:val="0"/>
        <w:wordWrap/>
        <w:overflowPunct/>
        <w:topLinePunct w:val="0"/>
        <w:bidi w:val="0"/>
        <w:spacing w:line="275" w:lineRule="auto"/>
        <w:rPr>
          <w:color w:val="auto"/>
          <w:highlight w:val="none"/>
          <w:lang w:eastAsia="zh-CN"/>
        </w:rPr>
      </w:pPr>
    </w:p>
    <w:p w14:paraId="55399725">
      <w:pPr>
        <w:pageBreakBefore w:val="0"/>
        <w:widowControl w:val="0"/>
        <w:wordWrap/>
        <w:overflowPunct/>
        <w:topLinePunct w:val="0"/>
        <w:bidi w:val="0"/>
        <w:spacing w:line="276" w:lineRule="auto"/>
        <w:rPr>
          <w:color w:val="auto"/>
          <w:highlight w:val="none"/>
          <w:lang w:eastAsia="zh-CN"/>
        </w:rPr>
      </w:pPr>
    </w:p>
    <w:p w14:paraId="391C415F">
      <w:pPr>
        <w:pStyle w:val="24"/>
        <w:pageBreakBefore w:val="0"/>
        <w:widowControl w:val="0"/>
        <w:wordWrap/>
        <w:overflowPunct/>
        <w:topLinePunct w:val="0"/>
        <w:bidi w:val="0"/>
        <w:rPr>
          <w:color w:val="auto"/>
          <w:highlight w:val="none"/>
          <w:lang w:eastAsia="zh-CN"/>
        </w:rPr>
      </w:pPr>
    </w:p>
    <w:p w14:paraId="580C1DF4">
      <w:pPr>
        <w:pStyle w:val="24"/>
        <w:pageBreakBefore w:val="0"/>
        <w:widowControl w:val="0"/>
        <w:wordWrap/>
        <w:overflowPunct/>
        <w:topLinePunct w:val="0"/>
        <w:bidi w:val="0"/>
        <w:rPr>
          <w:color w:val="auto"/>
          <w:highlight w:val="none"/>
          <w:lang w:eastAsia="zh-CN"/>
        </w:rPr>
      </w:pPr>
    </w:p>
    <w:p w14:paraId="1C915980">
      <w:pPr>
        <w:pStyle w:val="24"/>
        <w:pageBreakBefore w:val="0"/>
        <w:widowControl w:val="0"/>
        <w:wordWrap/>
        <w:overflowPunct/>
        <w:topLinePunct w:val="0"/>
        <w:bidi w:val="0"/>
        <w:rPr>
          <w:color w:val="auto"/>
          <w:highlight w:val="none"/>
          <w:lang w:eastAsia="zh-CN"/>
        </w:rPr>
      </w:pPr>
    </w:p>
    <w:p w14:paraId="7BFC3FE0">
      <w:pPr>
        <w:pStyle w:val="24"/>
        <w:pageBreakBefore w:val="0"/>
        <w:widowControl w:val="0"/>
        <w:wordWrap/>
        <w:overflowPunct/>
        <w:topLinePunct w:val="0"/>
        <w:bidi w:val="0"/>
        <w:rPr>
          <w:color w:val="auto"/>
          <w:highlight w:val="none"/>
          <w:lang w:eastAsia="zh-CN"/>
        </w:rPr>
      </w:pPr>
    </w:p>
    <w:p w14:paraId="0465FF8C">
      <w:pPr>
        <w:pStyle w:val="24"/>
        <w:pageBreakBefore w:val="0"/>
        <w:widowControl w:val="0"/>
        <w:wordWrap/>
        <w:overflowPunct/>
        <w:topLinePunct w:val="0"/>
        <w:bidi w:val="0"/>
        <w:rPr>
          <w:color w:val="auto"/>
          <w:highlight w:val="none"/>
          <w:lang w:eastAsia="zh-CN"/>
        </w:rPr>
      </w:pPr>
    </w:p>
    <w:p w14:paraId="00441345">
      <w:pPr>
        <w:pStyle w:val="24"/>
        <w:pageBreakBefore w:val="0"/>
        <w:widowControl w:val="0"/>
        <w:wordWrap/>
        <w:overflowPunct/>
        <w:topLinePunct w:val="0"/>
        <w:bidi w:val="0"/>
        <w:rPr>
          <w:color w:val="auto"/>
          <w:highlight w:val="none"/>
          <w:lang w:eastAsia="zh-CN"/>
        </w:rPr>
      </w:pPr>
    </w:p>
    <w:p w14:paraId="16BBE0C8">
      <w:pPr>
        <w:pStyle w:val="24"/>
        <w:pageBreakBefore w:val="0"/>
        <w:widowControl w:val="0"/>
        <w:wordWrap/>
        <w:overflowPunct/>
        <w:topLinePunct w:val="0"/>
        <w:bidi w:val="0"/>
        <w:rPr>
          <w:color w:val="auto"/>
          <w:highlight w:val="none"/>
          <w:lang w:eastAsia="zh-CN"/>
        </w:rPr>
      </w:pPr>
    </w:p>
    <w:p w14:paraId="6989BEA0">
      <w:pPr>
        <w:pStyle w:val="24"/>
        <w:pageBreakBefore w:val="0"/>
        <w:widowControl w:val="0"/>
        <w:wordWrap/>
        <w:overflowPunct/>
        <w:topLinePunct w:val="0"/>
        <w:bidi w:val="0"/>
        <w:rPr>
          <w:color w:val="auto"/>
          <w:highlight w:val="none"/>
          <w:lang w:eastAsia="zh-CN"/>
        </w:rPr>
      </w:pPr>
    </w:p>
    <w:p w14:paraId="65CFA716">
      <w:pPr>
        <w:pStyle w:val="24"/>
        <w:pageBreakBefore w:val="0"/>
        <w:widowControl w:val="0"/>
        <w:wordWrap/>
        <w:overflowPunct/>
        <w:topLinePunct w:val="0"/>
        <w:bidi w:val="0"/>
        <w:rPr>
          <w:color w:val="auto"/>
          <w:highlight w:val="none"/>
          <w:lang w:eastAsia="zh-CN"/>
        </w:rPr>
      </w:pPr>
    </w:p>
    <w:p w14:paraId="13262422">
      <w:pPr>
        <w:pStyle w:val="24"/>
        <w:pageBreakBefore w:val="0"/>
        <w:widowControl w:val="0"/>
        <w:wordWrap/>
        <w:overflowPunct/>
        <w:topLinePunct w:val="0"/>
        <w:bidi w:val="0"/>
        <w:rPr>
          <w:color w:val="auto"/>
          <w:highlight w:val="none"/>
          <w:lang w:eastAsia="zh-CN"/>
        </w:rPr>
      </w:pPr>
    </w:p>
    <w:p w14:paraId="78F60944">
      <w:pPr>
        <w:pStyle w:val="24"/>
        <w:pageBreakBefore w:val="0"/>
        <w:widowControl w:val="0"/>
        <w:wordWrap/>
        <w:overflowPunct/>
        <w:topLinePunct w:val="0"/>
        <w:bidi w:val="0"/>
        <w:rPr>
          <w:color w:val="auto"/>
          <w:highlight w:val="none"/>
          <w:lang w:eastAsia="zh-CN"/>
        </w:rPr>
      </w:pPr>
    </w:p>
    <w:p w14:paraId="6B01D751">
      <w:pPr>
        <w:pStyle w:val="24"/>
        <w:pageBreakBefore w:val="0"/>
        <w:widowControl w:val="0"/>
        <w:wordWrap/>
        <w:overflowPunct/>
        <w:topLinePunct w:val="0"/>
        <w:bidi w:val="0"/>
        <w:rPr>
          <w:color w:val="auto"/>
          <w:highlight w:val="none"/>
          <w:lang w:eastAsia="zh-CN"/>
        </w:rPr>
      </w:pPr>
    </w:p>
    <w:p w14:paraId="485CF8CF">
      <w:pPr>
        <w:pStyle w:val="24"/>
        <w:pageBreakBefore w:val="0"/>
        <w:widowControl w:val="0"/>
        <w:wordWrap/>
        <w:overflowPunct/>
        <w:topLinePunct w:val="0"/>
        <w:bidi w:val="0"/>
        <w:rPr>
          <w:color w:val="auto"/>
          <w:highlight w:val="none"/>
          <w:lang w:eastAsia="zh-CN"/>
        </w:rPr>
      </w:pPr>
    </w:p>
    <w:p w14:paraId="0F017101">
      <w:pPr>
        <w:pStyle w:val="24"/>
        <w:pageBreakBefore w:val="0"/>
        <w:widowControl w:val="0"/>
        <w:wordWrap/>
        <w:overflowPunct/>
        <w:topLinePunct w:val="0"/>
        <w:bidi w:val="0"/>
        <w:rPr>
          <w:color w:val="auto"/>
          <w:highlight w:val="none"/>
          <w:lang w:eastAsia="zh-CN"/>
        </w:rPr>
      </w:pPr>
    </w:p>
    <w:p w14:paraId="1583E2C5">
      <w:pPr>
        <w:pStyle w:val="24"/>
        <w:pageBreakBefore w:val="0"/>
        <w:widowControl w:val="0"/>
        <w:wordWrap/>
        <w:overflowPunct/>
        <w:topLinePunct w:val="0"/>
        <w:bidi w:val="0"/>
        <w:rPr>
          <w:color w:val="auto"/>
          <w:highlight w:val="none"/>
          <w:lang w:eastAsia="zh-CN"/>
        </w:rPr>
      </w:pPr>
    </w:p>
    <w:p w14:paraId="676E8EF0">
      <w:pPr>
        <w:pStyle w:val="24"/>
        <w:pageBreakBefore w:val="0"/>
        <w:widowControl w:val="0"/>
        <w:wordWrap/>
        <w:overflowPunct/>
        <w:topLinePunct w:val="0"/>
        <w:bidi w:val="0"/>
        <w:rPr>
          <w:color w:val="auto"/>
          <w:highlight w:val="none"/>
          <w:lang w:eastAsia="zh-CN"/>
        </w:rPr>
      </w:pPr>
    </w:p>
    <w:p w14:paraId="50822CD5">
      <w:pPr>
        <w:pStyle w:val="24"/>
        <w:pageBreakBefore w:val="0"/>
        <w:widowControl w:val="0"/>
        <w:wordWrap/>
        <w:overflowPunct/>
        <w:topLinePunct w:val="0"/>
        <w:bidi w:val="0"/>
        <w:rPr>
          <w:color w:val="auto"/>
          <w:highlight w:val="none"/>
          <w:lang w:eastAsia="zh-CN"/>
        </w:rPr>
      </w:pPr>
    </w:p>
    <w:p w14:paraId="1C6053A8">
      <w:pPr>
        <w:pStyle w:val="24"/>
        <w:pageBreakBefore w:val="0"/>
        <w:widowControl w:val="0"/>
        <w:wordWrap/>
        <w:overflowPunct/>
        <w:topLinePunct w:val="0"/>
        <w:bidi w:val="0"/>
        <w:rPr>
          <w:color w:val="auto"/>
          <w:highlight w:val="none"/>
          <w:lang w:eastAsia="zh-CN"/>
        </w:rPr>
      </w:pPr>
    </w:p>
    <w:p w14:paraId="33CDF5AF">
      <w:pPr>
        <w:pStyle w:val="24"/>
        <w:pageBreakBefore w:val="0"/>
        <w:widowControl w:val="0"/>
        <w:wordWrap/>
        <w:overflowPunct/>
        <w:topLinePunct w:val="0"/>
        <w:bidi w:val="0"/>
        <w:rPr>
          <w:color w:val="auto"/>
          <w:highlight w:val="none"/>
          <w:lang w:eastAsia="zh-CN"/>
        </w:rPr>
      </w:pPr>
    </w:p>
    <w:p w14:paraId="254BD8DF">
      <w:pPr>
        <w:pStyle w:val="24"/>
        <w:pageBreakBefore w:val="0"/>
        <w:widowControl w:val="0"/>
        <w:wordWrap/>
        <w:overflowPunct/>
        <w:topLinePunct w:val="0"/>
        <w:bidi w:val="0"/>
        <w:rPr>
          <w:color w:val="auto"/>
          <w:highlight w:val="none"/>
          <w:lang w:eastAsia="zh-CN"/>
        </w:rPr>
      </w:pPr>
    </w:p>
    <w:p w14:paraId="1C03E690">
      <w:pPr>
        <w:pStyle w:val="24"/>
        <w:pageBreakBefore w:val="0"/>
        <w:widowControl w:val="0"/>
        <w:wordWrap/>
        <w:overflowPunct/>
        <w:topLinePunct w:val="0"/>
        <w:bidi w:val="0"/>
        <w:rPr>
          <w:color w:val="auto"/>
          <w:highlight w:val="none"/>
          <w:lang w:eastAsia="zh-CN"/>
        </w:rPr>
      </w:pPr>
    </w:p>
    <w:p w14:paraId="750FA9A3">
      <w:pPr>
        <w:pStyle w:val="24"/>
        <w:pageBreakBefore w:val="0"/>
        <w:widowControl w:val="0"/>
        <w:wordWrap/>
        <w:overflowPunct/>
        <w:topLinePunct w:val="0"/>
        <w:bidi w:val="0"/>
        <w:rPr>
          <w:color w:val="auto"/>
          <w:highlight w:val="none"/>
          <w:lang w:eastAsia="zh-CN"/>
        </w:rPr>
      </w:pPr>
    </w:p>
    <w:p w14:paraId="6D4F29B2">
      <w:pPr>
        <w:pStyle w:val="24"/>
        <w:pageBreakBefore w:val="0"/>
        <w:widowControl w:val="0"/>
        <w:wordWrap/>
        <w:overflowPunct/>
        <w:topLinePunct w:val="0"/>
        <w:bidi w:val="0"/>
        <w:rPr>
          <w:color w:val="auto"/>
          <w:highlight w:val="none"/>
          <w:lang w:eastAsia="zh-CN"/>
        </w:rPr>
      </w:pPr>
    </w:p>
    <w:p w14:paraId="60B66805">
      <w:pPr>
        <w:pStyle w:val="24"/>
        <w:pageBreakBefore w:val="0"/>
        <w:widowControl w:val="0"/>
        <w:wordWrap/>
        <w:overflowPunct/>
        <w:topLinePunct w:val="0"/>
        <w:bidi w:val="0"/>
        <w:rPr>
          <w:color w:val="auto"/>
          <w:highlight w:val="none"/>
          <w:lang w:eastAsia="zh-CN"/>
        </w:rPr>
      </w:pPr>
    </w:p>
    <w:p w14:paraId="3CABC696">
      <w:pPr>
        <w:pStyle w:val="24"/>
        <w:pageBreakBefore w:val="0"/>
        <w:widowControl w:val="0"/>
        <w:wordWrap/>
        <w:overflowPunct/>
        <w:topLinePunct w:val="0"/>
        <w:bidi w:val="0"/>
        <w:rPr>
          <w:color w:val="auto"/>
          <w:highlight w:val="none"/>
          <w:lang w:eastAsia="zh-CN"/>
        </w:rPr>
      </w:pPr>
    </w:p>
    <w:p w14:paraId="7AFD4EA6">
      <w:pPr>
        <w:pStyle w:val="24"/>
        <w:pageBreakBefore w:val="0"/>
        <w:widowControl w:val="0"/>
        <w:wordWrap/>
        <w:overflowPunct/>
        <w:topLinePunct w:val="0"/>
        <w:bidi w:val="0"/>
        <w:rPr>
          <w:color w:val="auto"/>
          <w:highlight w:val="none"/>
          <w:lang w:eastAsia="zh-CN"/>
        </w:rPr>
      </w:pPr>
    </w:p>
    <w:p w14:paraId="4D3C7629">
      <w:pPr>
        <w:pStyle w:val="24"/>
        <w:pageBreakBefore w:val="0"/>
        <w:widowControl w:val="0"/>
        <w:wordWrap/>
        <w:overflowPunct/>
        <w:topLinePunct w:val="0"/>
        <w:bidi w:val="0"/>
        <w:rPr>
          <w:color w:val="auto"/>
          <w:highlight w:val="none"/>
          <w:lang w:eastAsia="zh-CN"/>
        </w:rPr>
      </w:pPr>
    </w:p>
    <w:p w14:paraId="443AD246">
      <w:pPr>
        <w:pStyle w:val="24"/>
        <w:pageBreakBefore w:val="0"/>
        <w:widowControl w:val="0"/>
        <w:wordWrap/>
        <w:overflowPunct/>
        <w:topLinePunct w:val="0"/>
        <w:bidi w:val="0"/>
        <w:rPr>
          <w:color w:val="auto"/>
          <w:highlight w:val="none"/>
          <w:lang w:eastAsia="zh-CN"/>
        </w:rPr>
      </w:pPr>
    </w:p>
    <w:p w14:paraId="79E3EA7A">
      <w:pPr>
        <w:pStyle w:val="24"/>
        <w:pageBreakBefore w:val="0"/>
        <w:widowControl w:val="0"/>
        <w:wordWrap/>
        <w:overflowPunct/>
        <w:topLinePunct w:val="0"/>
        <w:bidi w:val="0"/>
        <w:rPr>
          <w:color w:val="auto"/>
          <w:highlight w:val="none"/>
          <w:lang w:eastAsia="zh-CN"/>
        </w:rPr>
      </w:pPr>
    </w:p>
    <w:p w14:paraId="12E30048">
      <w:pPr>
        <w:pStyle w:val="24"/>
        <w:pageBreakBefore w:val="0"/>
        <w:widowControl w:val="0"/>
        <w:wordWrap/>
        <w:overflowPunct/>
        <w:topLinePunct w:val="0"/>
        <w:bidi w:val="0"/>
        <w:rPr>
          <w:color w:val="auto"/>
          <w:highlight w:val="none"/>
          <w:lang w:eastAsia="zh-CN"/>
        </w:rPr>
      </w:pPr>
    </w:p>
    <w:p w14:paraId="098907A8">
      <w:pPr>
        <w:pStyle w:val="24"/>
        <w:pageBreakBefore w:val="0"/>
        <w:widowControl w:val="0"/>
        <w:wordWrap/>
        <w:overflowPunct/>
        <w:topLinePunct w:val="0"/>
        <w:bidi w:val="0"/>
        <w:rPr>
          <w:color w:val="auto"/>
          <w:highlight w:val="none"/>
          <w:lang w:eastAsia="zh-CN"/>
        </w:rPr>
      </w:pPr>
    </w:p>
    <w:p w14:paraId="495EF78F">
      <w:pPr>
        <w:pStyle w:val="24"/>
        <w:pageBreakBefore w:val="0"/>
        <w:widowControl w:val="0"/>
        <w:wordWrap/>
        <w:overflowPunct/>
        <w:topLinePunct w:val="0"/>
        <w:bidi w:val="0"/>
        <w:rPr>
          <w:color w:val="auto"/>
          <w:highlight w:val="none"/>
          <w:lang w:eastAsia="zh-CN"/>
        </w:rPr>
      </w:pPr>
    </w:p>
    <w:p w14:paraId="6BE0DDF3">
      <w:pPr>
        <w:pStyle w:val="24"/>
        <w:pageBreakBefore w:val="0"/>
        <w:widowControl w:val="0"/>
        <w:wordWrap/>
        <w:overflowPunct/>
        <w:topLinePunct w:val="0"/>
        <w:bidi w:val="0"/>
        <w:rPr>
          <w:color w:val="auto"/>
          <w:highlight w:val="none"/>
          <w:lang w:eastAsia="zh-CN"/>
        </w:rPr>
      </w:pPr>
    </w:p>
    <w:p w14:paraId="5B8C44AE">
      <w:pPr>
        <w:pStyle w:val="24"/>
        <w:pageBreakBefore w:val="0"/>
        <w:widowControl w:val="0"/>
        <w:wordWrap/>
        <w:overflowPunct/>
        <w:topLinePunct w:val="0"/>
        <w:bidi w:val="0"/>
        <w:rPr>
          <w:color w:val="auto"/>
          <w:highlight w:val="none"/>
          <w:lang w:eastAsia="zh-CN"/>
        </w:rPr>
      </w:pPr>
    </w:p>
    <w:p w14:paraId="59813D9B">
      <w:pPr>
        <w:pStyle w:val="24"/>
        <w:pageBreakBefore w:val="0"/>
        <w:widowControl w:val="0"/>
        <w:wordWrap/>
        <w:overflowPunct/>
        <w:topLinePunct w:val="0"/>
        <w:bidi w:val="0"/>
        <w:rPr>
          <w:color w:val="auto"/>
          <w:highlight w:val="none"/>
          <w:lang w:eastAsia="zh-CN"/>
        </w:rPr>
      </w:pPr>
    </w:p>
    <w:p w14:paraId="7C73E5C2">
      <w:pPr>
        <w:pStyle w:val="24"/>
        <w:pageBreakBefore w:val="0"/>
        <w:widowControl w:val="0"/>
        <w:wordWrap/>
        <w:overflowPunct/>
        <w:topLinePunct w:val="0"/>
        <w:bidi w:val="0"/>
        <w:rPr>
          <w:color w:val="auto"/>
          <w:highlight w:val="none"/>
          <w:lang w:eastAsia="zh-CN"/>
        </w:rPr>
      </w:pPr>
    </w:p>
    <w:p w14:paraId="400D88F9">
      <w:pPr>
        <w:pStyle w:val="24"/>
        <w:pageBreakBefore w:val="0"/>
        <w:widowControl w:val="0"/>
        <w:wordWrap/>
        <w:overflowPunct/>
        <w:topLinePunct w:val="0"/>
        <w:bidi w:val="0"/>
        <w:rPr>
          <w:color w:val="auto"/>
          <w:highlight w:val="none"/>
          <w:lang w:eastAsia="zh-CN"/>
        </w:rPr>
      </w:pPr>
    </w:p>
    <w:p w14:paraId="5743A3DE">
      <w:pPr>
        <w:pStyle w:val="24"/>
        <w:pageBreakBefore w:val="0"/>
        <w:widowControl w:val="0"/>
        <w:wordWrap/>
        <w:overflowPunct/>
        <w:topLinePunct w:val="0"/>
        <w:bidi w:val="0"/>
        <w:rPr>
          <w:color w:val="auto"/>
          <w:highlight w:val="none"/>
          <w:lang w:eastAsia="zh-CN"/>
        </w:rPr>
      </w:pPr>
    </w:p>
    <w:p w14:paraId="29647D3A">
      <w:pPr>
        <w:pStyle w:val="24"/>
        <w:pageBreakBefore w:val="0"/>
        <w:widowControl w:val="0"/>
        <w:wordWrap/>
        <w:overflowPunct/>
        <w:topLinePunct w:val="0"/>
        <w:bidi w:val="0"/>
        <w:ind w:left="0" w:leftChars="0" w:firstLine="0" w:firstLineChars="0"/>
        <w:rPr>
          <w:color w:val="auto"/>
          <w:highlight w:val="none"/>
          <w:lang w:eastAsia="zh-CN"/>
        </w:rPr>
      </w:pPr>
    </w:p>
    <w:p w14:paraId="1E15E49C">
      <w:pPr>
        <w:pStyle w:val="24"/>
        <w:pageBreakBefore w:val="0"/>
        <w:widowControl w:val="0"/>
        <w:wordWrap/>
        <w:overflowPunct/>
        <w:topLinePunct w:val="0"/>
        <w:bidi w:val="0"/>
        <w:rPr>
          <w:color w:val="auto"/>
          <w:highlight w:val="none"/>
          <w:lang w:eastAsia="zh-CN"/>
        </w:rPr>
      </w:pPr>
    </w:p>
    <w:p w14:paraId="41447A1B">
      <w:pPr>
        <w:pStyle w:val="24"/>
        <w:pageBreakBefore w:val="0"/>
        <w:widowControl w:val="0"/>
        <w:wordWrap/>
        <w:overflowPunct/>
        <w:topLinePunct w:val="0"/>
        <w:bidi w:val="0"/>
        <w:ind w:left="0" w:leftChars="0" w:firstLine="0" w:firstLineChars="0"/>
        <w:rPr>
          <w:color w:val="auto"/>
          <w:highlight w:val="none"/>
          <w:lang w:eastAsia="zh-CN"/>
        </w:rPr>
      </w:pPr>
    </w:p>
    <w:p w14:paraId="7225997B">
      <w:pPr>
        <w:pageBreakBefore w:val="0"/>
        <w:widowControl w:val="0"/>
        <w:wordWrap/>
        <w:overflowPunct/>
        <w:topLinePunct w:val="0"/>
        <w:bidi w:val="0"/>
        <w:spacing w:afterAutospacing="0" w:line="276" w:lineRule="auto"/>
        <w:rPr>
          <w:color w:val="auto"/>
          <w:highlight w:val="none"/>
          <w:lang w:eastAsia="zh-CN"/>
        </w:rPr>
      </w:pPr>
    </w:p>
    <w:p w14:paraId="76A5DF1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240" w:lineRule="auto"/>
        <w:jc w:val="right"/>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注：1、省级以上监狱管理局、戒毒管理局（含新疆生产建设兵团）出具的</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属于监</w:t>
      </w:r>
    </w:p>
    <w:p w14:paraId="2511D51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882" w:leftChars="420" w:firstLine="161" w:firstLineChars="68"/>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val="en-US"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1"/>
          <w:position w:val="17"/>
          <w:sz w:val="24"/>
          <w:szCs w:val="24"/>
          <w:highlight w:val="none"/>
          <w:lang w:eastAsia="zh-CN"/>
          <w14:textOutline w14:w="4356" w14:cap="sq" w14:cmpd="sng" w14:algn="ctr">
            <w14:solidFill>
              <w14:srgbClr w14:val="000000"/>
            </w14:solidFill>
            <w14:prstDash w14:val="solid"/>
            <w14:bevel/>
          </w14:textOutline>
        </w:rPr>
        <w:t>企业证明文件格式由出具单位提供；</w:t>
      </w:r>
    </w:p>
    <w:p w14:paraId="16FE877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100" w:afterAutospacing="0" w:line="360" w:lineRule="auto"/>
        <w:ind w:left="1044" w:leftChars="307" w:hanging="399" w:hangingChars="168"/>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未提供不予享受预留份额、评审中价格扣除等政府采购促进中小企业发展的政府采购政策</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p>
    <w:p w14:paraId="0CC9A6B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footerReference r:id="rId17" w:type="default"/>
          <w:pgSz w:w="11906" w:h="16839"/>
          <w:pgMar w:top="1431" w:right="1531" w:bottom="1429" w:left="1531" w:header="0" w:footer="994" w:gutter="0"/>
          <w:pgNumType w:fmt="decimal"/>
          <w:cols w:space="720" w:num="1"/>
        </w:sectPr>
      </w:pPr>
    </w:p>
    <w:p w14:paraId="32E197AF">
      <w:pPr>
        <w:pageBreakBefore w:val="0"/>
        <w:widowControl w:val="0"/>
        <w:wordWrap/>
        <w:overflowPunct/>
        <w:topLinePunct w:val="0"/>
        <w:bidi w:val="0"/>
        <w:spacing w:before="101" w:line="219" w:lineRule="auto"/>
        <w:ind w:left="2651"/>
        <w:outlineLvl w:val="1"/>
        <w:rPr>
          <w:rFonts w:ascii="宋体" w:hAnsi="宋体" w:eastAsia="宋体" w:cs="宋体"/>
          <w:color w:val="auto"/>
          <w:sz w:val="24"/>
          <w:szCs w:val="24"/>
          <w:highlight w:val="none"/>
          <w:lang w:eastAsia="zh-CN"/>
        </w:rPr>
      </w:pPr>
      <w:bookmarkStart w:id="367" w:name="_Toc28885"/>
      <w:bookmarkStart w:id="368" w:name="_Toc23228"/>
      <w:bookmarkStart w:id="369" w:name="_Toc17163"/>
      <w:bookmarkStart w:id="370" w:name="_Toc1853"/>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4"/>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残疾人福利性单位声明函</w:t>
      </w:r>
      <w:bookmarkEnd w:id="367"/>
      <w:bookmarkEnd w:id="368"/>
      <w:bookmarkEnd w:id="369"/>
      <w:bookmarkEnd w:id="370"/>
    </w:p>
    <w:p w14:paraId="3CA11762">
      <w:pPr>
        <w:pageBreakBefore w:val="0"/>
        <w:widowControl w:val="0"/>
        <w:wordWrap/>
        <w:overflowPunct/>
        <w:topLinePunct w:val="0"/>
        <w:bidi w:val="0"/>
        <w:spacing w:line="362" w:lineRule="auto"/>
        <w:rPr>
          <w:color w:val="auto"/>
          <w:highlight w:val="none"/>
          <w:lang w:eastAsia="zh-CN"/>
        </w:rPr>
      </w:pPr>
    </w:p>
    <w:p w14:paraId="35324050">
      <w:pPr>
        <w:pageBreakBefore w:val="0"/>
        <w:widowControl w:val="0"/>
        <w:wordWrap/>
        <w:overflowPunct/>
        <w:topLinePunct w:val="0"/>
        <w:bidi w:val="0"/>
        <w:spacing w:before="78" w:line="219" w:lineRule="auto"/>
        <w:ind w:left="3069"/>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残疾人福利性单位声明函</w:t>
      </w:r>
    </w:p>
    <w:p w14:paraId="08A25923">
      <w:pPr>
        <w:pageBreakBefore w:val="0"/>
        <w:widowControl w:val="0"/>
        <w:wordWrap/>
        <w:overflowPunct/>
        <w:topLinePunct w:val="0"/>
        <w:bidi w:val="0"/>
        <w:spacing w:line="284" w:lineRule="auto"/>
        <w:rPr>
          <w:color w:val="auto"/>
          <w:highlight w:val="none"/>
          <w:lang w:eastAsia="zh-CN"/>
        </w:rPr>
      </w:pPr>
    </w:p>
    <w:p w14:paraId="5191E8B4">
      <w:pPr>
        <w:pageBreakBefore w:val="0"/>
        <w:widowControl w:val="0"/>
        <w:wordWrap/>
        <w:overflowPunct/>
        <w:topLinePunct w:val="0"/>
        <w:bidi w:val="0"/>
        <w:spacing w:line="285" w:lineRule="auto"/>
        <w:rPr>
          <w:color w:val="auto"/>
          <w:highlight w:val="none"/>
          <w:lang w:eastAsia="zh-CN"/>
        </w:rPr>
      </w:pPr>
    </w:p>
    <w:p w14:paraId="3C5BF88C">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firstLine="504"/>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本单位郑重声明，根据《财政部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9"/>
          <w:sz w:val="24"/>
          <w:szCs w:val="24"/>
          <w:highlight w:val="none"/>
          <w:lang w:eastAsia="zh-CN"/>
        </w:rPr>
        <w:t>民政部</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9"/>
          <w:sz w:val="24"/>
          <w:szCs w:val="24"/>
          <w:highlight w:val="none"/>
          <w:lang w:eastAsia="zh-CN"/>
        </w:rPr>
        <w:t>中国残疾人联合会</w:t>
      </w:r>
      <w:r>
        <w:rPr>
          <w:rFonts w:ascii="宋体" w:hAnsi="宋体" w:eastAsia="宋体" w:cs="宋体"/>
          <w:color w:val="auto"/>
          <w:spacing w:val="8"/>
          <w:sz w:val="24"/>
          <w:szCs w:val="24"/>
          <w:highlight w:val="none"/>
          <w:lang w:eastAsia="zh-CN"/>
        </w:rPr>
        <w:t>关于促进残疾人</w:t>
      </w:r>
      <w:r>
        <w:rPr>
          <w:rFonts w:ascii="宋体" w:hAnsi="宋体" w:eastAsia="宋体" w:cs="宋体"/>
          <w:color w:val="auto"/>
          <w:spacing w:val="7"/>
          <w:sz w:val="24"/>
          <w:szCs w:val="24"/>
          <w:highlight w:val="none"/>
          <w:lang w:eastAsia="zh-CN"/>
        </w:rPr>
        <w:t>就业政府采购政策的通知》</w:t>
      </w:r>
      <w:r>
        <w:rPr>
          <w:rFonts w:ascii="宋体" w:hAnsi="宋体" w:eastAsia="宋体" w:cs="宋体"/>
          <w:color w:val="auto"/>
          <w:spacing w:val="-93"/>
          <w:sz w:val="24"/>
          <w:szCs w:val="24"/>
          <w:highlight w:val="none"/>
          <w:lang w:eastAsia="zh-CN"/>
        </w:rPr>
        <w:t xml:space="preserve"> </w:t>
      </w:r>
      <w:r>
        <w:rPr>
          <w:rFonts w:ascii="宋体" w:hAnsi="宋体" w:eastAsia="宋体" w:cs="宋体"/>
          <w:color w:val="auto"/>
          <w:spacing w:val="7"/>
          <w:sz w:val="24"/>
          <w:szCs w:val="24"/>
          <w:highlight w:val="none"/>
          <w:lang w:eastAsia="zh-CN"/>
        </w:rPr>
        <w:t>（财库〔2017〕 141</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7"/>
          <w:sz w:val="24"/>
          <w:szCs w:val="24"/>
          <w:highlight w:val="none"/>
          <w:lang w:eastAsia="zh-CN"/>
        </w:rPr>
        <w:t>号）</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7"/>
          <w:sz w:val="24"/>
          <w:szCs w:val="24"/>
          <w:highlight w:val="none"/>
          <w:lang w:eastAsia="zh-CN"/>
        </w:rPr>
        <w:t>的规定</w:t>
      </w:r>
      <w:r>
        <w:rPr>
          <w:rFonts w:ascii="宋体" w:hAnsi="宋体" w:eastAsia="宋体" w:cs="宋体"/>
          <w:color w:val="auto"/>
          <w:spacing w:val="6"/>
          <w:sz w:val="24"/>
          <w:szCs w:val="24"/>
          <w:highlight w:val="none"/>
          <w:lang w:eastAsia="zh-CN"/>
        </w:rPr>
        <w:t>，本单位为符合条件</w:t>
      </w:r>
      <w:r>
        <w:rPr>
          <w:rFonts w:ascii="宋体" w:hAnsi="宋体" w:eastAsia="宋体" w:cs="宋体"/>
          <w:color w:val="auto"/>
          <w:spacing w:val="11"/>
          <w:sz w:val="24"/>
          <w:szCs w:val="24"/>
          <w:highlight w:val="none"/>
          <w:lang w:eastAsia="zh-CN"/>
        </w:rPr>
        <w:t>的残疾人福利性单位，且本单位参加</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2"/>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6"/>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单位的</w:t>
      </w:r>
      <w:r>
        <w:rPr>
          <w:rFonts w:ascii="宋体" w:hAnsi="宋体" w:eastAsia="宋体" w:cs="宋体"/>
          <w:color w:val="auto"/>
          <w:spacing w:val="-110"/>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3"/>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项目采购活动提供</w:t>
      </w:r>
      <w:r>
        <w:rPr>
          <w:rFonts w:ascii="宋体" w:hAnsi="宋体" w:eastAsia="宋体" w:cs="宋体"/>
          <w:color w:val="auto"/>
          <w:spacing w:val="10"/>
          <w:sz w:val="24"/>
          <w:szCs w:val="24"/>
          <w:highlight w:val="none"/>
          <w:lang w:eastAsia="zh-CN"/>
        </w:rPr>
        <w:t>本单</w:t>
      </w:r>
      <w:r>
        <w:rPr>
          <w:rFonts w:ascii="宋体" w:hAnsi="宋体" w:eastAsia="宋体" w:cs="宋体"/>
          <w:color w:val="auto"/>
          <w:spacing w:val="9"/>
          <w:sz w:val="24"/>
          <w:szCs w:val="24"/>
          <w:highlight w:val="none"/>
          <w:lang w:eastAsia="zh-CN"/>
        </w:rPr>
        <w:t>位制造的货物（由本单位承担工程/提供服务</w:t>
      </w:r>
      <w:r>
        <w:rPr>
          <w:rFonts w:ascii="宋体" w:hAnsi="宋体" w:eastAsia="宋体" w:cs="宋体"/>
          <w:color w:val="auto"/>
          <w:spacing w:val="-3"/>
          <w:sz w:val="24"/>
          <w:szCs w:val="24"/>
          <w:highlight w:val="none"/>
          <w:lang w:eastAsia="zh-CN"/>
        </w:rPr>
        <w:t>），</w:t>
      </w:r>
      <w:r>
        <w:rPr>
          <w:rFonts w:ascii="宋体" w:hAnsi="宋体" w:eastAsia="宋体" w:cs="宋体"/>
          <w:color w:val="auto"/>
          <w:spacing w:val="9"/>
          <w:sz w:val="24"/>
          <w:szCs w:val="24"/>
          <w:highlight w:val="none"/>
          <w:lang w:eastAsia="zh-CN"/>
        </w:rPr>
        <w:t>或者提供其他残疾人福利性单位</w:t>
      </w:r>
      <w:r>
        <w:rPr>
          <w:rFonts w:ascii="宋体" w:hAnsi="宋体" w:eastAsia="宋体" w:cs="宋体"/>
          <w:color w:val="auto"/>
          <w:spacing w:val="11"/>
          <w:sz w:val="24"/>
          <w:szCs w:val="24"/>
          <w:highlight w:val="none"/>
          <w:lang w:eastAsia="zh-CN"/>
        </w:rPr>
        <w:t>制造的货物（不包括使用非残疾人福利性单位注册商标的货物）。</w:t>
      </w:r>
    </w:p>
    <w:p w14:paraId="313B9BD5">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542"/>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本单位对上述声明的真实性负责。如有虚假，将依法承</w:t>
      </w:r>
      <w:r>
        <w:rPr>
          <w:rFonts w:ascii="宋体" w:hAnsi="宋体" w:eastAsia="宋体" w:cs="宋体"/>
          <w:color w:val="auto"/>
          <w:spacing w:val="10"/>
          <w:sz w:val="24"/>
          <w:szCs w:val="24"/>
          <w:highlight w:val="none"/>
          <w:lang w:eastAsia="zh-CN"/>
        </w:rPr>
        <w:t>担相应责任。</w:t>
      </w:r>
    </w:p>
    <w:p w14:paraId="02219E2A">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50BCFC3F">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4C600BDC">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6A8E55E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highlight w:val="none"/>
          <w:lang w:eastAsia="zh-CN"/>
        </w:rPr>
      </w:pPr>
    </w:p>
    <w:p w14:paraId="718CC89B">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580"/>
        <w:textAlignment w:val="baseline"/>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单位名称（盖章</w:t>
      </w:r>
      <w:r>
        <w:rPr>
          <w:rFonts w:ascii="宋体" w:hAnsi="宋体" w:eastAsia="宋体" w:cs="宋体"/>
          <w:color w:val="auto"/>
          <w:spacing w:val="13"/>
          <w:sz w:val="24"/>
          <w:szCs w:val="24"/>
          <w:highlight w:val="none"/>
          <w:lang w:eastAsia="zh-CN"/>
        </w:rPr>
        <w:t>）：</w:t>
      </w:r>
    </w:p>
    <w:p w14:paraId="1DDF74A9">
      <w:pPr>
        <w:keepNext w:val="0"/>
        <w:keepLines w:val="0"/>
        <w:pageBreakBefore w:val="0"/>
        <w:widowControl w:val="0"/>
        <w:kinsoku w:val="0"/>
        <w:wordWrap/>
        <w:overflowPunct/>
        <w:topLinePunct w:val="0"/>
        <w:autoSpaceDE w:val="0"/>
        <w:autoSpaceDN w:val="0"/>
        <w:bidi w:val="0"/>
        <w:adjustRightInd w:val="0"/>
        <w:snapToGrid w:val="0"/>
        <w:spacing w:before="184" w:line="500" w:lineRule="atLeast"/>
        <w:ind w:left="4583"/>
        <w:textAlignment w:val="baseline"/>
        <w:outlineLvl w:val="1"/>
        <w:rPr>
          <w:rFonts w:hint="default" w:ascii="宋体" w:hAnsi="宋体" w:eastAsia="宋体" w:cs="宋体"/>
          <w:color w:val="auto"/>
          <w:sz w:val="24"/>
          <w:szCs w:val="24"/>
          <w:highlight w:val="none"/>
          <w:u w:val="single"/>
          <w:lang w:val="en-US" w:eastAsia="zh-CN"/>
        </w:rPr>
      </w:pPr>
      <w:bookmarkStart w:id="371" w:name="_Toc12401"/>
      <w:bookmarkStart w:id="372" w:name="_Toc9117"/>
      <w:bookmarkStart w:id="373" w:name="_Toc20682"/>
      <w:bookmarkStart w:id="374" w:name="_Toc24550"/>
      <w:r>
        <w:rPr>
          <w:rFonts w:ascii="宋体" w:hAnsi="宋体" w:eastAsia="宋体" w:cs="宋体"/>
          <w:color w:val="auto"/>
          <w:spacing w:val="-21"/>
          <w:sz w:val="24"/>
          <w:szCs w:val="24"/>
          <w:highlight w:val="none"/>
          <w:lang w:eastAsia="zh-CN"/>
        </w:rPr>
        <w:t>日</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21"/>
          <w:sz w:val="24"/>
          <w:szCs w:val="24"/>
          <w:highlight w:val="none"/>
          <w:lang w:eastAsia="zh-CN"/>
        </w:rPr>
        <w:t>期：</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 xml:space="preserve">年 </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月</w:t>
      </w:r>
      <w:r>
        <w:rPr>
          <w:rFonts w:hint="eastAsia" w:ascii="宋体" w:hAnsi="宋体" w:eastAsia="宋体" w:cs="宋体"/>
          <w:color w:val="auto"/>
          <w:spacing w:val="-21"/>
          <w:sz w:val="24"/>
          <w:szCs w:val="24"/>
          <w:highlight w:val="none"/>
          <w:u w:val="single"/>
          <w:lang w:val="en-US" w:eastAsia="zh-CN"/>
        </w:rPr>
        <w:t xml:space="preserve">      </w:t>
      </w:r>
      <w:r>
        <w:rPr>
          <w:rFonts w:hint="eastAsia" w:ascii="宋体" w:hAnsi="宋体" w:eastAsia="宋体" w:cs="宋体"/>
          <w:color w:val="auto"/>
          <w:spacing w:val="-21"/>
          <w:sz w:val="24"/>
          <w:szCs w:val="24"/>
          <w:highlight w:val="none"/>
          <w:u w:val="none"/>
          <w:lang w:val="en-US" w:eastAsia="zh-CN"/>
        </w:rPr>
        <w:t>日</w:t>
      </w:r>
      <w:bookmarkEnd w:id="371"/>
      <w:bookmarkEnd w:id="372"/>
      <w:bookmarkEnd w:id="373"/>
      <w:bookmarkEnd w:id="374"/>
    </w:p>
    <w:p w14:paraId="1A2A7290">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z w:val="24"/>
          <w:szCs w:val="24"/>
          <w:highlight w:val="none"/>
          <w:u w:val="single"/>
          <w:lang w:eastAsia="zh-CN"/>
        </w:rPr>
        <w:sectPr>
          <w:footerReference r:id="rId18" w:type="default"/>
          <w:pgSz w:w="11906" w:h="16839"/>
          <w:pgMar w:top="1431" w:right="1587" w:bottom="1429" w:left="1587" w:header="0" w:footer="994" w:gutter="0"/>
          <w:pgNumType w:fmt="decimal"/>
          <w:cols w:space="720" w:num="1"/>
        </w:sectPr>
      </w:pPr>
    </w:p>
    <w:p w14:paraId="175DEB63">
      <w:pPr>
        <w:pageBreakBefore w:val="0"/>
        <w:widowControl w:val="0"/>
        <w:wordWrap/>
        <w:overflowPunct/>
        <w:topLinePunct w:val="0"/>
        <w:bidi w:val="0"/>
        <w:spacing w:line="280" w:lineRule="auto"/>
        <w:rPr>
          <w:color w:val="auto"/>
          <w:highlight w:val="none"/>
          <w:lang w:eastAsia="zh-CN"/>
        </w:rPr>
      </w:pPr>
    </w:p>
    <w:p w14:paraId="37593940">
      <w:pPr>
        <w:pageBreakBefore w:val="0"/>
        <w:widowControl w:val="0"/>
        <w:wordWrap/>
        <w:overflowPunct/>
        <w:topLinePunct w:val="0"/>
        <w:bidi w:val="0"/>
        <w:spacing w:before="78" w:line="468" w:lineRule="exact"/>
        <w:jc w:val="center"/>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37"/>
          <w:position w:val="17"/>
          <w:sz w:val="24"/>
          <w:szCs w:val="24"/>
          <w:highlight w:val="none"/>
          <w:lang w:eastAsia="zh-CN"/>
        </w:rPr>
        <w:t xml:space="preserve"> </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8-4</w:t>
      </w:r>
      <w:r>
        <w:rPr>
          <w:rFonts w:ascii="宋体" w:hAnsi="宋体" w:eastAsia="宋体" w:cs="宋体"/>
          <w:color w:val="auto"/>
          <w:position w:val="17"/>
          <w:sz w:val="24"/>
          <w:szCs w:val="24"/>
          <w:highlight w:val="none"/>
          <w:lang w:eastAsia="zh-CN"/>
        </w:rPr>
        <w:t xml:space="preserve"> </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采购的产品如属于政府强制采购节能产品的，</w:t>
      </w:r>
      <w:r>
        <w:rPr>
          <w:rFonts w:hint="eastAsia"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响应文件</w:t>
      </w:r>
      <w:r>
        <w:rPr>
          <w:rFonts w:ascii="宋体" w:hAnsi="宋体" w:eastAsia="宋体" w:cs="宋体"/>
          <w:color w:val="auto"/>
          <w:position w:val="17"/>
          <w:sz w:val="24"/>
          <w:szCs w:val="24"/>
          <w:highlight w:val="none"/>
          <w:lang w:eastAsia="zh-CN"/>
          <w14:textOutline w14:w="4356" w14:cap="sq" w14:cmpd="sng" w14:algn="ctr">
            <w14:solidFill>
              <w14:srgbClr w14:val="000000"/>
            </w14:solidFill>
            <w14:prstDash w14:val="solid"/>
            <w14:bevel/>
          </w14:textOutline>
        </w:rPr>
        <w:t>中必须提供国家确</w:t>
      </w:r>
    </w:p>
    <w:p w14:paraId="2854145B">
      <w:pPr>
        <w:pageBreakBefore w:val="0"/>
        <w:widowControl w:val="0"/>
        <w:wordWrap/>
        <w:overflowPunct/>
        <w:topLinePunct w:val="0"/>
        <w:bidi w:val="0"/>
        <w:spacing w:line="218" w:lineRule="auto"/>
        <w:ind w:left="37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定的认证机构出具的、处于有效期之内的节能产品认证证书（扫描件）</w:t>
      </w:r>
    </w:p>
    <w:p w14:paraId="4373019D">
      <w:pPr>
        <w:pageBreakBefore w:val="0"/>
        <w:widowControl w:val="0"/>
        <w:wordWrap/>
        <w:overflowPunct/>
        <w:topLinePunct w:val="0"/>
        <w:bidi w:val="0"/>
        <w:spacing w:line="276" w:lineRule="auto"/>
        <w:jc w:val="center"/>
        <w:rPr>
          <w:color w:val="auto"/>
          <w:highlight w:val="none"/>
          <w:lang w:eastAsia="zh-CN"/>
        </w:rPr>
      </w:pPr>
    </w:p>
    <w:p w14:paraId="7CED9472">
      <w:pPr>
        <w:pageBreakBefore w:val="0"/>
        <w:widowControl w:val="0"/>
        <w:wordWrap/>
        <w:overflowPunct/>
        <w:topLinePunct w:val="0"/>
        <w:bidi w:val="0"/>
        <w:spacing w:line="276" w:lineRule="auto"/>
        <w:rPr>
          <w:color w:val="auto"/>
          <w:highlight w:val="none"/>
          <w:lang w:eastAsia="zh-CN"/>
        </w:rPr>
      </w:pPr>
    </w:p>
    <w:p w14:paraId="026C3692">
      <w:pPr>
        <w:pageBreakBefore w:val="0"/>
        <w:widowControl w:val="0"/>
        <w:wordWrap/>
        <w:overflowPunct/>
        <w:topLinePunct w:val="0"/>
        <w:bidi w:val="0"/>
        <w:spacing w:line="277" w:lineRule="auto"/>
        <w:rPr>
          <w:color w:val="auto"/>
          <w:highlight w:val="none"/>
          <w:lang w:eastAsia="zh-CN"/>
        </w:rPr>
      </w:pPr>
    </w:p>
    <w:p w14:paraId="34E00E1F">
      <w:pPr>
        <w:pageBreakBefore w:val="0"/>
        <w:widowControl w:val="0"/>
        <w:wordWrap/>
        <w:overflowPunct/>
        <w:topLinePunct w:val="0"/>
        <w:bidi w:val="0"/>
        <w:spacing w:before="78" w:line="219" w:lineRule="auto"/>
        <w:ind w:left="942"/>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（不属于品目清单的产品无需提供，文件另有规定的从其规定）</w:t>
      </w:r>
    </w:p>
    <w:p w14:paraId="2F42B6F7">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19" w:type="default"/>
          <w:pgSz w:w="11906" w:h="16839"/>
          <w:pgMar w:top="1431" w:right="1587" w:bottom="1429" w:left="1587" w:header="0" w:footer="994" w:gutter="0"/>
          <w:pgNumType w:fmt="decimal"/>
          <w:cols w:space="720" w:num="1"/>
        </w:sectPr>
      </w:pPr>
    </w:p>
    <w:p w14:paraId="26391D64">
      <w:pPr>
        <w:pageBreakBefore w:val="0"/>
        <w:widowControl w:val="0"/>
        <w:wordWrap/>
        <w:overflowPunct/>
        <w:topLinePunct w:val="0"/>
        <w:bidi w:val="0"/>
        <w:spacing w:before="48" w:line="219" w:lineRule="auto"/>
        <w:ind w:left="3935"/>
        <w:outlineLvl w:val="0"/>
        <w:rPr>
          <w:rFonts w:ascii="宋体" w:hAnsi="宋体" w:eastAsia="宋体" w:cs="宋体"/>
          <w:color w:val="auto"/>
          <w:sz w:val="24"/>
          <w:szCs w:val="24"/>
          <w:highlight w:val="none"/>
          <w:lang w:eastAsia="zh-CN"/>
        </w:rPr>
      </w:pPr>
      <w:bookmarkStart w:id="375" w:name="bookmark78"/>
      <w:bookmarkEnd w:id="375"/>
      <w:bookmarkStart w:id="376" w:name="bookmark77"/>
      <w:bookmarkEnd w:id="376"/>
      <w:bookmarkStart w:id="377" w:name="_Toc4494"/>
      <w:bookmarkStart w:id="378" w:name="_Toc22338"/>
      <w:bookmarkStart w:id="379" w:name="_Toc1246"/>
      <w:bookmarkStart w:id="380" w:name="_Toc4731"/>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9.技术文件</w:t>
      </w:r>
      <w:bookmarkEnd w:id="377"/>
      <w:bookmarkEnd w:id="378"/>
      <w:bookmarkEnd w:id="379"/>
      <w:bookmarkEnd w:id="380"/>
    </w:p>
    <w:p w14:paraId="57C3868E">
      <w:pPr>
        <w:pageBreakBefore w:val="0"/>
        <w:widowControl w:val="0"/>
        <w:wordWrap/>
        <w:overflowPunct/>
        <w:topLinePunct w:val="0"/>
        <w:bidi w:val="0"/>
        <w:spacing w:line="283" w:lineRule="auto"/>
        <w:rPr>
          <w:color w:val="auto"/>
          <w:highlight w:val="none"/>
          <w:lang w:eastAsia="zh-CN"/>
        </w:rPr>
      </w:pPr>
    </w:p>
    <w:p w14:paraId="5D3BB9C5">
      <w:pPr>
        <w:pageBreakBefore w:val="0"/>
        <w:widowControl w:val="0"/>
        <w:wordWrap/>
        <w:overflowPunct/>
        <w:topLinePunct w:val="0"/>
        <w:bidi w:val="0"/>
        <w:spacing w:line="284" w:lineRule="auto"/>
        <w:rPr>
          <w:color w:val="auto"/>
          <w:highlight w:val="none"/>
          <w:lang w:eastAsia="zh-CN"/>
        </w:rPr>
      </w:pPr>
    </w:p>
    <w:p w14:paraId="45008070">
      <w:pPr>
        <w:pageBreakBefore w:val="0"/>
        <w:widowControl w:val="0"/>
        <w:wordWrap/>
        <w:overflowPunct/>
        <w:topLinePunct w:val="0"/>
        <w:bidi w:val="0"/>
        <w:spacing w:before="78" w:line="219" w:lineRule="auto"/>
        <w:ind w:left="30"/>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内容包括：</w:t>
      </w:r>
    </w:p>
    <w:p w14:paraId="2FE8E539">
      <w:pPr>
        <w:pageBreakBefore w:val="0"/>
        <w:widowControl w:val="0"/>
        <w:wordWrap/>
        <w:overflowPunct/>
        <w:topLinePunct w:val="0"/>
        <w:bidi w:val="0"/>
        <w:spacing w:before="179" w:line="219" w:lineRule="auto"/>
        <w:ind w:left="1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1、货物的技术规格与功能的详细说明</w:t>
      </w:r>
    </w:p>
    <w:p w14:paraId="2DE379ED">
      <w:pPr>
        <w:pageBreakBefore w:val="0"/>
        <w:widowControl w:val="0"/>
        <w:wordWrap/>
        <w:overflowPunct/>
        <w:topLinePunct w:val="0"/>
        <w:bidi w:val="0"/>
        <w:spacing w:before="183" w:line="466" w:lineRule="exact"/>
        <w:ind w:left="3"/>
        <w:rPr>
          <w:rFonts w:ascii="宋体" w:hAnsi="宋体" w:eastAsia="宋体" w:cs="宋体"/>
          <w:color w:val="auto"/>
          <w:sz w:val="24"/>
          <w:szCs w:val="24"/>
          <w:highlight w:val="none"/>
          <w:lang w:eastAsia="zh-CN"/>
        </w:rPr>
      </w:pPr>
      <w:r>
        <w:rPr>
          <w:rFonts w:ascii="宋体" w:hAnsi="宋体" w:eastAsia="宋体" w:cs="宋体"/>
          <w:color w:val="auto"/>
          <w:spacing w:val="-1"/>
          <w:position w:val="17"/>
          <w:sz w:val="24"/>
          <w:szCs w:val="24"/>
          <w:highlight w:val="none"/>
          <w:lang w:eastAsia="zh-CN"/>
        </w:rPr>
        <w:t>2、主要外购件、配套件的型号规格和制造商明细表</w:t>
      </w:r>
    </w:p>
    <w:p w14:paraId="6DAF697F">
      <w:pPr>
        <w:pageBreakBefore w:val="0"/>
        <w:widowControl w:val="0"/>
        <w:wordWrap/>
        <w:overflowPunct/>
        <w:topLinePunct w:val="0"/>
        <w:bidi w:val="0"/>
        <w:spacing w:line="218" w:lineRule="auto"/>
        <w:ind w:left="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3、标准附件、备品备件和专用工具等</w:t>
      </w:r>
    </w:p>
    <w:p w14:paraId="0FE19E88">
      <w:pPr>
        <w:pageBreakBefore w:val="0"/>
        <w:widowControl w:val="0"/>
        <w:wordWrap/>
        <w:overflowPunct/>
        <w:topLinePunct w:val="0"/>
        <w:bidi w:val="0"/>
        <w:spacing w:before="185" w:line="219" w:lineRule="auto"/>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认为需要说明的其他内容（</w:t>
      </w:r>
      <w:r>
        <w:rPr>
          <w:rFonts w:hint="eastAsia" w:ascii="宋体" w:hAnsi="宋体" w:eastAsia="宋体" w:cs="宋体"/>
          <w:color w:val="auto"/>
          <w:spacing w:val="-1"/>
          <w:sz w:val="24"/>
          <w:szCs w:val="24"/>
          <w:highlight w:val="none"/>
          <w:lang w:eastAsia="zh-CN"/>
        </w:rPr>
        <w:t>供应商</w:t>
      </w:r>
      <w:r>
        <w:rPr>
          <w:rFonts w:ascii="宋体" w:hAnsi="宋体" w:eastAsia="宋体" w:cs="宋体"/>
          <w:color w:val="auto"/>
          <w:spacing w:val="-1"/>
          <w:sz w:val="24"/>
          <w:szCs w:val="24"/>
          <w:highlight w:val="none"/>
          <w:lang w:eastAsia="zh-CN"/>
        </w:rPr>
        <w:t>视需要自行编写）</w:t>
      </w:r>
    </w:p>
    <w:p w14:paraId="505DDD8F">
      <w:pPr>
        <w:pageBreakBefore w:val="0"/>
        <w:widowControl w:val="0"/>
        <w:wordWrap/>
        <w:overflowPunct/>
        <w:topLinePunct w:val="0"/>
        <w:bidi w:val="0"/>
        <w:spacing w:line="219" w:lineRule="auto"/>
        <w:rPr>
          <w:rFonts w:ascii="宋体" w:hAnsi="宋体" w:eastAsia="宋体" w:cs="宋体"/>
          <w:color w:val="auto"/>
          <w:sz w:val="24"/>
          <w:szCs w:val="24"/>
          <w:highlight w:val="none"/>
          <w:lang w:eastAsia="zh-CN"/>
        </w:rPr>
        <w:sectPr>
          <w:footerReference r:id="rId20" w:type="default"/>
          <w:pgSz w:w="11906" w:h="16839"/>
          <w:pgMar w:top="1429" w:right="1587" w:bottom="1429" w:left="1587" w:header="0" w:footer="994" w:gutter="0"/>
          <w:pgNumType w:fmt="decimal"/>
          <w:cols w:space="720" w:num="1"/>
        </w:sectPr>
      </w:pPr>
    </w:p>
    <w:p w14:paraId="704E0B0F">
      <w:pPr>
        <w:pageBreakBefore w:val="0"/>
        <w:widowControl w:val="0"/>
        <w:wordWrap/>
        <w:overflowPunct/>
        <w:topLinePunct w:val="0"/>
        <w:bidi w:val="0"/>
        <w:spacing w:before="48" w:line="219" w:lineRule="auto"/>
        <w:jc w:val="center"/>
        <w:outlineLvl w:val="1"/>
        <w:rPr>
          <w:color w:val="auto"/>
          <w:highlight w:val="none"/>
        </w:rPr>
        <w:sectPr>
          <w:footerReference r:id="rId21" w:type="default"/>
          <w:pgSz w:w="11906" w:h="16839"/>
          <w:pgMar w:top="1429" w:right="1587" w:bottom="1429" w:left="1587" w:header="0" w:footer="994" w:gutter="0"/>
          <w:pgNumType w:fmt="decimal"/>
          <w:cols w:space="720" w:num="1"/>
        </w:sectPr>
      </w:pPr>
      <w:bookmarkStart w:id="381" w:name="_Toc4572"/>
      <w:bookmarkStart w:id="382" w:name="_Toc29783"/>
      <w:bookmarkStart w:id="383" w:name="_Toc26401"/>
      <w:bookmarkStart w:id="384" w:name="_Toc23692"/>
      <w:r>
        <w:rPr>
          <w:rFonts w:ascii="宋体" w:hAnsi="宋体" w:eastAsia="宋体" w:cs="宋体"/>
          <w:color w:val="auto"/>
          <w:spacing w:val="-4"/>
          <w:sz w:val="24"/>
          <w:szCs w:val="24"/>
          <w:highlight w:val="none"/>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.与技术、商务等评审计分有关的资料</w:t>
      </w:r>
      <w:bookmarkEnd w:id="381"/>
      <w:bookmarkEnd w:id="382"/>
      <w:bookmarkEnd w:id="383"/>
      <w:bookmarkEnd w:id="384"/>
    </w:p>
    <w:p w14:paraId="4647505D">
      <w:pPr>
        <w:pStyle w:val="2"/>
        <w:bidi w:val="0"/>
        <w:rPr>
          <w:highlight w:val="none"/>
          <w:lang w:eastAsia="zh-CN"/>
        </w:rPr>
      </w:pPr>
      <w:bookmarkStart w:id="385" w:name="bookmark79"/>
      <w:bookmarkEnd w:id="385"/>
      <w:bookmarkStart w:id="386" w:name="bookmark80"/>
      <w:bookmarkEnd w:id="386"/>
      <w:bookmarkStart w:id="387" w:name="_Toc1570"/>
      <w:r>
        <w:rPr>
          <w:highlight w:val="none"/>
          <w:lang w:eastAsia="zh-CN"/>
        </w:rPr>
        <w:t xml:space="preserve">第五章  </w:t>
      </w:r>
      <w:r>
        <w:rPr>
          <w:rFonts w:hint="eastAsia"/>
          <w:highlight w:val="none"/>
          <w:lang w:eastAsia="zh-CN"/>
        </w:rPr>
        <w:t>采购需求</w:t>
      </w:r>
      <w:bookmarkEnd w:id="387"/>
    </w:p>
    <w:p w14:paraId="6251FDD0">
      <w:pPr>
        <w:pageBreakBefore w:val="0"/>
        <w:widowControl w:val="0"/>
        <w:wordWrap/>
        <w:overflowPunct/>
        <w:topLinePunct w:val="0"/>
        <w:bidi w:val="0"/>
        <w:spacing w:line="309" w:lineRule="auto"/>
        <w:jc w:val="center"/>
        <w:rPr>
          <w:color w:val="auto"/>
          <w:highlight w:val="none"/>
          <w:lang w:eastAsia="zh-CN"/>
        </w:rPr>
      </w:pPr>
    </w:p>
    <w:p w14:paraId="48F7A062">
      <w:pPr>
        <w:pageBreakBefore w:val="0"/>
        <w:widowControl w:val="0"/>
        <w:wordWrap/>
        <w:overflowPunct/>
        <w:topLinePunct w:val="0"/>
        <w:bidi w:val="0"/>
        <w:spacing w:before="78" w:line="220" w:lineRule="auto"/>
        <w:jc w:val="both"/>
        <w:outlineLvl w:val="1"/>
        <w:rPr>
          <w:rFonts w:ascii="宋体" w:hAnsi="宋体" w:eastAsia="宋体" w:cs="宋体"/>
          <w:color w:val="auto"/>
          <w:sz w:val="24"/>
          <w:szCs w:val="24"/>
          <w:highlight w:val="none"/>
        </w:rPr>
      </w:pPr>
      <w:bookmarkStart w:id="388" w:name="_Toc15888"/>
      <w:bookmarkStart w:id="389" w:name="_Toc4697"/>
      <w:bookmarkStart w:id="390" w:name="_Toc30382"/>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采购</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需求表</w:t>
      </w:r>
      <w:bookmarkEnd w:id="388"/>
      <w:bookmarkEnd w:id="389"/>
      <w:bookmarkEnd w:id="390"/>
    </w:p>
    <w:p w14:paraId="2C11F739">
      <w:pPr>
        <w:pageBreakBefore w:val="0"/>
        <w:widowControl w:val="0"/>
        <w:wordWrap/>
        <w:overflowPunct/>
        <w:topLinePunct w:val="0"/>
        <w:bidi w:val="0"/>
        <w:spacing w:before="64"/>
        <w:rPr>
          <w:color w:val="auto"/>
          <w:highlight w:val="none"/>
        </w:rPr>
      </w:pPr>
    </w:p>
    <w:tbl>
      <w:tblPr>
        <w:tblStyle w:val="25"/>
        <w:tblW w:w="9015" w:type="dxa"/>
        <w:tblInd w:w="-3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8"/>
        <w:gridCol w:w="817"/>
        <w:gridCol w:w="6150"/>
      </w:tblGrid>
      <w:tr w14:paraId="2B2B4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2048" w:type="dxa"/>
            <w:tcBorders>
              <w:right w:val="nil"/>
            </w:tcBorders>
            <w:vAlign w:val="center"/>
          </w:tcPr>
          <w:p w14:paraId="580E6615">
            <w:pPr>
              <w:pageBreakBefore w:val="0"/>
              <w:widowControl w:val="0"/>
              <w:wordWrap/>
              <w:overflowPunct/>
              <w:topLinePunct w:val="0"/>
              <w:bidi w:val="0"/>
              <w:spacing w:before="183" w:line="223" w:lineRule="auto"/>
              <w:ind w:left="1091"/>
              <w:jc w:val="center"/>
              <w:rPr>
                <w:rFonts w:ascii="宋体" w:hAnsi="宋体" w:eastAsia="宋体" w:cs="宋体"/>
                <w:color w:val="auto"/>
                <w:sz w:val="24"/>
                <w:szCs w:val="24"/>
                <w:highlight w:val="none"/>
              </w:rPr>
            </w:pPr>
            <w:r>
              <w:rPr>
                <w:color w:val="auto"/>
                <w:highlight w:val="none"/>
              </w:rPr>
              <w:drawing>
                <wp:anchor distT="0" distB="0" distL="0" distR="0" simplePos="0" relativeHeight="251681792" behindDoc="1" locked="0" layoutInCell="1" allowOverlap="1">
                  <wp:simplePos x="0" y="0"/>
                  <wp:positionH relativeFrom="column">
                    <wp:posOffset>6985</wp:posOffset>
                  </wp:positionH>
                  <wp:positionV relativeFrom="paragraph">
                    <wp:posOffset>0</wp:posOffset>
                  </wp:positionV>
                  <wp:extent cx="1805305" cy="1485265"/>
                  <wp:effectExtent l="0" t="0" r="10795" b="63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805051" cy="1485442"/>
                          </a:xfrm>
                          <a:prstGeom prst="rect">
                            <a:avLst/>
                          </a:prstGeom>
                        </pic:spPr>
                      </pic:pic>
                    </a:graphicData>
                  </a:graphic>
                </wp:anchor>
              </w:drawing>
            </w:r>
            <w:r>
              <w:rPr>
                <w:rFonts w:ascii="宋体" w:hAnsi="宋体" w:eastAsia="宋体" w:cs="宋体"/>
                <w:color w:val="auto"/>
                <w:sz w:val="24"/>
                <w:szCs w:val="24"/>
                <w:highlight w:val="none"/>
              </w:rPr>
              <w:t>名</w:t>
            </w:r>
          </w:p>
          <w:p w14:paraId="0D471199">
            <w:pPr>
              <w:pStyle w:val="26"/>
              <w:pageBreakBefore w:val="0"/>
              <w:widowControl w:val="0"/>
              <w:wordWrap/>
              <w:overflowPunct/>
              <w:topLinePunct w:val="0"/>
              <w:bidi w:val="0"/>
              <w:spacing w:line="245" w:lineRule="auto"/>
              <w:jc w:val="center"/>
              <w:rPr>
                <w:color w:val="auto"/>
                <w:highlight w:val="none"/>
              </w:rPr>
            </w:pPr>
          </w:p>
          <w:p w14:paraId="48A7C48A">
            <w:pPr>
              <w:pStyle w:val="26"/>
              <w:pageBreakBefore w:val="0"/>
              <w:widowControl w:val="0"/>
              <w:wordWrap/>
              <w:overflowPunct/>
              <w:topLinePunct w:val="0"/>
              <w:bidi w:val="0"/>
              <w:spacing w:line="246" w:lineRule="auto"/>
              <w:jc w:val="center"/>
              <w:rPr>
                <w:color w:val="auto"/>
                <w:highlight w:val="none"/>
              </w:rPr>
            </w:pPr>
          </w:p>
          <w:p w14:paraId="05BE76B3">
            <w:pPr>
              <w:pageBreakBefore w:val="0"/>
              <w:widowControl w:val="0"/>
              <w:wordWrap/>
              <w:overflowPunct/>
              <w:topLinePunct w:val="0"/>
              <w:bidi w:val="0"/>
              <w:spacing w:before="78" w:line="219" w:lineRule="auto"/>
              <w:ind w:left="48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内</w:t>
            </w:r>
          </w:p>
          <w:p w14:paraId="630DAD64">
            <w:pPr>
              <w:pStyle w:val="26"/>
              <w:pageBreakBefore w:val="0"/>
              <w:widowControl w:val="0"/>
              <w:wordWrap/>
              <w:overflowPunct/>
              <w:topLinePunct w:val="0"/>
              <w:bidi w:val="0"/>
              <w:spacing w:line="338" w:lineRule="auto"/>
              <w:jc w:val="center"/>
              <w:rPr>
                <w:color w:val="auto"/>
                <w:highlight w:val="none"/>
              </w:rPr>
            </w:pPr>
          </w:p>
          <w:p w14:paraId="083B3A68">
            <w:pPr>
              <w:pageBreakBefore w:val="0"/>
              <w:widowControl w:val="0"/>
              <w:wordWrap/>
              <w:overflowPunct/>
              <w:topLinePunct w:val="0"/>
              <w:bidi w:val="0"/>
              <w:spacing w:before="78" w:line="220" w:lineRule="auto"/>
              <w:ind w:left="131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容</w:t>
            </w:r>
          </w:p>
        </w:tc>
        <w:tc>
          <w:tcPr>
            <w:tcW w:w="817" w:type="dxa"/>
            <w:tcBorders>
              <w:left w:val="nil"/>
            </w:tcBorders>
            <w:vAlign w:val="center"/>
          </w:tcPr>
          <w:p w14:paraId="19FED54B">
            <w:pPr>
              <w:pStyle w:val="26"/>
              <w:pageBreakBefore w:val="0"/>
              <w:widowControl w:val="0"/>
              <w:wordWrap/>
              <w:overflowPunct/>
              <w:topLinePunct w:val="0"/>
              <w:bidi w:val="0"/>
              <w:spacing w:line="263" w:lineRule="auto"/>
              <w:jc w:val="center"/>
              <w:rPr>
                <w:color w:val="auto"/>
                <w:highlight w:val="none"/>
              </w:rPr>
            </w:pPr>
          </w:p>
          <w:p w14:paraId="3FE4A52D">
            <w:pPr>
              <w:pStyle w:val="26"/>
              <w:pageBreakBefore w:val="0"/>
              <w:widowControl w:val="0"/>
              <w:wordWrap/>
              <w:overflowPunct/>
              <w:topLinePunct w:val="0"/>
              <w:bidi w:val="0"/>
              <w:spacing w:line="263" w:lineRule="auto"/>
              <w:jc w:val="center"/>
              <w:rPr>
                <w:color w:val="auto"/>
                <w:highlight w:val="none"/>
              </w:rPr>
            </w:pPr>
          </w:p>
          <w:p w14:paraId="415F576F">
            <w:pPr>
              <w:pStyle w:val="26"/>
              <w:pageBreakBefore w:val="0"/>
              <w:widowControl w:val="0"/>
              <w:wordWrap/>
              <w:overflowPunct/>
              <w:topLinePunct w:val="0"/>
              <w:bidi w:val="0"/>
              <w:spacing w:line="264" w:lineRule="auto"/>
              <w:jc w:val="center"/>
              <w:rPr>
                <w:color w:val="auto"/>
                <w:highlight w:val="none"/>
              </w:rPr>
            </w:pPr>
          </w:p>
          <w:p w14:paraId="20B78764">
            <w:pPr>
              <w:pageBreakBefore w:val="0"/>
              <w:widowControl w:val="0"/>
              <w:wordWrap/>
              <w:overflowPunct/>
              <w:topLinePunct w:val="0"/>
              <w:bidi w:val="0"/>
              <w:spacing w:before="78" w:line="221" w:lineRule="auto"/>
              <w:ind w:left="19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称</w:t>
            </w:r>
          </w:p>
        </w:tc>
        <w:tc>
          <w:tcPr>
            <w:tcW w:w="6150" w:type="dxa"/>
            <w:vAlign w:val="center"/>
          </w:tcPr>
          <w:p w14:paraId="30D2E616">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eastAsia="zh-CN"/>
              </w:rPr>
              <w:t>井冈山农产品区域公用品牌（高铁列车冠名）宣传推广服务采购项目</w:t>
            </w:r>
          </w:p>
        </w:tc>
      </w:tr>
      <w:tr w14:paraId="6E26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43662B42">
            <w:pPr>
              <w:pageBreakBefore w:val="0"/>
              <w:widowControl w:val="0"/>
              <w:wordWrap/>
              <w:overflowPunct/>
              <w:topLinePunct w:val="0"/>
              <w:bidi w:val="0"/>
              <w:spacing w:before="253" w:line="219" w:lineRule="auto"/>
              <w:ind w:left="1188"/>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数量</w:t>
            </w:r>
          </w:p>
        </w:tc>
        <w:tc>
          <w:tcPr>
            <w:tcW w:w="6150" w:type="dxa"/>
            <w:vAlign w:val="center"/>
          </w:tcPr>
          <w:p w14:paraId="158F3F98">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项</w:t>
            </w:r>
          </w:p>
        </w:tc>
      </w:tr>
      <w:tr w14:paraId="5AB9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5670BF11">
            <w:pPr>
              <w:pageBreakBefore w:val="0"/>
              <w:widowControl w:val="0"/>
              <w:wordWrap/>
              <w:overflowPunct/>
              <w:topLinePunct w:val="0"/>
              <w:bidi w:val="0"/>
              <w:spacing w:before="253" w:line="219" w:lineRule="auto"/>
              <w:ind w:left="1071"/>
              <w:jc w:val="center"/>
              <w:rPr>
                <w:rFonts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服务</w:t>
            </w:r>
            <w:r>
              <w:rPr>
                <w:rFonts w:ascii="宋体" w:hAnsi="宋体" w:eastAsia="宋体" w:cs="宋体"/>
                <w:color w:val="auto"/>
                <w:spacing w:val="-5"/>
                <w:sz w:val="24"/>
                <w:szCs w:val="24"/>
                <w:highlight w:val="none"/>
              </w:rPr>
              <w:t>期</w:t>
            </w:r>
          </w:p>
        </w:tc>
        <w:tc>
          <w:tcPr>
            <w:tcW w:w="6150" w:type="dxa"/>
            <w:vAlign w:val="center"/>
          </w:tcPr>
          <w:p w14:paraId="6B6EA88C">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lang w:val="en-US" w:eastAsia="zh-CN"/>
              </w:rPr>
              <w:t>详见商务需求</w:t>
            </w:r>
          </w:p>
        </w:tc>
      </w:tr>
      <w:tr w14:paraId="4620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65" w:type="dxa"/>
            <w:gridSpan w:val="2"/>
            <w:vAlign w:val="center"/>
          </w:tcPr>
          <w:p w14:paraId="7F5E733B">
            <w:pPr>
              <w:pageBreakBefore w:val="0"/>
              <w:widowControl w:val="0"/>
              <w:wordWrap/>
              <w:overflowPunct/>
              <w:topLinePunct w:val="0"/>
              <w:bidi w:val="0"/>
              <w:spacing w:before="256" w:line="219" w:lineRule="auto"/>
              <w:ind w:left="951"/>
              <w:jc w:val="center"/>
              <w:rPr>
                <w:rFonts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服务</w:t>
            </w:r>
            <w:r>
              <w:rPr>
                <w:rFonts w:ascii="宋体" w:hAnsi="宋体" w:eastAsia="宋体" w:cs="宋体"/>
                <w:color w:val="auto"/>
                <w:spacing w:val="-4"/>
                <w:sz w:val="24"/>
                <w:szCs w:val="24"/>
                <w:highlight w:val="none"/>
              </w:rPr>
              <w:t>地点</w:t>
            </w:r>
          </w:p>
        </w:tc>
        <w:tc>
          <w:tcPr>
            <w:tcW w:w="6150" w:type="dxa"/>
            <w:vAlign w:val="center"/>
          </w:tcPr>
          <w:p w14:paraId="5B6CC5C0">
            <w:pPr>
              <w:pStyle w:val="26"/>
              <w:pageBreakBefore w:val="0"/>
              <w:widowControl w:val="0"/>
              <w:wordWrap/>
              <w:overflowPunct/>
              <w:topLinePunct w:val="0"/>
              <w:bidi w:val="0"/>
              <w:jc w:val="center"/>
              <w:rPr>
                <w:color w:val="auto"/>
                <w:highlight w:val="none"/>
              </w:rPr>
            </w:pPr>
            <w:r>
              <w:rPr>
                <w:rFonts w:hint="eastAsia" w:ascii="宋体" w:hAnsi="宋体" w:eastAsia="宋体" w:cs="宋体"/>
                <w:color w:val="auto"/>
                <w:sz w:val="24"/>
                <w:szCs w:val="24"/>
                <w:highlight w:val="none"/>
              </w:rPr>
              <w:t>采购人指定地点</w:t>
            </w:r>
          </w:p>
        </w:tc>
      </w:tr>
      <w:tr w14:paraId="2233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65" w:type="dxa"/>
            <w:gridSpan w:val="2"/>
            <w:vAlign w:val="center"/>
          </w:tcPr>
          <w:p w14:paraId="5A5921F7">
            <w:pPr>
              <w:pageBreakBefore w:val="0"/>
              <w:widowControl w:val="0"/>
              <w:wordWrap/>
              <w:overflowPunct/>
              <w:topLinePunct w:val="0"/>
              <w:bidi w:val="0"/>
              <w:spacing w:before="256" w:line="221" w:lineRule="auto"/>
              <w:ind w:left="1189"/>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备注</w:t>
            </w:r>
          </w:p>
        </w:tc>
        <w:tc>
          <w:tcPr>
            <w:tcW w:w="6150" w:type="dxa"/>
            <w:vAlign w:val="center"/>
          </w:tcPr>
          <w:p w14:paraId="674E0F61">
            <w:pPr>
              <w:pStyle w:val="26"/>
              <w:pageBreakBefore w:val="0"/>
              <w:widowControl w:val="0"/>
              <w:wordWrap/>
              <w:overflowPunct/>
              <w:topLinePunct w:val="0"/>
              <w:bidi w:val="0"/>
              <w:jc w:val="center"/>
              <w:rPr>
                <w:rFonts w:hint="eastAsia" w:eastAsia="宋体"/>
                <w:color w:val="auto"/>
                <w:highlight w:val="none"/>
                <w:lang w:val="en-US" w:eastAsia="zh-CN"/>
              </w:rPr>
            </w:pPr>
            <w:r>
              <w:rPr>
                <w:rFonts w:hint="eastAsia" w:eastAsia="宋体"/>
                <w:color w:val="auto"/>
                <w:highlight w:val="none"/>
                <w:lang w:val="en-US" w:eastAsia="zh-CN"/>
              </w:rPr>
              <w:t>/</w:t>
            </w:r>
          </w:p>
        </w:tc>
      </w:tr>
    </w:tbl>
    <w:p w14:paraId="5F87503B">
      <w:pPr>
        <w:pageBreakBefore w:val="0"/>
        <w:widowControl w:val="0"/>
        <w:wordWrap/>
        <w:overflowPunct/>
        <w:topLinePunct w:val="0"/>
        <w:bidi w:val="0"/>
        <w:rPr>
          <w:color w:val="auto"/>
          <w:highlight w:val="none"/>
        </w:rPr>
      </w:pPr>
    </w:p>
    <w:p w14:paraId="4DB07357">
      <w:pPr>
        <w:pageBreakBefore w:val="0"/>
        <w:widowControl w:val="0"/>
        <w:wordWrap/>
        <w:overflowPunct/>
        <w:topLinePunct w:val="0"/>
        <w:bidi w:val="0"/>
        <w:rPr>
          <w:color w:val="auto"/>
          <w:highlight w:val="none"/>
        </w:rPr>
        <w:sectPr>
          <w:footerReference r:id="rId22" w:type="default"/>
          <w:pgSz w:w="11906" w:h="16839"/>
          <w:pgMar w:top="1232" w:right="1786" w:bottom="1156" w:left="1786" w:header="0" w:footer="994" w:gutter="0"/>
          <w:pgNumType w:fmt="decimal"/>
          <w:cols w:space="720" w:num="1"/>
        </w:sectPr>
      </w:pPr>
    </w:p>
    <w:p w14:paraId="42686E7A">
      <w:pPr>
        <w:pageBreakBefore w:val="0"/>
        <w:widowControl w:val="0"/>
        <w:wordWrap/>
        <w:overflowPunct/>
        <w:topLinePunct w:val="0"/>
        <w:bidi w:val="0"/>
        <w:spacing w:before="47" w:line="219" w:lineRule="auto"/>
        <w:ind w:left="3805"/>
        <w:outlineLvl w:val="1"/>
        <w:rPr>
          <w:rFonts w:ascii="宋体" w:hAnsi="宋体" w:eastAsia="宋体" w:cs="宋体"/>
          <w:color w:val="auto"/>
          <w:sz w:val="24"/>
          <w:szCs w:val="24"/>
          <w:highlight w:val="none"/>
        </w:rPr>
      </w:pPr>
      <w:bookmarkStart w:id="391" w:name="bookmark81"/>
      <w:bookmarkEnd w:id="391"/>
      <w:bookmarkStart w:id="392" w:name="_Toc16044"/>
      <w:bookmarkStart w:id="393" w:name="_Toc25862"/>
      <w:bookmarkStart w:id="394" w:name="_Toc6331"/>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二、采购</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要</w:t>
      </w:r>
      <w:r>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求</w:t>
      </w:r>
      <w:bookmarkEnd w:id="392"/>
      <w:bookmarkEnd w:id="393"/>
      <w:bookmarkEnd w:id="394"/>
    </w:p>
    <w:p w14:paraId="35C1DE76">
      <w:pPr>
        <w:pageBreakBefore w:val="0"/>
        <w:widowControl w:val="0"/>
        <w:wordWrap/>
        <w:overflowPunct/>
        <w:topLinePunct w:val="0"/>
        <w:bidi w:val="0"/>
        <w:spacing w:line="257" w:lineRule="auto"/>
        <w:rPr>
          <w:color w:val="auto"/>
          <w:highlight w:val="none"/>
        </w:rPr>
      </w:pPr>
    </w:p>
    <w:p w14:paraId="623A6A6F">
      <w:pPr>
        <w:pageBreakBefore w:val="0"/>
        <w:widowControl w:val="0"/>
        <w:wordWrap/>
        <w:overflowPunct/>
        <w:topLinePunct w:val="0"/>
        <w:bidi w:val="0"/>
        <w:spacing w:line="258" w:lineRule="auto"/>
        <w:rPr>
          <w:color w:val="auto"/>
          <w:highlight w:val="none"/>
        </w:rPr>
      </w:pPr>
    </w:p>
    <w:p w14:paraId="5835946C">
      <w:pPr>
        <w:pageBreakBefore w:val="0"/>
        <w:widowControl w:val="0"/>
        <w:wordWrap/>
        <w:overflowPunct/>
        <w:topLinePunct w:val="0"/>
        <w:bidi w:val="0"/>
        <w:spacing w:line="258" w:lineRule="auto"/>
        <w:rPr>
          <w:color w:val="auto"/>
          <w:highlight w:val="none"/>
        </w:rPr>
      </w:pPr>
    </w:p>
    <w:p w14:paraId="79FA08BC">
      <w:pPr>
        <w:pageBreakBefore w:val="0"/>
        <w:widowControl w:val="0"/>
        <w:wordWrap/>
        <w:overflowPunct/>
        <w:topLinePunct w:val="0"/>
        <w:bidi w:val="0"/>
        <w:spacing w:before="78" w:line="219"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（一）</w:t>
      </w:r>
      <w:r>
        <w:rPr>
          <w:rFonts w:ascii="宋体" w:hAnsi="宋体" w:eastAsia="宋体" w:cs="宋体"/>
          <w:color w:val="auto"/>
          <w:spacing w:val="25"/>
          <w:sz w:val="24"/>
          <w:szCs w:val="24"/>
          <w:highlight w:val="none"/>
        </w:rPr>
        <w:t xml:space="preserve"> </w:t>
      </w:r>
      <w:r>
        <w:rPr>
          <w:rFonts w:hint="eastAsia" w:ascii="宋体" w:hAnsi="宋体" w:eastAsia="宋体" w:cs="宋体"/>
          <w:color w:val="auto"/>
          <w:spacing w:val="-5"/>
          <w:sz w:val="24"/>
          <w:szCs w:val="24"/>
          <w:highlight w:val="none"/>
          <w:lang w:val="en-US" w:eastAsia="zh-CN"/>
        </w:rPr>
        <w:t>服务</w:t>
      </w:r>
      <w:r>
        <w:rPr>
          <w:rFonts w:ascii="宋体" w:hAnsi="宋体" w:eastAsia="宋体" w:cs="宋体"/>
          <w:color w:val="auto"/>
          <w:spacing w:val="-5"/>
          <w:sz w:val="24"/>
          <w:szCs w:val="24"/>
          <w:highlight w:val="none"/>
        </w:rPr>
        <w:t>需求</w:t>
      </w:r>
    </w:p>
    <w:p w14:paraId="563DEB17">
      <w:pPr>
        <w:pageBreakBefore w:val="0"/>
        <w:widowControl w:val="0"/>
        <w:wordWrap/>
        <w:overflowPunct/>
        <w:topLinePunct w:val="0"/>
        <w:bidi w:val="0"/>
        <w:spacing w:line="242" w:lineRule="auto"/>
        <w:rPr>
          <w:color w:val="auto"/>
          <w:highlight w:val="none"/>
        </w:rPr>
      </w:pPr>
    </w:p>
    <w:p w14:paraId="0B776C72">
      <w:pPr>
        <w:spacing w:line="360" w:lineRule="auto"/>
        <w:rPr>
          <w:rFonts w:hint="eastAsia" w:ascii="宋体" w:hAnsi="宋体" w:cs="宋体"/>
          <w:kern w:val="0"/>
          <w:sz w:val="24"/>
          <w:highlight w:val="none"/>
        </w:rPr>
      </w:pPr>
      <w:r>
        <w:rPr>
          <w:rFonts w:hint="eastAsia" w:ascii="宋体" w:hAnsi="宋体" w:cs="宋体"/>
          <w:kern w:val="0"/>
          <w:sz w:val="24"/>
          <w:highlight w:val="none"/>
        </w:rPr>
        <w:t>1、广告投放线路：</w:t>
      </w:r>
      <w:r>
        <w:rPr>
          <w:rFonts w:hint="eastAsia" w:ascii="宋体" w:hAnsi="宋体" w:cs="宋体"/>
          <w:kern w:val="0"/>
          <w:sz w:val="24"/>
          <w:highlight w:val="none"/>
          <w:lang w:val="en-US" w:eastAsia="zh-CN"/>
        </w:rPr>
        <w:t>赣深高铁线路</w:t>
      </w:r>
      <w:r>
        <w:rPr>
          <w:rFonts w:hint="eastAsia" w:ascii="宋体" w:hAnsi="宋体" w:cs="宋体"/>
          <w:kern w:val="0"/>
          <w:sz w:val="24"/>
          <w:highlight w:val="none"/>
        </w:rPr>
        <w:t>，重点覆盖</w:t>
      </w:r>
      <w:r>
        <w:rPr>
          <w:rFonts w:hint="eastAsia" w:ascii="宋体" w:hAnsi="宋体" w:cs="宋体"/>
          <w:kern w:val="0"/>
          <w:sz w:val="24"/>
          <w:highlight w:val="none"/>
          <w:lang w:val="en-US" w:eastAsia="zh-CN"/>
        </w:rPr>
        <w:t>广州、深圳华南区域</w:t>
      </w:r>
      <w:r>
        <w:rPr>
          <w:rFonts w:hint="eastAsia" w:ascii="宋体" w:hAnsi="宋体" w:cs="宋体"/>
          <w:kern w:val="0"/>
          <w:sz w:val="24"/>
          <w:highlight w:val="none"/>
        </w:rPr>
        <w:t>重点城市，由</w:t>
      </w:r>
      <w:r>
        <w:rPr>
          <w:rFonts w:hint="eastAsia" w:ascii="宋体" w:hAnsi="宋体" w:cs="宋体"/>
          <w:kern w:val="0"/>
          <w:sz w:val="24"/>
          <w:highlight w:val="none"/>
          <w:lang w:val="en-US" w:eastAsia="zh-CN"/>
        </w:rPr>
        <w:t>省会</w:t>
      </w:r>
      <w:r>
        <w:rPr>
          <w:rFonts w:hint="eastAsia" w:ascii="宋体" w:hAnsi="宋体" w:cs="宋体"/>
          <w:kern w:val="0"/>
          <w:sz w:val="24"/>
          <w:highlight w:val="none"/>
        </w:rPr>
        <w:t>南昌</w:t>
      </w:r>
      <w:r>
        <w:rPr>
          <w:rFonts w:hint="eastAsia" w:ascii="宋体" w:hAnsi="宋体" w:cs="宋体"/>
          <w:kern w:val="0"/>
          <w:sz w:val="24"/>
          <w:highlight w:val="none"/>
          <w:lang w:val="en-US" w:eastAsia="zh-CN"/>
        </w:rPr>
        <w:t>或江西省内其他城市</w:t>
      </w:r>
      <w:r>
        <w:rPr>
          <w:rFonts w:hint="eastAsia" w:ascii="宋体" w:hAnsi="宋体" w:cs="宋体"/>
          <w:kern w:val="0"/>
          <w:sz w:val="24"/>
          <w:highlight w:val="none"/>
        </w:rPr>
        <w:t>始发终到的线路。</w:t>
      </w:r>
    </w:p>
    <w:p w14:paraId="11CE86C8">
      <w:pPr>
        <w:spacing w:line="360" w:lineRule="auto"/>
        <w:rPr>
          <w:rFonts w:ascii="宋体" w:hAnsi="宋体" w:cs="宋体"/>
          <w:kern w:val="0"/>
          <w:sz w:val="24"/>
          <w:highlight w:val="none"/>
        </w:rPr>
      </w:pPr>
      <w:r>
        <w:rPr>
          <w:rFonts w:hint="eastAsia" w:ascii="宋体" w:hAnsi="宋体" w:cs="宋体"/>
          <w:kern w:val="0"/>
          <w:sz w:val="24"/>
          <w:highlight w:val="none"/>
        </w:rPr>
        <w:t>2、服务说明：南昌是江西省会城市，吉安</w:t>
      </w:r>
      <w:r>
        <w:rPr>
          <w:rFonts w:hint="eastAsia" w:ascii="宋体" w:hAnsi="宋体" w:cs="宋体"/>
          <w:kern w:val="0"/>
          <w:sz w:val="24"/>
          <w:highlight w:val="none"/>
          <w:lang w:val="en-US" w:eastAsia="zh-CN"/>
        </w:rPr>
        <w:t>是连接昌赣高铁与赣深高铁沿线重点城市，</w:t>
      </w:r>
      <w:r>
        <w:rPr>
          <w:rFonts w:hint="eastAsia" w:ascii="宋体" w:hAnsi="宋体" w:cs="宋体"/>
          <w:kern w:val="0"/>
          <w:sz w:val="24"/>
          <w:highlight w:val="none"/>
        </w:rPr>
        <w:t>采用列车冠名媒体，更好的宣传井冈山农业区域公共品牌。珠三角地区是吉安市农业品牌的重点推广区域，也是吉安农业产品的目标消费市场所在地。以南昌、吉安为中心，重点覆盖珠三角经济圈，有助于提升吉安市农业区域品牌在省内乃至全国的知名度和影响力。</w:t>
      </w:r>
    </w:p>
    <w:p w14:paraId="513D352D">
      <w:pPr>
        <w:spacing w:line="360" w:lineRule="auto"/>
        <w:rPr>
          <w:rFonts w:ascii="宋体" w:hAnsi="宋体" w:cs="宋体"/>
          <w:kern w:val="0"/>
          <w:sz w:val="24"/>
          <w:highlight w:val="none"/>
        </w:rPr>
      </w:pPr>
      <w:r>
        <w:rPr>
          <w:rFonts w:hint="eastAsia" w:ascii="宋体" w:hAnsi="宋体" w:cs="宋体"/>
          <w:kern w:val="0"/>
          <w:sz w:val="24"/>
          <w:highlight w:val="none"/>
        </w:rPr>
        <w:t>3、广告发布要求：</w:t>
      </w:r>
    </w:p>
    <w:p w14:paraId="7C187CE9">
      <w:pPr>
        <w:spacing w:line="360" w:lineRule="auto"/>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1</w:t>
      </w:r>
      <w:r>
        <w:rPr>
          <w:rFonts w:hint="eastAsia" w:ascii="宋体" w:hAnsi="宋体" w:cs="宋体"/>
          <w:kern w:val="0"/>
          <w:sz w:val="24"/>
          <w:highlight w:val="none"/>
        </w:rPr>
        <w:t>）高铁冠名</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333"/>
        <w:gridCol w:w="3454"/>
        <w:gridCol w:w="1984"/>
      </w:tblGrid>
      <w:tr w14:paraId="41B1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68" w:type="dxa"/>
            <w:vAlign w:val="center"/>
          </w:tcPr>
          <w:p w14:paraId="75A7D011">
            <w:pPr>
              <w:spacing w:line="360" w:lineRule="auto"/>
              <w:jc w:val="center"/>
              <w:rPr>
                <w:rFonts w:ascii="宋体" w:hAnsi="宋体" w:cs="宋体"/>
                <w:b/>
                <w:bCs/>
                <w:sz w:val="24"/>
                <w:highlight w:val="none"/>
              </w:rPr>
            </w:pPr>
            <w:r>
              <w:rPr>
                <w:rFonts w:hint="eastAsia" w:ascii="宋体" w:hAnsi="宋体" w:cs="宋体"/>
                <w:b/>
                <w:bCs/>
                <w:sz w:val="24"/>
                <w:highlight w:val="none"/>
              </w:rPr>
              <w:t>媒体类型</w:t>
            </w:r>
          </w:p>
        </w:tc>
        <w:tc>
          <w:tcPr>
            <w:tcW w:w="2333" w:type="dxa"/>
            <w:vAlign w:val="center"/>
          </w:tcPr>
          <w:p w14:paraId="12B00086">
            <w:pPr>
              <w:spacing w:line="360" w:lineRule="auto"/>
              <w:jc w:val="center"/>
              <w:rPr>
                <w:rFonts w:ascii="宋体" w:hAnsi="宋体" w:cs="宋体"/>
                <w:b/>
                <w:bCs/>
                <w:sz w:val="24"/>
                <w:highlight w:val="none"/>
              </w:rPr>
            </w:pPr>
            <w:r>
              <w:rPr>
                <w:rFonts w:hint="eastAsia" w:ascii="宋体" w:hAnsi="宋体" w:cs="宋体"/>
                <w:b/>
                <w:bCs/>
                <w:sz w:val="24"/>
                <w:highlight w:val="none"/>
              </w:rPr>
              <w:t>媒体位置</w:t>
            </w:r>
          </w:p>
        </w:tc>
        <w:tc>
          <w:tcPr>
            <w:tcW w:w="3454" w:type="dxa"/>
            <w:vAlign w:val="center"/>
          </w:tcPr>
          <w:p w14:paraId="042701E1">
            <w:pPr>
              <w:spacing w:line="360" w:lineRule="auto"/>
              <w:jc w:val="center"/>
              <w:rPr>
                <w:rFonts w:ascii="宋体" w:hAnsi="宋体" w:cs="宋体"/>
                <w:b/>
                <w:bCs/>
                <w:sz w:val="24"/>
                <w:highlight w:val="none"/>
              </w:rPr>
            </w:pPr>
            <w:r>
              <w:rPr>
                <w:rFonts w:hint="eastAsia" w:ascii="宋体" w:hAnsi="宋体" w:cs="宋体"/>
                <w:b/>
                <w:bCs/>
                <w:sz w:val="24"/>
                <w:highlight w:val="none"/>
              </w:rPr>
              <w:t>媒体尺寸（mm ）</w:t>
            </w:r>
          </w:p>
        </w:tc>
        <w:tc>
          <w:tcPr>
            <w:tcW w:w="1984" w:type="dxa"/>
            <w:vAlign w:val="center"/>
          </w:tcPr>
          <w:p w14:paraId="1BC0E63F">
            <w:pPr>
              <w:spacing w:line="360" w:lineRule="auto"/>
              <w:jc w:val="center"/>
              <w:rPr>
                <w:rFonts w:ascii="宋体" w:hAnsi="宋体" w:cs="宋体"/>
                <w:b/>
                <w:bCs/>
                <w:sz w:val="24"/>
                <w:highlight w:val="none"/>
              </w:rPr>
            </w:pPr>
            <w:r>
              <w:rPr>
                <w:rFonts w:hint="eastAsia" w:ascii="宋体" w:hAnsi="宋体" w:cs="宋体"/>
                <w:b/>
                <w:bCs/>
                <w:sz w:val="24"/>
                <w:highlight w:val="none"/>
              </w:rPr>
              <w:t>数量</w:t>
            </w:r>
          </w:p>
        </w:tc>
      </w:tr>
      <w:tr w14:paraId="3C4F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868" w:type="dxa"/>
            <w:vAlign w:val="center"/>
          </w:tcPr>
          <w:p w14:paraId="697B840F">
            <w:pPr>
              <w:spacing w:line="360" w:lineRule="auto"/>
              <w:jc w:val="center"/>
              <w:rPr>
                <w:rFonts w:ascii="宋体" w:hAnsi="宋体" w:cs="宋体"/>
                <w:sz w:val="24"/>
                <w:highlight w:val="none"/>
              </w:rPr>
            </w:pPr>
            <w:r>
              <w:rPr>
                <w:rFonts w:hint="eastAsia" w:ascii="宋体" w:hAnsi="宋体" w:cs="宋体"/>
                <w:sz w:val="24"/>
                <w:highlight w:val="none"/>
              </w:rPr>
              <w:t>车身贴</w:t>
            </w:r>
          </w:p>
        </w:tc>
        <w:tc>
          <w:tcPr>
            <w:tcW w:w="2333" w:type="dxa"/>
            <w:vAlign w:val="center"/>
          </w:tcPr>
          <w:p w14:paraId="64651F18">
            <w:pPr>
              <w:spacing w:line="360" w:lineRule="auto"/>
              <w:jc w:val="center"/>
              <w:rPr>
                <w:rFonts w:ascii="宋体" w:hAnsi="宋体" w:cs="宋体"/>
                <w:sz w:val="24"/>
                <w:highlight w:val="none"/>
              </w:rPr>
            </w:pPr>
            <w:r>
              <w:rPr>
                <w:rFonts w:hint="eastAsia" w:ascii="宋体" w:hAnsi="宋体" w:cs="宋体"/>
                <w:sz w:val="24"/>
                <w:highlight w:val="none"/>
              </w:rPr>
              <w:t>车厢外中上部</w:t>
            </w:r>
          </w:p>
        </w:tc>
        <w:tc>
          <w:tcPr>
            <w:tcW w:w="3454" w:type="dxa"/>
            <w:vAlign w:val="center"/>
          </w:tcPr>
          <w:p w14:paraId="048BF3FB">
            <w:pPr>
              <w:spacing w:line="360" w:lineRule="auto"/>
              <w:jc w:val="center"/>
              <w:rPr>
                <w:rFonts w:ascii="宋体" w:hAnsi="宋体" w:cs="宋体"/>
                <w:sz w:val="24"/>
                <w:highlight w:val="none"/>
              </w:rPr>
            </w:pPr>
            <w:r>
              <w:rPr>
                <w:rFonts w:hint="eastAsia" w:ascii="宋体" w:hAnsi="宋体" w:cs="宋体"/>
                <w:sz w:val="24"/>
                <w:highlight w:val="none"/>
              </w:rPr>
              <w:t>6000mm x 500mm</w:t>
            </w:r>
          </w:p>
        </w:tc>
        <w:tc>
          <w:tcPr>
            <w:tcW w:w="1984" w:type="dxa"/>
            <w:vAlign w:val="center"/>
          </w:tcPr>
          <w:p w14:paraId="5650C755">
            <w:pPr>
              <w:spacing w:line="360" w:lineRule="auto"/>
              <w:jc w:val="center"/>
              <w:rPr>
                <w:rFonts w:ascii="宋体" w:hAnsi="宋体" w:cs="宋体"/>
                <w:sz w:val="24"/>
                <w:highlight w:val="none"/>
              </w:rPr>
            </w:pPr>
            <w:r>
              <w:rPr>
                <w:rFonts w:hint="eastAsia" w:ascii="宋体" w:hAnsi="宋体" w:cs="宋体"/>
                <w:sz w:val="24"/>
                <w:highlight w:val="none"/>
              </w:rPr>
              <w:t>以审批为准</w:t>
            </w:r>
          </w:p>
        </w:tc>
      </w:tr>
      <w:tr w14:paraId="27AF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75F9BE2A">
            <w:pPr>
              <w:spacing w:line="360" w:lineRule="auto"/>
              <w:jc w:val="center"/>
              <w:rPr>
                <w:rFonts w:ascii="宋体" w:hAnsi="宋体" w:cs="宋体"/>
                <w:sz w:val="24"/>
                <w:highlight w:val="none"/>
              </w:rPr>
            </w:pPr>
            <w:r>
              <w:rPr>
                <w:rFonts w:hint="eastAsia" w:ascii="宋体" w:hAnsi="宋体" w:cs="宋体"/>
                <w:sz w:val="24"/>
                <w:highlight w:val="none"/>
              </w:rPr>
              <w:t>车门玻璃贴</w:t>
            </w:r>
          </w:p>
        </w:tc>
        <w:tc>
          <w:tcPr>
            <w:tcW w:w="2333" w:type="dxa"/>
            <w:vAlign w:val="center"/>
          </w:tcPr>
          <w:p w14:paraId="097D32AC">
            <w:pPr>
              <w:spacing w:line="360" w:lineRule="auto"/>
              <w:jc w:val="center"/>
              <w:rPr>
                <w:rFonts w:ascii="宋体" w:hAnsi="宋体" w:cs="宋体"/>
                <w:sz w:val="24"/>
                <w:highlight w:val="none"/>
              </w:rPr>
            </w:pPr>
            <w:r>
              <w:rPr>
                <w:rFonts w:hint="eastAsia" w:ascii="宋体" w:hAnsi="宋体" w:cs="宋体"/>
                <w:sz w:val="24"/>
                <w:highlight w:val="none"/>
              </w:rPr>
              <w:t>车门下方五分</w:t>
            </w:r>
          </w:p>
          <w:p w14:paraId="78FEAF0F">
            <w:pPr>
              <w:spacing w:line="360" w:lineRule="auto"/>
              <w:jc w:val="center"/>
              <w:rPr>
                <w:rFonts w:ascii="宋体" w:hAnsi="宋体" w:cs="宋体"/>
                <w:sz w:val="24"/>
                <w:highlight w:val="none"/>
              </w:rPr>
            </w:pPr>
            <w:r>
              <w:rPr>
                <w:rFonts w:hint="eastAsia" w:ascii="宋体" w:hAnsi="宋体" w:cs="宋体"/>
                <w:sz w:val="24"/>
                <w:highlight w:val="none"/>
              </w:rPr>
              <w:t>之一处</w:t>
            </w:r>
          </w:p>
        </w:tc>
        <w:tc>
          <w:tcPr>
            <w:tcW w:w="3454" w:type="dxa"/>
            <w:vAlign w:val="center"/>
          </w:tcPr>
          <w:p w14:paraId="58B402BB">
            <w:pPr>
              <w:spacing w:line="360" w:lineRule="auto"/>
              <w:jc w:val="center"/>
              <w:rPr>
                <w:rFonts w:ascii="宋体" w:hAnsi="宋体" w:cs="宋体"/>
                <w:sz w:val="24"/>
                <w:highlight w:val="none"/>
              </w:rPr>
            </w:pPr>
            <w:r>
              <w:rPr>
                <w:rFonts w:hint="eastAsia" w:ascii="宋体" w:hAnsi="宋体" w:cs="宋体"/>
                <w:sz w:val="24"/>
                <w:highlight w:val="none"/>
              </w:rPr>
              <w:t>370mm x 125mm</w:t>
            </w:r>
          </w:p>
        </w:tc>
        <w:tc>
          <w:tcPr>
            <w:tcW w:w="1984" w:type="dxa"/>
            <w:vAlign w:val="center"/>
          </w:tcPr>
          <w:p w14:paraId="21977199">
            <w:pPr>
              <w:spacing w:line="360" w:lineRule="auto"/>
              <w:jc w:val="center"/>
              <w:rPr>
                <w:rFonts w:ascii="宋体" w:hAnsi="宋体" w:cs="宋体"/>
                <w:sz w:val="24"/>
                <w:highlight w:val="none"/>
              </w:rPr>
            </w:pPr>
            <w:r>
              <w:rPr>
                <w:rFonts w:hint="eastAsia" w:ascii="宋体" w:hAnsi="宋体" w:cs="宋体"/>
                <w:sz w:val="24"/>
                <w:highlight w:val="none"/>
              </w:rPr>
              <w:t>26~28块</w:t>
            </w:r>
          </w:p>
        </w:tc>
      </w:tr>
      <w:tr w14:paraId="233F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05FD9561">
            <w:pPr>
              <w:spacing w:line="360" w:lineRule="auto"/>
              <w:jc w:val="center"/>
              <w:rPr>
                <w:rFonts w:ascii="宋体" w:hAnsi="宋体" w:cs="宋体"/>
                <w:sz w:val="24"/>
                <w:highlight w:val="none"/>
              </w:rPr>
            </w:pPr>
            <w:r>
              <w:rPr>
                <w:rFonts w:hint="eastAsia" w:ascii="宋体" w:hAnsi="宋体" w:cs="宋体"/>
                <w:sz w:val="24"/>
                <w:highlight w:val="none"/>
              </w:rPr>
              <w:t>头枕巾</w:t>
            </w:r>
          </w:p>
        </w:tc>
        <w:tc>
          <w:tcPr>
            <w:tcW w:w="2333" w:type="dxa"/>
            <w:vAlign w:val="center"/>
          </w:tcPr>
          <w:p w14:paraId="5A6CAC20">
            <w:pPr>
              <w:spacing w:line="360" w:lineRule="auto"/>
              <w:jc w:val="center"/>
              <w:rPr>
                <w:rFonts w:ascii="宋体" w:hAnsi="宋体" w:cs="宋体"/>
                <w:sz w:val="24"/>
                <w:highlight w:val="none"/>
              </w:rPr>
            </w:pPr>
            <w:r>
              <w:rPr>
                <w:rFonts w:hint="eastAsia" w:ascii="宋体" w:hAnsi="宋体" w:cs="宋体"/>
                <w:sz w:val="24"/>
                <w:highlight w:val="none"/>
              </w:rPr>
              <w:t>一、二等座椅</w:t>
            </w:r>
          </w:p>
        </w:tc>
        <w:tc>
          <w:tcPr>
            <w:tcW w:w="3454" w:type="dxa"/>
            <w:vAlign w:val="center"/>
          </w:tcPr>
          <w:p w14:paraId="5D5AF866">
            <w:pPr>
              <w:spacing w:line="360" w:lineRule="auto"/>
              <w:rPr>
                <w:rFonts w:ascii="宋体" w:hAnsi="宋体" w:cs="宋体"/>
                <w:sz w:val="24"/>
                <w:highlight w:val="none"/>
              </w:rPr>
            </w:pPr>
            <w:r>
              <w:rPr>
                <w:rFonts w:hint="eastAsia" w:ascii="宋体" w:hAnsi="宋体" w:cs="宋体"/>
                <w:sz w:val="24"/>
                <w:highlight w:val="none"/>
              </w:rPr>
              <w:t>一等座：（正面）1</w:t>
            </w:r>
            <w:r>
              <w:rPr>
                <w:rFonts w:ascii="宋体" w:hAnsi="宋体" w:cs="宋体"/>
                <w:sz w:val="24"/>
                <w:highlight w:val="none"/>
              </w:rPr>
              <w:t>35</w:t>
            </w:r>
            <w:r>
              <w:rPr>
                <w:rFonts w:hint="eastAsia" w:ascii="宋体" w:hAnsi="宋体" w:cs="宋体"/>
                <w:sz w:val="24"/>
                <w:highlight w:val="none"/>
              </w:rPr>
              <w:t xml:space="preserve">mm x </w:t>
            </w:r>
            <w:r>
              <w:rPr>
                <w:rFonts w:ascii="宋体" w:hAnsi="宋体" w:cs="宋体"/>
                <w:sz w:val="24"/>
                <w:highlight w:val="none"/>
              </w:rPr>
              <w:t>90</w:t>
            </w:r>
            <w:r>
              <w:rPr>
                <w:rFonts w:hint="eastAsia" w:ascii="宋体" w:hAnsi="宋体" w:cs="宋体"/>
                <w:sz w:val="24"/>
                <w:highlight w:val="none"/>
              </w:rPr>
              <w:t>mm</w:t>
            </w:r>
          </w:p>
          <w:p w14:paraId="3ECFACF9">
            <w:pPr>
              <w:spacing w:line="360" w:lineRule="auto"/>
              <w:rPr>
                <w:rFonts w:ascii="宋体" w:hAnsi="宋体" w:cs="宋体"/>
                <w:sz w:val="24"/>
                <w:highlight w:val="none"/>
              </w:rPr>
            </w:pPr>
            <w:r>
              <w:rPr>
                <w:rFonts w:hint="eastAsia" w:ascii="宋体" w:hAnsi="宋体" w:cs="宋体"/>
                <w:sz w:val="24"/>
                <w:highlight w:val="none"/>
              </w:rPr>
              <w:t>二等座：（正反面）1</w:t>
            </w:r>
            <w:r>
              <w:rPr>
                <w:rFonts w:ascii="宋体" w:hAnsi="宋体" w:cs="宋体"/>
                <w:sz w:val="24"/>
                <w:highlight w:val="none"/>
              </w:rPr>
              <w:t>35</w:t>
            </w:r>
            <w:r>
              <w:rPr>
                <w:rFonts w:hint="eastAsia" w:ascii="宋体" w:hAnsi="宋体" w:cs="宋体"/>
                <w:sz w:val="24"/>
                <w:highlight w:val="none"/>
              </w:rPr>
              <w:t xml:space="preserve">mm x </w:t>
            </w:r>
            <w:r>
              <w:rPr>
                <w:rFonts w:ascii="宋体" w:hAnsi="宋体" w:cs="宋体"/>
                <w:sz w:val="24"/>
                <w:highlight w:val="none"/>
              </w:rPr>
              <w:t>90</w:t>
            </w:r>
            <w:r>
              <w:rPr>
                <w:rFonts w:hint="eastAsia" w:ascii="宋体" w:hAnsi="宋体" w:cs="宋体"/>
                <w:sz w:val="24"/>
                <w:highlight w:val="none"/>
              </w:rPr>
              <w:t>mm</w:t>
            </w:r>
          </w:p>
        </w:tc>
        <w:tc>
          <w:tcPr>
            <w:tcW w:w="1984" w:type="dxa"/>
            <w:vAlign w:val="center"/>
          </w:tcPr>
          <w:p w14:paraId="04C58573">
            <w:pPr>
              <w:spacing w:line="360" w:lineRule="auto"/>
              <w:jc w:val="center"/>
              <w:rPr>
                <w:rFonts w:ascii="宋体" w:hAnsi="宋体" w:cs="宋体"/>
                <w:sz w:val="24"/>
                <w:highlight w:val="none"/>
              </w:rPr>
            </w:pPr>
            <w:r>
              <w:rPr>
                <w:rFonts w:hint="eastAsia" w:ascii="宋体" w:hAnsi="宋体" w:cs="宋体"/>
                <w:sz w:val="24"/>
                <w:highlight w:val="none"/>
              </w:rPr>
              <w:t>一等座：33块</w:t>
            </w:r>
          </w:p>
          <w:p w14:paraId="7BFE719D">
            <w:pPr>
              <w:spacing w:line="360" w:lineRule="auto"/>
              <w:jc w:val="center"/>
              <w:rPr>
                <w:rFonts w:ascii="宋体" w:hAnsi="宋体" w:cs="宋体"/>
                <w:sz w:val="24"/>
                <w:highlight w:val="none"/>
              </w:rPr>
            </w:pPr>
            <w:r>
              <w:rPr>
                <w:rFonts w:hint="eastAsia" w:ascii="宋体" w:hAnsi="宋体" w:cs="宋体"/>
                <w:sz w:val="24"/>
                <w:highlight w:val="none"/>
              </w:rPr>
              <w:t>二等座：523块</w:t>
            </w:r>
          </w:p>
        </w:tc>
      </w:tr>
      <w:tr w14:paraId="7C40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1BAB19E5">
            <w:pPr>
              <w:spacing w:line="360" w:lineRule="auto"/>
              <w:jc w:val="center"/>
              <w:rPr>
                <w:rFonts w:ascii="宋体" w:hAnsi="宋体" w:cs="宋体"/>
                <w:sz w:val="24"/>
                <w:highlight w:val="none"/>
              </w:rPr>
            </w:pPr>
            <w:r>
              <w:rPr>
                <w:rFonts w:hint="eastAsia" w:ascii="宋体" w:hAnsi="宋体" w:cs="宋体"/>
                <w:sz w:val="24"/>
                <w:highlight w:val="none"/>
              </w:rPr>
              <w:t>小桌板背贴</w:t>
            </w:r>
          </w:p>
        </w:tc>
        <w:tc>
          <w:tcPr>
            <w:tcW w:w="2333" w:type="dxa"/>
            <w:vAlign w:val="center"/>
          </w:tcPr>
          <w:p w14:paraId="1CE46072">
            <w:pPr>
              <w:spacing w:line="360" w:lineRule="auto"/>
              <w:jc w:val="center"/>
              <w:rPr>
                <w:rFonts w:ascii="宋体" w:hAnsi="宋体" w:cs="宋体"/>
                <w:sz w:val="24"/>
                <w:highlight w:val="none"/>
              </w:rPr>
            </w:pPr>
            <w:r>
              <w:rPr>
                <w:rFonts w:hint="eastAsia" w:ascii="宋体" w:hAnsi="宋体" w:cs="宋体"/>
                <w:sz w:val="24"/>
                <w:highlight w:val="none"/>
              </w:rPr>
              <w:t>小桌板背面</w:t>
            </w:r>
          </w:p>
        </w:tc>
        <w:tc>
          <w:tcPr>
            <w:tcW w:w="3454" w:type="dxa"/>
            <w:vAlign w:val="center"/>
          </w:tcPr>
          <w:p w14:paraId="1B3A6BA8">
            <w:pPr>
              <w:spacing w:line="360" w:lineRule="auto"/>
              <w:jc w:val="center"/>
              <w:rPr>
                <w:rFonts w:ascii="宋体" w:hAnsi="宋体" w:cs="宋体"/>
                <w:sz w:val="24"/>
                <w:highlight w:val="none"/>
              </w:rPr>
            </w:pPr>
            <w:r>
              <w:rPr>
                <w:rFonts w:hint="eastAsia" w:ascii="宋体" w:hAnsi="宋体" w:cs="宋体"/>
                <w:sz w:val="24"/>
                <w:highlight w:val="none"/>
              </w:rPr>
              <w:t>300mm x 120mm</w:t>
            </w:r>
          </w:p>
        </w:tc>
        <w:tc>
          <w:tcPr>
            <w:tcW w:w="1984" w:type="dxa"/>
            <w:vAlign w:val="center"/>
          </w:tcPr>
          <w:p w14:paraId="0B81E93E">
            <w:pPr>
              <w:spacing w:line="360" w:lineRule="auto"/>
              <w:jc w:val="center"/>
              <w:rPr>
                <w:rFonts w:ascii="宋体" w:hAnsi="宋体" w:cs="宋体"/>
                <w:sz w:val="24"/>
                <w:highlight w:val="none"/>
              </w:rPr>
            </w:pPr>
            <w:r>
              <w:rPr>
                <w:rFonts w:hint="eastAsia" w:ascii="宋体" w:hAnsi="宋体" w:cs="宋体"/>
                <w:sz w:val="24"/>
                <w:highlight w:val="none"/>
              </w:rPr>
              <w:t>523块</w:t>
            </w:r>
          </w:p>
        </w:tc>
      </w:tr>
      <w:tr w14:paraId="720A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0D743CBD">
            <w:pPr>
              <w:spacing w:line="360" w:lineRule="auto"/>
              <w:jc w:val="center"/>
              <w:rPr>
                <w:rFonts w:ascii="宋体" w:hAnsi="宋体" w:cs="宋体"/>
                <w:sz w:val="24"/>
                <w:highlight w:val="none"/>
              </w:rPr>
            </w:pPr>
            <w:r>
              <w:rPr>
                <w:rFonts w:hint="eastAsia" w:ascii="宋体" w:hAnsi="宋体" w:cs="宋体"/>
                <w:sz w:val="24"/>
                <w:highlight w:val="none"/>
              </w:rPr>
              <w:t>展牌</w:t>
            </w:r>
          </w:p>
        </w:tc>
        <w:tc>
          <w:tcPr>
            <w:tcW w:w="2333" w:type="dxa"/>
            <w:vAlign w:val="center"/>
          </w:tcPr>
          <w:p w14:paraId="2E903915">
            <w:pPr>
              <w:spacing w:line="360" w:lineRule="auto"/>
              <w:jc w:val="center"/>
              <w:rPr>
                <w:rFonts w:ascii="宋体" w:hAnsi="宋体" w:cs="宋体"/>
                <w:sz w:val="24"/>
                <w:highlight w:val="none"/>
              </w:rPr>
            </w:pPr>
            <w:r>
              <w:rPr>
                <w:rFonts w:hint="eastAsia" w:ascii="宋体" w:hAnsi="宋体" w:cs="宋体"/>
                <w:sz w:val="24"/>
                <w:highlight w:val="none"/>
              </w:rPr>
              <w:t>车厢入口、过</w:t>
            </w:r>
          </w:p>
          <w:p w14:paraId="136752AA">
            <w:pPr>
              <w:spacing w:line="360" w:lineRule="auto"/>
              <w:jc w:val="center"/>
              <w:rPr>
                <w:rFonts w:ascii="宋体" w:hAnsi="宋体" w:cs="宋体"/>
                <w:sz w:val="24"/>
                <w:highlight w:val="none"/>
              </w:rPr>
            </w:pPr>
            <w:r>
              <w:rPr>
                <w:rFonts w:hint="eastAsia" w:ascii="宋体" w:hAnsi="宋体" w:cs="宋体"/>
                <w:sz w:val="24"/>
                <w:highlight w:val="none"/>
              </w:rPr>
              <w:t>道、盥洗室处</w:t>
            </w:r>
          </w:p>
        </w:tc>
        <w:tc>
          <w:tcPr>
            <w:tcW w:w="3454" w:type="dxa"/>
            <w:vAlign w:val="center"/>
          </w:tcPr>
          <w:p w14:paraId="6A2E265E">
            <w:pPr>
              <w:spacing w:line="360" w:lineRule="auto"/>
              <w:jc w:val="center"/>
              <w:rPr>
                <w:rFonts w:ascii="宋体" w:hAnsi="宋体" w:cs="宋体"/>
                <w:sz w:val="24"/>
                <w:highlight w:val="none"/>
              </w:rPr>
            </w:pPr>
            <w:r>
              <w:rPr>
                <w:rFonts w:hint="eastAsia" w:ascii="宋体" w:hAnsi="宋体" w:cs="宋体"/>
                <w:sz w:val="24"/>
                <w:highlight w:val="none"/>
              </w:rPr>
              <w:t>尺寸分为：竖版</w:t>
            </w:r>
          </w:p>
          <w:p w14:paraId="64347EAD">
            <w:pPr>
              <w:spacing w:line="360" w:lineRule="auto"/>
              <w:jc w:val="center"/>
              <w:rPr>
                <w:rFonts w:ascii="宋体" w:hAnsi="宋体" w:cs="宋体"/>
                <w:sz w:val="24"/>
                <w:highlight w:val="none"/>
              </w:rPr>
            </w:pPr>
            <w:r>
              <w:rPr>
                <w:rFonts w:hint="eastAsia" w:ascii="宋体" w:hAnsi="宋体" w:cs="宋体"/>
                <w:sz w:val="24"/>
                <w:highlight w:val="none"/>
              </w:rPr>
              <w:t>494mm x 744mm、530mm x 790mm</w:t>
            </w:r>
          </w:p>
        </w:tc>
        <w:tc>
          <w:tcPr>
            <w:tcW w:w="1984" w:type="dxa"/>
            <w:vAlign w:val="center"/>
          </w:tcPr>
          <w:p w14:paraId="73563A19">
            <w:pPr>
              <w:spacing w:line="360" w:lineRule="auto"/>
              <w:jc w:val="center"/>
              <w:rPr>
                <w:rFonts w:ascii="宋体" w:hAnsi="宋体" w:cs="宋体"/>
                <w:sz w:val="24"/>
                <w:highlight w:val="none"/>
              </w:rPr>
            </w:pPr>
            <w:r>
              <w:rPr>
                <w:rFonts w:hint="eastAsia" w:ascii="宋体" w:hAnsi="宋体" w:cs="宋体"/>
                <w:sz w:val="24"/>
                <w:highlight w:val="none"/>
              </w:rPr>
              <w:t>26~32块</w:t>
            </w:r>
          </w:p>
        </w:tc>
      </w:tr>
      <w:tr w14:paraId="2B0A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15FAA52D">
            <w:pPr>
              <w:spacing w:line="360" w:lineRule="auto"/>
              <w:jc w:val="center"/>
              <w:rPr>
                <w:rFonts w:ascii="宋体" w:hAnsi="宋体" w:cs="宋体"/>
                <w:sz w:val="24"/>
                <w:highlight w:val="none"/>
              </w:rPr>
            </w:pPr>
            <w:r>
              <w:rPr>
                <w:rFonts w:hint="eastAsia" w:ascii="宋体" w:hAnsi="宋体" w:cs="宋体"/>
                <w:sz w:val="24"/>
                <w:highlight w:val="none"/>
              </w:rPr>
              <w:t>行李架贴</w:t>
            </w:r>
          </w:p>
        </w:tc>
        <w:tc>
          <w:tcPr>
            <w:tcW w:w="2333" w:type="dxa"/>
            <w:vAlign w:val="center"/>
          </w:tcPr>
          <w:p w14:paraId="2FEAF81F">
            <w:pPr>
              <w:spacing w:line="360" w:lineRule="auto"/>
              <w:jc w:val="center"/>
              <w:rPr>
                <w:rFonts w:ascii="宋体" w:hAnsi="宋体" w:cs="宋体"/>
                <w:sz w:val="24"/>
                <w:highlight w:val="none"/>
              </w:rPr>
            </w:pPr>
            <w:r>
              <w:rPr>
                <w:rFonts w:hint="eastAsia" w:ascii="宋体" w:hAnsi="宋体" w:cs="宋体"/>
                <w:sz w:val="24"/>
                <w:highlight w:val="none"/>
              </w:rPr>
              <w:t>行李架下方</w:t>
            </w:r>
          </w:p>
        </w:tc>
        <w:tc>
          <w:tcPr>
            <w:tcW w:w="3454" w:type="dxa"/>
            <w:vAlign w:val="center"/>
          </w:tcPr>
          <w:p w14:paraId="678EAE15">
            <w:pPr>
              <w:spacing w:line="360" w:lineRule="auto"/>
              <w:jc w:val="center"/>
              <w:rPr>
                <w:rFonts w:ascii="宋体" w:hAnsi="宋体" w:cs="宋体"/>
                <w:sz w:val="24"/>
                <w:highlight w:val="none"/>
              </w:rPr>
            </w:pPr>
            <w:r>
              <w:rPr>
                <w:rFonts w:hint="eastAsia" w:ascii="宋体" w:hAnsi="宋体" w:cs="宋体"/>
                <w:sz w:val="24"/>
                <w:highlight w:val="none"/>
              </w:rPr>
              <w:t>材质：不干胶彩贴</w:t>
            </w:r>
          </w:p>
          <w:p w14:paraId="6D8DED40">
            <w:pPr>
              <w:spacing w:line="360" w:lineRule="auto"/>
              <w:jc w:val="center"/>
              <w:rPr>
                <w:rFonts w:ascii="宋体" w:hAnsi="宋体" w:cs="宋体"/>
                <w:sz w:val="24"/>
                <w:highlight w:val="none"/>
              </w:rPr>
            </w:pPr>
            <w:r>
              <w:rPr>
                <w:rFonts w:hint="eastAsia" w:ascii="宋体" w:hAnsi="宋体" w:cs="宋体"/>
                <w:sz w:val="24"/>
                <w:highlight w:val="none"/>
              </w:rPr>
              <w:t>基础规格（依据车型相应调整）：1270~2170mm x 430mm</w:t>
            </w:r>
          </w:p>
        </w:tc>
        <w:tc>
          <w:tcPr>
            <w:tcW w:w="1984" w:type="dxa"/>
            <w:vAlign w:val="center"/>
          </w:tcPr>
          <w:p w14:paraId="0AE49ACE">
            <w:pPr>
              <w:spacing w:line="360" w:lineRule="auto"/>
              <w:jc w:val="center"/>
              <w:rPr>
                <w:rFonts w:ascii="宋体" w:hAnsi="宋体" w:cs="宋体"/>
                <w:sz w:val="24"/>
                <w:highlight w:val="none"/>
              </w:rPr>
            </w:pPr>
            <w:r>
              <w:rPr>
                <w:rFonts w:hint="eastAsia" w:ascii="宋体" w:hAnsi="宋体" w:cs="宋体"/>
                <w:sz w:val="24"/>
                <w:highlight w:val="none"/>
              </w:rPr>
              <w:t>全列</w:t>
            </w:r>
          </w:p>
        </w:tc>
      </w:tr>
      <w:tr w14:paraId="6D9D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3DADB7C8">
            <w:pPr>
              <w:spacing w:line="360" w:lineRule="auto"/>
              <w:jc w:val="center"/>
              <w:rPr>
                <w:rFonts w:ascii="宋体" w:hAnsi="宋体" w:cs="宋体"/>
                <w:sz w:val="24"/>
                <w:highlight w:val="none"/>
              </w:rPr>
            </w:pPr>
            <w:r>
              <w:rPr>
                <w:rFonts w:hint="eastAsia" w:ascii="宋体" w:hAnsi="宋体" w:cs="宋体"/>
                <w:sz w:val="24"/>
                <w:highlight w:val="none"/>
              </w:rPr>
              <w:t>列车广播</w:t>
            </w:r>
          </w:p>
        </w:tc>
        <w:tc>
          <w:tcPr>
            <w:tcW w:w="2333" w:type="dxa"/>
            <w:vAlign w:val="center"/>
          </w:tcPr>
          <w:p w14:paraId="542F82A3">
            <w:pPr>
              <w:spacing w:line="360" w:lineRule="auto"/>
              <w:jc w:val="center"/>
              <w:rPr>
                <w:rFonts w:ascii="宋体" w:hAnsi="宋体" w:cs="宋体"/>
                <w:sz w:val="24"/>
                <w:highlight w:val="none"/>
              </w:rPr>
            </w:pPr>
            <w:r>
              <w:rPr>
                <w:rFonts w:hint="eastAsia" w:ascii="宋体" w:hAnsi="宋体" w:cs="宋体"/>
                <w:sz w:val="24"/>
                <w:highlight w:val="none"/>
              </w:rPr>
              <w:t>全列</w:t>
            </w:r>
          </w:p>
        </w:tc>
        <w:tc>
          <w:tcPr>
            <w:tcW w:w="3454" w:type="dxa"/>
            <w:vAlign w:val="center"/>
          </w:tcPr>
          <w:p w14:paraId="758700B5">
            <w:pPr>
              <w:spacing w:line="360" w:lineRule="auto"/>
              <w:jc w:val="center"/>
              <w:rPr>
                <w:rFonts w:ascii="宋体" w:hAnsi="宋体" w:cs="宋体"/>
                <w:sz w:val="24"/>
                <w:highlight w:val="none"/>
              </w:rPr>
            </w:pPr>
            <w:r>
              <w:rPr>
                <w:rFonts w:hint="eastAsia" w:ascii="宋体" w:hAnsi="宋体" w:cs="宋体"/>
                <w:sz w:val="24"/>
                <w:highlight w:val="none"/>
              </w:rPr>
              <w:t>10个字以内</w:t>
            </w:r>
          </w:p>
        </w:tc>
        <w:tc>
          <w:tcPr>
            <w:tcW w:w="1984" w:type="dxa"/>
            <w:vAlign w:val="center"/>
          </w:tcPr>
          <w:p w14:paraId="5359E78D">
            <w:pPr>
              <w:spacing w:line="360" w:lineRule="auto"/>
              <w:jc w:val="center"/>
              <w:rPr>
                <w:rFonts w:ascii="宋体" w:hAnsi="宋体" w:cs="宋体"/>
                <w:sz w:val="24"/>
                <w:highlight w:val="none"/>
              </w:rPr>
            </w:pPr>
            <w:r>
              <w:rPr>
                <w:rFonts w:hint="eastAsia" w:ascii="宋体" w:hAnsi="宋体" w:cs="宋体"/>
                <w:sz w:val="24"/>
                <w:highlight w:val="none"/>
              </w:rPr>
              <w:t>全列</w:t>
            </w:r>
          </w:p>
        </w:tc>
      </w:tr>
      <w:tr w14:paraId="03ED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8" w:type="dxa"/>
            <w:vAlign w:val="center"/>
          </w:tcPr>
          <w:p w14:paraId="6C637899">
            <w:pPr>
              <w:spacing w:line="360" w:lineRule="auto"/>
              <w:jc w:val="center"/>
              <w:rPr>
                <w:rFonts w:ascii="宋体" w:hAnsi="宋体" w:cs="宋体"/>
                <w:sz w:val="24"/>
                <w:highlight w:val="none"/>
              </w:rPr>
            </w:pPr>
            <w:r>
              <w:rPr>
                <w:rFonts w:hint="eastAsia" w:ascii="宋体" w:hAnsi="宋体" w:cs="宋体"/>
                <w:sz w:val="24"/>
                <w:highlight w:val="none"/>
              </w:rPr>
              <w:t>LED电子显示屏</w:t>
            </w:r>
          </w:p>
        </w:tc>
        <w:tc>
          <w:tcPr>
            <w:tcW w:w="2333" w:type="dxa"/>
            <w:vAlign w:val="center"/>
          </w:tcPr>
          <w:p w14:paraId="7AE381CB">
            <w:pPr>
              <w:spacing w:line="360" w:lineRule="auto"/>
              <w:jc w:val="center"/>
              <w:rPr>
                <w:rFonts w:ascii="宋体" w:hAnsi="宋体" w:cs="宋体"/>
                <w:sz w:val="24"/>
                <w:highlight w:val="none"/>
              </w:rPr>
            </w:pPr>
            <w:r>
              <w:rPr>
                <w:rFonts w:hint="eastAsia" w:ascii="宋体" w:hAnsi="宋体" w:cs="宋体"/>
                <w:sz w:val="24"/>
                <w:highlight w:val="none"/>
              </w:rPr>
              <w:t>车厢两端 LED屏</w:t>
            </w:r>
          </w:p>
        </w:tc>
        <w:tc>
          <w:tcPr>
            <w:tcW w:w="3454" w:type="dxa"/>
            <w:vAlign w:val="center"/>
          </w:tcPr>
          <w:p w14:paraId="01867AFE">
            <w:pPr>
              <w:spacing w:line="360" w:lineRule="auto"/>
              <w:jc w:val="center"/>
              <w:rPr>
                <w:rFonts w:ascii="宋体" w:hAnsi="宋体" w:cs="宋体"/>
                <w:sz w:val="24"/>
                <w:highlight w:val="none"/>
              </w:rPr>
            </w:pPr>
            <w:r>
              <w:rPr>
                <w:rFonts w:hint="eastAsia" w:ascii="宋体" w:hAnsi="宋体" w:cs="宋体"/>
                <w:sz w:val="24"/>
                <w:highlight w:val="none"/>
              </w:rPr>
              <w:t>10个字以内</w:t>
            </w:r>
          </w:p>
        </w:tc>
        <w:tc>
          <w:tcPr>
            <w:tcW w:w="1984" w:type="dxa"/>
            <w:vAlign w:val="center"/>
          </w:tcPr>
          <w:p w14:paraId="04D860AF">
            <w:pPr>
              <w:spacing w:line="360" w:lineRule="auto"/>
              <w:jc w:val="center"/>
              <w:rPr>
                <w:rFonts w:ascii="宋体" w:hAnsi="宋体" w:cs="宋体"/>
                <w:sz w:val="24"/>
                <w:highlight w:val="none"/>
              </w:rPr>
            </w:pPr>
            <w:r>
              <w:rPr>
                <w:rFonts w:hint="eastAsia" w:ascii="宋体" w:hAnsi="宋体" w:cs="宋体"/>
                <w:sz w:val="24"/>
                <w:highlight w:val="none"/>
              </w:rPr>
              <w:t>全列</w:t>
            </w:r>
          </w:p>
        </w:tc>
      </w:tr>
    </w:tbl>
    <w:p w14:paraId="315FA94C">
      <w:pPr>
        <w:spacing w:line="360" w:lineRule="auto"/>
        <w:jc w:val="left"/>
        <w:rPr>
          <w:rFonts w:hint="eastAsia" w:ascii="宋体" w:hAnsi="宋体" w:eastAsia="宋体" w:cs="宋体"/>
          <w:sz w:val="24"/>
          <w:highlight w:val="none"/>
          <w:lang w:eastAsia="zh-CN"/>
        </w:rPr>
      </w:pPr>
      <w:r>
        <w:rPr>
          <w:rFonts w:hint="eastAsia" w:ascii="宋体" w:hAnsi="宋体" w:cs="宋体"/>
          <w:kern w:val="0"/>
          <w:sz w:val="24"/>
          <w:highlight w:val="none"/>
        </w:rPr>
        <w:t>4、媒体形式：</w:t>
      </w:r>
      <w:r>
        <w:rPr>
          <w:rFonts w:hint="eastAsia" w:ascii="宋体" w:hAnsi="宋体" w:cs="宋体"/>
          <w:sz w:val="24"/>
          <w:highlight w:val="none"/>
        </w:rPr>
        <w:t>车身彩贴、车外门贴、头枕巾、桌贴、海报、品牌天幕、语音播报、车厢内LED屏</w:t>
      </w:r>
      <w:r>
        <w:rPr>
          <w:rFonts w:hint="eastAsia" w:ascii="宋体" w:hAnsi="宋体" w:cs="宋体"/>
          <w:sz w:val="24"/>
          <w:highlight w:val="none"/>
          <w:lang w:eastAsia="zh-CN"/>
        </w:rPr>
        <w:t>。</w:t>
      </w:r>
    </w:p>
    <w:p w14:paraId="03DCC913">
      <w:pPr>
        <w:spacing w:line="360" w:lineRule="auto"/>
        <w:rPr>
          <w:rFonts w:hint="eastAsia" w:ascii="宋体" w:hAnsi="宋体" w:eastAsia="宋体" w:cs="宋体"/>
          <w:kern w:val="0"/>
          <w:sz w:val="24"/>
          <w:highlight w:val="none"/>
          <w:lang w:val="en-US" w:eastAsia="zh-CN"/>
        </w:rPr>
      </w:pPr>
      <w:r>
        <w:rPr>
          <w:rFonts w:hint="eastAsia" w:ascii="宋体" w:hAnsi="宋体" w:cs="宋体"/>
          <w:kern w:val="0"/>
          <w:sz w:val="24"/>
          <w:highlight w:val="none"/>
        </w:rPr>
        <w:t>5、投放数量：高铁冠名</w:t>
      </w:r>
      <w:r>
        <w:rPr>
          <w:rFonts w:hint="eastAsia" w:ascii="宋体" w:hAnsi="宋体" w:cs="宋体"/>
          <w:kern w:val="0"/>
          <w:sz w:val="24"/>
          <w:highlight w:val="none"/>
          <w:lang w:val="en-US" w:eastAsia="zh-CN"/>
        </w:rPr>
        <w:t>1</w:t>
      </w:r>
      <w:r>
        <w:rPr>
          <w:rFonts w:hint="eastAsia" w:ascii="宋体" w:hAnsi="宋体" w:cs="宋体"/>
          <w:kern w:val="0"/>
          <w:sz w:val="24"/>
          <w:highlight w:val="none"/>
        </w:rPr>
        <w:t>组（8节为一组）</w:t>
      </w:r>
      <w:r>
        <w:rPr>
          <w:rFonts w:hint="eastAsia" w:ascii="宋体" w:hAnsi="宋体" w:cs="宋体"/>
          <w:kern w:val="0"/>
          <w:sz w:val="24"/>
          <w:highlight w:val="none"/>
          <w:lang w:eastAsia="zh-CN"/>
        </w:rPr>
        <w:t>。</w:t>
      </w:r>
    </w:p>
    <w:p w14:paraId="4163E60D">
      <w:pPr>
        <w:spacing w:line="360" w:lineRule="auto"/>
        <w:rPr>
          <w:rFonts w:ascii="宋体" w:hAnsi="宋体" w:cs="宋体"/>
          <w:kern w:val="0"/>
          <w:sz w:val="24"/>
          <w:highlight w:val="none"/>
        </w:rPr>
      </w:pPr>
      <w:r>
        <w:rPr>
          <w:rFonts w:hint="eastAsia" w:ascii="宋体" w:hAnsi="宋体" w:cs="宋体"/>
          <w:kern w:val="0"/>
          <w:sz w:val="24"/>
          <w:highlight w:val="none"/>
        </w:rPr>
        <w:t>6、服务要求：</w:t>
      </w:r>
    </w:p>
    <w:p w14:paraId="0D3FE0BC">
      <w:pPr>
        <w:spacing w:line="360" w:lineRule="auto"/>
        <w:jc w:val="left"/>
        <w:rPr>
          <w:rFonts w:ascii="宋体" w:hAnsi="宋体" w:cs="宋体"/>
          <w:sz w:val="24"/>
          <w:highlight w:val="none"/>
        </w:rPr>
      </w:pPr>
      <w:r>
        <w:rPr>
          <w:rFonts w:hint="eastAsia" w:ascii="宋体" w:hAnsi="宋体" w:cs="宋体"/>
          <w:kern w:val="0"/>
          <w:sz w:val="24"/>
          <w:highlight w:val="none"/>
        </w:rPr>
        <w:t>（</w:t>
      </w:r>
      <w:r>
        <w:rPr>
          <w:rFonts w:hint="eastAsia" w:ascii="宋体" w:hAnsi="宋体" w:cs="宋体"/>
          <w:sz w:val="24"/>
          <w:highlight w:val="none"/>
        </w:rPr>
        <w:t>1）广告工艺：</w:t>
      </w:r>
      <w:r>
        <w:rPr>
          <w:rFonts w:hint="eastAsia" w:ascii="宋体" w:hAnsi="宋体" w:cs="宋体"/>
          <w:kern w:val="0"/>
          <w:sz w:val="24"/>
          <w:highlight w:val="none"/>
        </w:rPr>
        <w:t>画面制作精良，色彩饱和清晰，张贴平整美观。</w:t>
      </w:r>
      <w:r>
        <w:rPr>
          <w:rFonts w:hint="eastAsia" w:ascii="宋体" w:hAnsi="宋体" w:cs="宋体"/>
          <w:sz w:val="24"/>
          <w:highlight w:val="none"/>
        </w:rPr>
        <w:t>聚脂纤维印刷、彩色热转印或全彩机印；图案墨水采用无毒，环保，耐洗，色彩亮丽的产品，画面内容由采购方提供。</w:t>
      </w:r>
    </w:p>
    <w:p w14:paraId="322C01E4">
      <w:pPr>
        <w:spacing w:line="360" w:lineRule="auto"/>
        <w:jc w:val="left"/>
        <w:rPr>
          <w:rFonts w:ascii="宋体" w:hAnsi="宋体" w:cs="宋体"/>
          <w:sz w:val="24"/>
          <w:highlight w:val="none"/>
        </w:rPr>
      </w:pPr>
      <w:r>
        <w:rPr>
          <w:rFonts w:hint="eastAsia" w:ascii="宋体" w:hAnsi="宋体" w:cs="宋体"/>
          <w:sz w:val="24"/>
          <w:highlight w:val="none"/>
        </w:rPr>
        <w:t>（2）广告投放的审批程序由供应商自行解决。</w:t>
      </w:r>
    </w:p>
    <w:p w14:paraId="220B2962">
      <w:pPr>
        <w:spacing w:line="360" w:lineRule="auto"/>
        <w:jc w:val="left"/>
        <w:rPr>
          <w:rFonts w:ascii="宋体" w:hAnsi="宋体" w:cs="宋体"/>
          <w:sz w:val="24"/>
          <w:highlight w:val="none"/>
        </w:rPr>
      </w:pPr>
      <w:r>
        <w:rPr>
          <w:rFonts w:hint="eastAsia" w:ascii="宋体" w:hAnsi="宋体" w:cs="宋体"/>
          <w:sz w:val="24"/>
          <w:highlight w:val="none"/>
        </w:rPr>
        <w:t>（3）若广告出现损坏（广告画面破损、褪色严重等）情况，供应商需在5个工作日内进行修复或更换。</w:t>
      </w:r>
    </w:p>
    <w:p w14:paraId="2185AB08">
      <w:pPr>
        <w:rPr>
          <w:rFonts w:hint="eastAsia" w:ascii="宋体" w:hAnsi="宋体" w:eastAsia="宋体" w:cs="宋体"/>
          <w:bCs/>
          <w:color w:val="auto"/>
          <w:sz w:val="24"/>
          <w:szCs w:val="24"/>
          <w:highlight w:val="none"/>
          <w:lang w:val="en-US" w:eastAsia="zh-CN"/>
        </w:rPr>
      </w:pPr>
    </w:p>
    <w:p w14:paraId="1051F1F9">
      <w:pPr>
        <w:rPr>
          <w:rFonts w:hint="eastAsia" w:ascii="宋体" w:hAnsi="宋体" w:eastAsia="宋体" w:cs="宋体"/>
          <w:bCs/>
          <w:color w:val="auto"/>
          <w:sz w:val="24"/>
          <w:szCs w:val="24"/>
          <w:highlight w:val="none"/>
          <w:lang w:val="en-US" w:eastAsia="zh-CN"/>
        </w:rPr>
      </w:pPr>
    </w:p>
    <w:p w14:paraId="22BE043A">
      <w:pPr>
        <w:rPr>
          <w:rFonts w:hint="eastAsia" w:ascii="宋体" w:hAnsi="宋体" w:eastAsia="宋体" w:cs="宋体"/>
          <w:bCs/>
          <w:color w:val="auto"/>
          <w:sz w:val="24"/>
          <w:szCs w:val="24"/>
          <w:highlight w:val="none"/>
          <w:lang w:val="en-US" w:eastAsia="zh-CN"/>
        </w:rPr>
      </w:pPr>
    </w:p>
    <w:p w14:paraId="1497353E">
      <w:pPr>
        <w:pageBreakBefore w:val="0"/>
        <w:widowControl w:val="0"/>
        <w:kinsoku/>
        <w:wordWrap/>
        <w:overflowPunct/>
        <w:topLinePunct w:val="0"/>
        <w:bidi w:val="0"/>
        <w:spacing w:line="242" w:lineRule="auto"/>
        <w:jc w:val="both"/>
        <w:rPr>
          <w:color w:val="auto"/>
          <w:highlight w:val="none"/>
        </w:rPr>
      </w:pPr>
      <w:r>
        <w:rPr>
          <w:rFonts w:hint="eastAsia" w:ascii="宋体" w:hAnsi="宋体" w:eastAsia="宋体" w:cs="Times New Roman"/>
          <w:b/>
          <w:bCs/>
          <w:color w:val="auto"/>
          <w:sz w:val="28"/>
          <w:szCs w:val="28"/>
          <w:highlight w:val="none"/>
          <w:lang w:val="en-US" w:eastAsia="zh-CN"/>
        </w:rPr>
        <w:t>注：以上技术要求必须响应，不得负偏离。</w:t>
      </w:r>
    </w:p>
    <w:p w14:paraId="65B32951">
      <w:pPr>
        <w:pageBreakBefore w:val="0"/>
        <w:widowControl w:val="0"/>
        <w:wordWrap/>
        <w:overflowPunct/>
        <w:topLinePunct w:val="0"/>
        <w:bidi w:val="0"/>
        <w:spacing w:line="242" w:lineRule="auto"/>
        <w:rPr>
          <w:color w:val="auto"/>
          <w:highlight w:val="none"/>
        </w:rPr>
      </w:pPr>
    </w:p>
    <w:p w14:paraId="3ADC4C68">
      <w:pPr>
        <w:pageBreakBefore w:val="0"/>
        <w:widowControl w:val="0"/>
        <w:wordWrap/>
        <w:overflowPunct/>
        <w:topLinePunct w:val="0"/>
        <w:bidi w:val="0"/>
        <w:spacing w:line="242" w:lineRule="auto"/>
        <w:rPr>
          <w:color w:val="auto"/>
          <w:highlight w:val="none"/>
        </w:rPr>
      </w:pPr>
    </w:p>
    <w:p w14:paraId="1DBB278E">
      <w:pPr>
        <w:pageBreakBefore w:val="0"/>
        <w:widowControl w:val="0"/>
        <w:wordWrap/>
        <w:overflowPunct/>
        <w:topLinePunct w:val="0"/>
        <w:bidi w:val="0"/>
        <w:spacing w:line="242" w:lineRule="auto"/>
        <w:rPr>
          <w:color w:val="auto"/>
          <w:highlight w:val="none"/>
        </w:rPr>
      </w:pPr>
    </w:p>
    <w:p w14:paraId="68103F70">
      <w:pPr>
        <w:pageBreakBefore w:val="0"/>
        <w:widowControl w:val="0"/>
        <w:wordWrap/>
        <w:overflowPunct/>
        <w:topLinePunct w:val="0"/>
        <w:bidi w:val="0"/>
        <w:spacing w:line="242" w:lineRule="auto"/>
        <w:rPr>
          <w:color w:val="auto"/>
          <w:highlight w:val="none"/>
        </w:rPr>
      </w:pPr>
    </w:p>
    <w:p w14:paraId="2ED1D771">
      <w:pPr>
        <w:pageBreakBefore w:val="0"/>
        <w:widowControl w:val="0"/>
        <w:wordWrap/>
        <w:overflowPunct/>
        <w:topLinePunct w:val="0"/>
        <w:bidi w:val="0"/>
        <w:spacing w:line="242" w:lineRule="auto"/>
        <w:rPr>
          <w:color w:val="auto"/>
          <w:highlight w:val="none"/>
        </w:rPr>
      </w:pPr>
    </w:p>
    <w:p w14:paraId="50C213F1">
      <w:pPr>
        <w:pageBreakBefore w:val="0"/>
        <w:widowControl w:val="0"/>
        <w:wordWrap/>
        <w:overflowPunct/>
        <w:topLinePunct w:val="0"/>
        <w:bidi w:val="0"/>
        <w:spacing w:line="242" w:lineRule="auto"/>
        <w:rPr>
          <w:color w:val="auto"/>
          <w:highlight w:val="none"/>
        </w:rPr>
      </w:pPr>
    </w:p>
    <w:p w14:paraId="01E5F841">
      <w:pPr>
        <w:pageBreakBefore w:val="0"/>
        <w:widowControl w:val="0"/>
        <w:wordWrap/>
        <w:overflowPunct/>
        <w:topLinePunct w:val="0"/>
        <w:bidi w:val="0"/>
        <w:spacing w:line="243" w:lineRule="auto"/>
        <w:rPr>
          <w:color w:val="auto"/>
          <w:highlight w:val="none"/>
        </w:rPr>
      </w:pPr>
    </w:p>
    <w:p w14:paraId="54FD20DC">
      <w:pPr>
        <w:pageBreakBefore w:val="0"/>
        <w:widowControl w:val="0"/>
        <w:wordWrap/>
        <w:overflowPunct/>
        <w:topLinePunct w:val="0"/>
        <w:bidi w:val="0"/>
        <w:spacing w:line="243" w:lineRule="auto"/>
        <w:rPr>
          <w:color w:val="auto"/>
          <w:highlight w:val="none"/>
        </w:rPr>
      </w:pPr>
    </w:p>
    <w:p w14:paraId="273E025E">
      <w:pPr>
        <w:pageBreakBefore w:val="0"/>
        <w:widowControl w:val="0"/>
        <w:wordWrap/>
        <w:overflowPunct/>
        <w:topLinePunct w:val="0"/>
        <w:bidi w:val="0"/>
        <w:spacing w:line="245" w:lineRule="auto"/>
        <w:rPr>
          <w:color w:val="auto"/>
          <w:highlight w:val="none"/>
          <w:lang w:eastAsia="zh-CN"/>
        </w:rPr>
      </w:pPr>
    </w:p>
    <w:p w14:paraId="14787F6E">
      <w:pPr>
        <w:pageBreakBefore w:val="0"/>
        <w:widowControl w:val="0"/>
        <w:wordWrap/>
        <w:overflowPunct/>
        <w:topLinePunct w:val="0"/>
        <w:bidi w:val="0"/>
        <w:spacing w:line="245" w:lineRule="auto"/>
        <w:rPr>
          <w:color w:val="auto"/>
          <w:highlight w:val="none"/>
          <w:lang w:eastAsia="zh-CN"/>
        </w:rPr>
      </w:pPr>
    </w:p>
    <w:p w14:paraId="37E23E47">
      <w:pPr>
        <w:pageBreakBefore w:val="0"/>
        <w:widowControl w:val="0"/>
        <w:wordWrap/>
        <w:overflowPunct/>
        <w:topLinePunct w:val="0"/>
        <w:bidi w:val="0"/>
        <w:spacing w:line="245" w:lineRule="auto"/>
        <w:rPr>
          <w:color w:val="auto"/>
          <w:highlight w:val="none"/>
          <w:lang w:eastAsia="zh-CN"/>
        </w:rPr>
      </w:pPr>
    </w:p>
    <w:p w14:paraId="3180FB2C">
      <w:pPr>
        <w:pageBreakBefore w:val="0"/>
        <w:widowControl w:val="0"/>
        <w:wordWrap/>
        <w:overflowPunct/>
        <w:topLinePunct w:val="0"/>
        <w:bidi w:val="0"/>
        <w:spacing w:line="245" w:lineRule="auto"/>
        <w:rPr>
          <w:color w:val="auto"/>
          <w:highlight w:val="none"/>
          <w:lang w:eastAsia="zh-CN"/>
        </w:rPr>
      </w:pPr>
    </w:p>
    <w:p w14:paraId="7F47DBEC">
      <w:pPr>
        <w:pageBreakBefore w:val="0"/>
        <w:widowControl w:val="0"/>
        <w:wordWrap/>
        <w:overflowPunct/>
        <w:topLinePunct w:val="0"/>
        <w:bidi w:val="0"/>
        <w:spacing w:line="245" w:lineRule="auto"/>
        <w:rPr>
          <w:color w:val="auto"/>
          <w:highlight w:val="none"/>
          <w:lang w:eastAsia="zh-CN"/>
        </w:rPr>
      </w:pPr>
    </w:p>
    <w:p w14:paraId="6CE6DDDA">
      <w:pPr>
        <w:pageBreakBefore w:val="0"/>
        <w:widowControl w:val="0"/>
        <w:wordWrap/>
        <w:overflowPunct/>
        <w:topLinePunct w:val="0"/>
        <w:bidi w:val="0"/>
        <w:spacing w:line="245" w:lineRule="auto"/>
        <w:rPr>
          <w:color w:val="auto"/>
          <w:highlight w:val="none"/>
          <w:lang w:eastAsia="zh-CN"/>
        </w:rPr>
      </w:pPr>
    </w:p>
    <w:p w14:paraId="4B0F6824">
      <w:pPr>
        <w:pageBreakBefore w:val="0"/>
        <w:widowControl w:val="0"/>
        <w:wordWrap/>
        <w:overflowPunct/>
        <w:topLinePunct w:val="0"/>
        <w:bidi w:val="0"/>
        <w:spacing w:line="245" w:lineRule="auto"/>
        <w:rPr>
          <w:color w:val="auto"/>
          <w:highlight w:val="none"/>
          <w:lang w:eastAsia="zh-CN"/>
        </w:rPr>
      </w:pPr>
    </w:p>
    <w:p w14:paraId="2D55F0A0">
      <w:pPr>
        <w:pageBreakBefore w:val="0"/>
        <w:widowControl w:val="0"/>
        <w:wordWrap/>
        <w:overflowPunct/>
        <w:topLinePunct w:val="0"/>
        <w:bidi w:val="0"/>
        <w:spacing w:line="245" w:lineRule="auto"/>
        <w:rPr>
          <w:color w:val="auto"/>
          <w:highlight w:val="none"/>
          <w:lang w:eastAsia="zh-CN"/>
        </w:rPr>
      </w:pPr>
    </w:p>
    <w:p w14:paraId="7E1E96D4">
      <w:pPr>
        <w:pageBreakBefore w:val="0"/>
        <w:widowControl w:val="0"/>
        <w:wordWrap/>
        <w:overflowPunct/>
        <w:topLinePunct w:val="0"/>
        <w:bidi w:val="0"/>
        <w:spacing w:line="245" w:lineRule="auto"/>
        <w:rPr>
          <w:color w:val="auto"/>
          <w:highlight w:val="none"/>
          <w:lang w:eastAsia="zh-CN"/>
        </w:rPr>
      </w:pPr>
    </w:p>
    <w:p w14:paraId="70B36F99">
      <w:pPr>
        <w:pageBreakBefore w:val="0"/>
        <w:widowControl w:val="0"/>
        <w:wordWrap/>
        <w:overflowPunct/>
        <w:topLinePunct w:val="0"/>
        <w:bidi w:val="0"/>
        <w:spacing w:line="245" w:lineRule="auto"/>
        <w:rPr>
          <w:color w:val="auto"/>
          <w:highlight w:val="none"/>
          <w:lang w:eastAsia="zh-CN"/>
        </w:rPr>
      </w:pPr>
    </w:p>
    <w:p w14:paraId="22035E1E">
      <w:pPr>
        <w:pageBreakBefore w:val="0"/>
        <w:widowControl w:val="0"/>
        <w:wordWrap/>
        <w:overflowPunct/>
        <w:topLinePunct w:val="0"/>
        <w:bidi w:val="0"/>
        <w:spacing w:line="245" w:lineRule="auto"/>
        <w:rPr>
          <w:color w:val="auto"/>
          <w:highlight w:val="none"/>
          <w:lang w:eastAsia="zh-CN"/>
        </w:rPr>
      </w:pPr>
    </w:p>
    <w:p w14:paraId="48E86DCD">
      <w:pPr>
        <w:pageBreakBefore w:val="0"/>
        <w:widowControl w:val="0"/>
        <w:wordWrap/>
        <w:overflowPunct/>
        <w:topLinePunct w:val="0"/>
        <w:bidi w:val="0"/>
        <w:spacing w:line="245" w:lineRule="auto"/>
        <w:rPr>
          <w:color w:val="auto"/>
          <w:highlight w:val="none"/>
          <w:lang w:eastAsia="zh-CN"/>
        </w:rPr>
      </w:pPr>
    </w:p>
    <w:p w14:paraId="601A22FB">
      <w:pPr>
        <w:pageBreakBefore w:val="0"/>
        <w:widowControl w:val="0"/>
        <w:wordWrap/>
        <w:overflowPunct/>
        <w:topLinePunct w:val="0"/>
        <w:bidi w:val="0"/>
        <w:spacing w:line="245" w:lineRule="auto"/>
        <w:rPr>
          <w:color w:val="auto"/>
          <w:highlight w:val="none"/>
          <w:lang w:eastAsia="zh-CN"/>
        </w:rPr>
      </w:pPr>
    </w:p>
    <w:p w14:paraId="0ED2F518">
      <w:pPr>
        <w:pageBreakBefore w:val="0"/>
        <w:widowControl w:val="0"/>
        <w:wordWrap/>
        <w:overflowPunct/>
        <w:topLinePunct w:val="0"/>
        <w:bidi w:val="0"/>
        <w:spacing w:line="245" w:lineRule="auto"/>
        <w:rPr>
          <w:color w:val="auto"/>
          <w:highlight w:val="none"/>
          <w:lang w:eastAsia="zh-CN"/>
        </w:rPr>
      </w:pPr>
    </w:p>
    <w:p w14:paraId="0D17E11B">
      <w:pPr>
        <w:pageBreakBefore w:val="0"/>
        <w:widowControl w:val="0"/>
        <w:wordWrap/>
        <w:overflowPunct/>
        <w:topLinePunct w:val="0"/>
        <w:bidi w:val="0"/>
        <w:spacing w:line="245" w:lineRule="auto"/>
        <w:rPr>
          <w:color w:val="auto"/>
          <w:highlight w:val="none"/>
          <w:lang w:eastAsia="zh-CN"/>
        </w:rPr>
      </w:pPr>
    </w:p>
    <w:p w14:paraId="75CEB67B">
      <w:pPr>
        <w:pageBreakBefore w:val="0"/>
        <w:widowControl w:val="0"/>
        <w:wordWrap/>
        <w:overflowPunct/>
        <w:topLinePunct w:val="0"/>
        <w:bidi w:val="0"/>
        <w:spacing w:line="245" w:lineRule="auto"/>
        <w:rPr>
          <w:color w:val="auto"/>
          <w:highlight w:val="none"/>
          <w:lang w:eastAsia="zh-CN"/>
        </w:rPr>
      </w:pPr>
    </w:p>
    <w:p w14:paraId="73093403">
      <w:pPr>
        <w:pageBreakBefore w:val="0"/>
        <w:widowControl w:val="0"/>
        <w:wordWrap/>
        <w:overflowPunct/>
        <w:topLinePunct w:val="0"/>
        <w:bidi w:val="0"/>
        <w:spacing w:line="245" w:lineRule="auto"/>
        <w:rPr>
          <w:color w:val="auto"/>
          <w:highlight w:val="none"/>
          <w:lang w:eastAsia="zh-CN"/>
        </w:rPr>
      </w:pPr>
    </w:p>
    <w:p w14:paraId="6B6C6114">
      <w:pPr>
        <w:pageBreakBefore w:val="0"/>
        <w:widowControl w:val="0"/>
        <w:wordWrap/>
        <w:overflowPunct/>
        <w:topLinePunct w:val="0"/>
        <w:bidi w:val="0"/>
        <w:spacing w:line="245" w:lineRule="auto"/>
        <w:rPr>
          <w:color w:val="auto"/>
          <w:highlight w:val="none"/>
          <w:lang w:eastAsia="zh-CN"/>
        </w:rPr>
      </w:pPr>
    </w:p>
    <w:p w14:paraId="28FBB547">
      <w:pPr>
        <w:pageBreakBefore w:val="0"/>
        <w:widowControl w:val="0"/>
        <w:wordWrap/>
        <w:overflowPunct/>
        <w:topLinePunct w:val="0"/>
        <w:bidi w:val="0"/>
        <w:spacing w:line="245" w:lineRule="auto"/>
        <w:rPr>
          <w:color w:val="auto"/>
          <w:highlight w:val="none"/>
          <w:lang w:eastAsia="zh-CN"/>
        </w:rPr>
      </w:pPr>
    </w:p>
    <w:p w14:paraId="0018F485">
      <w:pPr>
        <w:pageBreakBefore w:val="0"/>
        <w:widowControl w:val="0"/>
        <w:wordWrap/>
        <w:overflowPunct/>
        <w:topLinePunct w:val="0"/>
        <w:bidi w:val="0"/>
        <w:spacing w:line="245" w:lineRule="auto"/>
        <w:rPr>
          <w:color w:val="auto"/>
          <w:highlight w:val="none"/>
          <w:lang w:eastAsia="zh-CN"/>
        </w:rPr>
      </w:pPr>
    </w:p>
    <w:p w14:paraId="3C43BA04">
      <w:pPr>
        <w:pageBreakBefore w:val="0"/>
        <w:widowControl w:val="0"/>
        <w:wordWrap/>
        <w:overflowPunct/>
        <w:topLinePunct w:val="0"/>
        <w:bidi w:val="0"/>
        <w:spacing w:line="245" w:lineRule="auto"/>
        <w:rPr>
          <w:color w:val="auto"/>
          <w:highlight w:val="none"/>
          <w:lang w:eastAsia="zh-CN"/>
        </w:rPr>
      </w:pPr>
    </w:p>
    <w:p w14:paraId="1928A0EC">
      <w:pPr>
        <w:pageBreakBefore w:val="0"/>
        <w:widowControl w:val="0"/>
        <w:wordWrap/>
        <w:overflowPunct/>
        <w:topLinePunct w:val="0"/>
        <w:bidi w:val="0"/>
        <w:spacing w:line="245" w:lineRule="auto"/>
        <w:rPr>
          <w:color w:val="auto"/>
          <w:highlight w:val="none"/>
          <w:lang w:eastAsia="zh-CN"/>
        </w:rPr>
      </w:pPr>
    </w:p>
    <w:p w14:paraId="17D8EDC2">
      <w:pPr>
        <w:pageBreakBefore w:val="0"/>
        <w:widowControl w:val="0"/>
        <w:wordWrap/>
        <w:overflowPunct/>
        <w:topLinePunct w:val="0"/>
        <w:bidi w:val="0"/>
        <w:spacing w:line="245" w:lineRule="auto"/>
        <w:rPr>
          <w:color w:val="auto"/>
          <w:highlight w:val="none"/>
          <w:lang w:eastAsia="zh-CN"/>
        </w:rPr>
      </w:pPr>
    </w:p>
    <w:p w14:paraId="3224B80A">
      <w:pPr>
        <w:pageBreakBefore w:val="0"/>
        <w:widowControl w:val="0"/>
        <w:wordWrap/>
        <w:overflowPunct/>
        <w:topLinePunct w:val="0"/>
        <w:bidi w:val="0"/>
        <w:spacing w:line="245" w:lineRule="auto"/>
        <w:rPr>
          <w:color w:val="auto"/>
          <w:highlight w:val="none"/>
          <w:lang w:eastAsia="zh-CN"/>
        </w:rPr>
      </w:pPr>
    </w:p>
    <w:p w14:paraId="26615E6B">
      <w:pPr>
        <w:pageBreakBefore w:val="0"/>
        <w:widowControl w:val="0"/>
        <w:wordWrap/>
        <w:overflowPunct/>
        <w:topLinePunct w:val="0"/>
        <w:bidi w:val="0"/>
        <w:spacing w:line="245" w:lineRule="auto"/>
        <w:rPr>
          <w:color w:val="auto"/>
          <w:highlight w:val="none"/>
          <w:lang w:eastAsia="zh-CN"/>
        </w:rPr>
      </w:pPr>
    </w:p>
    <w:p w14:paraId="4E7E95DD">
      <w:pPr>
        <w:pageBreakBefore w:val="0"/>
        <w:widowControl w:val="0"/>
        <w:wordWrap/>
        <w:overflowPunct/>
        <w:topLinePunct w:val="0"/>
        <w:bidi w:val="0"/>
        <w:spacing w:line="245" w:lineRule="auto"/>
        <w:rPr>
          <w:color w:val="auto"/>
          <w:highlight w:val="none"/>
          <w:lang w:eastAsia="zh-CN"/>
        </w:rPr>
      </w:pPr>
    </w:p>
    <w:p w14:paraId="7554F667">
      <w:pPr>
        <w:pageBreakBefore w:val="0"/>
        <w:widowControl w:val="0"/>
        <w:wordWrap/>
        <w:overflowPunct/>
        <w:topLinePunct w:val="0"/>
        <w:bidi w:val="0"/>
        <w:spacing w:before="78" w:line="219" w:lineRule="auto"/>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（二）</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6"/>
          <w:sz w:val="24"/>
          <w:szCs w:val="24"/>
          <w:highlight w:val="none"/>
          <w:lang w:eastAsia="zh-CN"/>
        </w:rPr>
        <w:t>商务条件</w:t>
      </w:r>
    </w:p>
    <w:tbl>
      <w:tblPr>
        <w:tblStyle w:val="25"/>
        <w:tblpPr w:leftFromText="180" w:rightFromText="180" w:vertAnchor="text" w:horzAnchor="page" w:tblpX="1110" w:tblpY="513"/>
        <w:tblOverlap w:val="never"/>
        <w:tblW w:w="94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
        <w:gridCol w:w="1568"/>
        <w:gridCol w:w="7330"/>
      </w:tblGrid>
      <w:tr w14:paraId="70FD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shd w:val="clear" w:color="auto" w:fill="EEEEEE"/>
          </w:tcPr>
          <w:p w14:paraId="2B777A77">
            <w:pPr>
              <w:pStyle w:val="26"/>
              <w:spacing w:before="144" w:line="221" w:lineRule="auto"/>
              <w:ind w:left="7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568" w:type="dxa"/>
            <w:shd w:val="clear" w:color="auto" w:fill="EEEEEE"/>
          </w:tcPr>
          <w:p w14:paraId="0897843A">
            <w:pPr>
              <w:pStyle w:val="26"/>
              <w:spacing w:before="145" w:line="220" w:lineRule="auto"/>
              <w:ind w:left="56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需求名称</w:t>
            </w:r>
          </w:p>
        </w:tc>
        <w:tc>
          <w:tcPr>
            <w:tcW w:w="7330" w:type="dxa"/>
            <w:shd w:val="clear" w:color="auto" w:fill="EEEEEE"/>
          </w:tcPr>
          <w:p w14:paraId="05BB0770">
            <w:pPr>
              <w:pStyle w:val="26"/>
              <w:spacing w:before="145" w:line="219" w:lineRule="auto"/>
              <w:ind w:left="377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需求说明</w:t>
            </w:r>
          </w:p>
        </w:tc>
      </w:tr>
      <w:tr w14:paraId="290C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2E5049DB">
            <w:pPr>
              <w:spacing w:line="244" w:lineRule="auto"/>
              <w:rPr>
                <w:rFonts w:hint="eastAsia" w:ascii="宋体" w:hAnsi="宋体" w:eastAsia="宋体" w:cs="宋体"/>
                <w:color w:val="auto"/>
                <w:sz w:val="24"/>
                <w:szCs w:val="24"/>
                <w:highlight w:val="none"/>
              </w:rPr>
            </w:pPr>
          </w:p>
          <w:p w14:paraId="68763378">
            <w:pPr>
              <w:spacing w:line="244" w:lineRule="auto"/>
              <w:rPr>
                <w:rFonts w:hint="eastAsia" w:ascii="宋体" w:hAnsi="宋体" w:eastAsia="宋体" w:cs="宋体"/>
                <w:color w:val="auto"/>
                <w:sz w:val="24"/>
                <w:szCs w:val="24"/>
                <w:highlight w:val="none"/>
              </w:rPr>
            </w:pPr>
          </w:p>
          <w:p w14:paraId="22791B00">
            <w:pPr>
              <w:spacing w:line="244" w:lineRule="auto"/>
              <w:rPr>
                <w:rFonts w:hint="eastAsia" w:ascii="宋体" w:hAnsi="宋体" w:eastAsia="宋体" w:cs="宋体"/>
                <w:color w:val="auto"/>
                <w:sz w:val="24"/>
                <w:szCs w:val="24"/>
                <w:highlight w:val="none"/>
              </w:rPr>
            </w:pPr>
          </w:p>
          <w:p w14:paraId="4773B942">
            <w:pPr>
              <w:spacing w:line="244" w:lineRule="auto"/>
              <w:rPr>
                <w:rFonts w:hint="eastAsia" w:ascii="宋体" w:hAnsi="宋体" w:eastAsia="宋体" w:cs="宋体"/>
                <w:color w:val="auto"/>
                <w:sz w:val="24"/>
                <w:szCs w:val="24"/>
                <w:highlight w:val="none"/>
              </w:rPr>
            </w:pPr>
          </w:p>
          <w:p w14:paraId="3DED350E">
            <w:pPr>
              <w:spacing w:line="244" w:lineRule="auto"/>
              <w:rPr>
                <w:rFonts w:hint="eastAsia" w:ascii="宋体" w:hAnsi="宋体" w:eastAsia="宋体" w:cs="宋体"/>
                <w:color w:val="auto"/>
                <w:sz w:val="24"/>
                <w:szCs w:val="24"/>
                <w:highlight w:val="none"/>
              </w:rPr>
            </w:pPr>
          </w:p>
          <w:p w14:paraId="1D49FA29">
            <w:pPr>
              <w:spacing w:line="245" w:lineRule="auto"/>
              <w:rPr>
                <w:rFonts w:hint="eastAsia" w:ascii="宋体" w:hAnsi="宋体" w:eastAsia="宋体" w:cs="宋体"/>
                <w:color w:val="auto"/>
                <w:sz w:val="24"/>
                <w:szCs w:val="24"/>
                <w:highlight w:val="none"/>
              </w:rPr>
            </w:pPr>
          </w:p>
          <w:p w14:paraId="1BC680BA">
            <w:pPr>
              <w:spacing w:line="245" w:lineRule="auto"/>
              <w:rPr>
                <w:rFonts w:hint="eastAsia" w:ascii="宋体" w:hAnsi="宋体" w:eastAsia="宋体" w:cs="宋体"/>
                <w:color w:val="auto"/>
                <w:sz w:val="24"/>
                <w:szCs w:val="24"/>
                <w:highlight w:val="none"/>
              </w:rPr>
            </w:pPr>
          </w:p>
          <w:p w14:paraId="06C602CF">
            <w:pPr>
              <w:pStyle w:val="26"/>
              <w:spacing w:before="78" w:line="184" w:lineRule="auto"/>
              <w:ind w:left="2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8" w:type="dxa"/>
          </w:tcPr>
          <w:p w14:paraId="71DA9F00">
            <w:pPr>
              <w:rPr>
                <w:rFonts w:hint="eastAsia" w:ascii="宋体" w:hAnsi="宋体" w:eastAsia="宋体" w:cs="宋体"/>
                <w:color w:val="auto"/>
                <w:sz w:val="24"/>
                <w:szCs w:val="24"/>
                <w:highlight w:val="none"/>
              </w:rPr>
            </w:pPr>
          </w:p>
          <w:p w14:paraId="28335CEF">
            <w:pPr>
              <w:rPr>
                <w:rFonts w:hint="eastAsia" w:ascii="宋体" w:hAnsi="宋体" w:eastAsia="宋体" w:cs="宋体"/>
                <w:color w:val="auto"/>
                <w:sz w:val="24"/>
                <w:szCs w:val="24"/>
                <w:highlight w:val="none"/>
              </w:rPr>
            </w:pPr>
          </w:p>
          <w:p w14:paraId="69087B3C">
            <w:pPr>
              <w:spacing w:line="241" w:lineRule="auto"/>
              <w:rPr>
                <w:rFonts w:hint="eastAsia" w:ascii="宋体" w:hAnsi="宋体" w:eastAsia="宋体" w:cs="宋体"/>
                <w:color w:val="auto"/>
                <w:sz w:val="24"/>
                <w:szCs w:val="24"/>
                <w:highlight w:val="none"/>
              </w:rPr>
            </w:pPr>
          </w:p>
          <w:p w14:paraId="5B3223CC">
            <w:pPr>
              <w:spacing w:line="241" w:lineRule="auto"/>
              <w:rPr>
                <w:rFonts w:hint="eastAsia" w:ascii="宋体" w:hAnsi="宋体" w:eastAsia="宋体" w:cs="宋体"/>
                <w:color w:val="auto"/>
                <w:sz w:val="24"/>
                <w:szCs w:val="24"/>
                <w:highlight w:val="none"/>
              </w:rPr>
            </w:pPr>
          </w:p>
          <w:p w14:paraId="17945674">
            <w:pPr>
              <w:spacing w:line="241" w:lineRule="auto"/>
              <w:rPr>
                <w:rFonts w:hint="eastAsia" w:ascii="宋体" w:hAnsi="宋体" w:eastAsia="宋体" w:cs="宋体"/>
                <w:color w:val="auto"/>
                <w:sz w:val="24"/>
                <w:szCs w:val="24"/>
                <w:highlight w:val="none"/>
              </w:rPr>
            </w:pPr>
          </w:p>
          <w:p w14:paraId="0C2EAA3E">
            <w:pPr>
              <w:spacing w:line="241" w:lineRule="auto"/>
              <w:rPr>
                <w:rFonts w:hint="eastAsia" w:ascii="宋体" w:hAnsi="宋体" w:eastAsia="宋体" w:cs="宋体"/>
                <w:color w:val="auto"/>
                <w:sz w:val="24"/>
                <w:szCs w:val="24"/>
                <w:highlight w:val="none"/>
              </w:rPr>
            </w:pPr>
          </w:p>
          <w:p w14:paraId="2366F31C">
            <w:pPr>
              <w:pStyle w:val="26"/>
              <w:spacing w:before="78" w:line="347" w:lineRule="auto"/>
              <w:ind w:left="320" w:right="56" w:hanging="24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履行期限、方</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式、地点</w:t>
            </w:r>
          </w:p>
        </w:tc>
        <w:tc>
          <w:tcPr>
            <w:tcW w:w="7330" w:type="dxa"/>
          </w:tcPr>
          <w:p w14:paraId="3627E6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pacing w:val="-6"/>
                <w:sz w:val="24"/>
                <w:szCs w:val="24"/>
                <w:highlight w:val="none"/>
              </w:rPr>
              <w:t>1.</w:t>
            </w:r>
            <w:r>
              <w:rPr>
                <w:rFonts w:hint="eastAsia" w:ascii="宋体" w:hAnsi="宋体" w:eastAsia="宋体" w:cs="宋体"/>
                <w:snapToGrid w:val="0"/>
                <w:color w:val="auto"/>
                <w:sz w:val="24"/>
                <w:szCs w:val="24"/>
                <w:highlight w:val="none"/>
                <w:lang w:val="en-US" w:eastAsia="en-US" w:bidi="ar-SA"/>
              </w:rPr>
              <w:t>1履行期限：</w:t>
            </w:r>
            <w:r>
              <w:rPr>
                <w:rFonts w:hint="eastAsia" w:ascii="宋体" w:hAnsi="宋体" w:eastAsia="宋体" w:cs="宋体"/>
                <w:snapToGrid w:val="0"/>
                <w:color w:val="auto"/>
                <w:sz w:val="24"/>
                <w:szCs w:val="24"/>
                <w:highlight w:val="none"/>
                <w:lang w:val="en-US" w:eastAsia="zh-CN" w:bidi="ar-SA"/>
              </w:rPr>
              <w:t>12个月（以广告投放开始日期为基准计算期限）</w:t>
            </w:r>
            <w:r>
              <w:rPr>
                <w:rFonts w:hint="eastAsia" w:cs="宋体" w:asciiTheme="minorEastAsia" w:hAnsiTheme="minorEastAsia" w:eastAsiaTheme="minorEastAsia"/>
                <w:kern w:val="0"/>
                <w:sz w:val="24"/>
                <w:highlight w:val="none"/>
              </w:rPr>
              <w:t>高铁冠名1年，</w:t>
            </w:r>
            <w:r>
              <w:rPr>
                <w:rFonts w:hint="eastAsia" w:cs="宋体" w:asciiTheme="minorEastAsia" w:hAnsiTheme="minorEastAsia" w:eastAsiaTheme="minorEastAsia"/>
                <w:sz w:val="24"/>
                <w:highlight w:val="none"/>
              </w:rPr>
              <w:t>赣深高铁线路</w:t>
            </w:r>
            <w:r>
              <w:rPr>
                <w:rFonts w:hint="eastAsia" w:ascii="宋体" w:hAnsi="宋体" w:eastAsia="宋体" w:cs="宋体"/>
                <w:snapToGrid w:val="0"/>
                <w:color w:val="auto"/>
                <w:sz w:val="24"/>
                <w:szCs w:val="24"/>
                <w:highlight w:val="none"/>
                <w:lang w:val="en-US" w:eastAsia="zh-CN" w:bidi="ar-SA"/>
              </w:rPr>
              <w:t>。</w:t>
            </w:r>
          </w:p>
          <w:p w14:paraId="4C971B9D">
            <w:pPr>
              <w:pStyle w:val="26"/>
              <w:spacing w:before="134" w:line="219" w:lineRule="auto"/>
              <w:ind w:left="53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1.2</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3"/>
                <w:sz w:val="24"/>
                <w:szCs w:val="24"/>
                <w:highlight w:val="none"/>
              </w:rPr>
              <w:t>履行地点：采购人指定地点。</w:t>
            </w:r>
          </w:p>
          <w:p w14:paraId="383B9C84">
            <w:pPr>
              <w:pStyle w:val="26"/>
              <w:spacing w:before="184" w:line="289" w:lineRule="auto"/>
              <w:ind w:left="46" w:right="25" w:firstLine="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履行方式：以成交方为主，采购人配合，</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在收到成交通</w:t>
            </w:r>
            <w:r>
              <w:rPr>
                <w:rFonts w:hint="eastAsia" w:ascii="宋体" w:hAnsi="宋体" w:eastAsia="宋体" w:cs="宋体"/>
                <w:color w:val="auto"/>
                <w:spacing w:val="-2"/>
                <w:sz w:val="24"/>
                <w:szCs w:val="24"/>
                <w:highlight w:val="none"/>
              </w:rPr>
              <w:t>知书后即展开相关工作。</w:t>
            </w:r>
          </w:p>
          <w:p w14:paraId="045C9E77">
            <w:pPr>
              <w:pStyle w:val="26"/>
              <w:spacing w:before="183" w:line="219" w:lineRule="auto"/>
              <w:ind w:left="53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1.4</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
                <w:sz w:val="24"/>
                <w:szCs w:val="24"/>
                <w:highlight w:val="none"/>
              </w:rPr>
              <w:t>采购人按照合同规定的付款进度向</w:t>
            </w:r>
            <w:r>
              <w:rPr>
                <w:rFonts w:hint="eastAsia" w:ascii="宋体" w:hAnsi="宋体" w:eastAsia="宋体" w:cs="宋体"/>
                <w:color w:val="auto"/>
                <w:spacing w:val="-1"/>
                <w:sz w:val="24"/>
                <w:szCs w:val="24"/>
                <w:highlight w:val="none"/>
                <w:lang w:eastAsia="zh-CN"/>
              </w:rPr>
              <w:t>成交供应商</w:t>
            </w:r>
            <w:r>
              <w:rPr>
                <w:rFonts w:hint="eastAsia" w:ascii="宋体" w:hAnsi="宋体" w:eastAsia="宋体" w:cs="宋体"/>
                <w:color w:val="auto"/>
                <w:spacing w:val="-2"/>
                <w:sz w:val="24"/>
                <w:szCs w:val="24"/>
                <w:highlight w:val="none"/>
              </w:rPr>
              <w:t>支付款项。</w:t>
            </w:r>
          </w:p>
          <w:p w14:paraId="511B25C4">
            <w:pPr>
              <w:pStyle w:val="26"/>
              <w:spacing w:before="184" w:line="289" w:lineRule="auto"/>
              <w:ind w:left="61" w:right="25"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所提供服务的质量以及要求不符合合同规定标准</w:t>
            </w:r>
            <w:r>
              <w:rPr>
                <w:rFonts w:hint="eastAsia" w:ascii="宋体" w:hAnsi="宋体" w:eastAsia="宋体" w:cs="宋体"/>
                <w:color w:val="auto"/>
                <w:spacing w:val="-1"/>
                <w:sz w:val="24"/>
                <w:szCs w:val="24"/>
                <w:highlight w:val="none"/>
              </w:rPr>
              <w:t>的，采购人有权拒收</w:t>
            </w:r>
            <w:r>
              <w:rPr>
                <w:rFonts w:hint="eastAsia" w:ascii="宋体" w:hAnsi="宋体" w:eastAsia="宋体" w:cs="宋体"/>
                <w:color w:val="auto"/>
                <w:sz w:val="24"/>
                <w:szCs w:val="24"/>
                <w:highlight w:val="none"/>
                <w:lang w:eastAsia="zh-CN"/>
              </w:rPr>
              <w:t>，因此产生的一切经济损失由成交供应商承担。</w:t>
            </w:r>
          </w:p>
          <w:p w14:paraId="7313C868">
            <w:pPr>
              <w:keepNext w:val="0"/>
              <w:keepLines w:val="0"/>
              <w:pageBreakBefore w:val="0"/>
              <w:widowControl/>
              <w:numPr>
                <w:ilvl w:val="0"/>
                <w:numId w:val="0"/>
              </w:numPr>
              <w:kinsoku/>
              <w:wordWrap/>
              <w:overflowPunct w:val="0"/>
              <w:topLinePunct/>
              <w:autoSpaceDE w:val="0"/>
              <w:autoSpaceDN/>
              <w:bidi w:val="0"/>
              <w:adjustRightInd w:val="0"/>
              <w:snapToGrid w:val="0"/>
              <w:spacing w:line="560" w:lineRule="exact"/>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z w:val="24"/>
                <w:szCs w:val="24"/>
                <w:highlight w:val="none"/>
                <w:lang w:val="en-US" w:eastAsia="zh-CN"/>
              </w:rPr>
              <w:t>1.6 因服务受不确定因素影响，成交后或实施过程中，在成交价格不变的情况下 应充分与采购人沟通，对方案和表现方式进行合理的修改和调整优化，以便更加符合采购人的需求。</w:t>
            </w:r>
          </w:p>
        </w:tc>
      </w:tr>
      <w:tr w14:paraId="3CBC0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24C4B2D">
            <w:pPr>
              <w:spacing w:line="279" w:lineRule="auto"/>
              <w:rPr>
                <w:rFonts w:hint="eastAsia" w:ascii="宋体" w:hAnsi="宋体" w:eastAsia="宋体" w:cs="宋体"/>
                <w:color w:val="auto"/>
                <w:sz w:val="24"/>
                <w:szCs w:val="24"/>
                <w:highlight w:val="none"/>
              </w:rPr>
            </w:pPr>
          </w:p>
          <w:p w14:paraId="56B794BE">
            <w:pPr>
              <w:spacing w:line="279" w:lineRule="auto"/>
              <w:rPr>
                <w:rFonts w:hint="eastAsia" w:ascii="宋体" w:hAnsi="宋体" w:eastAsia="宋体" w:cs="宋体"/>
                <w:color w:val="auto"/>
                <w:sz w:val="24"/>
                <w:szCs w:val="24"/>
                <w:highlight w:val="none"/>
              </w:rPr>
            </w:pPr>
          </w:p>
          <w:p w14:paraId="2CF85779">
            <w:pPr>
              <w:spacing w:line="279" w:lineRule="auto"/>
              <w:rPr>
                <w:rFonts w:hint="eastAsia" w:ascii="宋体" w:hAnsi="宋体" w:eastAsia="宋体" w:cs="宋体"/>
                <w:color w:val="auto"/>
                <w:sz w:val="24"/>
                <w:szCs w:val="24"/>
                <w:highlight w:val="none"/>
              </w:rPr>
            </w:pPr>
          </w:p>
          <w:p w14:paraId="0126DB42">
            <w:pPr>
              <w:pStyle w:val="26"/>
              <w:spacing w:before="78" w:line="183" w:lineRule="auto"/>
              <w:ind w:left="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8" w:type="dxa"/>
          </w:tcPr>
          <w:p w14:paraId="21A774EA">
            <w:pPr>
              <w:spacing w:line="266" w:lineRule="auto"/>
              <w:rPr>
                <w:rFonts w:hint="eastAsia" w:ascii="宋体" w:hAnsi="宋体" w:eastAsia="宋体" w:cs="宋体"/>
                <w:color w:val="auto"/>
                <w:sz w:val="24"/>
                <w:szCs w:val="24"/>
                <w:highlight w:val="none"/>
              </w:rPr>
            </w:pPr>
          </w:p>
          <w:p w14:paraId="6A26C288">
            <w:pPr>
              <w:spacing w:line="267" w:lineRule="auto"/>
              <w:rPr>
                <w:rFonts w:hint="eastAsia" w:ascii="宋体" w:hAnsi="宋体" w:eastAsia="宋体" w:cs="宋体"/>
                <w:color w:val="auto"/>
                <w:sz w:val="24"/>
                <w:szCs w:val="24"/>
                <w:highlight w:val="none"/>
              </w:rPr>
            </w:pPr>
          </w:p>
          <w:p w14:paraId="6BB49DB7">
            <w:pPr>
              <w:spacing w:line="267" w:lineRule="auto"/>
              <w:rPr>
                <w:rFonts w:hint="eastAsia" w:ascii="宋体" w:hAnsi="宋体" w:eastAsia="宋体" w:cs="宋体"/>
                <w:color w:val="auto"/>
                <w:sz w:val="24"/>
                <w:szCs w:val="24"/>
                <w:highlight w:val="none"/>
              </w:rPr>
            </w:pPr>
          </w:p>
          <w:p w14:paraId="3F02A002">
            <w:pPr>
              <w:pStyle w:val="26"/>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付款方式</w:t>
            </w:r>
          </w:p>
        </w:tc>
        <w:tc>
          <w:tcPr>
            <w:tcW w:w="7330" w:type="dxa"/>
          </w:tcPr>
          <w:p w14:paraId="5C3771AC">
            <w:pPr>
              <w:spacing w:line="360" w:lineRule="auto"/>
              <w:rPr>
                <w:rFonts w:ascii="宋体" w:hAnsi="宋体" w:cs="宋体"/>
                <w:kern w:val="0"/>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
                <w:sz w:val="24"/>
                <w:szCs w:val="24"/>
                <w:highlight w:val="none"/>
                <w:lang w:eastAsia="zh-CN"/>
              </w:rPr>
              <w:t>.1</w:t>
            </w:r>
            <w:r>
              <w:rPr>
                <w:rFonts w:hint="eastAsia" w:ascii="宋体" w:hAnsi="宋体" w:cs="宋体"/>
                <w:kern w:val="0"/>
                <w:sz w:val="24"/>
                <w:highlight w:val="none"/>
              </w:rPr>
              <w:t>付款方式：</w:t>
            </w:r>
          </w:p>
          <w:p w14:paraId="7D0CD239">
            <w:pPr>
              <w:spacing w:line="360" w:lineRule="auto"/>
              <w:rPr>
                <w:rFonts w:ascii="宋体" w:hAnsi="宋体" w:cs="宋体"/>
                <w:kern w:val="0"/>
                <w:sz w:val="24"/>
                <w:highlight w:val="none"/>
              </w:rPr>
            </w:pPr>
            <w:r>
              <w:rPr>
                <w:rFonts w:hint="eastAsia" w:ascii="宋体" w:hAnsi="宋体" w:cs="宋体"/>
                <w:kern w:val="0"/>
                <w:sz w:val="24"/>
                <w:highlight w:val="none"/>
              </w:rPr>
              <w:t>（1）广告上刊经采购人验收确认后，支付合同总价的60%；</w:t>
            </w:r>
          </w:p>
          <w:p w14:paraId="4FCE2158">
            <w:pPr>
              <w:spacing w:line="360" w:lineRule="auto"/>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2</w:t>
            </w:r>
            <w:r>
              <w:rPr>
                <w:rFonts w:hint="eastAsia" w:ascii="宋体" w:hAnsi="宋体" w:cs="宋体"/>
                <w:kern w:val="0"/>
                <w:sz w:val="24"/>
                <w:highlight w:val="none"/>
              </w:rPr>
              <w:t>）广告投放期满经验收合格下刊后，支付合同余款</w:t>
            </w:r>
            <w:r>
              <w:rPr>
                <w:rFonts w:hint="eastAsia" w:ascii="宋体" w:hAnsi="宋体" w:cs="宋体"/>
                <w:kern w:val="0"/>
                <w:sz w:val="24"/>
                <w:highlight w:val="none"/>
                <w:lang w:val="en-US" w:eastAsia="zh-CN"/>
              </w:rPr>
              <w:t>40%</w:t>
            </w:r>
            <w:r>
              <w:rPr>
                <w:rFonts w:hint="eastAsia" w:ascii="宋体" w:hAnsi="宋体" w:cs="宋体"/>
                <w:kern w:val="0"/>
                <w:sz w:val="24"/>
                <w:highlight w:val="none"/>
              </w:rPr>
              <w:t>；</w:t>
            </w:r>
          </w:p>
          <w:p w14:paraId="5F06259E">
            <w:pPr>
              <w:spacing w:line="360" w:lineRule="auto"/>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3</w:t>
            </w:r>
            <w:r>
              <w:rPr>
                <w:rFonts w:hint="eastAsia" w:ascii="宋体" w:hAnsi="宋体" w:cs="宋体"/>
                <w:kern w:val="0"/>
                <w:sz w:val="24"/>
                <w:highlight w:val="none"/>
              </w:rPr>
              <w:t>）货款由采购人统一支付（均无息），付款时</w:t>
            </w:r>
            <w:r>
              <w:rPr>
                <w:rFonts w:hint="eastAsia" w:ascii="宋体" w:hAnsi="宋体" w:eastAsia="宋体" w:cs="宋体"/>
                <w:kern w:val="0"/>
                <w:sz w:val="24"/>
                <w:highlight w:val="none"/>
                <w:lang w:eastAsia="zh-CN"/>
              </w:rPr>
              <w:t>成交供应商</w:t>
            </w:r>
            <w:r>
              <w:rPr>
                <w:rFonts w:hint="eastAsia" w:ascii="宋体" w:hAnsi="宋体" w:cs="宋体"/>
                <w:kern w:val="0"/>
                <w:sz w:val="24"/>
                <w:highlight w:val="none"/>
              </w:rPr>
              <w:t>需提供等额增值税发票。</w:t>
            </w:r>
          </w:p>
          <w:p w14:paraId="5B0FC0AE">
            <w:pPr>
              <w:pStyle w:val="26"/>
              <w:spacing w:before="211" w:line="353" w:lineRule="auto"/>
              <w:ind w:right="2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（注：采购人每次支付合同价款前，成交供应商均应先按采购人要求开具发票等凭证，否则采购人有权顺延款项的支付时间，但成交供应商不得以此为由拒绝履行合同义务</w:t>
            </w:r>
            <w:r>
              <w:rPr>
                <w:rFonts w:hint="eastAsia" w:ascii="宋体" w:hAnsi="宋体" w:eastAsia="宋体" w:cs="宋体"/>
                <w:color w:val="auto"/>
                <w:spacing w:val="-1"/>
                <w:sz w:val="24"/>
                <w:szCs w:val="24"/>
                <w:highlight w:val="none"/>
              </w:rPr>
              <w:t>）</w:t>
            </w:r>
          </w:p>
        </w:tc>
      </w:tr>
      <w:tr w14:paraId="0D8CE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1" w:type="dxa"/>
          </w:tcPr>
          <w:p w14:paraId="1B071916">
            <w:pPr>
              <w:spacing w:line="265" w:lineRule="auto"/>
              <w:rPr>
                <w:rFonts w:hint="eastAsia" w:ascii="宋体" w:hAnsi="宋体" w:eastAsia="宋体" w:cs="宋体"/>
                <w:color w:val="auto"/>
                <w:sz w:val="24"/>
                <w:szCs w:val="24"/>
                <w:highlight w:val="none"/>
              </w:rPr>
            </w:pPr>
          </w:p>
          <w:p w14:paraId="66831E95">
            <w:pPr>
              <w:spacing w:line="265" w:lineRule="auto"/>
              <w:rPr>
                <w:rFonts w:hint="eastAsia" w:ascii="宋体" w:hAnsi="宋体" w:eastAsia="宋体" w:cs="宋体"/>
                <w:color w:val="auto"/>
                <w:sz w:val="24"/>
                <w:szCs w:val="24"/>
                <w:highlight w:val="none"/>
              </w:rPr>
            </w:pPr>
          </w:p>
          <w:p w14:paraId="0ED16A1F">
            <w:pPr>
              <w:spacing w:line="265" w:lineRule="auto"/>
              <w:rPr>
                <w:rFonts w:hint="eastAsia" w:ascii="宋体" w:hAnsi="宋体" w:eastAsia="宋体" w:cs="宋体"/>
                <w:color w:val="auto"/>
                <w:sz w:val="24"/>
                <w:szCs w:val="24"/>
                <w:highlight w:val="none"/>
              </w:rPr>
            </w:pPr>
          </w:p>
          <w:p w14:paraId="2BCA8EF2">
            <w:pPr>
              <w:spacing w:line="266" w:lineRule="auto"/>
              <w:rPr>
                <w:rFonts w:hint="eastAsia" w:ascii="宋体" w:hAnsi="宋体" w:eastAsia="宋体" w:cs="宋体"/>
                <w:color w:val="auto"/>
                <w:sz w:val="24"/>
                <w:szCs w:val="24"/>
                <w:highlight w:val="none"/>
              </w:rPr>
            </w:pPr>
          </w:p>
          <w:p w14:paraId="78B43934">
            <w:pPr>
              <w:spacing w:line="266" w:lineRule="auto"/>
              <w:rPr>
                <w:rFonts w:hint="eastAsia" w:ascii="宋体" w:hAnsi="宋体" w:eastAsia="宋体" w:cs="宋体"/>
                <w:color w:val="auto"/>
                <w:sz w:val="24"/>
                <w:szCs w:val="24"/>
                <w:highlight w:val="none"/>
              </w:rPr>
            </w:pPr>
          </w:p>
          <w:p w14:paraId="54E45B57">
            <w:pPr>
              <w:spacing w:line="266" w:lineRule="auto"/>
              <w:rPr>
                <w:rFonts w:hint="eastAsia" w:ascii="宋体" w:hAnsi="宋体" w:eastAsia="宋体" w:cs="宋体"/>
                <w:color w:val="auto"/>
                <w:sz w:val="24"/>
                <w:szCs w:val="24"/>
                <w:highlight w:val="none"/>
              </w:rPr>
            </w:pPr>
          </w:p>
          <w:p w14:paraId="452C9B37">
            <w:pPr>
              <w:spacing w:line="266" w:lineRule="auto"/>
              <w:rPr>
                <w:rFonts w:hint="eastAsia" w:ascii="宋体" w:hAnsi="宋体" w:eastAsia="宋体" w:cs="宋体"/>
                <w:color w:val="auto"/>
                <w:sz w:val="24"/>
                <w:szCs w:val="24"/>
                <w:highlight w:val="none"/>
              </w:rPr>
            </w:pPr>
          </w:p>
          <w:p w14:paraId="29503847">
            <w:pPr>
              <w:spacing w:line="266" w:lineRule="auto"/>
              <w:rPr>
                <w:rFonts w:hint="eastAsia" w:ascii="宋体" w:hAnsi="宋体" w:eastAsia="宋体" w:cs="宋体"/>
                <w:color w:val="auto"/>
                <w:sz w:val="24"/>
                <w:szCs w:val="24"/>
                <w:highlight w:val="none"/>
              </w:rPr>
            </w:pPr>
          </w:p>
          <w:p w14:paraId="26872984">
            <w:pPr>
              <w:spacing w:line="266" w:lineRule="auto"/>
              <w:rPr>
                <w:rFonts w:hint="eastAsia" w:ascii="宋体" w:hAnsi="宋体" w:eastAsia="宋体" w:cs="宋体"/>
                <w:color w:val="auto"/>
                <w:sz w:val="24"/>
                <w:szCs w:val="24"/>
                <w:highlight w:val="none"/>
              </w:rPr>
            </w:pPr>
          </w:p>
          <w:p w14:paraId="6EA66CD7">
            <w:pPr>
              <w:pStyle w:val="26"/>
              <w:spacing w:before="78" w:line="183" w:lineRule="auto"/>
              <w:ind w:left="2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8" w:type="dxa"/>
          </w:tcPr>
          <w:p w14:paraId="575DFB21">
            <w:pPr>
              <w:spacing w:line="261" w:lineRule="auto"/>
              <w:rPr>
                <w:rFonts w:hint="eastAsia" w:ascii="宋体" w:hAnsi="宋体" w:eastAsia="宋体" w:cs="宋体"/>
                <w:color w:val="auto"/>
                <w:sz w:val="24"/>
                <w:szCs w:val="24"/>
                <w:highlight w:val="none"/>
              </w:rPr>
            </w:pPr>
          </w:p>
          <w:p w14:paraId="666502CB">
            <w:pPr>
              <w:spacing w:line="261" w:lineRule="auto"/>
              <w:rPr>
                <w:rFonts w:hint="eastAsia" w:ascii="宋体" w:hAnsi="宋体" w:eastAsia="宋体" w:cs="宋体"/>
                <w:color w:val="auto"/>
                <w:sz w:val="24"/>
                <w:szCs w:val="24"/>
                <w:highlight w:val="none"/>
              </w:rPr>
            </w:pPr>
          </w:p>
          <w:p w14:paraId="24AFEED0">
            <w:pPr>
              <w:spacing w:line="261" w:lineRule="auto"/>
              <w:rPr>
                <w:rFonts w:hint="eastAsia" w:ascii="宋体" w:hAnsi="宋体" w:eastAsia="宋体" w:cs="宋体"/>
                <w:color w:val="auto"/>
                <w:sz w:val="24"/>
                <w:szCs w:val="24"/>
                <w:highlight w:val="none"/>
              </w:rPr>
            </w:pPr>
          </w:p>
          <w:p w14:paraId="6C8C4B68">
            <w:pPr>
              <w:spacing w:line="261" w:lineRule="auto"/>
              <w:rPr>
                <w:rFonts w:hint="eastAsia" w:ascii="宋体" w:hAnsi="宋体" w:eastAsia="宋体" w:cs="宋体"/>
                <w:color w:val="auto"/>
                <w:sz w:val="24"/>
                <w:szCs w:val="24"/>
                <w:highlight w:val="none"/>
              </w:rPr>
            </w:pPr>
          </w:p>
          <w:p w14:paraId="7143A133">
            <w:pPr>
              <w:spacing w:line="261" w:lineRule="auto"/>
              <w:rPr>
                <w:rFonts w:hint="eastAsia" w:ascii="宋体" w:hAnsi="宋体" w:eastAsia="宋体" w:cs="宋体"/>
                <w:color w:val="auto"/>
                <w:sz w:val="24"/>
                <w:szCs w:val="24"/>
                <w:highlight w:val="none"/>
              </w:rPr>
            </w:pPr>
          </w:p>
          <w:p w14:paraId="1E81BE58">
            <w:pPr>
              <w:spacing w:line="262" w:lineRule="auto"/>
              <w:rPr>
                <w:rFonts w:hint="eastAsia" w:ascii="宋体" w:hAnsi="宋体" w:eastAsia="宋体" w:cs="宋体"/>
                <w:color w:val="auto"/>
                <w:sz w:val="24"/>
                <w:szCs w:val="24"/>
                <w:highlight w:val="none"/>
              </w:rPr>
            </w:pPr>
          </w:p>
          <w:p w14:paraId="4D9443C7">
            <w:pPr>
              <w:spacing w:line="262" w:lineRule="auto"/>
              <w:rPr>
                <w:rFonts w:hint="eastAsia" w:ascii="宋体" w:hAnsi="宋体" w:eastAsia="宋体" w:cs="宋体"/>
                <w:color w:val="auto"/>
                <w:sz w:val="24"/>
                <w:szCs w:val="24"/>
                <w:highlight w:val="none"/>
              </w:rPr>
            </w:pPr>
          </w:p>
          <w:p w14:paraId="5922B4A5">
            <w:pPr>
              <w:spacing w:line="262" w:lineRule="auto"/>
              <w:rPr>
                <w:rFonts w:hint="eastAsia" w:ascii="宋体" w:hAnsi="宋体" w:eastAsia="宋体" w:cs="宋体"/>
                <w:color w:val="auto"/>
                <w:sz w:val="24"/>
                <w:szCs w:val="24"/>
                <w:highlight w:val="none"/>
              </w:rPr>
            </w:pPr>
          </w:p>
          <w:p w14:paraId="3BFEC1FA">
            <w:pPr>
              <w:spacing w:line="262" w:lineRule="auto"/>
              <w:rPr>
                <w:rFonts w:hint="eastAsia" w:ascii="宋体" w:hAnsi="宋体" w:eastAsia="宋体" w:cs="宋体"/>
                <w:color w:val="auto"/>
                <w:sz w:val="24"/>
                <w:szCs w:val="24"/>
                <w:highlight w:val="none"/>
              </w:rPr>
            </w:pPr>
          </w:p>
          <w:p w14:paraId="278D6C44">
            <w:pPr>
              <w:pStyle w:val="26"/>
              <w:spacing w:before="78" w:line="218" w:lineRule="auto"/>
              <w:ind w:left="31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报价方式</w:t>
            </w:r>
          </w:p>
        </w:tc>
        <w:tc>
          <w:tcPr>
            <w:tcW w:w="7330" w:type="dxa"/>
          </w:tcPr>
          <w:p w14:paraId="52EF029B">
            <w:pPr>
              <w:pStyle w:val="26"/>
              <w:spacing w:before="138" w:line="290" w:lineRule="auto"/>
              <w:ind w:left="43" w:right="25" w:firstLine="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3.1</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1"/>
                <w:sz w:val="24"/>
                <w:szCs w:val="24"/>
                <w:highlight w:val="none"/>
              </w:rPr>
              <w:t>所有报价均以人民币报价</w:t>
            </w:r>
            <w:r>
              <w:rPr>
                <w:rFonts w:hint="eastAsia" w:ascii="宋体" w:hAnsi="宋体" w:eastAsia="宋体" w:cs="宋体"/>
                <w:color w:val="auto"/>
                <w:spacing w:val="-4"/>
                <w:sz w:val="24"/>
                <w:szCs w:val="24"/>
                <w:highlight w:val="none"/>
              </w:rPr>
              <w:t>。</w:t>
            </w:r>
          </w:p>
          <w:p w14:paraId="0C38A3D3">
            <w:pPr>
              <w:pStyle w:val="26"/>
              <w:spacing w:before="183" w:line="342" w:lineRule="auto"/>
              <w:ind w:left="41" w:right="24" w:firstLine="48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3.2</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本项目供应商报价应包括但不限于供</w:t>
            </w:r>
            <w:r>
              <w:rPr>
                <w:rFonts w:hint="eastAsia" w:ascii="宋体" w:hAnsi="宋体" w:eastAsia="宋体" w:cs="宋体"/>
                <w:color w:val="auto"/>
                <w:spacing w:val="4"/>
                <w:sz w:val="24"/>
                <w:szCs w:val="24"/>
                <w:highlight w:val="none"/>
              </w:rPr>
              <w:t>应商的各项成本支出(如具体</w:t>
            </w:r>
            <w:r>
              <w:rPr>
                <w:rFonts w:hint="eastAsia" w:ascii="宋体" w:hAnsi="宋体" w:eastAsia="宋体" w:cs="宋体"/>
                <w:color w:val="auto"/>
                <w:sz w:val="24"/>
                <w:szCs w:val="24"/>
                <w:highlight w:val="none"/>
              </w:rPr>
              <w:t>策划、落地执行、设计服务、物料准备</w:t>
            </w:r>
            <w:r>
              <w:rPr>
                <w:rFonts w:hint="eastAsia" w:ascii="宋体" w:hAnsi="宋体" w:eastAsia="宋体" w:cs="宋体"/>
                <w:color w:val="auto"/>
                <w:spacing w:val="3"/>
                <w:sz w:val="24"/>
                <w:szCs w:val="24"/>
                <w:highlight w:val="none"/>
              </w:rPr>
              <w:t>、媒体宣传等费用)、合理的利润、应交纳的税金、采购代理</w:t>
            </w:r>
            <w:r>
              <w:rPr>
                <w:rFonts w:hint="eastAsia" w:ascii="宋体" w:hAnsi="宋体" w:eastAsia="宋体" w:cs="宋体"/>
                <w:color w:val="auto"/>
                <w:sz w:val="24"/>
                <w:szCs w:val="24"/>
                <w:highlight w:val="none"/>
              </w:rPr>
              <w:t>服务费等，以及为完成本项目所可能发生的全</w:t>
            </w:r>
            <w:r>
              <w:rPr>
                <w:rFonts w:hint="eastAsia" w:ascii="宋体" w:hAnsi="宋体" w:eastAsia="宋体" w:cs="宋体"/>
                <w:color w:val="auto"/>
                <w:spacing w:val="-1"/>
                <w:sz w:val="24"/>
                <w:szCs w:val="24"/>
                <w:highlight w:val="none"/>
              </w:rPr>
              <w:t>部费用。供应商对合同内容的</w:t>
            </w:r>
            <w:r>
              <w:rPr>
                <w:rFonts w:hint="eastAsia" w:ascii="宋体" w:hAnsi="宋体" w:eastAsia="宋体" w:cs="宋体"/>
                <w:color w:val="auto"/>
                <w:sz w:val="24"/>
                <w:szCs w:val="24"/>
                <w:highlight w:val="none"/>
              </w:rPr>
              <w:t>费用、质量、安全、文明服务等实行全面承包</w:t>
            </w:r>
            <w:r>
              <w:rPr>
                <w:rFonts w:hint="eastAsia" w:ascii="宋体" w:hAnsi="宋体" w:eastAsia="宋体" w:cs="宋体"/>
                <w:color w:val="auto"/>
                <w:spacing w:val="-1"/>
                <w:sz w:val="24"/>
                <w:szCs w:val="24"/>
                <w:highlight w:val="none"/>
              </w:rPr>
              <w:t>。报价文件中大写金额和小写</w:t>
            </w:r>
            <w:r>
              <w:rPr>
                <w:rFonts w:hint="eastAsia" w:ascii="宋体" w:hAnsi="宋体" w:eastAsia="宋体" w:cs="宋体"/>
                <w:color w:val="auto"/>
                <w:sz w:val="24"/>
                <w:szCs w:val="24"/>
                <w:highlight w:val="none"/>
              </w:rPr>
              <w:t>金额不一致的，以大写金额为准；总价金额与</w:t>
            </w:r>
            <w:r>
              <w:rPr>
                <w:rFonts w:hint="eastAsia" w:ascii="宋体" w:hAnsi="宋体" w:eastAsia="宋体" w:cs="宋体"/>
                <w:color w:val="auto"/>
                <w:spacing w:val="-1"/>
                <w:sz w:val="24"/>
                <w:szCs w:val="24"/>
                <w:highlight w:val="none"/>
              </w:rPr>
              <w:t>按单价汇总金额不一致的，以</w:t>
            </w:r>
            <w:r>
              <w:rPr>
                <w:rFonts w:hint="eastAsia" w:ascii="宋体" w:hAnsi="宋体" w:eastAsia="宋体" w:cs="宋体"/>
                <w:color w:val="auto"/>
                <w:sz w:val="24"/>
                <w:szCs w:val="24"/>
                <w:highlight w:val="none"/>
              </w:rPr>
              <w:t>单价金额计算结果为准；单价金额小数点有明</w:t>
            </w:r>
            <w:r>
              <w:rPr>
                <w:rFonts w:hint="eastAsia" w:ascii="宋体" w:hAnsi="宋体" w:eastAsia="宋体" w:cs="宋体"/>
                <w:color w:val="auto"/>
                <w:spacing w:val="-1"/>
                <w:sz w:val="24"/>
                <w:szCs w:val="24"/>
                <w:highlight w:val="none"/>
              </w:rPr>
              <w:t>显错位的，应以总价为准，并</w:t>
            </w:r>
            <w:r>
              <w:rPr>
                <w:rFonts w:hint="eastAsia" w:ascii="宋体" w:hAnsi="宋体" w:eastAsia="宋体" w:cs="宋体"/>
                <w:color w:val="auto"/>
                <w:spacing w:val="-2"/>
                <w:sz w:val="24"/>
                <w:szCs w:val="24"/>
                <w:highlight w:val="none"/>
              </w:rPr>
              <w:t>修改单价。</w:t>
            </w:r>
          </w:p>
          <w:p w14:paraId="23F7912A">
            <w:pPr>
              <w:pStyle w:val="26"/>
              <w:spacing w:before="184" w:line="218" w:lineRule="auto"/>
              <w:ind w:left="52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3.3 响应文件只允许有一个报价，有选择的报价将不予接受。</w:t>
            </w:r>
          </w:p>
        </w:tc>
      </w:tr>
      <w:tr w14:paraId="704F6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0AFAA3D5">
            <w:pPr>
              <w:spacing w:line="269" w:lineRule="auto"/>
              <w:rPr>
                <w:rFonts w:hint="eastAsia" w:ascii="宋体" w:hAnsi="宋体" w:eastAsia="宋体" w:cs="宋体"/>
                <w:color w:val="auto"/>
                <w:sz w:val="24"/>
                <w:szCs w:val="24"/>
                <w:highlight w:val="none"/>
              </w:rPr>
            </w:pPr>
          </w:p>
          <w:p w14:paraId="249E4D93">
            <w:pPr>
              <w:spacing w:line="270" w:lineRule="auto"/>
              <w:rPr>
                <w:rFonts w:hint="eastAsia" w:ascii="宋体" w:hAnsi="宋体" w:eastAsia="宋体" w:cs="宋体"/>
                <w:color w:val="auto"/>
                <w:sz w:val="24"/>
                <w:szCs w:val="24"/>
                <w:highlight w:val="none"/>
              </w:rPr>
            </w:pPr>
          </w:p>
          <w:p w14:paraId="148FE292">
            <w:pPr>
              <w:pStyle w:val="26"/>
              <w:spacing w:before="78" w:line="183" w:lineRule="auto"/>
              <w:ind w:left="2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8" w:type="dxa"/>
          </w:tcPr>
          <w:p w14:paraId="0766D8A6">
            <w:pPr>
              <w:spacing w:line="251" w:lineRule="auto"/>
              <w:rPr>
                <w:rFonts w:hint="eastAsia" w:ascii="宋体" w:hAnsi="宋体" w:eastAsia="宋体" w:cs="宋体"/>
                <w:color w:val="auto"/>
                <w:sz w:val="24"/>
                <w:szCs w:val="24"/>
                <w:highlight w:val="none"/>
              </w:rPr>
            </w:pPr>
          </w:p>
          <w:p w14:paraId="2F1DC66F">
            <w:pPr>
              <w:spacing w:line="251" w:lineRule="auto"/>
              <w:rPr>
                <w:rFonts w:hint="eastAsia" w:ascii="宋体" w:hAnsi="宋体" w:eastAsia="宋体" w:cs="宋体"/>
                <w:color w:val="auto"/>
                <w:sz w:val="24"/>
                <w:szCs w:val="24"/>
                <w:highlight w:val="none"/>
              </w:rPr>
            </w:pPr>
          </w:p>
          <w:p w14:paraId="27AFCC4A">
            <w:pPr>
              <w:pStyle w:val="26"/>
              <w:spacing w:before="78" w:line="219" w:lineRule="auto"/>
              <w:ind w:left="31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违约赔偿</w:t>
            </w:r>
          </w:p>
        </w:tc>
        <w:tc>
          <w:tcPr>
            <w:tcW w:w="7330" w:type="dxa"/>
          </w:tcPr>
          <w:p w14:paraId="6136B9FC">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4.1成交供应商拒绝或拖延履行服务内容及承诺质量标准的，每逾 1 日成交供应商向采购人偿付合同款总额 1‰的滞纳金。逾期服务超过 10 天 后，采购人有权决定是否继续履行合同。</w:t>
            </w:r>
          </w:p>
          <w:p w14:paraId="75D710AB">
            <w:pPr>
              <w:pStyle w:val="26"/>
              <w:spacing w:before="183" w:line="342" w:lineRule="auto"/>
              <w:ind w:left="41" w:right="24" w:firstLine="484"/>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4.2知识产权：成交供应商应保证采购人在使用服务成果时没有任何关于侵犯所有权和工业产权、著作权（版权）等知识产权的指控。如果任何第三方提出侵权指控，成交供应商承担一切与之有关的责任。</w:t>
            </w:r>
          </w:p>
        </w:tc>
      </w:tr>
      <w:tr w14:paraId="4B5FB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4CDF20BF">
            <w:pPr>
              <w:pStyle w:val="26"/>
              <w:spacing w:before="78" w:line="183" w:lineRule="auto"/>
              <w:ind w:left="254"/>
              <w:rPr>
                <w:rFonts w:hint="eastAsia" w:ascii="宋体" w:hAnsi="宋体" w:eastAsia="宋体" w:cs="宋体"/>
                <w:color w:val="auto"/>
                <w:sz w:val="24"/>
                <w:szCs w:val="24"/>
                <w:highlight w:val="none"/>
                <w:lang w:val="en-US" w:eastAsia="zh-CN"/>
              </w:rPr>
            </w:pPr>
          </w:p>
          <w:p w14:paraId="53A96567">
            <w:pPr>
              <w:pStyle w:val="26"/>
              <w:spacing w:before="78" w:line="183" w:lineRule="auto"/>
              <w:ind w:left="254"/>
              <w:rPr>
                <w:rFonts w:hint="eastAsia" w:ascii="宋体" w:hAnsi="宋体" w:eastAsia="宋体" w:cs="宋体"/>
                <w:color w:val="auto"/>
                <w:sz w:val="24"/>
                <w:szCs w:val="24"/>
                <w:highlight w:val="none"/>
                <w:lang w:val="en-US" w:eastAsia="zh-CN"/>
              </w:rPr>
            </w:pPr>
          </w:p>
          <w:p w14:paraId="0AE2E50A">
            <w:pPr>
              <w:pStyle w:val="26"/>
              <w:spacing w:before="78" w:line="183" w:lineRule="auto"/>
              <w:ind w:left="254"/>
              <w:rPr>
                <w:rFonts w:hint="eastAsia" w:ascii="宋体" w:hAnsi="宋体" w:eastAsia="宋体" w:cs="宋体"/>
                <w:color w:val="auto"/>
                <w:sz w:val="24"/>
                <w:szCs w:val="24"/>
                <w:highlight w:val="none"/>
                <w:lang w:val="en-US" w:eastAsia="zh-CN"/>
              </w:rPr>
            </w:pPr>
          </w:p>
          <w:p w14:paraId="43887F98">
            <w:pPr>
              <w:pStyle w:val="26"/>
              <w:spacing w:before="78" w:line="183" w:lineRule="auto"/>
              <w:ind w:left="2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68" w:type="dxa"/>
          </w:tcPr>
          <w:p w14:paraId="102BDB3C">
            <w:pPr>
              <w:spacing w:line="263" w:lineRule="auto"/>
              <w:rPr>
                <w:rFonts w:hint="eastAsia" w:ascii="宋体" w:hAnsi="宋体" w:eastAsia="宋体" w:cs="宋体"/>
                <w:color w:val="auto"/>
                <w:sz w:val="24"/>
                <w:szCs w:val="24"/>
                <w:highlight w:val="none"/>
              </w:rPr>
            </w:pPr>
          </w:p>
          <w:p w14:paraId="0192DB52">
            <w:pPr>
              <w:spacing w:line="264" w:lineRule="auto"/>
              <w:rPr>
                <w:rFonts w:hint="eastAsia" w:ascii="宋体" w:hAnsi="宋体" w:eastAsia="宋体" w:cs="宋体"/>
                <w:color w:val="auto"/>
                <w:sz w:val="24"/>
                <w:szCs w:val="24"/>
                <w:highlight w:val="none"/>
              </w:rPr>
            </w:pPr>
          </w:p>
          <w:p w14:paraId="767D76A3">
            <w:pPr>
              <w:spacing w:line="264" w:lineRule="auto"/>
              <w:rPr>
                <w:rFonts w:hint="eastAsia" w:ascii="宋体" w:hAnsi="宋体" w:eastAsia="宋体" w:cs="宋体"/>
                <w:color w:val="auto"/>
                <w:sz w:val="24"/>
                <w:szCs w:val="24"/>
                <w:highlight w:val="none"/>
              </w:rPr>
            </w:pPr>
          </w:p>
          <w:p w14:paraId="341A7C8B">
            <w:pPr>
              <w:pStyle w:val="26"/>
              <w:spacing w:before="78" w:line="219" w:lineRule="auto"/>
              <w:ind w:left="517" w:leftChars="0"/>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项目验收</w:t>
            </w:r>
          </w:p>
        </w:tc>
        <w:tc>
          <w:tcPr>
            <w:tcW w:w="7330" w:type="dxa"/>
          </w:tcPr>
          <w:p w14:paraId="490EC0F4">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5.1在合同执行过程中，采购人根据工作进展及时对成交供应商所提供的服务进行检验。各项工作和服务的程度及质量不能低于合同方案的承诺，以合同方案为基础，实施方案及 效果均以采购人认可及满意为准</w:t>
            </w:r>
          </w:p>
          <w:p w14:paraId="7BE7ACEE">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5.2在</w:t>
            </w:r>
            <w:r>
              <w:rPr>
                <w:rFonts w:hint="eastAsia" w:cs="宋体" w:asciiTheme="minorEastAsia" w:hAnsiTheme="minorEastAsia" w:eastAsiaTheme="minorEastAsia"/>
                <w:kern w:val="0"/>
                <w:sz w:val="24"/>
                <w:highlight w:val="none"/>
              </w:rPr>
              <w:t>广告安装完成后，供应商应向采购人提供带有广告画面媒体的实物照片做为验收证明，每季度向采购人提供广告媒体的最新实物照片</w:t>
            </w:r>
            <w:r>
              <w:rPr>
                <w:rFonts w:hint="eastAsia" w:ascii="宋体" w:hAnsi="宋体" w:eastAsia="宋体" w:cs="宋体"/>
                <w:color w:val="auto"/>
                <w:spacing w:val="-1"/>
                <w:sz w:val="24"/>
                <w:szCs w:val="24"/>
                <w:highlight w:val="none"/>
                <w:lang w:val="en-US" w:eastAsia="zh-CN"/>
              </w:rPr>
              <w:t>，通知采购人对项目执行情况进行验收，采购人在接到验收材料及通知后组织对成交供应商履约的验收，签署验收意见。</w:t>
            </w:r>
          </w:p>
          <w:p w14:paraId="5D9CA447">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5.3验收小组：采购人、成交供应商共同参与。</w:t>
            </w:r>
          </w:p>
          <w:p w14:paraId="2B26AF08">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5.4验收标准：经确认的活动方案、采购文件、响应文件、合同和采购人要求作为验收标准。成交供应商须协助采购人及时完成项目验收工作。</w:t>
            </w:r>
          </w:p>
          <w:p w14:paraId="6CE739DC">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5.5如验收达不到相关规定要求的，成交供应商须赔偿对采购人造成的实际经济损失。</w:t>
            </w:r>
          </w:p>
        </w:tc>
      </w:tr>
      <w:tr w14:paraId="714D0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01" w:type="dxa"/>
          </w:tcPr>
          <w:p w14:paraId="12A8A425">
            <w:pPr>
              <w:pStyle w:val="26"/>
              <w:spacing w:before="78" w:line="183" w:lineRule="auto"/>
              <w:ind w:left="254"/>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68" w:type="dxa"/>
          </w:tcPr>
          <w:p w14:paraId="5A53A965">
            <w:pPr>
              <w:pStyle w:val="26"/>
              <w:spacing w:before="78" w:line="219" w:lineRule="auto"/>
              <w:ind w:left="517" w:leftChars="0"/>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质保期</w:t>
            </w:r>
          </w:p>
        </w:tc>
        <w:tc>
          <w:tcPr>
            <w:tcW w:w="7330" w:type="dxa"/>
          </w:tcPr>
          <w:p w14:paraId="518BD3DD">
            <w:pPr>
              <w:pStyle w:val="26"/>
              <w:spacing w:before="183" w:line="342" w:lineRule="auto"/>
              <w:ind w:left="41" w:right="24" w:firstLine="484"/>
              <w:rPr>
                <w:rFonts w:hint="eastAsia" w:ascii="宋体" w:hAnsi="宋体" w:eastAsia="宋体" w:cs="宋体"/>
                <w:color w:val="auto"/>
                <w:spacing w:val="-1"/>
                <w:sz w:val="24"/>
                <w:szCs w:val="24"/>
                <w:highlight w:val="none"/>
                <w:lang w:val="en-US" w:eastAsia="zh-CN"/>
              </w:rPr>
            </w:pPr>
            <w:r>
              <w:rPr>
                <w:rFonts w:hint="eastAsia" w:cs="宋体" w:asciiTheme="minorEastAsia" w:hAnsiTheme="minorEastAsia" w:eastAsiaTheme="minorEastAsia"/>
                <w:kern w:val="0"/>
                <w:sz w:val="24"/>
                <w:highlight w:val="none"/>
                <w:lang w:val="en-US" w:eastAsia="zh-CN"/>
              </w:rPr>
              <w:t>6.1</w:t>
            </w:r>
            <w:r>
              <w:rPr>
                <w:rFonts w:hint="eastAsia" w:cs="宋体" w:asciiTheme="minorEastAsia" w:hAnsiTheme="minorEastAsia" w:eastAsiaTheme="minorEastAsia"/>
                <w:kern w:val="0"/>
                <w:sz w:val="24"/>
                <w:highlight w:val="none"/>
              </w:rPr>
              <w:t>在服务期内采购人可不定时抽查，如发生任何破损等质量问题，成交供应商须及时进行维修或更换，如有违约每次扣除货款壹仟元，直至解除采购合同。</w:t>
            </w:r>
          </w:p>
        </w:tc>
      </w:tr>
    </w:tbl>
    <w:p w14:paraId="69B3CA75">
      <w:pPr>
        <w:widowControl w:val="0"/>
        <w:spacing w:line="249" w:lineRule="auto"/>
        <w:rPr>
          <w:rFonts w:hint="eastAsia" w:ascii="宋体" w:hAnsi="宋体" w:eastAsia="宋体" w:cs="宋体"/>
          <w:color w:val="auto"/>
          <w:highlight w:val="none"/>
          <w:lang w:eastAsia="zh-CN"/>
        </w:rPr>
      </w:pPr>
    </w:p>
    <w:p w14:paraId="00B7A104">
      <w:pPr>
        <w:rPr>
          <w:rFonts w:hint="eastAsia" w:ascii="宋体" w:hAnsi="宋体" w:eastAsia="宋体" w:cs="宋体"/>
          <w:color w:val="auto"/>
          <w:highlight w:val="none"/>
          <w:lang w:eastAsia="zh-CN"/>
        </w:rPr>
      </w:pPr>
    </w:p>
    <w:p w14:paraId="3A71BD5E">
      <w:pPr>
        <w:rPr>
          <w:rFonts w:hint="eastAsia" w:ascii="宋体" w:hAnsi="宋体" w:eastAsia="宋体" w:cs="宋体"/>
          <w:color w:val="auto"/>
          <w:highlight w:val="none"/>
          <w:lang w:eastAsia="zh-CN"/>
        </w:rPr>
      </w:pPr>
    </w:p>
    <w:p w14:paraId="0048A9AD">
      <w:pPr>
        <w:pStyle w:val="6"/>
        <w:spacing w:beforeLines="50"/>
        <w:jc w:val="both"/>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 xml:space="preserve"> 注：以上商务要求必须响应，不得负偏离。</w:t>
      </w:r>
    </w:p>
    <w:p w14:paraId="75DB41C6">
      <w:pPr>
        <w:pStyle w:val="2"/>
        <w:numPr>
          <w:ilvl w:val="0"/>
          <w:numId w:val="4"/>
        </w:numPr>
        <w:bidi w:val="0"/>
        <w:jc w:val="center"/>
        <w:rPr>
          <w:rFonts w:hint="eastAsia"/>
          <w:highlight w:val="none"/>
          <w:lang w:eastAsia="zh-CN"/>
        </w:rPr>
      </w:pPr>
      <w:bookmarkStart w:id="395" w:name="_Toc505955294"/>
      <w:bookmarkStart w:id="396" w:name="_Toc29363"/>
      <w:r>
        <w:rPr>
          <w:rFonts w:hint="eastAsia"/>
          <w:highlight w:val="none"/>
          <w:lang w:eastAsia="zh-CN"/>
        </w:rPr>
        <w:t>评审标准</w:t>
      </w:r>
      <w:bookmarkEnd w:id="395"/>
      <w:bookmarkEnd w:id="396"/>
    </w:p>
    <w:p w14:paraId="18D0C84A">
      <w:pPr>
        <w:pStyle w:val="6"/>
        <w:numPr>
          <w:ilvl w:val="0"/>
          <w:numId w:val="0"/>
        </w:numPr>
        <w:rPr>
          <w:rFonts w:hint="eastAsia"/>
          <w:highlight w:val="none"/>
          <w:lang w:eastAsia="zh-CN"/>
        </w:rPr>
      </w:pPr>
    </w:p>
    <w:p w14:paraId="347E79CA">
      <w:pPr>
        <w:pageBreakBefore w:val="0"/>
        <w:widowControl w:val="0"/>
        <w:wordWrap/>
        <w:overflowPunct/>
        <w:topLinePunct w:val="0"/>
        <w:bidi w:val="0"/>
        <w:spacing w:before="78" w:line="220" w:lineRule="auto"/>
        <w:outlineLvl w:val="1"/>
        <w:rPr>
          <w:rFonts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pPr>
      <w:bookmarkStart w:id="397" w:name="_Toc12931"/>
      <w:bookmarkStart w:id="398" w:name="_Toc8564"/>
      <w:bookmarkStart w:id="399" w:name="_Toc4831"/>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一、符合性审查</w:t>
      </w:r>
      <w:bookmarkEnd w:id="397"/>
      <w:bookmarkEnd w:id="398"/>
      <w:bookmarkEnd w:id="399"/>
    </w:p>
    <w:p w14:paraId="67A8379E">
      <w:pPr>
        <w:spacing w:line="400" w:lineRule="exact"/>
        <w:ind w:left="563" w:leftChars="114" w:hanging="324" w:hangingChars="135"/>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出现</w:t>
      </w:r>
      <w:r>
        <w:rPr>
          <w:rFonts w:hint="eastAsia" w:ascii="宋体" w:hAnsi="宋体" w:cs="宋体"/>
          <w:b/>
          <w:color w:val="auto"/>
          <w:sz w:val="24"/>
          <w:szCs w:val="24"/>
          <w:highlight w:val="none"/>
        </w:rPr>
        <w:t>下列情况之一的，其</w:t>
      </w:r>
      <w:r>
        <w:rPr>
          <w:rFonts w:hint="eastAsia" w:ascii="宋体" w:hAnsi="宋体" w:cs="宋体"/>
          <w:b/>
          <w:color w:val="auto"/>
          <w:sz w:val="24"/>
          <w:szCs w:val="24"/>
          <w:highlight w:val="none"/>
          <w:lang w:val="en-US" w:eastAsia="zh-CN"/>
        </w:rPr>
        <w:t>响应文件</w:t>
      </w:r>
      <w:r>
        <w:rPr>
          <w:rFonts w:hint="eastAsia" w:ascii="宋体" w:hAnsi="宋体" w:cs="宋体"/>
          <w:b/>
          <w:color w:val="auto"/>
          <w:sz w:val="24"/>
          <w:szCs w:val="24"/>
          <w:highlight w:val="none"/>
        </w:rPr>
        <w:t>将作无效</w:t>
      </w:r>
      <w:r>
        <w:rPr>
          <w:rFonts w:hint="eastAsia" w:ascii="宋体" w:hAnsi="宋体" w:cs="宋体"/>
          <w:b/>
          <w:color w:val="auto"/>
          <w:sz w:val="24"/>
          <w:szCs w:val="24"/>
          <w:highlight w:val="none"/>
          <w:lang w:val="en-US" w:eastAsia="zh-CN"/>
        </w:rPr>
        <w:t>响应</w:t>
      </w:r>
      <w:r>
        <w:rPr>
          <w:rFonts w:hint="eastAsia" w:ascii="宋体" w:hAnsi="宋体" w:cs="宋体"/>
          <w:b/>
          <w:color w:val="auto"/>
          <w:sz w:val="24"/>
          <w:szCs w:val="24"/>
          <w:highlight w:val="none"/>
        </w:rPr>
        <w:t>处理：</w:t>
      </w:r>
    </w:p>
    <w:p w14:paraId="42457E2E">
      <w:pPr>
        <w:spacing w:line="400" w:lineRule="exact"/>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cs="宋体"/>
          <w:color w:val="auto"/>
          <w:sz w:val="24"/>
          <w:szCs w:val="24"/>
          <w:highlight w:val="none"/>
          <w:lang w:val="en-US" w:eastAsia="zh-CN"/>
        </w:rPr>
        <w:t>无法</w:t>
      </w:r>
      <w:r>
        <w:rPr>
          <w:rFonts w:hint="eastAsia" w:ascii="宋体" w:hAnsi="宋体" w:cs="宋体"/>
          <w:color w:val="auto"/>
          <w:sz w:val="24"/>
          <w:szCs w:val="24"/>
          <w:highlight w:val="none"/>
        </w:rPr>
        <w:t>正常打开；</w:t>
      </w:r>
    </w:p>
    <w:p w14:paraId="7D964264">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未</w:t>
      </w:r>
      <w:r>
        <w:rPr>
          <w:rFonts w:hint="eastAsia" w:ascii="宋体" w:hAnsi="宋体" w:cs="宋体"/>
          <w:color w:val="auto"/>
          <w:sz w:val="24"/>
          <w:szCs w:val="24"/>
          <w:highlight w:val="none"/>
        </w:rPr>
        <w:t>提交</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一览表、分项报价表、</w:t>
      </w:r>
      <w:r>
        <w:rPr>
          <w:rFonts w:hint="eastAsia" w:ascii="宋体" w:hAnsi="宋体" w:eastAsia="宋体" w:cs="宋体"/>
          <w:color w:val="auto"/>
          <w:sz w:val="24"/>
          <w:szCs w:val="24"/>
          <w:highlight w:val="none"/>
          <w:lang w:val="en-US" w:eastAsia="zh-CN"/>
        </w:rPr>
        <w:t>报价</w:t>
      </w:r>
      <w:r>
        <w:rPr>
          <w:rFonts w:hint="eastAsia" w:ascii="宋体" w:hAnsi="宋体" w:cs="宋体"/>
          <w:color w:val="auto"/>
          <w:sz w:val="24"/>
          <w:szCs w:val="24"/>
          <w:highlight w:val="none"/>
        </w:rPr>
        <w:t>一览明细表中应列出分项报价；</w:t>
      </w:r>
    </w:p>
    <w:p w14:paraId="39F07198">
      <w:pPr>
        <w:spacing w:line="400" w:lineRule="exact"/>
        <w:rPr>
          <w:rFonts w:hint="eastAsia" w:ascii="宋体" w:hAnsi="宋体" w:cs="宋体"/>
          <w:color w:val="auto"/>
          <w:sz w:val="24"/>
          <w:szCs w:val="24"/>
          <w:highlight w:val="none"/>
          <w:lang w:val="en-GB"/>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en-GB"/>
        </w:rPr>
        <w:t>未提供磋商保证金或金额不足，磋商保证金形式不符合磋商文件要求的；</w:t>
      </w:r>
    </w:p>
    <w:p w14:paraId="274A761E">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未按磋商</w:t>
      </w:r>
      <w:r>
        <w:rPr>
          <w:rFonts w:hint="eastAsia" w:ascii="宋体" w:hAnsi="宋体" w:cs="宋体"/>
          <w:color w:val="auto"/>
          <w:sz w:val="24"/>
          <w:szCs w:val="24"/>
          <w:highlight w:val="none"/>
        </w:rPr>
        <w:t>文件“第四章 响应文件格式”的规定提供</w:t>
      </w:r>
      <w:r>
        <w:rPr>
          <w:rFonts w:hint="eastAsia" w:ascii="宋体" w:hAnsi="宋体" w:cs="宋体"/>
          <w:color w:val="auto"/>
          <w:sz w:val="24"/>
          <w:szCs w:val="24"/>
          <w:highlight w:val="none"/>
          <w:lang w:val="en-GB"/>
        </w:rPr>
        <w:t>资格、资信证明文件的；</w:t>
      </w:r>
    </w:p>
    <w:p w14:paraId="5C00C0D6">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未按磋商文件要求签字、签章的，或签字（签章）人无法定代表人有效委托的；</w:t>
      </w:r>
    </w:p>
    <w:p w14:paraId="10603BC7">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磋商文件规定为国产产品，提供进口产品参加磋商的</w:t>
      </w:r>
      <w:r>
        <w:rPr>
          <w:rFonts w:hint="eastAsia" w:ascii="宋体" w:hAnsi="宋体" w:eastAsia="宋体" w:cs="宋体"/>
          <w:color w:val="auto"/>
          <w:sz w:val="24"/>
          <w:szCs w:val="24"/>
          <w:highlight w:val="none"/>
          <w:lang w:eastAsia="zh-CN"/>
        </w:rPr>
        <w:t>；</w:t>
      </w:r>
    </w:p>
    <w:p w14:paraId="4B4BABC4">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磋商有效期响应不足的；</w:t>
      </w:r>
    </w:p>
    <w:p w14:paraId="0DFB5C89">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GB"/>
        </w:rPr>
        <w:t>技术文件技术规格中的响应与事实不符或虚假响应的；</w:t>
      </w:r>
    </w:p>
    <w:p w14:paraId="2FCDDC47">
      <w:pPr>
        <w:spacing w:line="40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超过了采购项目预算或最高限价的；</w:t>
      </w:r>
    </w:p>
    <w:p w14:paraId="0E68583A">
      <w:pPr>
        <w:spacing w:line="400" w:lineRule="exact"/>
        <w:rPr>
          <w:rFonts w:hint="eastAsia" w:ascii="宋体" w:hAnsi="宋体" w:cs="宋体"/>
          <w:color w:val="auto"/>
          <w:sz w:val="24"/>
          <w:szCs w:val="24"/>
          <w:highlight w:val="none"/>
          <w:lang w:val="en-GB"/>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磋商文件规定的其他响应无效条款。</w:t>
      </w:r>
    </w:p>
    <w:p w14:paraId="03A2BC91">
      <w:pPr>
        <w:spacing w:line="400" w:lineRule="exact"/>
        <w:ind w:left="360" w:hanging="360" w:hangingChars="150"/>
        <w:rPr>
          <w:rFonts w:ascii="宋体" w:hAnsi="宋体" w:cs="宋体"/>
          <w:b/>
          <w:color w:val="auto"/>
          <w:sz w:val="24"/>
          <w:szCs w:val="24"/>
          <w:highlight w:val="none"/>
        </w:rPr>
      </w:pPr>
    </w:p>
    <w:p w14:paraId="4CAA701B">
      <w:pPr>
        <w:spacing w:line="360" w:lineRule="exact"/>
        <w:rPr>
          <w:rFonts w:ascii="宋体" w:hAnsi="宋体" w:cs="宋体"/>
          <w:b/>
          <w:color w:val="auto"/>
          <w:sz w:val="32"/>
          <w:szCs w:val="32"/>
          <w:highlight w:val="none"/>
        </w:rPr>
      </w:pPr>
    </w:p>
    <w:p w14:paraId="715C46B4">
      <w:pPr>
        <w:rPr>
          <w:rFonts w:ascii="宋体" w:hAnsi="宋体" w:cs="宋体"/>
          <w:color w:val="auto"/>
          <w:highlight w:val="none"/>
        </w:rPr>
      </w:pPr>
    </w:p>
    <w:p w14:paraId="71683A02">
      <w:pPr>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废标情形</w:t>
      </w:r>
    </w:p>
    <w:p w14:paraId="7B7A9C3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采购中，出现下列情形之一的，应予</w:t>
      </w:r>
      <w:r>
        <w:rPr>
          <w:rFonts w:hint="eastAsia" w:ascii="宋体" w:hAnsi="宋体" w:cs="宋体"/>
          <w:color w:val="auto"/>
          <w:sz w:val="24"/>
          <w:szCs w:val="24"/>
          <w:highlight w:val="none"/>
          <w:lang w:val="en-US" w:eastAsia="zh-CN"/>
        </w:rPr>
        <w:t>终止采购活动</w:t>
      </w:r>
      <w:r>
        <w:rPr>
          <w:rFonts w:hint="eastAsia" w:ascii="宋体" w:hAnsi="宋体" w:cs="宋体"/>
          <w:color w:val="auto"/>
          <w:sz w:val="24"/>
          <w:szCs w:val="24"/>
          <w:highlight w:val="none"/>
        </w:rPr>
        <w:t>：</w:t>
      </w:r>
    </w:p>
    <w:p w14:paraId="767AB166">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40" w:firstLineChars="1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符合专业条件的供应商或者对</w:t>
      </w:r>
      <w:r>
        <w:rPr>
          <w:rFonts w:hint="eastAsia" w:ascii="宋体" w:hAnsi="宋体" w:cs="宋体"/>
          <w:color w:val="auto"/>
          <w:sz w:val="24"/>
          <w:szCs w:val="24"/>
          <w:highlight w:val="none"/>
          <w:lang w:eastAsia="zh-CN"/>
        </w:rPr>
        <w:t>磋商文件</w:t>
      </w:r>
      <w:r>
        <w:rPr>
          <w:rFonts w:hint="eastAsia" w:ascii="宋体" w:hAnsi="宋体" w:cs="宋体"/>
          <w:color w:val="auto"/>
          <w:sz w:val="24"/>
          <w:szCs w:val="24"/>
          <w:highlight w:val="none"/>
        </w:rPr>
        <w:t>作实质响应的供应商不足三家的；政府购买服务项目（含政府和社会资本合作项目），在采购过程中符合要求的供应商（社会资本）只有2家的，磋商采购活动可以继续进行，采购过程中符合要求的供应商（社会资本）只有1家的，采购人或者采购代理机构应当终止磋商采购活动</w:t>
      </w:r>
      <w:r>
        <w:rPr>
          <w:rFonts w:hint="eastAsia" w:ascii="宋体" w:hAnsi="宋体" w:eastAsia="宋体" w:cs="宋体"/>
          <w:color w:val="auto"/>
          <w:sz w:val="24"/>
          <w:szCs w:val="24"/>
          <w:highlight w:val="none"/>
          <w:lang w:eastAsia="zh-CN"/>
        </w:rPr>
        <w:t>；</w:t>
      </w:r>
    </w:p>
    <w:p w14:paraId="4C5598F5">
      <w:pPr>
        <w:spacing w:line="440" w:lineRule="exact"/>
        <w:ind w:firstLine="240" w:firstLineChars="10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出现影响采购公正的违法、违规行为的；</w:t>
      </w:r>
    </w:p>
    <w:p w14:paraId="33C3ACE6">
      <w:pPr>
        <w:spacing w:line="440" w:lineRule="exact"/>
        <w:ind w:firstLine="240" w:firstLineChars="100"/>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的报价均超过了采购预算，采购人不能支付的；</w:t>
      </w:r>
    </w:p>
    <w:p w14:paraId="576D1BA4">
      <w:pPr>
        <w:spacing w:line="440" w:lineRule="exact"/>
        <w:ind w:firstLine="240" w:firstLineChars="100"/>
        <w:rPr>
          <w:rFonts w:cs="仿宋" w:asciiTheme="minorEastAsia" w:hAnsiTheme="minorEastAsia" w:eastAsiaTheme="minorEastAsia"/>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因重大变故，采购任务取消。</w:t>
      </w:r>
    </w:p>
    <w:p w14:paraId="476879E3">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bookmarkStart w:id="400" w:name="_Toc499818239"/>
      <w:bookmarkStart w:id="401" w:name="_Toc500258558"/>
      <w:bookmarkStart w:id="402" w:name="_Toc505020183"/>
      <w:bookmarkStart w:id="403" w:name="_Toc504641993"/>
    </w:p>
    <w:p w14:paraId="1D3D0027">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1EDD19EA">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52921754">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p w14:paraId="1D2F16E6">
      <w:pPr>
        <w:spacing w:line="460" w:lineRule="exact"/>
        <w:ind w:firstLine="361" w:firstLineChars="150"/>
        <w:jc w:val="left"/>
        <w:outlineLvl w:val="0"/>
        <w:rPr>
          <w:rFonts w:hint="eastAsia" w:asciiTheme="minorEastAsia" w:hAnsiTheme="minorEastAsia" w:eastAsiaTheme="minorEastAsia" w:cstheme="minorEastAsia"/>
          <w:b/>
          <w:bCs/>
          <w:color w:val="auto"/>
          <w:sz w:val="24"/>
          <w:highlight w:val="none"/>
        </w:rPr>
      </w:pPr>
    </w:p>
    <w:bookmarkEnd w:id="400"/>
    <w:bookmarkEnd w:id="401"/>
    <w:bookmarkEnd w:id="402"/>
    <w:bookmarkEnd w:id="403"/>
    <w:p w14:paraId="19FAAA89">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77FA5E2">
      <w:pPr>
        <w:spacing w:line="460" w:lineRule="exact"/>
        <w:ind w:firstLine="482" w:firstLineChars="200"/>
        <w:jc w:val="left"/>
        <w:outlineLvl w:val="0"/>
        <w:rPr>
          <w:rFonts w:hint="eastAsia" w:ascii="宋体" w:hAnsi="宋体" w:eastAsia="宋体" w:cs="宋体"/>
          <w:b/>
          <w:bCs/>
          <w:color w:val="auto"/>
          <w:sz w:val="24"/>
          <w:szCs w:val="24"/>
          <w:highlight w:val="none"/>
        </w:rPr>
      </w:pPr>
      <w:bookmarkStart w:id="404" w:name="_Toc9122"/>
      <w:bookmarkStart w:id="405" w:name="_Toc2000"/>
      <w:bookmarkStart w:id="406" w:name="_Toc4473"/>
      <w:r>
        <w:rPr>
          <w:rFonts w:hint="eastAsia" w:ascii="宋体" w:hAnsi="宋体" w:eastAsia="宋体" w:cs="宋体"/>
          <w:b/>
          <w:bCs/>
          <w:color w:val="auto"/>
          <w:sz w:val="24"/>
          <w:szCs w:val="24"/>
          <w:highlight w:val="none"/>
        </w:rPr>
        <w:t>按照磋商文件中规定的评审方法和标准，磋商小组采用综合评分法对符合性审查合格且提交了最后报价的供应商的响应文件和最后报价进行综合评分。</w:t>
      </w:r>
      <w:bookmarkEnd w:id="404"/>
      <w:bookmarkEnd w:id="405"/>
      <w:bookmarkEnd w:id="406"/>
    </w:p>
    <w:p w14:paraId="64A05EC8">
      <w:pPr>
        <w:spacing w:afterLines="50"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价格评分</w:t>
      </w:r>
      <w:r>
        <w:rPr>
          <w:rFonts w:hint="eastAsia" w:ascii="宋体" w:hAnsi="宋体" w:eastAsia="宋体" w:cs="宋体"/>
          <w:color w:val="auto"/>
          <w:sz w:val="24"/>
          <w:szCs w:val="24"/>
          <w:highlight w:val="none"/>
          <w:lang w:val="en-US" w:eastAsia="zh-CN"/>
        </w:rPr>
        <w:t>40</w:t>
      </w:r>
      <w:r>
        <w:rPr>
          <w:rFonts w:hint="eastAsia" w:ascii="宋体" w:hAnsi="宋体" w:eastAsia="宋体" w:cs="宋体"/>
          <w:b/>
          <w:bCs/>
          <w:color w:val="auto"/>
          <w:sz w:val="24"/>
          <w:szCs w:val="24"/>
          <w:highlight w:val="none"/>
        </w:rPr>
        <w:t>分</w:t>
      </w:r>
    </w:p>
    <w:tbl>
      <w:tblPr>
        <w:tblStyle w:val="17"/>
        <w:tblW w:w="91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3"/>
        <w:gridCol w:w="1515"/>
      </w:tblGrid>
      <w:tr w14:paraId="2F38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633" w:type="dxa"/>
            <w:vAlign w:val="center"/>
          </w:tcPr>
          <w:p w14:paraId="34B9C1AF">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评审内容</w:t>
            </w:r>
          </w:p>
        </w:tc>
        <w:tc>
          <w:tcPr>
            <w:tcW w:w="1515" w:type="dxa"/>
            <w:vAlign w:val="center"/>
          </w:tcPr>
          <w:p w14:paraId="12E39E4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分值</w:t>
            </w:r>
          </w:p>
        </w:tc>
      </w:tr>
      <w:tr w14:paraId="6CC9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3" w:hRule="atLeast"/>
        </w:trPr>
        <w:tc>
          <w:tcPr>
            <w:tcW w:w="7633" w:type="dxa"/>
            <w:vAlign w:val="center"/>
          </w:tcPr>
          <w:p w14:paraId="4323A4D8">
            <w:pPr>
              <w:widowControl/>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价格分采用低价优先法计算，即满足磋商文件要求且最后报价最低的磋商报价为评标基准价，其价格分为满分。其他供应商的价格分统一按下列公式计算：</w:t>
            </w:r>
          </w:p>
          <w:p w14:paraId="3E577316">
            <w:pPr>
              <w:widowControl/>
              <w:spacing w:line="360" w:lineRule="auto"/>
              <w:jc w:val="both"/>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磋商报价得分=（评标基准价/磋商报价）×</w:t>
            </w: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分</w:t>
            </w:r>
          </w:p>
        </w:tc>
        <w:tc>
          <w:tcPr>
            <w:tcW w:w="1515" w:type="dxa"/>
            <w:vAlign w:val="center"/>
          </w:tcPr>
          <w:p w14:paraId="2CF0B9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bCs/>
                <w:color w:val="auto"/>
                <w:sz w:val="24"/>
                <w:szCs w:val="24"/>
                <w:highlight w:val="none"/>
              </w:rPr>
              <w:t xml:space="preserve"> 分</w:t>
            </w:r>
          </w:p>
        </w:tc>
      </w:tr>
    </w:tbl>
    <w:p w14:paraId="04096F46">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p>
    <w:p w14:paraId="6033E28E">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407" w:name="_Toc26052"/>
      <w:bookmarkStart w:id="408" w:name="_Toc18834"/>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二）技术评</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审</w:t>
      </w:r>
      <w:bookmarkEnd w:id="407"/>
      <w:bookmarkEnd w:id="408"/>
    </w:p>
    <w:tbl>
      <w:tblPr>
        <w:tblStyle w:val="17"/>
        <w:tblW w:w="0" w:type="auto"/>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6189"/>
        <w:gridCol w:w="1515"/>
      </w:tblGrid>
      <w:tr w14:paraId="7163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46" w:type="dxa"/>
            <w:noWrap w:val="0"/>
            <w:vAlign w:val="center"/>
          </w:tcPr>
          <w:p w14:paraId="16838ED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6189" w:type="dxa"/>
            <w:noWrap w:val="0"/>
            <w:vAlign w:val="center"/>
          </w:tcPr>
          <w:p w14:paraId="29032A8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515" w:type="dxa"/>
            <w:noWrap w:val="0"/>
            <w:vAlign w:val="center"/>
          </w:tcPr>
          <w:p w14:paraId="7CAB2CD8">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总分值</w:t>
            </w:r>
            <w:r>
              <w:rPr>
                <w:rFonts w:hint="eastAsia" w:ascii="宋体" w:hAnsi="宋体" w:eastAsia="宋体" w:cs="宋体"/>
                <w:b/>
                <w:bCs/>
                <w:color w:val="auto"/>
                <w:sz w:val="24"/>
                <w:szCs w:val="24"/>
                <w:highlight w:val="none"/>
                <w:lang w:val="en-US" w:eastAsia="zh-CN"/>
              </w:rPr>
              <w:t>40分</w:t>
            </w:r>
          </w:p>
        </w:tc>
      </w:tr>
      <w:tr w14:paraId="37A3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446" w:type="dxa"/>
            <w:noWrap w:val="0"/>
            <w:vAlign w:val="center"/>
          </w:tcPr>
          <w:p w14:paraId="2C2C1DB0">
            <w:pPr>
              <w:spacing w:line="500" w:lineRule="atLeas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cs="仿宋"/>
                <w:b/>
                <w:bCs/>
                <w:color w:val="auto"/>
                <w:sz w:val="24"/>
                <w:szCs w:val="24"/>
                <w:highlight w:val="none"/>
                <w:lang w:val="en-US" w:eastAsia="zh-CN"/>
              </w:rPr>
              <w:t>符合性审查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25分</w:t>
            </w:r>
            <w:r>
              <w:rPr>
                <w:rFonts w:hint="eastAsia" w:ascii="宋体" w:hAnsi="宋体" w:eastAsia="宋体" w:cs="宋体"/>
                <w:color w:val="auto"/>
                <w:sz w:val="24"/>
                <w:szCs w:val="24"/>
                <w:highlight w:val="none"/>
                <w:lang w:eastAsia="zh-CN"/>
              </w:rPr>
              <w:t>）</w:t>
            </w:r>
          </w:p>
        </w:tc>
        <w:tc>
          <w:tcPr>
            <w:tcW w:w="7704" w:type="dxa"/>
            <w:gridSpan w:val="2"/>
            <w:noWrap w:val="0"/>
            <w:vAlign w:val="center"/>
          </w:tcPr>
          <w:p w14:paraId="2F3BF265">
            <w:pPr>
              <w:spacing w:line="6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必须全部满足磋商文件“第五章　采购需求表及采购要求”中“二、采购要求”内“服务要求”中全部要求，</w:t>
            </w:r>
            <w:r>
              <w:rPr>
                <w:rFonts w:hint="eastAsia"/>
                <w:b/>
                <w:bCs/>
                <w:color w:val="auto"/>
                <w:sz w:val="24"/>
                <w:szCs w:val="24"/>
                <w:highlight w:val="none"/>
                <w:lang w:val="en-US" w:eastAsia="zh-CN"/>
              </w:rPr>
              <w:t>任意一条不满足作无效响应处理。</w:t>
            </w:r>
          </w:p>
          <w:p w14:paraId="3333AF57">
            <w:pPr>
              <w:spacing w:line="600" w:lineRule="exact"/>
              <w:jc w:val="both"/>
              <w:rPr>
                <w:rFonts w:hint="eastAsia" w:ascii="Arial" w:hAnsi="Arial" w:eastAsia="黑体"/>
                <w:b/>
                <w:bCs/>
                <w:color w:val="auto"/>
                <w:kern w:val="2"/>
                <w:sz w:val="24"/>
                <w:szCs w:val="24"/>
                <w:highlight w:val="none"/>
                <w:lang w:val="en-US" w:eastAsia="zh-CN" w:bidi="ar-SA"/>
              </w:rPr>
            </w:pPr>
            <w:r>
              <w:rPr>
                <w:rFonts w:hint="eastAsia"/>
                <w:b/>
                <w:bCs/>
                <w:color w:val="auto"/>
                <w:sz w:val="24"/>
                <w:szCs w:val="24"/>
                <w:highlight w:val="none"/>
                <w:lang w:val="en-US" w:eastAsia="zh-CN"/>
              </w:rPr>
              <w:t>评审依据：根据供应商提供的技术响应偏离说明表</w:t>
            </w:r>
          </w:p>
        </w:tc>
      </w:tr>
      <w:tr w14:paraId="495A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446" w:type="dxa"/>
            <w:noWrap w:val="0"/>
            <w:vAlign w:val="center"/>
          </w:tcPr>
          <w:p w14:paraId="168B4E0F">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广告覆盖线路</w:t>
            </w:r>
          </w:p>
        </w:tc>
        <w:tc>
          <w:tcPr>
            <w:tcW w:w="6189" w:type="dxa"/>
            <w:noWrap w:val="0"/>
            <w:vAlign w:val="top"/>
          </w:tcPr>
          <w:p w14:paraId="4D258042">
            <w:pPr>
              <w:widowControl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线路匹配 </w:t>
            </w:r>
          </w:p>
          <w:p w14:paraId="700D51E1">
            <w:pPr>
              <w:widowControl w:val="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cs="宋体"/>
                <w:kern w:val="0"/>
                <w:sz w:val="24"/>
                <w:highlight w:val="none"/>
              </w:rPr>
              <w:t>珠三角地区是吉安市农业品牌的重点推广区域，也是吉安农业产品的目标消费市场所在地</w:t>
            </w:r>
            <w:r>
              <w:rPr>
                <w:rFonts w:hint="eastAsia" w:ascii="宋体" w:hAnsi="宋体" w:eastAsia="宋体" w:cs="宋体"/>
                <w:color w:val="auto"/>
                <w:sz w:val="24"/>
                <w:szCs w:val="24"/>
                <w:highlight w:val="none"/>
                <w:lang w:val="en-US" w:eastAsia="zh-CN"/>
              </w:rPr>
              <w:t>，供应商提供的线路满足赣深高铁线路，主要连通江西省与珠三角地区，并全面精准覆盖江西全省区域，其中满足列车运行车次始发终到站均在江西省内和珠三角地区</w:t>
            </w:r>
            <w:r>
              <w:rPr>
                <w:rFonts w:hint="eastAsia" w:ascii="宋体" w:hAnsi="宋体" w:eastAsia="宋体" w:cs="宋体"/>
                <w:b/>
                <w:bCs/>
                <w:color w:val="auto"/>
                <w:sz w:val="24"/>
                <w:szCs w:val="24"/>
                <w:highlight w:val="none"/>
                <w:lang w:val="en-US" w:eastAsia="zh-CN"/>
              </w:rPr>
              <w:t>(包括广州市、深圳市、佛山市、东莞市、惠州市、中山市、珠海市、江门市、肇庆市)</w:t>
            </w:r>
            <w:r>
              <w:rPr>
                <w:rFonts w:hint="eastAsia" w:ascii="宋体" w:hAnsi="宋体" w:eastAsia="宋体" w:cs="宋体"/>
                <w:color w:val="auto"/>
                <w:sz w:val="24"/>
                <w:szCs w:val="24"/>
                <w:highlight w:val="none"/>
                <w:lang w:val="en-US" w:eastAsia="zh-CN"/>
              </w:rPr>
              <w:t xml:space="preserve">的，覆盖比例达80%的得15分，达75%的得12分，达70%的得10分，其他不得分。 </w:t>
            </w:r>
          </w:p>
          <w:p w14:paraId="42E2EA5D">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覆盖比例承诺函，项目实施后未达到所承诺覆盖比例的（以供应商所投车型的所有运行车次及占比分析，车次经停站点明细，及以上所有车次在12306网站上查询到的车次所属路局、经停站点及车型的截图为佐证计算覆盖比例），采购人将拒绝验收，并解除采购合同，履约保证金将不予退还。提供承诺函加盖供应商公章。</w:t>
            </w:r>
          </w:p>
        </w:tc>
        <w:tc>
          <w:tcPr>
            <w:tcW w:w="1515" w:type="dxa"/>
            <w:noWrap w:val="0"/>
            <w:vAlign w:val="center"/>
          </w:tcPr>
          <w:p w14:paraId="4C0DB4CD">
            <w:pPr>
              <w:pStyle w:val="6"/>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15分</w:t>
            </w:r>
          </w:p>
        </w:tc>
      </w:tr>
    </w:tbl>
    <w:p w14:paraId="7573D3FB">
      <w:pPr>
        <w:rPr>
          <w:rFonts w:hint="eastAsia" w:ascii="宋体" w:hAnsi="宋体" w:eastAsia="宋体" w:cs="宋体"/>
          <w:color w:val="auto"/>
          <w:sz w:val="24"/>
          <w:szCs w:val="24"/>
          <w:highlight w:val="none"/>
        </w:rPr>
      </w:pPr>
    </w:p>
    <w:p w14:paraId="5221E83A">
      <w:pPr>
        <w:pageBreakBefore w:val="0"/>
        <w:widowControl w:val="0"/>
        <w:wordWrap/>
        <w:overflowPunct/>
        <w:topLinePunct w:val="0"/>
        <w:bidi w:val="0"/>
        <w:spacing w:before="78" w:line="220" w:lineRule="auto"/>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409" w:name="_Toc32699"/>
      <w:bookmarkStart w:id="410" w:name="_Toc29572"/>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（三）商务评</w:t>
      </w:r>
      <w:r>
        <w:rPr>
          <w:rFonts w:hint="eastAsia" w:ascii="宋体" w:hAnsi="宋体" w:eastAsia="宋体" w:cs="宋体"/>
          <w:color w:val="auto"/>
          <w:spacing w:val="-2"/>
          <w:sz w:val="24"/>
          <w:szCs w:val="24"/>
          <w:highlight w:val="none"/>
          <w:lang w:val="en-US" w:eastAsia="zh-CN"/>
          <w14:textOutline w14:w="4356" w14:cap="sq" w14:cmpd="sng" w14:algn="ctr">
            <w14:solidFill>
              <w14:srgbClr w14:val="000000"/>
            </w14:solidFill>
            <w14:prstDash w14:val="solid"/>
            <w14:bevel/>
          </w14:textOutline>
        </w:rPr>
        <w:t>审</w:t>
      </w:r>
      <w:bookmarkEnd w:id="409"/>
      <w:bookmarkEnd w:id="410"/>
    </w:p>
    <w:tbl>
      <w:tblPr>
        <w:tblStyle w:val="17"/>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6186"/>
        <w:gridCol w:w="1499"/>
      </w:tblGrid>
      <w:tr w14:paraId="779A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0" w:type="dxa"/>
            <w:noWrap w:val="0"/>
            <w:vAlign w:val="center"/>
          </w:tcPr>
          <w:p w14:paraId="1652F7B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评分点</w:t>
            </w:r>
          </w:p>
        </w:tc>
        <w:tc>
          <w:tcPr>
            <w:tcW w:w="6186" w:type="dxa"/>
            <w:noWrap w:val="0"/>
            <w:vAlign w:val="center"/>
          </w:tcPr>
          <w:p w14:paraId="37D7DE1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499" w:type="dxa"/>
            <w:noWrap w:val="0"/>
            <w:vAlign w:val="center"/>
          </w:tcPr>
          <w:p w14:paraId="7284B61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分值（20分）</w:t>
            </w:r>
          </w:p>
        </w:tc>
      </w:tr>
      <w:tr w14:paraId="63E6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80" w:type="dxa"/>
            <w:noWrap w:val="0"/>
            <w:vAlign w:val="center"/>
          </w:tcPr>
          <w:p w14:paraId="2C3B21E4">
            <w:pPr>
              <w:spacing w:line="500" w:lineRule="atLeast"/>
              <w:jc w:val="center"/>
              <w:rPr>
                <w:rFonts w:hint="eastAsia" w:ascii="宋体" w:hAnsi="宋体" w:eastAsia="宋体" w:cs="宋体"/>
                <w:b/>
                <w:bCs/>
                <w:color w:val="auto"/>
                <w:sz w:val="24"/>
                <w:szCs w:val="24"/>
                <w:highlight w:val="none"/>
              </w:rPr>
            </w:pPr>
            <w:r>
              <w:rPr>
                <w:rFonts w:hint="eastAsia" w:ascii="宋体" w:hAnsi="宋体" w:cs="仿宋"/>
                <w:b/>
                <w:bCs/>
                <w:color w:val="auto"/>
                <w:sz w:val="24"/>
                <w:szCs w:val="24"/>
                <w:highlight w:val="none"/>
                <w:lang w:val="en-US" w:eastAsia="zh-CN"/>
              </w:rPr>
              <w:t>符合性审查</w:t>
            </w:r>
          </w:p>
        </w:tc>
        <w:tc>
          <w:tcPr>
            <w:tcW w:w="7685" w:type="dxa"/>
            <w:gridSpan w:val="2"/>
            <w:noWrap w:val="0"/>
            <w:vAlign w:val="center"/>
          </w:tcPr>
          <w:p w14:paraId="5EA14B8C">
            <w:pPr>
              <w:spacing w:line="600" w:lineRule="exact"/>
              <w:ind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必须全部满足磋商文件“第五章　采购需求表及采购要求”中“二、采购要求”内“商务条件”全部要求，</w:t>
            </w:r>
            <w:r>
              <w:rPr>
                <w:rFonts w:hint="eastAsia"/>
                <w:b/>
                <w:bCs/>
                <w:color w:val="auto"/>
                <w:sz w:val="24"/>
                <w:szCs w:val="24"/>
                <w:highlight w:val="none"/>
                <w:lang w:val="en-US" w:eastAsia="zh-CN"/>
              </w:rPr>
              <w:t>任意一条不满足作无效响应处理。</w:t>
            </w:r>
          </w:p>
          <w:p w14:paraId="79B87CB9">
            <w:pPr>
              <w:spacing w:line="500" w:lineRule="atLeast"/>
              <w:jc w:val="both"/>
              <w:rPr>
                <w:rFonts w:hint="eastAsia" w:ascii="宋体" w:hAnsi="宋体" w:eastAsia="宋体" w:cs="宋体"/>
                <w:b w:val="0"/>
                <w:bCs w:val="0"/>
                <w:color w:val="auto"/>
                <w:sz w:val="24"/>
                <w:szCs w:val="24"/>
                <w:highlight w:val="none"/>
              </w:rPr>
            </w:pPr>
            <w:r>
              <w:rPr>
                <w:rFonts w:hint="eastAsia"/>
                <w:b/>
                <w:bCs/>
                <w:color w:val="auto"/>
                <w:sz w:val="24"/>
                <w:szCs w:val="24"/>
                <w:highlight w:val="none"/>
                <w:lang w:val="en-US" w:eastAsia="zh-CN"/>
              </w:rPr>
              <w:t>评审依据：根据供应商提供的商务响应偏离说明表</w:t>
            </w:r>
          </w:p>
        </w:tc>
      </w:tr>
      <w:tr w14:paraId="5B00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80" w:type="dxa"/>
            <w:noWrap w:val="0"/>
            <w:vAlign w:val="center"/>
          </w:tcPr>
          <w:p w14:paraId="7678BB4B">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业绩证明</w:t>
            </w:r>
          </w:p>
        </w:tc>
        <w:tc>
          <w:tcPr>
            <w:tcW w:w="6186" w:type="dxa"/>
            <w:noWrap w:val="0"/>
            <w:vAlign w:val="center"/>
          </w:tcPr>
          <w:p w14:paraId="2A4619D6">
            <w:pPr>
              <w:widowControl w:val="0"/>
              <w:spacing w:line="360" w:lineRule="auto"/>
              <w:ind w:firstLine="240" w:firstLine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供应商 2022 年 1 月 1 日（以签订时间为准）以来的具有同类型项目（列车广告类）业绩，每提供一个得2.5分，最多得 10分。 </w:t>
            </w:r>
          </w:p>
          <w:p w14:paraId="651742D0">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评审依据：提供类似业绩合同复印件加盖供应商公章佐证，未提供或提供不符的不得分</w:t>
            </w:r>
          </w:p>
        </w:tc>
        <w:tc>
          <w:tcPr>
            <w:tcW w:w="1499" w:type="dxa"/>
            <w:noWrap w:val="0"/>
            <w:vAlign w:val="center"/>
          </w:tcPr>
          <w:p w14:paraId="09EC6F71">
            <w:pPr>
              <w:widowControl w:val="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10分</w:t>
            </w:r>
          </w:p>
        </w:tc>
      </w:tr>
      <w:tr w14:paraId="1802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480" w:type="dxa"/>
            <w:noWrap w:val="0"/>
            <w:vAlign w:val="center"/>
          </w:tcPr>
          <w:p w14:paraId="7E07F7D9">
            <w:pPr>
              <w:widowControl w:val="0"/>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val="0"/>
                <w:bCs w:val="0"/>
                <w:snapToGrid w:val="0"/>
                <w:color w:val="000000"/>
                <w:kern w:val="0"/>
                <w:sz w:val="24"/>
                <w:szCs w:val="24"/>
                <w:highlight w:val="none"/>
                <w:lang w:val="en-US" w:eastAsia="zh-CN" w:bidi="ar"/>
              </w:rPr>
              <w:t>商务增值服务</w:t>
            </w:r>
          </w:p>
        </w:tc>
        <w:tc>
          <w:tcPr>
            <w:tcW w:w="6186" w:type="dxa"/>
            <w:noWrap w:val="0"/>
            <w:vAlign w:val="center"/>
          </w:tcPr>
          <w:p w14:paraId="5A63F47E">
            <w:pPr>
              <w:widowControl w:val="0"/>
              <w:spacing w:line="360" w:lineRule="auto"/>
              <w:ind w:firstLine="240" w:firstLineChars="1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增加赠送高铁列车视频广告（不少于15组列车视频）或站内灯箱媒体广告，广告投放时间不低于一个月的得10分，低于1个月的得5分。 </w:t>
            </w:r>
          </w:p>
          <w:p w14:paraId="49CF22F0">
            <w:pPr>
              <w:widowControl w:val="0"/>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评审依据：提供商务增值服务承诺函加盖供应商公章，未提供的不得分。</w:t>
            </w:r>
          </w:p>
        </w:tc>
        <w:tc>
          <w:tcPr>
            <w:tcW w:w="1499" w:type="dxa"/>
            <w:noWrap w:val="0"/>
            <w:vAlign w:val="center"/>
          </w:tcPr>
          <w:p w14:paraId="7A6C5744">
            <w:pPr>
              <w:widowControl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tc>
      </w:tr>
    </w:tbl>
    <w:p w14:paraId="332F2E41">
      <w:pPr>
        <w:rPr>
          <w:rFonts w:hint="eastAsia" w:ascii="宋体" w:hAnsi="宋体" w:eastAsia="宋体" w:cs="宋体"/>
          <w:color w:val="auto"/>
          <w:sz w:val="24"/>
          <w:szCs w:val="24"/>
          <w:highlight w:val="none"/>
        </w:rPr>
      </w:pPr>
    </w:p>
    <w:p w14:paraId="38F2465C">
      <w:pPr>
        <w:pStyle w:val="8"/>
        <w:widowControl w:val="0"/>
        <w:ind w:left="0" w:leftChars="0"/>
        <w:rPr>
          <w:rFonts w:hint="eastAsia" w:ascii="宋体" w:hAnsi="宋体" w:eastAsia="宋体" w:cs="宋体"/>
          <w:color w:val="auto"/>
          <w:highlight w:val="none"/>
          <w:lang w:eastAsia="zh-CN"/>
        </w:rPr>
      </w:pPr>
      <w:r>
        <w:rPr>
          <w:rFonts w:hint="eastAsia"/>
          <w:color w:val="auto"/>
          <w:highlight w:val="none"/>
          <w:lang w:val="en-US" w:eastAsia="zh-CN"/>
        </w:rPr>
        <w:t xml:space="preserve">   </w:t>
      </w:r>
      <w:r>
        <w:rPr>
          <w:rFonts w:hint="eastAsia" w:ascii="宋体" w:hAnsi="宋体" w:eastAsia="宋体" w:cs="宋体"/>
          <w:b/>
          <w:color w:val="auto"/>
          <w:sz w:val="28"/>
          <w:szCs w:val="28"/>
          <w:highlight w:val="none"/>
          <w:lang w:eastAsia="zh-CN"/>
        </w:rPr>
        <w:t>注：供应商不得提供虚假材料以骗取成交，一经查证，将取消成交资格，并没收响应保证金及按相关法律法规规定进行处罚。成交供应商在领取成交通知书之日需准备以上评分材料证书证明文件原件及资质证书原件在签订合同前备查。签订合同后评审过程中已经承诺或经评审小组已经计分的评审因素需应用到实际</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lang w:eastAsia="zh-CN"/>
        </w:rPr>
        <w:t>中。</w:t>
      </w:r>
    </w:p>
    <w:p w14:paraId="3976FC8E">
      <w:pPr>
        <w:widowControl w:val="0"/>
        <w:spacing w:line="265" w:lineRule="auto"/>
        <w:rPr>
          <w:rFonts w:hint="eastAsia" w:ascii="宋体" w:hAnsi="宋体" w:eastAsia="宋体" w:cs="宋体"/>
          <w:color w:val="auto"/>
          <w:highlight w:val="none"/>
          <w:lang w:eastAsia="zh-CN"/>
        </w:rPr>
      </w:pPr>
    </w:p>
    <w:p w14:paraId="3A52E701">
      <w:pPr>
        <w:widowControl w:val="0"/>
        <w:spacing w:line="265" w:lineRule="auto"/>
        <w:rPr>
          <w:rFonts w:hint="eastAsia" w:ascii="宋体" w:hAnsi="宋体" w:eastAsia="宋体" w:cs="宋体"/>
          <w:color w:val="auto"/>
          <w:highlight w:val="none"/>
          <w:lang w:eastAsia="zh-CN"/>
        </w:rPr>
      </w:pPr>
    </w:p>
    <w:p w14:paraId="1FBB8F99">
      <w:pPr>
        <w:pStyle w:val="7"/>
        <w:rPr>
          <w:rFonts w:hint="default"/>
          <w:color w:val="auto"/>
          <w:highlight w:val="none"/>
          <w:lang w:val="en-US" w:eastAsia="zh-CN"/>
        </w:rPr>
      </w:pPr>
    </w:p>
    <w:sectPr>
      <w:footerReference r:id="rId23" w:type="default"/>
      <w:pgSz w:w="11906" w:h="16839"/>
      <w:pgMar w:top="1066" w:right="1304" w:bottom="986"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FCF759-6C95-4528-9B61-1B8355F68A77}"/>
  </w:font>
  <w:font w:name="黑体">
    <w:panose1 w:val="02010609060101010101"/>
    <w:charset w:val="86"/>
    <w:family w:val="auto"/>
    <w:pitch w:val="default"/>
    <w:sig w:usb0="800002BF" w:usb1="38CF7CFA" w:usb2="00000016" w:usb3="00000000" w:csb0="00040001" w:csb1="00000000"/>
    <w:embedRegular r:id="rId2" w:fontKey="{14335D73-8B6E-48AA-9949-E933E1118F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763289D-B346-4862-B34F-AB400788EE98}"/>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4" w:fontKey="{1980B3A4-CC55-48FF-9E39-AE6EE8C9E1A7}"/>
  </w:font>
  <w:font w:name="方正小标宋简体">
    <w:panose1 w:val="02000000000000000000"/>
    <w:charset w:val="86"/>
    <w:family w:val="auto"/>
    <w:pitch w:val="default"/>
    <w:sig w:usb0="00000001" w:usb1="08000000" w:usb2="00000000" w:usb3="00000000" w:csb0="00040000" w:csb1="00000000"/>
    <w:embedRegular r:id="rId5" w:fontKey="{1968AE8E-CC4C-4818-AA19-B24017DEED25}"/>
  </w:font>
  <w:font w:name="Tahoma">
    <w:panose1 w:val="020B0604030504040204"/>
    <w:charset w:val="00"/>
    <w:family w:val="auto"/>
    <w:pitch w:val="default"/>
    <w:sig w:usb0="E1002EFF" w:usb1="C000605B" w:usb2="00000029" w:usb3="00000000" w:csb0="200101FF" w:csb1="2028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AA30">
    <w:pPr>
      <w:spacing w:line="173" w:lineRule="auto"/>
      <w:ind w:left="51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71FC0">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371FC0">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0DC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4CC07">
                          <w:pPr>
                            <w:pStyle w:val="1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744CC07">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EAC3">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DBAAC">
                          <w:pPr>
                            <w:pStyle w:val="1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39DBAAC">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7AC4">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0FED5">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BC0FED5">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52EF">
    <w:pPr>
      <w:pStyle w:val="10"/>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4D023">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874D023">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EDABC">
    <w:pPr>
      <w:pStyle w:val="10"/>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56341">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A956341">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459C8">
    <w:pPr>
      <w:pStyle w:val="10"/>
      <w:rPr>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18901">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21118901">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8653">
    <w:pPr>
      <w:pStyle w:val="10"/>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004B">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6A72004B">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21C81">
    <w:pPr>
      <w:pStyle w:val="10"/>
      <w:rPr>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4A071">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E84A071">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9613">
    <w:pPr>
      <w:pStyle w:val="10"/>
      <w:rPr>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804A8">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F6804A8">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C5974">
    <w:pPr>
      <w:pStyle w:val="10"/>
      <w:rPr>
        <w:lang w:eastAsia="zh-CN"/>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B0A63">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7FB0A63">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BE562">
    <w:pPr>
      <w:spacing w:line="176" w:lineRule="auto"/>
      <w:ind w:left="45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A332D">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89A332D">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57C4">
    <w:pPr>
      <w:pStyle w:val="10"/>
      <w:rPr>
        <w:lang w:eastAsia="zh-CN"/>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47EBE">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21547EBE">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1256A">
    <w:pPr>
      <w:pStyle w:val="10"/>
      <w:rPr>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BF81">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E1CBF81">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B33DB">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5F2E4">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305F2E4">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C550">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95539">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395539">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EC252">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6522D">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HsE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f0x7BNAIAAGUEAAAOAAAAAAAAAAEAIAAAAB8BAABkcnMvZTJvRG9jLnhtbFBL&#10;BQYAAAAABgAGAFkBAADFBQAAAAA=&#10;">
              <v:fill on="f" focussize="0,0"/>
              <v:stroke on="f" weight="0.5pt"/>
              <v:imagedata o:title=""/>
              <o:lock v:ext="edit" aspectratio="f"/>
              <v:textbox inset="0mm,0mm,0mm,0mm" style="mso-fit-shape-to-text:t;">
                <w:txbxContent>
                  <w:p w14:paraId="4BB6522D">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CC784">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9B1B7">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159B1B7">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3185">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5D3E8">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D35D3E8">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B281">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BA948">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19BA948">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3B86">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5F855">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CF5F855">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ABF8"/>
    <w:multiLevelType w:val="singleLevel"/>
    <w:tmpl w:val="8295ABF8"/>
    <w:lvl w:ilvl="0" w:tentative="0">
      <w:start w:val="6"/>
      <w:numFmt w:val="chineseCounting"/>
      <w:suff w:val="space"/>
      <w:lvlText w:val="第%1章"/>
      <w:lvlJc w:val="left"/>
      <w:rPr>
        <w:rFonts w:hint="eastAsia"/>
      </w:rPr>
    </w:lvl>
  </w:abstractNum>
  <w:abstractNum w:abstractNumId="1">
    <w:nsid w:val="A74B3745"/>
    <w:multiLevelType w:val="singleLevel"/>
    <w:tmpl w:val="A74B3745"/>
    <w:lvl w:ilvl="0" w:tentative="0">
      <w:start w:val="5"/>
      <w:numFmt w:val="chineseCounting"/>
      <w:suff w:val="nothing"/>
      <w:lvlText w:val="%1、"/>
      <w:lvlJc w:val="left"/>
      <w:rPr>
        <w:rFonts w:hint="eastAsia"/>
      </w:rPr>
    </w:lvl>
  </w:abstractNum>
  <w:abstractNum w:abstractNumId="2">
    <w:nsid w:val="EA36093F"/>
    <w:multiLevelType w:val="singleLevel"/>
    <w:tmpl w:val="EA36093F"/>
    <w:lvl w:ilvl="0" w:tentative="0">
      <w:start w:val="1"/>
      <w:numFmt w:val="chineseCounting"/>
      <w:suff w:val="nothing"/>
      <w:lvlText w:val="%1、"/>
      <w:lvlJc w:val="left"/>
      <w:rPr>
        <w:rFonts w:hint="eastAsia"/>
      </w:rPr>
    </w:lvl>
  </w:abstractNum>
  <w:abstractNum w:abstractNumId="3">
    <w:nsid w:val="38E53C67"/>
    <w:multiLevelType w:val="singleLevel"/>
    <w:tmpl w:val="38E53C67"/>
    <w:lvl w:ilvl="0" w:tentative="0">
      <w:start w:val="3"/>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embedTrueTypeFonts/>
  <w:saveSubsetFonts/>
  <w:bordersDoNotSurroundHeader w:val="0"/>
  <w:bordersDoNotSurroundFooter w:val="0"/>
  <w:documentProtection w:enforcement="0"/>
  <w:defaultTabStop w:val="421"/>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31198B"/>
    <w:rsid w:val="00412A37"/>
    <w:rsid w:val="004E6C2D"/>
    <w:rsid w:val="005D75BC"/>
    <w:rsid w:val="006308AB"/>
    <w:rsid w:val="007E7821"/>
    <w:rsid w:val="00847DE1"/>
    <w:rsid w:val="00CD47AB"/>
    <w:rsid w:val="00D6521D"/>
    <w:rsid w:val="00F72BE7"/>
    <w:rsid w:val="013D404E"/>
    <w:rsid w:val="014707D5"/>
    <w:rsid w:val="0183453D"/>
    <w:rsid w:val="01C0501B"/>
    <w:rsid w:val="01D856D2"/>
    <w:rsid w:val="01E178D6"/>
    <w:rsid w:val="01F176F8"/>
    <w:rsid w:val="023D46EC"/>
    <w:rsid w:val="02F62DEB"/>
    <w:rsid w:val="03A14F29"/>
    <w:rsid w:val="044D1E30"/>
    <w:rsid w:val="047C47B6"/>
    <w:rsid w:val="04F64D19"/>
    <w:rsid w:val="052B325D"/>
    <w:rsid w:val="055600A9"/>
    <w:rsid w:val="05F07017"/>
    <w:rsid w:val="062D088E"/>
    <w:rsid w:val="06F25881"/>
    <w:rsid w:val="076566A7"/>
    <w:rsid w:val="079A2F4B"/>
    <w:rsid w:val="07B64740"/>
    <w:rsid w:val="081F5E69"/>
    <w:rsid w:val="0893590C"/>
    <w:rsid w:val="08D800EA"/>
    <w:rsid w:val="08D86F1C"/>
    <w:rsid w:val="098C4275"/>
    <w:rsid w:val="099C2AD0"/>
    <w:rsid w:val="0A5474C3"/>
    <w:rsid w:val="0A5F7AD5"/>
    <w:rsid w:val="0A630BD7"/>
    <w:rsid w:val="0AAA50E9"/>
    <w:rsid w:val="0ABB6AF5"/>
    <w:rsid w:val="0B3C7C36"/>
    <w:rsid w:val="0B614FF2"/>
    <w:rsid w:val="0B8D0492"/>
    <w:rsid w:val="0BCE5A19"/>
    <w:rsid w:val="0BD25EA5"/>
    <w:rsid w:val="0C027923"/>
    <w:rsid w:val="0C1E16F8"/>
    <w:rsid w:val="0C3B4061"/>
    <w:rsid w:val="0C4F6BDA"/>
    <w:rsid w:val="0DB63714"/>
    <w:rsid w:val="0DBF7C0D"/>
    <w:rsid w:val="0DD264ED"/>
    <w:rsid w:val="0DD809E2"/>
    <w:rsid w:val="0DE84CCE"/>
    <w:rsid w:val="0E045967"/>
    <w:rsid w:val="0E306947"/>
    <w:rsid w:val="0E7A2A88"/>
    <w:rsid w:val="0EAA115A"/>
    <w:rsid w:val="0F8346BB"/>
    <w:rsid w:val="0FA80009"/>
    <w:rsid w:val="0FAD17DF"/>
    <w:rsid w:val="0FAE5D7D"/>
    <w:rsid w:val="107F306E"/>
    <w:rsid w:val="10D80401"/>
    <w:rsid w:val="114948FA"/>
    <w:rsid w:val="11CB5781"/>
    <w:rsid w:val="121E36B7"/>
    <w:rsid w:val="126757A9"/>
    <w:rsid w:val="128B5679"/>
    <w:rsid w:val="1292624E"/>
    <w:rsid w:val="12955EB0"/>
    <w:rsid w:val="129C0FBA"/>
    <w:rsid w:val="129D2A07"/>
    <w:rsid w:val="139F6FB4"/>
    <w:rsid w:val="143E0B0F"/>
    <w:rsid w:val="14B561ED"/>
    <w:rsid w:val="14F13A81"/>
    <w:rsid w:val="1538599A"/>
    <w:rsid w:val="158B0678"/>
    <w:rsid w:val="15A703A2"/>
    <w:rsid w:val="16A356CC"/>
    <w:rsid w:val="173418E5"/>
    <w:rsid w:val="17342109"/>
    <w:rsid w:val="178E538D"/>
    <w:rsid w:val="17D60801"/>
    <w:rsid w:val="182E6B2B"/>
    <w:rsid w:val="18363C5F"/>
    <w:rsid w:val="186009B5"/>
    <w:rsid w:val="18846779"/>
    <w:rsid w:val="18C97898"/>
    <w:rsid w:val="18E4551E"/>
    <w:rsid w:val="18E84F59"/>
    <w:rsid w:val="18F643B3"/>
    <w:rsid w:val="19241D0A"/>
    <w:rsid w:val="193E2DCB"/>
    <w:rsid w:val="196206F1"/>
    <w:rsid w:val="198158BA"/>
    <w:rsid w:val="19DB5E7F"/>
    <w:rsid w:val="19F33BB6"/>
    <w:rsid w:val="1A551963"/>
    <w:rsid w:val="1AAF3BB2"/>
    <w:rsid w:val="1AD0292A"/>
    <w:rsid w:val="1AF44F33"/>
    <w:rsid w:val="1B1E113A"/>
    <w:rsid w:val="1B4548E5"/>
    <w:rsid w:val="1B702014"/>
    <w:rsid w:val="1B8F6D81"/>
    <w:rsid w:val="1BD32665"/>
    <w:rsid w:val="1BD47A17"/>
    <w:rsid w:val="1D085BCA"/>
    <w:rsid w:val="1D74500E"/>
    <w:rsid w:val="1DD800C0"/>
    <w:rsid w:val="1E43791C"/>
    <w:rsid w:val="1F2670C9"/>
    <w:rsid w:val="1F274302"/>
    <w:rsid w:val="1F2952CA"/>
    <w:rsid w:val="1FAB6CE1"/>
    <w:rsid w:val="20026D16"/>
    <w:rsid w:val="206155F1"/>
    <w:rsid w:val="20B54DB2"/>
    <w:rsid w:val="21042B4C"/>
    <w:rsid w:val="210A6AC5"/>
    <w:rsid w:val="213A566A"/>
    <w:rsid w:val="2195298B"/>
    <w:rsid w:val="21CE72BA"/>
    <w:rsid w:val="22072FB3"/>
    <w:rsid w:val="22112B50"/>
    <w:rsid w:val="224433AA"/>
    <w:rsid w:val="22791318"/>
    <w:rsid w:val="22A85555"/>
    <w:rsid w:val="22FD3CF7"/>
    <w:rsid w:val="23056708"/>
    <w:rsid w:val="234D0A23"/>
    <w:rsid w:val="23746473"/>
    <w:rsid w:val="23B5012E"/>
    <w:rsid w:val="23C04A55"/>
    <w:rsid w:val="25533D7B"/>
    <w:rsid w:val="25823163"/>
    <w:rsid w:val="25E2090D"/>
    <w:rsid w:val="25F37706"/>
    <w:rsid w:val="26BE3321"/>
    <w:rsid w:val="2722776F"/>
    <w:rsid w:val="27457A1B"/>
    <w:rsid w:val="274B704D"/>
    <w:rsid w:val="279C2686"/>
    <w:rsid w:val="27EF1D1C"/>
    <w:rsid w:val="28042C4F"/>
    <w:rsid w:val="280660E7"/>
    <w:rsid w:val="28706D19"/>
    <w:rsid w:val="289F6550"/>
    <w:rsid w:val="28CF7D70"/>
    <w:rsid w:val="291F3D28"/>
    <w:rsid w:val="29DA5D7B"/>
    <w:rsid w:val="29F02881"/>
    <w:rsid w:val="2A071140"/>
    <w:rsid w:val="2AB2711F"/>
    <w:rsid w:val="2AC967C3"/>
    <w:rsid w:val="2B020E86"/>
    <w:rsid w:val="2B0F5B99"/>
    <w:rsid w:val="2B6C5691"/>
    <w:rsid w:val="2B797C93"/>
    <w:rsid w:val="2BDA2720"/>
    <w:rsid w:val="2BE93C1A"/>
    <w:rsid w:val="2BED313B"/>
    <w:rsid w:val="2C695F59"/>
    <w:rsid w:val="2CA90A4C"/>
    <w:rsid w:val="2CE90E48"/>
    <w:rsid w:val="2CF55C1F"/>
    <w:rsid w:val="2D5B1D46"/>
    <w:rsid w:val="2D665E74"/>
    <w:rsid w:val="2D99286E"/>
    <w:rsid w:val="2DF41412"/>
    <w:rsid w:val="2DF84522"/>
    <w:rsid w:val="2E234DC0"/>
    <w:rsid w:val="2E2B0E5E"/>
    <w:rsid w:val="2E575FCC"/>
    <w:rsid w:val="2E693B84"/>
    <w:rsid w:val="2E8645F4"/>
    <w:rsid w:val="2EB108A7"/>
    <w:rsid w:val="2ED9380E"/>
    <w:rsid w:val="2F3C1896"/>
    <w:rsid w:val="2F5F3B7C"/>
    <w:rsid w:val="2FB63E0A"/>
    <w:rsid w:val="2FC17E5A"/>
    <w:rsid w:val="30136908"/>
    <w:rsid w:val="302A2D00"/>
    <w:rsid w:val="305E1890"/>
    <w:rsid w:val="30677FAE"/>
    <w:rsid w:val="30FF6F51"/>
    <w:rsid w:val="31104BF6"/>
    <w:rsid w:val="31353885"/>
    <w:rsid w:val="314D409C"/>
    <w:rsid w:val="31526CE7"/>
    <w:rsid w:val="316B62D0"/>
    <w:rsid w:val="318178A1"/>
    <w:rsid w:val="31AC0DC2"/>
    <w:rsid w:val="31C55E0D"/>
    <w:rsid w:val="31E76326"/>
    <w:rsid w:val="31FE5396"/>
    <w:rsid w:val="321C6AB4"/>
    <w:rsid w:val="3233535A"/>
    <w:rsid w:val="323572F6"/>
    <w:rsid w:val="3292724F"/>
    <w:rsid w:val="329A3D4F"/>
    <w:rsid w:val="32BE2A91"/>
    <w:rsid w:val="33074498"/>
    <w:rsid w:val="330D4250"/>
    <w:rsid w:val="33525E3B"/>
    <w:rsid w:val="33AE791F"/>
    <w:rsid w:val="33F26834"/>
    <w:rsid w:val="3408478C"/>
    <w:rsid w:val="34325184"/>
    <w:rsid w:val="346E1C27"/>
    <w:rsid w:val="34DF14AF"/>
    <w:rsid w:val="34F27B67"/>
    <w:rsid w:val="3522571C"/>
    <w:rsid w:val="35591BE5"/>
    <w:rsid w:val="35FE0154"/>
    <w:rsid w:val="36064E50"/>
    <w:rsid w:val="362863AF"/>
    <w:rsid w:val="36597105"/>
    <w:rsid w:val="36844F22"/>
    <w:rsid w:val="36D178DD"/>
    <w:rsid w:val="37AF0454"/>
    <w:rsid w:val="37D05C01"/>
    <w:rsid w:val="38590496"/>
    <w:rsid w:val="38613F89"/>
    <w:rsid w:val="3899102A"/>
    <w:rsid w:val="38B12F90"/>
    <w:rsid w:val="38B62F41"/>
    <w:rsid w:val="38E34C6A"/>
    <w:rsid w:val="39012FAB"/>
    <w:rsid w:val="39225E0E"/>
    <w:rsid w:val="398A76FF"/>
    <w:rsid w:val="39A352DB"/>
    <w:rsid w:val="39D440DC"/>
    <w:rsid w:val="39D96E5F"/>
    <w:rsid w:val="3A1B5E20"/>
    <w:rsid w:val="3A6B125E"/>
    <w:rsid w:val="3ACC4E51"/>
    <w:rsid w:val="3B163B4E"/>
    <w:rsid w:val="3B7E51F7"/>
    <w:rsid w:val="3B8811A4"/>
    <w:rsid w:val="3BAC10D3"/>
    <w:rsid w:val="3BC6514F"/>
    <w:rsid w:val="3C0F220A"/>
    <w:rsid w:val="3C267544"/>
    <w:rsid w:val="3C8C6D91"/>
    <w:rsid w:val="3CD44D29"/>
    <w:rsid w:val="3CDE029E"/>
    <w:rsid w:val="3D36354C"/>
    <w:rsid w:val="3DBB413B"/>
    <w:rsid w:val="3DC93A44"/>
    <w:rsid w:val="3DD11BB1"/>
    <w:rsid w:val="3DED4811"/>
    <w:rsid w:val="3E1D6EB4"/>
    <w:rsid w:val="3E1F3CAD"/>
    <w:rsid w:val="3E292C29"/>
    <w:rsid w:val="3E417CA1"/>
    <w:rsid w:val="3E78615B"/>
    <w:rsid w:val="3E8E35FE"/>
    <w:rsid w:val="3E8F22E6"/>
    <w:rsid w:val="3F19434D"/>
    <w:rsid w:val="3F261A88"/>
    <w:rsid w:val="3F984C13"/>
    <w:rsid w:val="40271DD6"/>
    <w:rsid w:val="41015B84"/>
    <w:rsid w:val="410C362B"/>
    <w:rsid w:val="428E7BE1"/>
    <w:rsid w:val="42B20B36"/>
    <w:rsid w:val="42FB66C8"/>
    <w:rsid w:val="43192944"/>
    <w:rsid w:val="43394480"/>
    <w:rsid w:val="447255E6"/>
    <w:rsid w:val="44CD7E13"/>
    <w:rsid w:val="453A628D"/>
    <w:rsid w:val="454B2248"/>
    <w:rsid w:val="45B61DB8"/>
    <w:rsid w:val="45D2152F"/>
    <w:rsid w:val="45EE0F95"/>
    <w:rsid w:val="45F42F70"/>
    <w:rsid w:val="45F85626"/>
    <w:rsid w:val="462273F5"/>
    <w:rsid w:val="466556B5"/>
    <w:rsid w:val="46710516"/>
    <w:rsid w:val="4692195B"/>
    <w:rsid w:val="470E15D4"/>
    <w:rsid w:val="47234C6F"/>
    <w:rsid w:val="47E36768"/>
    <w:rsid w:val="4810142F"/>
    <w:rsid w:val="484162BE"/>
    <w:rsid w:val="48643D4D"/>
    <w:rsid w:val="487D7E3E"/>
    <w:rsid w:val="48967192"/>
    <w:rsid w:val="489A6313"/>
    <w:rsid w:val="48A95C04"/>
    <w:rsid w:val="48CE0A5C"/>
    <w:rsid w:val="4949445D"/>
    <w:rsid w:val="49B51BAE"/>
    <w:rsid w:val="4A1225DB"/>
    <w:rsid w:val="4A442B3D"/>
    <w:rsid w:val="4A5E47CC"/>
    <w:rsid w:val="4A7E09CA"/>
    <w:rsid w:val="4A884CC6"/>
    <w:rsid w:val="4AA55BC3"/>
    <w:rsid w:val="4ABC7D85"/>
    <w:rsid w:val="4AC97E97"/>
    <w:rsid w:val="4BA3693A"/>
    <w:rsid w:val="4C254B4B"/>
    <w:rsid w:val="4D07114B"/>
    <w:rsid w:val="4D403EDA"/>
    <w:rsid w:val="4D954046"/>
    <w:rsid w:val="4E202AF3"/>
    <w:rsid w:val="4E6D29C4"/>
    <w:rsid w:val="4E9A0D74"/>
    <w:rsid w:val="4F282F37"/>
    <w:rsid w:val="4F701691"/>
    <w:rsid w:val="4FAA2095"/>
    <w:rsid w:val="4FC60E49"/>
    <w:rsid w:val="4FCD31AD"/>
    <w:rsid w:val="4FF52C71"/>
    <w:rsid w:val="503A7A08"/>
    <w:rsid w:val="50512976"/>
    <w:rsid w:val="5052092F"/>
    <w:rsid w:val="5055041F"/>
    <w:rsid w:val="509A51EA"/>
    <w:rsid w:val="509E3ED1"/>
    <w:rsid w:val="50B44F07"/>
    <w:rsid w:val="514E559A"/>
    <w:rsid w:val="51D610EC"/>
    <w:rsid w:val="51E92988"/>
    <w:rsid w:val="520E62B8"/>
    <w:rsid w:val="528312E8"/>
    <w:rsid w:val="529A4BA7"/>
    <w:rsid w:val="52B50FFA"/>
    <w:rsid w:val="52BB3578"/>
    <w:rsid w:val="52C31E67"/>
    <w:rsid w:val="52DA54E7"/>
    <w:rsid w:val="52E468A6"/>
    <w:rsid w:val="52E8669F"/>
    <w:rsid w:val="531F42E7"/>
    <w:rsid w:val="53D6797D"/>
    <w:rsid w:val="53E775E0"/>
    <w:rsid w:val="54723052"/>
    <w:rsid w:val="54BC690A"/>
    <w:rsid w:val="54FD5330"/>
    <w:rsid w:val="55132EB9"/>
    <w:rsid w:val="55E101CF"/>
    <w:rsid w:val="55F00828"/>
    <w:rsid w:val="56174AC2"/>
    <w:rsid w:val="56431446"/>
    <w:rsid w:val="56E5591B"/>
    <w:rsid w:val="56E8059A"/>
    <w:rsid w:val="57091C60"/>
    <w:rsid w:val="57631674"/>
    <w:rsid w:val="5794495B"/>
    <w:rsid w:val="57A500D0"/>
    <w:rsid w:val="57C351F2"/>
    <w:rsid w:val="57D4431F"/>
    <w:rsid w:val="58532224"/>
    <w:rsid w:val="586903C5"/>
    <w:rsid w:val="58711142"/>
    <w:rsid w:val="588726B7"/>
    <w:rsid w:val="593212FE"/>
    <w:rsid w:val="59590F80"/>
    <w:rsid w:val="59A732EE"/>
    <w:rsid w:val="59C3464B"/>
    <w:rsid w:val="59DE2BBE"/>
    <w:rsid w:val="5A28151F"/>
    <w:rsid w:val="5A410A6F"/>
    <w:rsid w:val="5AC55338"/>
    <w:rsid w:val="5B3F45CC"/>
    <w:rsid w:val="5BC17152"/>
    <w:rsid w:val="5C157C52"/>
    <w:rsid w:val="5C432399"/>
    <w:rsid w:val="5C65447A"/>
    <w:rsid w:val="5CCD039C"/>
    <w:rsid w:val="5CE05C01"/>
    <w:rsid w:val="5D067F46"/>
    <w:rsid w:val="5D670D19"/>
    <w:rsid w:val="5DEA6484"/>
    <w:rsid w:val="5E2A0506"/>
    <w:rsid w:val="5F816B3B"/>
    <w:rsid w:val="5F8A2976"/>
    <w:rsid w:val="5F8B5C0B"/>
    <w:rsid w:val="5FB9070F"/>
    <w:rsid w:val="5FE039CC"/>
    <w:rsid w:val="600E7957"/>
    <w:rsid w:val="606D70BF"/>
    <w:rsid w:val="60C87067"/>
    <w:rsid w:val="60D137C0"/>
    <w:rsid w:val="60EB4FAC"/>
    <w:rsid w:val="611C2FBF"/>
    <w:rsid w:val="613D03AF"/>
    <w:rsid w:val="615269E1"/>
    <w:rsid w:val="622C1128"/>
    <w:rsid w:val="623F2BBF"/>
    <w:rsid w:val="62840C9B"/>
    <w:rsid w:val="62E95123"/>
    <w:rsid w:val="63753EA0"/>
    <w:rsid w:val="63923347"/>
    <w:rsid w:val="63A60D41"/>
    <w:rsid w:val="63C45248"/>
    <w:rsid w:val="63C6035F"/>
    <w:rsid w:val="646E0F66"/>
    <w:rsid w:val="649A1D1D"/>
    <w:rsid w:val="64E04304"/>
    <w:rsid w:val="659B691E"/>
    <w:rsid w:val="65D242C5"/>
    <w:rsid w:val="65D43361"/>
    <w:rsid w:val="65F10142"/>
    <w:rsid w:val="66124991"/>
    <w:rsid w:val="662D4F6B"/>
    <w:rsid w:val="66770C98"/>
    <w:rsid w:val="66E10C4D"/>
    <w:rsid w:val="67035B0B"/>
    <w:rsid w:val="676236F6"/>
    <w:rsid w:val="67D22629"/>
    <w:rsid w:val="685D140B"/>
    <w:rsid w:val="68D47A7B"/>
    <w:rsid w:val="68DF193E"/>
    <w:rsid w:val="68E84E3F"/>
    <w:rsid w:val="68F76E5C"/>
    <w:rsid w:val="69455133"/>
    <w:rsid w:val="69937B96"/>
    <w:rsid w:val="69C2222A"/>
    <w:rsid w:val="69DF21C2"/>
    <w:rsid w:val="6A3757AC"/>
    <w:rsid w:val="6A62031D"/>
    <w:rsid w:val="6A701523"/>
    <w:rsid w:val="6AC1406F"/>
    <w:rsid w:val="6B4120C8"/>
    <w:rsid w:val="6B58506D"/>
    <w:rsid w:val="6B8E33C6"/>
    <w:rsid w:val="6B9B5986"/>
    <w:rsid w:val="6BDD42B9"/>
    <w:rsid w:val="6BE84649"/>
    <w:rsid w:val="6C085287"/>
    <w:rsid w:val="6C401523"/>
    <w:rsid w:val="6C7D0E73"/>
    <w:rsid w:val="6CD00EA6"/>
    <w:rsid w:val="6CE6131C"/>
    <w:rsid w:val="6D1A2C05"/>
    <w:rsid w:val="6D313420"/>
    <w:rsid w:val="6DDB7D5E"/>
    <w:rsid w:val="6DDD5A51"/>
    <w:rsid w:val="6DE51FC5"/>
    <w:rsid w:val="6E042F01"/>
    <w:rsid w:val="6EA15698"/>
    <w:rsid w:val="6EA231BA"/>
    <w:rsid w:val="6ED30F77"/>
    <w:rsid w:val="6F3A3E03"/>
    <w:rsid w:val="6F482D42"/>
    <w:rsid w:val="6FA523D2"/>
    <w:rsid w:val="6FAA57D6"/>
    <w:rsid w:val="6FDE58E3"/>
    <w:rsid w:val="701045B5"/>
    <w:rsid w:val="701C133B"/>
    <w:rsid w:val="703D37EB"/>
    <w:rsid w:val="70BF5715"/>
    <w:rsid w:val="710B4F07"/>
    <w:rsid w:val="712D6B22"/>
    <w:rsid w:val="71305754"/>
    <w:rsid w:val="715B4B81"/>
    <w:rsid w:val="717B055E"/>
    <w:rsid w:val="71B16C93"/>
    <w:rsid w:val="724F0F1D"/>
    <w:rsid w:val="729C3F60"/>
    <w:rsid w:val="729E26DA"/>
    <w:rsid w:val="72D4516E"/>
    <w:rsid w:val="7301390F"/>
    <w:rsid w:val="73070F3B"/>
    <w:rsid w:val="73B07EB2"/>
    <w:rsid w:val="73ED585D"/>
    <w:rsid w:val="741E6BF6"/>
    <w:rsid w:val="74257F85"/>
    <w:rsid w:val="747607E0"/>
    <w:rsid w:val="74885165"/>
    <w:rsid w:val="757A7E5C"/>
    <w:rsid w:val="75E01033"/>
    <w:rsid w:val="76065B94"/>
    <w:rsid w:val="768C7E47"/>
    <w:rsid w:val="76B15B00"/>
    <w:rsid w:val="76BB01D4"/>
    <w:rsid w:val="76D56593"/>
    <w:rsid w:val="775A1CF3"/>
    <w:rsid w:val="778446AD"/>
    <w:rsid w:val="77845FB9"/>
    <w:rsid w:val="77DF59B7"/>
    <w:rsid w:val="783F4636"/>
    <w:rsid w:val="78AE6557"/>
    <w:rsid w:val="78E75FB4"/>
    <w:rsid w:val="794949B1"/>
    <w:rsid w:val="79F151EA"/>
    <w:rsid w:val="79FE1404"/>
    <w:rsid w:val="7A043533"/>
    <w:rsid w:val="7A4B1055"/>
    <w:rsid w:val="7A63567B"/>
    <w:rsid w:val="7A7F4E68"/>
    <w:rsid w:val="7ADC47C3"/>
    <w:rsid w:val="7AE52C2E"/>
    <w:rsid w:val="7B4B6523"/>
    <w:rsid w:val="7BD07335"/>
    <w:rsid w:val="7BD227A0"/>
    <w:rsid w:val="7C07399B"/>
    <w:rsid w:val="7C2D5E41"/>
    <w:rsid w:val="7CA010C3"/>
    <w:rsid w:val="7CA34E54"/>
    <w:rsid w:val="7CCE6A29"/>
    <w:rsid w:val="7CF33270"/>
    <w:rsid w:val="7D02603F"/>
    <w:rsid w:val="7D2C2B03"/>
    <w:rsid w:val="7D4A280A"/>
    <w:rsid w:val="7D7550E8"/>
    <w:rsid w:val="7DC205F3"/>
    <w:rsid w:val="7E146C66"/>
    <w:rsid w:val="7E1D3989"/>
    <w:rsid w:val="7E261D0D"/>
    <w:rsid w:val="7E6E437D"/>
    <w:rsid w:val="7ED61979"/>
    <w:rsid w:val="7F051133"/>
    <w:rsid w:val="7F150C8C"/>
    <w:rsid w:val="7F61079B"/>
    <w:rsid w:val="7FC50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30"/>
      <w:szCs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30"/>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99"/>
    <w:rPr>
      <w:rFonts w:cs="Times New Roman"/>
    </w:rPr>
  </w:style>
  <w:style w:type="character" w:styleId="21">
    <w:name w:val="Emphasis"/>
    <w:qFormat/>
    <w:uiPriority w:val="0"/>
  </w:style>
  <w:style w:type="character" w:styleId="22">
    <w:name w:val="Hyperlink"/>
    <w:basedOn w:val="19"/>
    <w:qFormat/>
    <w:uiPriority w:val="0"/>
    <w:rPr>
      <w:color w:val="0000FF"/>
      <w:u w:val="single"/>
    </w:rPr>
  </w:style>
  <w:style w:type="character" w:styleId="23">
    <w:name w:val="annotation reference"/>
    <w:unhideWhenUsed/>
    <w:qFormat/>
    <w:uiPriority w:val="0"/>
    <w:rPr>
      <w:sz w:val="21"/>
      <w:szCs w:val="21"/>
    </w:rPr>
  </w:style>
  <w:style w:type="paragraph" w:customStyle="1" w:styleId="24">
    <w:name w:val="Normal Indent"/>
    <w:basedOn w:val="1"/>
    <w:qFormat/>
    <w:uiPriority w:val="0"/>
    <w:pPr>
      <w:widowControl/>
      <w:ind w:firstLine="420" w:firstLineChars="200"/>
    </w:p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style>
  <w:style w:type="paragraph" w:customStyle="1" w:styleId="27">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0">
    <w:name w:val="标题 4 Char"/>
    <w:link w:val="4"/>
    <w:qFormat/>
    <w:uiPriority w:val="0"/>
    <w:rPr>
      <w:rFonts w:ascii="Arial" w:hAnsi="Arial" w:eastAsia="黑体"/>
      <w:b/>
      <w:sz w:val="28"/>
    </w:rPr>
  </w:style>
  <w:style w:type="paragraph" w:customStyle="1" w:styleId="31">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3">
    <w:name w:val="font31"/>
    <w:qFormat/>
    <w:uiPriority w:val="0"/>
    <w:rPr>
      <w:rFonts w:hint="eastAsia" w:ascii="宋体" w:hAnsi="宋体" w:eastAsia="宋体" w:cs="宋体"/>
      <w:color w:val="000000"/>
      <w:sz w:val="21"/>
      <w:szCs w:val="21"/>
      <w:u w:val="none"/>
    </w:rPr>
  </w:style>
  <w:style w:type="paragraph" w:customStyle="1" w:styleId="3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13813</Words>
  <Characters>14921</Characters>
  <Lines>230</Lines>
  <Paragraphs>64</Paragraphs>
  <TotalTime>70</TotalTime>
  <ScaleCrop>false</ScaleCrop>
  <LinksUpToDate>false</LinksUpToDate>
  <CharactersWithSpaces>15752</CharactersWithSpaces>
  <Application>WPS Office_12.1.0.24034_F1E327BC-269C-435d-A152-05C5408002CA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Administrator</cp:lastModifiedBy>
  <cp:lastPrinted>2024-08-08T02:52:00Z</cp:lastPrinted>
  <dcterms:modified xsi:type="dcterms:W3CDTF">2025-12-26T08:13:33Z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2052-12.1.0.24034</vt:lpwstr>
  </property>
  <property fmtid="{D5CDD505-2E9C-101B-9397-08002B2CF9AE}" pid="5" name="ICV">
    <vt:lpwstr>235EA1BC8F2145AEBE6F213B5B1B132F_13</vt:lpwstr>
  </property>
  <property fmtid="{D5CDD505-2E9C-101B-9397-08002B2CF9AE}" pid="6" name="KSOTemplateDocerSaveRecord">
    <vt:lpwstr>eyJoZGlkIjoiYTE3OGM2NWIwZDZmMzRlNmYyNTc0ZGVmMTczOTJhOWMiLCJ1c2VySWQiOiI2MjMzMjUzMzkifQ==</vt:lpwstr>
  </property>
</Properties>
</file>