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62FA8">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鹰潭一八四医院资产评估服务采购项目</w:t>
      </w:r>
    </w:p>
    <w:p w14:paraId="4857F56A">
      <w:pPr>
        <w:numPr>
          <w:ilvl w:val="0"/>
          <w:numId w:val="0"/>
        </w:numPr>
        <w:ind w:firstLine="560" w:firstLineChars="20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一、基本情况</w:t>
      </w:r>
    </w:p>
    <w:p w14:paraId="207B60B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1.项目名称：鹰潭一八四医院资产评估服务采购项目</w:t>
      </w:r>
    </w:p>
    <w:p w14:paraId="4E3C9D0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2.项目编号：RTYL-184YY-029</w:t>
      </w:r>
    </w:p>
    <w:p w14:paraId="39CAB36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3.项目所在地区：江西省鹰潭市月湖区湖东路4号鹰潭一八四医院</w:t>
      </w:r>
    </w:p>
    <w:p w14:paraId="3AF23EA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4.采购方式：简易询价</w:t>
      </w:r>
    </w:p>
    <w:p w14:paraId="6CDB4431">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5.预算金额：54500元</w:t>
      </w:r>
    </w:p>
    <w:p w14:paraId="0CA3C3FE">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二、采购需求：</w:t>
      </w:r>
    </w:p>
    <w:p w14:paraId="1B747809">
      <w:pPr>
        <w:keepNext w:val="0"/>
        <w:keepLines w:val="0"/>
        <w:widowControl/>
        <w:suppressLineNumbers w:val="0"/>
        <w:ind w:firstLine="600" w:firstLineChars="200"/>
        <w:jc w:val="left"/>
        <w:rPr>
          <w:rFonts w:hint="eastAsia"/>
          <w:lang w:val="en-US" w:eastAsia="zh-CN"/>
        </w:rPr>
      </w:pPr>
      <w:r>
        <w:rPr>
          <w:rFonts w:hint="eastAsia" w:ascii="仿宋_GB2312" w:hAnsi="仿宋_GB2312" w:eastAsia="仿宋_GB2312" w:cs="仿宋_GB2312"/>
          <w:sz w:val="30"/>
          <w:szCs w:val="30"/>
          <w:lang w:val="en-US" w:eastAsia="zh-CN"/>
        </w:rPr>
        <w:t>评估机构须具备相应资质，出具电子版及纸质版《资产评估报告》（纸质版一式一份）并提供评估残值，满足采购方备案及处置流程使用需求。（资产处置清单及公寓房详见附件)。</w:t>
      </w:r>
    </w:p>
    <w:p w14:paraId="528C434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lang w:eastAsia="zh-CN"/>
        </w:rPr>
      </w:pPr>
      <w:r>
        <w:rPr>
          <w:rFonts w:hint="eastAsia" w:ascii="黑体" w:hAnsi="黑体" w:eastAsia="黑体" w:cs="黑体"/>
          <w:color w:val="auto"/>
          <w:sz w:val="28"/>
          <w:szCs w:val="28"/>
          <w:highlight w:val="none"/>
          <w:lang w:val="en-US" w:eastAsia="zh-CN"/>
        </w:rPr>
        <w:t>三、供应商条件要求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在中华人民共和国注册并合法经营，具有独立承担民事责任的能力(需提供营业执照、税务登记证、组织机构代码证复印件，或者三证合一复印件加盖公章)；</w:t>
      </w:r>
    </w:p>
    <w:p w14:paraId="02FB308F">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4FE5765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本项目不接受联合体参加采购活动。</w:t>
      </w:r>
    </w:p>
    <w:p w14:paraId="22B65F0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核心资质要求：具有独立承担民事责任的能力，提供有效的营业执照（副本）、税务登记证、组织机构代码证（或三证合一营业执照），经营范围需包含资产评估相关业务，且具备医疗设备评估或相关专业服务资质。持有国家认可的资产评估资质证书，具备从事废旧资产评估及房地产评估的法定资格。</w:t>
      </w:r>
    </w:p>
    <w:p w14:paraId="5A4F3B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5.人员要求：团队成员需具备1年以上相关评估经验，专业能力匹配项目需求。</w:t>
      </w:r>
    </w:p>
    <w:p w14:paraId="132C5F7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6.服务质量要求</w:t>
      </w:r>
    </w:p>
    <w:p w14:paraId="1C565A77">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评估标准：严格依据《资产评估准则》《国有资产评估管理办法》等国家规范，结合资产特性制定评估方案。</w:t>
      </w:r>
    </w:p>
    <w:p w14:paraId="5CCD91D1">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评估结果：确保客观性、公正性、准确性，评估过程留痕可追溯。</w:t>
      </w:r>
    </w:p>
    <w:p w14:paraId="661B67C0">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报告规范：报告需明确资产明细、评估依据、评估方法、测算过程、残值结论等核心内容，格式符合存档要求。</w:t>
      </w:r>
    </w:p>
    <w:p w14:paraId="7DB90EBA">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保密要求：对评估过程中接触的采购方资产信息、数据严格保密，不得泄露给第三方。</w:t>
      </w:r>
    </w:p>
    <w:p w14:paraId="0CDE303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7.时效要求</w:t>
      </w:r>
    </w:p>
    <w:p w14:paraId="462E4181">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接到评估需求后，3 个工作日内完成进场准备并开展评估工作。进场后 5 个工作日内出具评估报告初稿，收到修改意见后 3 个工作日内提交正式报告（特殊情况可协商调整，但需明确承诺周期）。</w:t>
      </w:r>
    </w:p>
    <w:p w14:paraId="7A61302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8.其他要求</w:t>
      </w:r>
    </w:p>
    <w:p w14:paraId="3316A60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评估过程中需保障废旧资产的安全与完整性，不得造成资产损坏或遗失。明确报价包含服务费、税费及其他全部相关费用，无隐形收费，按实际评估批次结算。需提供合规性、保密性及服务质量承诺，服从采购方现场管理及工作安排。</w:t>
      </w:r>
    </w:p>
    <w:p w14:paraId="4440EC9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bookmarkStart w:id="0" w:name="_GoBack"/>
      <w:bookmarkEnd w:id="0"/>
      <w:r>
        <w:rPr>
          <w:rFonts w:hint="eastAsia" w:ascii="黑体" w:hAnsi="黑体" w:eastAsia="黑体" w:cs="黑体"/>
          <w:color w:val="auto"/>
          <w:sz w:val="28"/>
          <w:szCs w:val="28"/>
          <w:highlight w:val="none"/>
          <w:lang w:val="en-US" w:eastAsia="zh-CN"/>
        </w:rPr>
        <w:t>四、</w:t>
      </w:r>
      <w:r>
        <w:rPr>
          <w:rFonts w:hint="eastAsia" w:ascii="仿宋_GB2312" w:hAnsi="仿宋_GB2312" w:eastAsia="仿宋_GB2312" w:cs="仿宋_GB2312"/>
          <w:b/>
          <w:bCs/>
          <w:sz w:val="30"/>
          <w:szCs w:val="30"/>
          <w:lang w:eastAsia="zh-CN"/>
        </w:rPr>
        <w:t>询价</w:t>
      </w:r>
      <w:r>
        <w:rPr>
          <w:rFonts w:hint="eastAsia" w:ascii="仿宋_GB2312" w:hAnsi="仿宋_GB2312" w:eastAsia="仿宋_GB2312" w:cs="仿宋_GB2312"/>
          <w:b/>
          <w:bCs/>
          <w:sz w:val="30"/>
          <w:szCs w:val="30"/>
        </w:rPr>
        <w:t>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p>
    <w:p w14:paraId="78B6F53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en-US" w:eastAsia="zh-CN"/>
        </w:rPr>
        <w:t>纸质文件递交截止时间：2025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p>
    <w:p w14:paraId="6570B025">
      <w:pPr>
        <w:ind w:firstLine="562"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采购中心毛。</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940811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highlight w:val="none"/>
          <w:lang w:val="en-US" w:eastAsia="zh-CN" w:bidi="ar-SA"/>
        </w:rPr>
        <w:t>3.</w:t>
      </w:r>
      <w:r>
        <w:rPr>
          <w:rFonts w:hint="eastAsia" w:ascii="仿宋_GB2312" w:hAnsi="仿宋_GB2312" w:eastAsia="仿宋_GB2312" w:cs="仿宋_GB2312"/>
          <w:kern w:val="2"/>
          <w:sz w:val="28"/>
          <w:szCs w:val="28"/>
          <w:highlight w:val="none"/>
          <w:lang w:val="zh-CN" w:eastAsia="zh-CN" w:bidi="ar-SA"/>
        </w:rPr>
        <w:t>开标时间: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r>
        <w:rPr>
          <w:rFonts w:hint="eastAsia" w:ascii="仿宋_GB2312" w:hAnsi="仿宋_GB2312" w:eastAsia="仿宋_GB2312" w:cs="仿宋_GB2312"/>
          <w:b/>
          <w:bCs/>
          <w:sz w:val="28"/>
          <w:szCs w:val="28"/>
          <w:highlight w:val="none"/>
          <w:lang w:val="zh-CN" w:eastAsia="zh-CN"/>
        </w:rPr>
        <w:t>（如有其它安排另行通知）。</w:t>
      </w:r>
    </w:p>
    <w:p w14:paraId="3E2B67C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550EC5AF">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1F9148F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本次询价公示及结果公示均在“江西省招标投标网（http://www.jxtb.org.cn/）和鹰潭一八四医院官网（https://www.yt184yy.com/）”发布。</w:t>
      </w:r>
    </w:p>
    <w:p w14:paraId="6D226A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七、联系方式</w:t>
      </w:r>
    </w:p>
    <w:p w14:paraId="1FAB85D4">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需求部门：蔡13970180945</w:t>
      </w:r>
    </w:p>
    <w:p w14:paraId="64DE4052">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采购科室：毛0701-</w:t>
      </w:r>
      <w:r>
        <w:rPr>
          <w:rFonts w:hint="eastAsia" w:ascii="仿宋_GB2312" w:hAnsi="仿宋_GB2312" w:eastAsia="仿宋_GB2312" w:cs="仿宋_GB2312"/>
          <w:kern w:val="2"/>
          <w:sz w:val="28"/>
          <w:szCs w:val="28"/>
          <w:highlight w:val="none"/>
          <w:lang w:val="en-US" w:eastAsia="zh-CN" w:bidi="ar-SA"/>
        </w:rPr>
        <w:t>6636981</w:t>
      </w:r>
    </w:p>
    <w:p w14:paraId="6F841CB1">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监督科室：</w:t>
      </w:r>
      <w:r>
        <w:rPr>
          <w:rFonts w:hint="eastAsia" w:ascii="仿宋_GB2312" w:hAnsi="仿宋_GB2312" w:eastAsia="仿宋_GB2312" w:cs="仿宋_GB2312"/>
          <w:kern w:val="2"/>
          <w:sz w:val="28"/>
          <w:szCs w:val="28"/>
          <w:highlight w:val="none"/>
          <w:lang w:val="en-US" w:eastAsia="zh-CN" w:bidi="ar-SA"/>
        </w:rPr>
        <w:t>0701-6636948</w:t>
      </w:r>
    </w:p>
    <w:p w14:paraId="6C6A70E5">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439F0226">
      <w:pPr>
        <w:pStyle w:val="2"/>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2"/>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0" w:firstLineChars="0"/>
        <w:jc w:val="left"/>
        <w:textAlignment w:val="baseline"/>
        <w:rPr>
          <w:rStyle w:val="9"/>
          <w:rFonts w:hint="eastAsia"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项目名称：鹰潭一八四医院资产评估服务采购项目</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项目编号：RTYL-184YY-029</w:t>
      </w:r>
    </w:p>
    <w:p w14:paraId="5800AE39">
      <w:pPr>
        <w:pStyle w:val="2"/>
        <w:numPr>
          <w:ilvl w:val="0"/>
          <w:numId w:val="0"/>
        </w:numPr>
        <w:rPr>
          <w:rFonts w:hint="default"/>
          <w:lang w:val="en-US" w:eastAsia="zh-CN"/>
        </w:rPr>
      </w:pPr>
    </w:p>
    <w:tbl>
      <w:tblPr>
        <w:tblStyle w:val="7"/>
        <w:tblW w:w="77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0"/>
        <w:gridCol w:w="1248"/>
        <w:gridCol w:w="1561"/>
        <w:gridCol w:w="2605"/>
      </w:tblGrid>
      <w:tr w14:paraId="4496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2340" w:type="dxa"/>
            <w:tcBorders>
              <w:top w:val="single" w:color="000000" w:sz="8" w:space="0"/>
              <w:left w:val="single" w:color="000000" w:sz="8" w:space="0"/>
              <w:bottom w:val="single" w:color="auto" w:sz="4" w:space="0"/>
              <w:right w:val="single" w:color="000000" w:sz="8" w:space="0"/>
            </w:tcBorders>
            <w:shd w:val="clear" w:color="auto" w:fill="auto"/>
            <w:vAlign w:val="center"/>
          </w:tcPr>
          <w:p w14:paraId="1A9B2B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248" w:type="dxa"/>
            <w:tcBorders>
              <w:top w:val="single" w:color="000000" w:sz="8" w:space="0"/>
              <w:left w:val="single" w:color="000000" w:sz="8" w:space="0"/>
              <w:bottom w:val="single" w:color="auto" w:sz="4" w:space="0"/>
              <w:right w:val="single" w:color="000000" w:sz="8" w:space="0"/>
            </w:tcBorders>
            <w:shd w:val="clear" w:color="auto" w:fill="auto"/>
            <w:vAlign w:val="center"/>
          </w:tcPr>
          <w:p w14:paraId="171AA2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561" w:type="dxa"/>
            <w:tcBorders>
              <w:top w:val="single" w:color="000000" w:sz="8" w:space="0"/>
              <w:left w:val="single" w:color="000000" w:sz="8" w:space="0"/>
              <w:bottom w:val="single" w:color="auto" w:sz="4" w:space="0"/>
              <w:right w:val="single" w:color="000000" w:sz="8" w:space="0"/>
            </w:tcBorders>
            <w:shd w:val="clear" w:color="auto" w:fill="auto"/>
            <w:vAlign w:val="center"/>
          </w:tcPr>
          <w:p w14:paraId="714DAD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数量</w:t>
            </w:r>
          </w:p>
        </w:tc>
        <w:tc>
          <w:tcPr>
            <w:tcW w:w="2605" w:type="dxa"/>
            <w:tcBorders>
              <w:top w:val="single" w:color="000000" w:sz="8" w:space="0"/>
              <w:left w:val="single" w:color="000000" w:sz="8" w:space="0"/>
              <w:bottom w:val="single" w:color="auto" w:sz="4" w:space="0"/>
              <w:right w:val="single" w:color="000000" w:sz="8" w:space="0"/>
            </w:tcBorders>
            <w:shd w:val="clear" w:color="auto" w:fill="auto"/>
            <w:vAlign w:val="center"/>
          </w:tcPr>
          <w:p w14:paraId="70DEFA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27DB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47CBF4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固定资产报废处置评估</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D0E06E9">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项</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76BFFD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0B492E6B">
            <w:pPr>
              <w:jc w:val="center"/>
              <w:rPr>
                <w:rFonts w:hint="eastAsia" w:ascii="仿宋" w:hAnsi="仿宋" w:eastAsia="仿宋" w:cs="仿宋"/>
                <w:i w:val="0"/>
                <w:iCs w:val="0"/>
                <w:color w:val="000000"/>
                <w:sz w:val="24"/>
                <w:szCs w:val="24"/>
                <w:u w:val="none"/>
              </w:rPr>
            </w:pPr>
          </w:p>
        </w:tc>
      </w:tr>
      <w:tr w14:paraId="6A42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313AC4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公寓房出租评估</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4886E17">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项</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A88E97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5534ABC1">
            <w:pPr>
              <w:jc w:val="center"/>
              <w:rPr>
                <w:rFonts w:hint="eastAsia" w:ascii="仿宋" w:hAnsi="仿宋" w:eastAsia="仿宋" w:cs="仿宋"/>
                <w:i w:val="0"/>
                <w:iCs w:val="0"/>
                <w:color w:val="000000"/>
                <w:sz w:val="24"/>
                <w:szCs w:val="24"/>
                <w:u w:val="none"/>
              </w:rPr>
            </w:pPr>
          </w:p>
        </w:tc>
      </w:tr>
      <w:tr w14:paraId="4918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149" w:type="dxa"/>
            <w:gridSpan w:val="3"/>
            <w:tcBorders>
              <w:top w:val="single" w:color="auto" w:sz="4" w:space="0"/>
              <w:left w:val="single" w:color="000000" w:sz="8" w:space="0"/>
              <w:bottom w:val="single" w:color="000000" w:sz="8" w:space="0"/>
              <w:right w:val="single" w:color="auto" w:sz="4" w:space="0"/>
            </w:tcBorders>
            <w:shd w:val="clear" w:color="auto" w:fill="auto"/>
            <w:vAlign w:val="center"/>
          </w:tcPr>
          <w:p w14:paraId="1EF1B93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合计</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7A6D9AC3">
            <w:pPr>
              <w:jc w:val="center"/>
              <w:rPr>
                <w:rFonts w:hint="eastAsia" w:ascii="仿宋" w:hAnsi="仿宋" w:eastAsia="仿宋" w:cs="仿宋"/>
                <w:i w:val="0"/>
                <w:iCs w:val="0"/>
                <w:color w:val="000000"/>
                <w:sz w:val="24"/>
                <w:szCs w:val="24"/>
                <w:u w:val="none"/>
              </w:rPr>
            </w:pPr>
          </w:p>
        </w:tc>
      </w:tr>
    </w:tbl>
    <w:p w14:paraId="1778C6E1">
      <w:pPr>
        <w:pStyle w:val="2"/>
        <w:rPr>
          <w:rFonts w:hint="eastAsia" w:ascii="仿宋_GB2312" w:hAnsi="仿宋_GB2312" w:eastAsia="仿宋_GB2312" w:cs="仿宋_GB2312"/>
          <w:kern w:val="2"/>
          <w:sz w:val="28"/>
          <w:szCs w:val="28"/>
          <w:highlight w:val="none"/>
          <w:lang w:val="en-US" w:eastAsia="zh-CN" w:bidi="ar-SA"/>
        </w:rPr>
      </w:pPr>
    </w:p>
    <w:p w14:paraId="4CCA6497">
      <w:pPr>
        <w:ind w:right="-30" w:firstLine="422"/>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zh-CN" w:eastAsia="zh-CN" w:bidi="ar-SA"/>
        </w:rPr>
        <w:t>供应商报价超过最高限价的响应将被否决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03F6647D">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12CEBB7">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60DE1C23">
      <w:pPr>
        <w:pStyle w:val="2"/>
        <w:rPr>
          <w:rStyle w:val="9"/>
          <w:rFonts w:hint="eastAsia" w:ascii="仿宋" w:hAnsi="仿宋" w:eastAsia="仿宋" w:cs="仿宋"/>
          <w:b/>
          <w:bCs/>
          <w:color w:val="auto"/>
          <w:kern w:val="2"/>
          <w:sz w:val="30"/>
          <w:szCs w:val="30"/>
          <w:highlight w:val="none"/>
          <w:lang w:val="en-US" w:eastAsia="zh-CN" w:bidi="ar-SA"/>
        </w:rPr>
      </w:pPr>
    </w:p>
    <w:p w14:paraId="7F34CC4B">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4903BE4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（二）我单位为非外资独资或外资控股的企（事）业单位/无外资参股背景；法定代表人(含实际控制人)具有中华人民共和国国籍，不具有境外永久居留权（含港澳台）。</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firstLine="480" w:firstLineChars="20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4A69FEEA">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w:t>
      </w:r>
      <w:r>
        <w:rPr>
          <w:rStyle w:val="9"/>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33CD7E0">
      <w:pPr>
        <w:pStyle w:val="2"/>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5.供应商无不良信用记录：</w:t>
      </w:r>
    </w:p>
    <w:p w14:paraId="5EC84B3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F623CC1">
      <w:pPr>
        <w:pStyle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26E3D866">
      <w:pPr>
        <w:pStyle w:val="2"/>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0490AF89">
      <w:pPr>
        <w:pStyle w:val="2"/>
        <w:numPr>
          <w:ilvl w:val="0"/>
          <w:numId w:val="0"/>
        </w:numPr>
        <w:rPr>
          <w:rFonts w:hint="eastAsia" w:ascii="仿宋" w:hAnsi="仿宋" w:eastAsia="仿宋" w:cs="仿宋"/>
          <w:color w:val="auto"/>
          <w:kern w:val="0"/>
          <w:sz w:val="24"/>
          <w:szCs w:val="24"/>
          <w:highlight w:val="none"/>
          <w:lang w:val="en-US" w:eastAsia="zh-CN" w:bidi="ar-SA"/>
        </w:rPr>
      </w:pPr>
    </w:p>
    <w:p w14:paraId="2902B001">
      <w:pPr>
        <w:pStyle w:val="2"/>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文件要求的其它资料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A5D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77C0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A77C0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0901"/>
    <w:multiLevelType w:val="singleLevel"/>
    <w:tmpl w:val="9E5D0901"/>
    <w:lvl w:ilvl="0" w:tentative="0">
      <w:start w:val="6"/>
      <w:numFmt w:val="decimal"/>
      <w:lvlText w:val="%1."/>
      <w:lvlJc w:val="left"/>
      <w:pPr>
        <w:tabs>
          <w:tab w:val="left" w:pos="312"/>
        </w:tabs>
      </w:pPr>
    </w:lvl>
  </w:abstractNum>
  <w:abstractNum w:abstractNumId="1">
    <w:nsid w:val="0000002F"/>
    <w:multiLevelType w:val="multilevel"/>
    <w:tmpl w:val="0000002F"/>
    <w:lvl w:ilvl="0" w:tentative="0">
      <w:start w:val="1"/>
      <w:numFmt w:val="decimal"/>
      <w:lvlText w:val="%1."/>
      <w:lvlJc w:val="left"/>
      <w:pPr>
        <w:tabs>
          <w:tab w:val="left" w:pos="425"/>
        </w:tabs>
        <w:ind w:left="425" w:hanging="425"/>
      </w:pPr>
      <w:rPr>
        <w:rFonts w:hint="default"/>
      </w:rPr>
    </w:lvl>
    <w:lvl w:ilvl="1" w:tentative="0">
      <w:start w:val="1"/>
      <w:numFmt w:val="decimal"/>
      <w:isLgl/>
      <w:lvlText w:val="%1.%2"/>
      <w:lvlJc w:val="left"/>
      <w:pPr>
        <w:ind w:left="705" w:hanging="705"/>
      </w:pPr>
      <w:rPr>
        <w:rFonts w:hint="default" w:cs="Segoe UI Symbol"/>
      </w:rPr>
    </w:lvl>
    <w:lvl w:ilvl="2" w:tentative="0">
      <w:start w:val="3"/>
      <w:numFmt w:val="decimal"/>
      <w:isLgl/>
      <w:lvlText w:val="%1.%2.%3"/>
      <w:lvlJc w:val="left"/>
      <w:pPr>
        <w:ind w:left="720" w:hanging="720"/>
      </w:pPr>
      <w:rPr>
        <w:rFonts w:hint="default" w:cs="Segoe UI Symbol"/>
      </w:rPr>
    </w:lvl>
    <w:lvl w:ilvl="3" w:tentative="0">
      <w:start w:val="1"/>
      <w:numFmt w:val="decimal"/>
      <w:isLgl/>
      <w:lvlText w:val="%1.%2.%3.%4"/>
      <w:lvlJc w:val="left"/>
      <w:pPr>
        <w:ind w:left="1080" w:hanging="1080"/>
      </w:pPr>
      <w:rPr>
        <w:rFonts w:hint="default" w:cs="Segoe UI Symbol"/>
      </w:rPr>
    </w:lvl>
    <w:lvl w:ilvl="4" w:tentative="0">
      <w:start w:val="1"/>
      <w:numFmt w:val="decimal"/>
      <w:isLgl/>
      <w:lvlText w:val="%1.%2.%3.%4.%5"/>
      <w:lvlJc w:val="left"/>
      <w:pPr>
        <w:ind w:left="1080" w:hanging="1080"/>
      </w:pPr>
      <w:rPr>
        <w:rFonts w:hint="default" w:cs="Segoe UI Symbol"/>
      </w:rPr>
    </w:lvl>
    <w:lvl w:ilvl="5" w:tentative="0">
      <w:start w:val="1"/>
      <w:numFmt w:val="decimal"/>
      <w:isLgl/>
      <w:lvlText w:val="%1.%2.%3.%4.%5.%6"/>
      <w:lvlJc w:val="left"/>
      <w:pPr>
        <w:ind w:left="1440" w:hanging="1440"/>
      </w:pPr>
      <w:rPr>
        <w:rFonts w:hint="default" w:cs="Segoe UI Symbol"/>
      </w:rPr>
    </w:lvl>
    <w:lvl w:ilvl="6" w:tentative="0">
      <w:start w:val="1"/>
      <w:numFmt w:val="decimal"/>
      <w:isLgl/>
      <w:lvlText w:val="%1.%2.%3.%4.%5.%6.%7"/>
      <w:lvlJc w:val="left"/>
      <w:pPr>
        <w:ind w:left="1800" w:hanging="1800"/>
      </w:pPr>
      <w:rPr>
        <w:rFonts w:hint="default" w:cs="Segoe UI Symbol"/>
      </w:rPr>
    </w:lvl>
    <w:lvl w:ilvl="7" w:tentative="0">
      <w:start w:val="1"/>
      <w:numFmt w:val="decimal"/>
      <w:isLgl/>
      <w:lvlText w:val="%1.%2.%3.%4.%5.%6.%7.%8"/>
      <w:lvlJc w:val="left"/>
      <w:pPr>
        <w:ind w:left="1800" w:hanging="1800"/>
      </w:pPr>
      <w:rPr>
        <w:rFonts w:hint="default" w:cs="Segoe UI Symbol"/>
      </w:rPr>
    </w:lvl>
    <w:lvl w:ilvl="8" w:tentative="0">
      <w:start w:val="1"/>
      <w:numFmt w:val="decimal"/>
      <w:isLgl/>
      <w:lvlText w:val="%1.%2.%3.%4.%5.%6.%7.%8.%9"/>
      <w:lvlJc w:val="left"/>
      <w:pPr>
        <w:ind w:left="2160" w:hanging="2160"/>
      </w:pPr>
      <w:rPr>
        <w:rFonts w:hint="default" w:cs="Segoe UI Symbol"/>
      </w:rPr>
    </w:lvl>
  </w:abstractNum>
  <w:abstractNum w:abstractNumId="2">
    <w:nsid w:val="41B3B31B"/>
    <w:multiLevelType w:val="singleLevel"/>
    <w:tmpl w:val="41B3B31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11B0745"/>
    <w:rsid w:val="02897931"/>
    <w:rsid w:val="03675440"/>
    <w:rsid w:val="03F64543"/>
    <w:rsid w:val="050842EA"/>
    <w:rsid w:val="05BC1DCB"/>
    <w:rsid w:val="06041C14"/>
    <w:rsid w:val="06EF7070"/>
    <w:rsid w:val="079E3E7E"/>
    <w:rsid w:val="09D409AD"/>
    <w:rsid w:val="0AC21C32"/>
    <w:rsid w:val="0F006131"/>
    <w:rsid w:val="10106A95"/>
    <w:rsid w:val="11F60C1E"/>
    <w:rsid w:val="16677B31"/>
    <w:rsid w:val="179B1B01"/>
    <w:rsid w:val="1837588E"/>
    <w:rsid w:val="1A1E49AB"/>
    <w:rsid w:val="1E1D38F7"/>
    <w:rsid w:val="1EC678A9"/>
    <w:rsid w:val="200C412F"/>
    <w:rsid w:val="202A22FB"/>
    <w:rsid w:val="219263AA"/>
    <w:rsid w:val="22F21233"/>
    <w:rsid w:val="23E427C1"/>
    <w:rsid w:val="27A93DF2"/>
    <w:rsid w:val="28C36B4E"/>
    <w:rsid w:val="2A1A0CEB"/>
    <w:rsid w:val="2A783C63"/>
    <w:rsid w:val="2BC5112A"/>
    <w:rsid w:val="2BD3716A"/>
    <w:rsid w:val="2C50478D"/>
    <w:rsid w:val="2C6D5C00"/>
    <w:rsid w:val="2CCD43EC"/>
    <w:rsid w:val="2CD0422B"/>
    <w:rsid w:val="2D7050B3"/>
    <w:rsid w:val="2F590507"/>
    <w:rsid w:val="2F994DA8"/>
    <w:rsid w:val="2FA63021"/>
    <w:rsid w:val="315E3BB3"/>
    <w:rsid w:val="32191162"/>
    <w:rsid w:val="336B6A5B"/>
    <w:rsid w:val="38470D39"/>
    <w:rsid w:val="38935B36"/>
    <w:rsid w:val="391F53C4"/>
    <w:rsid w:val="3CBA021E"/>
    <w:rsid w:val="3DBD7EB3"/>
    <w:rsid w:val="3E0F11FF"/>
    <w:rsid w:val="3E99447C"/>
    <w:rsid w:val="408B4299"/>
    <w:rsid w:val="431F7A6A"/>
    <w:rsid w:val="45996A3C"/>
    <w:rsid w:val="46FC6042"/>
    <w:rsid w:val="4791488A"/>
    <w:rsid w:val="492E7EB7"/>
    <w:rsid w:val="4A862CA8"/>
    <w:rsid w:val="4D330192"/>
    <w:rsid w:val="4D5F3211"/>
    <w:rsid w:val="4E3A4D22"/>
    <w:rsid w:val="4E4A7541"/>
    <w:rsid w:val="4F850EAD"/>
    <w:rsid w:val="516E79EA"/>
    <w:rsid w:val="54913993"/>
    <w:rsid w:val="5621327D"/>
    <w:rsid w:val="563034C0"/>
    <w:rsid w:val="567333AD"/>
    <w:rsid w:val="5A2E7D17"/>
    <w:rsid w:val="5A56726E"/>
    <w:rsid w:val="5A5D23AA"/>
    <w:rsid w:val="5C29142A"/>
    <w:rsid w:val="5DF272AD"/>
    <w:rsid w:val="63EB3862"/>
    <w:rsid w:val="659C46CE"/>
    <w:rsid w:val="683A3D2B"/>
    <w:rsid w:val="6A597C5D"/>
    <w:rsid w:val="6B77103C"/>
    <w:rsid w:val="6CCB42C0"/>
    <w:rsid w:val="6CD56718"/>
    <w:rsid w:val="6D6261FE"/>
    <w:rsid w:val="714316AE"/>
    <w:rsid w:val="74F160B9"/>
    <w:rsid w:val="75A12A2A"/>
    <w:rsid w:val="75DF4163"/>
    <w:rsid w:val="79144124"/>
    <w:rsid w:val="7A6A4943"/>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index 8"/>
    <w:basedOn w:val="1"/>
    <w:next w:val="1"/>
    <w:qFormat/>
    <w:uiPriority w:val="0"/>
    <w:pPr>
      <w:ind w:left="1400" w:leftChars="1400"/>
    </w:pPr>
    <w:rPr>
      <w:rFonts w:ascii="Times New Roman" w:hAnsi="Times New Roman"/>
      <w:szCs w:val="24"/>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NormalCharacter"/>
    <w:qFormat/>
    <w:uiPriority w:val="0"/>
  </w:style>
  <w:style w:type="paragraph" w:customStyle="1" w:styleId="10">
    <w:name w:val="正文1"/>
    <w:basedOn w:val="1"/>
    <w:autoRedefine/>
    <w:qFormat/>
    <w:uiPriority w:val="0"/>
    <w:pPr>
      <w:spacing w:line="318" w:lineRule="atLeast"/>
      <w:ind w:left="369" w:firstLine="369"/>
    </w:pPr>
    <w:rPr>
      <w:rFonts w:ascii="宋体"/>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3446</Words>
  <Characters>3832</Characters>
  <Lines>0</Lines>
  <Paragraphs>0</Paragraphs>
  <TotalTime>4</TotalTime>
  <ScaleCrop>false</ScaleCrop>
  <LinksUpToDate>false</LinksUpToDate>
  <CharactersWithSpaces>3957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溪小溪</cp:lastModifiedBy>
  <cp:lastPrinted>2025-12-02T02:00:00Z</cp:lastPrinted>
  <dcterms:modified xsi:type="dcterms:W3CDTF">2025-12-08T02:53:02Z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F3D8E73235214E16BD5D2A7D013FC137_13</vt:lpwstr>
  </property>
  <property fmtid="{D5CDD505-2E9C-101B-9397-08002B2CF9AE}" pid="4" name="KSOTemplateDocerSaveRecord">
    <vt:lpwstr>eyJoZGlkIjoiNDc5YTg3NTcyMjA3YjgzMjEyNzUwODE5YmE5ZmMwYTMiLCJ1c2VySWQiOiIzOTY3NDY3NTAifQ==</vt:lpwstr>
  </property>
</Properties>
</file>