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F3740">
      <w:pPr>
        <w:bidi w:val="0"/>
        <w:jc w:val="center"/>
        <w:rPr>
          <w:rFonts w:hint="eastAsia" w:ascii="宋体" w:hAnsi="宋体" w:eastAsia="宋体" w:cs="宋体"/>
          <w:sz w:val="84"/>
          <w:szCs w:val="84"/>
          <w:lang w:eastAsia="zh-CN"/>
        </w:rPr>
      </w:pPr>
    </w:p>
    <w:p w14:paraId="3D208F96">
      <w:pPr>
        <w:bidi w:val="0"/>
        <w:jc w:val="center"/>
        <w:rPr>
          <w:rFonts w:hint="eastAsia" w:ascii="宋体" w:hAnsi="宋体" w:eastAsia="宋体" w:cs="宋体"/>
          <w:sz w:val="84"/>
          <w:szCs w:val="84"/>
          <w:lang w:eastAsia="zh-CN"/>
        </w:rPr>
      </w:pPr>
    </w:p>
    <w:p w14:paraId="534369A9">
      <w:pPr>
        <w:bidi w:val="0"/>
        <w:jc w:val="center"/>
        <w:rPr>
          <w:rFonts w:hint="eastAsia" w:ascii="宋体" w:hAnsi="宋体" w:eastAsia="宋体" w:cs="宋体"/>
          <w:sz w:val="84"/>
          <w:szCs w:val="84"/>
          <w:lang w:eastAsia="zh-CN"/>
        </w:rPr>
      </w:pPr>
      <w:r>
        <w:rPr>
          <w:rFonts w:hint="eastAsia" w:ascii="宋体" w:hAnsi="宋体" w:eastAsia="宋体" w:cs="宋体"/>
          <w:sz w:val="84"/>
          <w:szCs w:val="84"/>
          <w:lang w:eastAsia="zh-CN"/>
        </w:rPr>
        <w:t>询价通知书</w:t>
      </w:r>
    </w:p>
    <w:p w14:paraId="55C1236E">
      <w:pPr>
        <w:bidi w:val="0"/>
        <w:spacing w:line="480" w:lineRule="auto"/>
        <w:jc w:val="left"/>
        <w:rPr>
          <w:rFonts w:hint="eastAsia"/>
          <w:sz w:val="30"/>
          <w:szCs w:val="30"/>
          <w:lang w:eastAsia="zh-CN"/>
        </w:rPr>
      </w:pPr>
    </w:p>
    <w:p w14:paraId="659EED33">
      <w:pPr>
        <w:bidi w:val="0"/>
        <w:spacing w:line="480" w:lineRule="auto"/>
        <w:jc w:val="left"/>
        <w:rPr>
          <w:rFonts w:hint="eastAsia"/>
          <w:sz w:val="30"/>
          <w:szCs w:val="30"/>
          <w:lang w:eastAsia="zh-CN"/>
        </w:rPr>
      </w:pPr>
    </w:p>
    <w:p w14:paraId="7371AE5A">
      <w:pPr>
        <w:bidi w:val="0"/>
        <w:spacing w:line="480" w:lineRule="auto"/>
        <w:jc w:val="left"/>
        <w:rPr>
          <w:rFonts w:hint="eastAsia"/>
          <w:sz w:val="30"/>
          <w:szCs w:val="30"/>
          <w:lang w:eastAsia="zh-CN"/>
        </w:rPr>
      </w:pPr>
    </w:p>
    <w:p w14:paraId="0DC92A8C">
      <w:pPr>
        <w:bidi w:val="0"/>
        <w:spacing w:line="480" w:lineRule="auto"/>
        <w:jc w:val="left"/>
        <w:rPr>
          <w:rFonts w:hint="eastAsia"/>
          <w:sz w:val="30"/>
          <w:szCs w:val="30"/>
          <w:lang w:eastAsia="zh-CN"/>
        </w:rPr>
      </w:pPr>
    </w:p>
    <w:p w14:paraId="5B29BD97">
      <w:pPr>
        <w:bidi w:val="0"/>
        <w:spacing w:line="480" w:lineRule="auto"/>
        <w:jc w:val="left"/>
        <w:rPr>
          <w:rFonts w:hint="eastAsia"/>
          <w:sz w:val="30"/>
          <w:szCs w:val="30"/>
          <w:lang w:eastAsia="zh-CN"/>
        </w:rPr>
      </w:pPr>
    </w:p>
    <w:p w14:paraId="0B566056">
      <w:pPr>
        <w:bidi w:val="0"/>
        <w:spacing w:line="480" w:lineRule="auto"/>
        <w:jc w:val="left"/>
        <w:rPr>
          <w:rFonts w:hint="eastAsia"/>
          <w:sz w:val="30"/>
          <w:szCs w:val="30"/>
          <w:lang w:eastAsia="zh-CN"/>
        </w:rPr>
      </w:pPr>
    </w:p>
    <w:p w14:paraId="2DB3CDAE">
      <w:pPr>
        <w:bidi w:val="0"/>
        <w:spacing w:line="480" w:lineRule="auto"/>
        <w:jc w:val="left"/>
        <w:rPr>
          <w:rFonts w:hint="eastAsia"/>
          <w:b/>
          <w:bCs/>
          <w:sz w:val="30"/>
          <w:szCs w:val="30"/>
          <w:lang w:eastAsia="zh-CN"/>
        </w:rPr>
      </w:pPr>
      <w:r>
        <w:rPr>
          <w:rFonts w:hint="eastAsia"/>
          <w:b/>
          <w:bCs/>
          <w:sz w:val="30"/>
          <w:szCs w:val="30"/>
          <w:lang w:eastAsia="zh-CN"/>
        </w:rPr>
        <w:t>项目名称：吉安职业技术学院校园限速设备采购</w:t>
      </w:r>
    </w:p>
    <w:p w14:paraId="1DFEE369">
      <w:pPr>
        <w:bidi w:val="0"/>
        <w:spacing w:line="480" w:lineRule="auto"/>
        <w:rPr>
          <w:rFonts w:hint="eastAsia"/>
          <w:b/>
          <w:bCs/>
          <w:sz w:val="30"/>
          <w:szCs w:val="30"/>
          <w:lang w:eastAsia="zh-CN"/>
        </w:rPr>
      </w:pPr>
      <w:r>
        <w:rPr>
          <w:rFonts w:hint="eastAsia"/>
          <w:b/>
          <w:bCs/>
          <w:sz w:val="30"/>
          <w:szCs w:val="30"/>
          <w:lang w:eastAsia="zh-CN"/>
        </w:rPr>
        <w:t>项目编号：赣企恒招〔2025〕-25号</w:t>
      </w:r>
    </w:p>
    <w:p w14:paraId="331ADBA3">
      <w:pPr>
        <w:bidi w:val="0"/>
        <w:spacing w:line="480" w:lineRule="auto"/>
        <w:rPr>
          <w:rFonts w:hint="eastAsia"/>
          <w:b/>
          <w:bCs/>
          <w:sz w:val="30"/>
          <w:szCs w:val="30"/>
          <w:lang w:eastAsia="zh-CN"/>
        </w:rPr>
      </w:pPr>
      <w:r>
        <w:rPr>
          <w:rFonts w:hint="eastAsia"/>
          <w:b/>
          <w:bCs/>
          <w:sz w:val="30"/>
          <w:szCs w:val="30"/>
          <w:lang w:eastAsia="zh-CN"/>
        </w:rPr>
        <w:t>采购单位：吉安职业技术学院</w:t>
      </w:r>
    </w:p>
    <w:p w14:paraId="210941FF">
      <w:pPr>
        <w:bidi w:val="0"/>
        <w:spacing w:line="480" w:lineRule="auto"/>
        <w:rPr>
          <w:rFonts w:hint="eastAsia"/>
          <w:b/>
          <w:bCs/>
          <w:sz w:val="30"/>
          <w:szCs w:val="30"/>
          <w:lang w:eastAsia="zh-CN"/>
        </w:rPr>
      </w:pPr>
      <w:r>
        <w:rPr>
          <w:rFonts w:hint="eastAsia"/>
          <w:b/>
          <w:bCs/>
          <w:sz w:val="30"/>
          <w:szCs w:val="30"/>
          <w:lang w:eastAsia="zh-CN"/>
        </w:rPr>
        <w:t>采购代理机构：江西企恒企业管理有限公司</w:t>
      </w:r>
    </w:p>
    <w:p w14:paraId="0F0FB5E4">
      <w:r>
        <w:rPr>
          <w:rFonts w:hint="eastAsia"/>
          <w:b/>
          <w:bCs/>
          <w:sz w:val="30"/>
          <w:szCs w:val="30"/>
          <w:lang w:eastAsia="zh-CN"/>
        </w:rPr>
        <w:br w:type="page"/>
      </w:r>
      <w:r>
        <w:rPr>
          <w:rFonts w:hint="default" w:ascii="宋体" w:hAnsi="宋体" w:eastAsia="宋体" w:cs="宋体"/>
          <w:sz w:val="52"/>
          <w:szCs w:val="52"/>
          <w:lang w:eastAsia="zh-CN"/>
        </w:rPr>
        <w:fldChar w:fldCharType="begin"/>
      </w:r>
      <w:r>
        <w:rPr>
          <w:rFonts w:hint="default" w:ascii="宋体" w:hAnsi="宋体" w:eastAsia="宋体" w:cs="宋体"/>
          <w:sz w:val="52"/>
          <w:szCs w:val="52"/>
          <w:lang w:eastAsia="zh-CN"/>
        </w:rPr>
        <w:instrText xml:space="preserve"> TOC \* MERGEFORMAT </w:instrText>
      </w:r>
      <w:r>
        <w:rPr>
          <w:rFonts w:hint="default" w:ascii="宋体" w:hAnsi="宋体" w:eastAsia="宋体" w:cs="宋体"/>
          <w:sz w:val="52"/>
          <w:szCs w:val="52"/>
          <w:lang w:eastAsia="zh-CN"/>
        </w:rPr>
        <w:fldChar w:fldCharType="separate"/>
      </w:r>
    </w:p>
    <w:sdt>
      <w:sdtPr>
        <w:rPr>
          <w:rFonts w:ascii="宋体" w:hAnsi="宋体" w:eastAsia="宋体" w:cstheme="minorBidi"/>
          <w:kern w:val="2"/>
          <w:sz w:val="44"/>
          <w:szCs w:val="44"/>
          <w:lang w:val="en-US" w:eastAsia="zh-CN" w:bidi="ar-SA"/>
        </w:rPr>
        <w:id w:val="147454390"/>
        <w15:color w:val="DBDBDB"/>
        <w:docPartObj>
          <w:docPartGallery w:val="Table of Contents"/>
          <w:docPartUnique/>
        </w:docPartObj>
      </w:sdtPr>
      <w:sdtEndPr>
        <w:rPr>
          <w:rFonts w:ascii="宋体" w:hAnsi="宋体" w:eastAsia="宋体" w:cstheme="minorBidi"/>
          <w:kern w:val="2"/>
          <w:sz w:val="44"/>
          <w:szCs w:val="44"/>
          <w:lang w:val="en-US" w:eastAsia="zh-CN" w:bidi="ar-SA"/>
        </w:rPr>
      </w:sdtEndPr>
      <w:sdtContent>
        <w:p w14:paraId="358743D4">
          <w:pPr>
            <w:pStyle w:val="15"/>
            <w:keepNext w:val="0"/>
            <w:keepLines w:val="0"/>
            <w:pageBreakBefore w:val="0"/>
            <w:tabs>
              <w:tab w:val="right" w:leader="dot" w:pos="8306"/>
            </w:tabs>
            <w:kinsoku/>
            <w:wordWrap/>
            <w:overflowPunct/>
            <w:topLinePunct w:val="0"/>
            <w:autoSpaceDE/>
            <w:autoSpaceDN/>
            <w:bidi w:val="0"/>
            <w:adjustRightInd/>
            <w:snapToGrid/>
            <w:spacing w:line="288" w:lineRule="auto"/>
            <w:jc w:val="center"/>
            <w:textAlignment w:val="auto"/>
            <w:rPr>
              <w:sz w:val="44"/>
              <w:szCs w:val="44"/>
            </w:rPr>
          </w:pPr>
          <w:r>
            <w:rPr>
              <w:rFonts w:ascii="宋体" w:hAnsi="宋体" w:eastAsia="宋体"/>
              <w:sz w:val="44"/>
              <w:szCs w:val="44"/>
            </w:rPr>
            <w:t>目录</w:t>
          </w:r>
        </w:p>
        <w:p w14:paraId="508D680A">
          <w:pPr>
            <w:pStyle w:val="14"/>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TOC \o "1-3" \h \u </w:instrText>
          </w:r>
          <w:r>
            <w:fldChar w:fldCharType="separate"/>
          </w:r>
          <w:r>
            <w:fldChar w:fldCharType="begin"/>
          </w:r>
          <w:r>
            <w:instrText xml:space="preserve"> HYPERLINK \l _Toc23187 </w:instrText>
          </w:r>
          <w:r>
            <w:fldChar w:fldCharType="separate"/>
          </w:r>
          <w:r>
            <w:rPr>
              <w:rFonts w:hint="eastAsia"/>
              <w:szCs w:val="32"/>
              <w:lang w:eastAsia="zh-CN"/>
            </w:rPr>
            <w:t>第一章、询价邀请</w:t>
          </w:r>
          <w:r>
            <w:tab/>
          </w:r>
          <w:r>
            <w:fldChar w:fldCharType="begin"/>
          </w:r>
          <w:r>
            <w:instrText xml:space="preserve"> PAGEREF _Toc23187 \h </w:instrText>
          </w:r>
          <w:r>
            <w:fldChar w:fldCharType="separate"/>
          </w:r>
          <w:r>
            <w:t>1</w:t>
          </w:r>
          <w:r>
            <w:fldChar w:fldCharType="end"/>
          </w:r>
          <w:r>
            <w:fldChar w:fldCharType="end"/>
          </w:r>
        </w:p>
        <w:p w14:paraId="25FF5899">
          <w:pPr>
            <w:pStyle w:val="14"/>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_Toc1932 </w:instrText>
          </w:r>
          <w:r>
            <w:fldChar w:fldCharType="separate"/>
          </w:r>
          <w:r>
            <w:rPr>
              <w:rFonts w:hint="eastAsia"/>
              <w:szCs w:val="32"/>
              <w:lang w:val="en-US" w:eastAsia="zh-CN"/>
            </w:rPr>
            <w:t>第二章、供应商须知</w:t>
          </w:r>
          <w:r>
            <w:tab/>
          </w:r>
          <w:r>
            <w:fldChar w:fldCharType="begin"/>
          </w:r>
          <w:r>
            <w:instrText xml:space="preserve"> PAGEREF _Toc1932 \h </w:instrText>
          </w:r>
          <w:r>
            <w:fldChar w:fldCharType="separate"/>
          </w:r>
          <w:r>
            <w:t>4</w:t>
          </w:r>
          <w:r>
            <w:fldChar w:fldCharType="end"/>
          </w:r>
          <w:r>
            <w:fldChar w:fldCharType="end"/>
          </w:r>
        </w:p>
        <w:p w14:paraId="4BDB43E8">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_Toc10370 </w:instrText>
          </w:r>
          <w:r>
            <w:fldChar w:fldCharType="separate"/>
          </w:r>
          <w:r>
            <w:rPr>
              <w:rFonts w:hint="eastAsia" w:ascii="宋体" w:hAnsi="宋体" w:eastAsia="宋体" w:cs="宋体"/>
              <w:szCs w:val="28"/>
              <w:lang w:val="en-US" w:eastAsia="zh-CN"/>
            </w:rPr>
            <w:t>一、供应商须知前附表</w:t>
          </w:r>
          <w:r>
            <w:tab/>
          </w:r>
          <w:r>
            <w:fldChar w:fldCharType="begin"/>
          </w:r>
          <w:r>
            <w:instrText xml:space="preserve"> PAGEREF _Toc10370 \h </w:instrText>
          </w:r>
          <w:r>
            <w:fldChar w:fldCharType="separate"/>
          </w:r>
          <w:r>
            <w:t>4</w:t>
          </w:r>
          <w:r>
            <w:fldChar w:fldCharType="end"/>
          </w:r>
          <w:r>
            <w:fldChar w:fldCharType="end"/>
          </w:r>
        </w:p>
        <w:p w14:paraId="4F760E62">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_Toc24684 </w:instrText>
          </w:r>
          <w:r>
            <w:fldChar w:fldCharType="separate"/>
          </w:r>
          <w:r>
            <w:rPr>
              <w:rFonts w:hint="eastAsia" w:ascii="宋体" w:hAnsi="宋体" w:eastAsia="宋体" w:cs="宋体"/>
              <w:szCs w:val="28"/>
              <w:lang w:val="en-US" w:eastAsia="zh-CN"/>
            </w:rPr>
            <w:t>二、说明</w:t>
          </w:r>
          <w:r>
            <w:tab/>
          </w:r>
          <w:r>
            <w:fldChar w:fldCharType="begin"/>
          </w:r>
          <w:r>
            <w:instrText xml:space="preserve"> PAGEREF _Toc24684 \h </w:instrText>
          </w:r>
          <w:r>
            <w:fldChar w:fldCharType="separate"/>
          </w:r>
          <w:r>
            <w:t>5</w:t>
          </w:r>
          <w:r>
            <w:fldChar w:fldCharType="end"/>
          </w:r>
          <w:r>
            <w:fldChar w:fldCharType="end"/>
          </w:r>
        </w:p>
        <w:p w14:paraId="3F591AE9">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_Toc28927 </w:instrText>
          </w:r>
          <w:r>
            <w:fldChar w:fldCharType="separate"/>
          </w:r>
          <w:r>
            <w:rPr>
              <w:rFonts w:hint="eastAsia" w:ascii="宋体" w:hAnsi="宋体" w:eastAsia="宋体" w:cs="宋体"/>
              <w:szCs w:val="28"/>
              <w:lang w:val="en-US" w:eastAsia="zh-CN"/>
            </w:rPr>
            <w:t>三、询价通知书</w:t>
          </w:r>
          <w:r>
            <w:tab/>
          </w:r>
          <w:r>
            <w:fldChar w:fldCharType="begin"/>
          </w:r>
          <w:r>
            <w:instrText xml:space="preserve"> PAGEREF _Toc28927 \h </w:instrText>
          </w:r>
          <w:r>
            <w:fldChar w:fldCharType="separate"/>
          </w:r>
          <w:r>
            <w:t>6</w:t>
          </w:r>
          <w:r>
            <w:fldChar w:fldCharType="end"/>
          </w:r>
          <w:r>
            <w:fldChar w:fldCharType="end"/>
          </w:r>
        </w:p>
        <w:p w14:paraId="18D3CDC6">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_Toc15428 </w:instrText>
          </w:r>
          <w:r>
            <w:fldChar w:fldCharType="separate"/>
          </w:r>
          <w:r>
            <w:rPr>
              <w:rFonts w:hint="eastAsia" w:ascii="宋体" w:hAnsi="宋体" w:eastAsia="宋体" w:cs="宋体"/>
              <w:bCs/>
              <w:szCs w:val="28"/>
              <w:lang w:val="en-US" w:eastAsia="zh-CN"/>
            </w:rPr>
            <w:t>四、响应文件的编制</w:t>
          </w:r>
          <w:r>
            <w:tab/>
          </w:r>
          <w:r>
            <w:fldChar w:fldCharType="begin"/>
          </w:r>
          <w:r>
            <w:instrText xml:space="preserve"> PAGEREF _Toc15428 \h </w:instrText>
          </w:r>
          <w:r>
            <w:fldChar w:fldCharType="separate"/>
          </w:r>
          <w:r>
            <w:t>7</w:t>
          </w:r>
          <w:r>
            <w:fldChar w:fldCharType="end"/>
          </w:r>
          <w:r>
            <w:fldChar w:fldCharType="end"/>
          </w:r>
        </w:p>
        <w:p w14:paraId="5FD3D3A0">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_Toc12714 </w:instrText>
          </w:r>
          <w:r>
            <w:fldChar w:fldCharType="separate"/>
          </w:r>
          <w:r>
            <w:rPr>
              <w:rFonts w:hint="eastAsia" w:ascii="宋体" w:hAnsi="宋体" w:eastAsia="宋体" w:cs="宋体"/>
              <w:szCs w:val="28"/>
              <w:lang w:val="en-US" w:eastAsia="zh-CN"/>
            </w:rPr>
            <w:t>五、响应文件的递交</w:t>
          </w:r>
          <w:r>
            <w:tab/>
          </w:r>
          <w:r>
            <w:fldChar w:fldCharType="begin"/>
          </w:r>
          <w:r>
            <w:instrText xml:space="preserve"> PAGEREF _Toc12714 \h </w:instrText>
          </w:r>
          <w:r>
            <w:fldChar w:fldCharType="separate"/>
          </w:r>
          <w:r>
            <w:t>12</w:t>
          </w:r>
          <w:r>
            <w:fldChar w:fldCharType="end"/>
          </w:r>
          <w:r>
            <w:fldChar w:fldCharType="end"/>
          </w:r>
        </w:p>
        <w:p w14:paraId="08C24FFD">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_Toc8518 </w:instrText>
          </w:r>
          <w:r>
            <w:fldChar w:fldCharType="separate"/>
          </w:r>
          <w:r>
            <w:rPr>
              <w:rFonts w:hint="eastAsia" w:ascii="宋体" w:hAnsi="宋体" w:eastAsia="宋体" w:cs="宋体"/>
              <w:szCs w:val="28"/>
              <w:lang w:val="en-US" w:eastAsia="zh-CN"/>
            </w:rPr>
            <w:t>六、询价与评审</w:t>
          </w:r>
          <w:r>
            <w:tab/>
          </w:r>
          <w:r>
            <w:fldChar w:fldCharType="begin"/>
          </w:r>
          <w:r>
            <w:instrText xml:space="preserve"> PAGEREF _Toc8518 \h </w:instrText>
          </w:r>
          <w:r>
            <w:fldChar w:fldCharType="separate"/>
          </w:r>
          <w:r>
            <w:t>13</w:t>
          </w:r>
          <w:r>
            <w:fldChar w:fldCharType="end"/>
          </w:r>
          <w:r>
            <w:fldChar w:fldCharType="end"/>
          </w:r>
        </w:p>
        <w:p w14:paraId="6686A071">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_Toc8893 </w:instrText>
          </w:r>
          <w:r>
            <w:fldChar w:fldCharType="separate"/>
          </w:r>
          <w:r>
            <w:rPr>
              <w:rFonts w:hint="eastAsia" w:ascii="宋体" w:hAnsi="宋体" w:eastAsia="宋体" w:cs="宋体"/>
              <w:szCs w:val="28"/>
              <w:lang w:val="en-US" w:eastAsia="zh-CN"/>
            </w:rPr>
            <w:t>七、推荐成交候选供应商、确定成交供应商</w:t>
          </w:r>
          <w:r>
            <w:tab/>
          </w:r>
          <w:r>
            <w:fldChar w:fldCharType="begin"/>
          </w:r>
          <w:r>
            <w:instrText xml:space="preserve"> PAGEREF _Toc8893 \h </w:instrText>
          </w:r>
          <w:r>
            <w:fldChar w:fldCharType="separate"/>
          </w:r>
          <w:r>
            <w:t>16</w:t>
          </w:r>
          <w:r>
            <w:fldChar w:fldCharType="end"/>
          </w:r>
          <w:r>
            <w:fldChar w:fldCharType="end"/>
          </w:r>
        </w:p>
        <w:p w14:paraId="65E10724">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_Toc11878 </w:instrText>
          </w:r>
          <w:r>
            <w:fldChar w:fldCharType="separate"/>
          </w:r>
          <w:r>
            <w:rPr>
              <w:rFonts w:hint="eastAsia" w:ascii="宋体" w:hAnsi="宋体" w:eastAsia="宋体" w:cs="宋体"/>
              <w:szCs w:val="28"/>
              <w:lang w:val="en-US" w:eastAsia="zh-CN"/>
            </w:rPr>
            <w:t>八、评审结果公示、质疑</w:t>
          </w:r>
          <w:r>
            <w:tab/>
          </w:r>
          <w:r>
            <w:fldChar w:fldCharType="begin"/>
          </w:r>
          <w:r>
            <w:instrText xml:space="preserve"> PAGEREF _Toc11878 \h </w:instrText>
          </w:r>
          <w:r>
            <w:fldChar w:fldCharType="separate"/>
          </w:r>
          <w:r>
            <w:t>16</w:t>
          </w:r>
          <w:r>
            <w:fldChar w:fldCharType="end"/>
          </w:r>
          <w:r>
            <w:fldChar w:fldCharType="end"/>
          </w:r>
        </w:p>
        <w:p w14:paraId="3EF2CAC4">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_Toc6257 </w:instrText>
          </w:r>
          <w:r>
            <w:fldChar w:fldCharType="separate"/>
          </w:r>
          <w:r>
            <w:rPr>
              <w:rFonts w:hint="eastAsia" w:ascii="宋体" w:hAnsi="宋体" w:eastAsia="宋体" w:cs="宋体"/>
              <w:szCs w:val="28"/>
              <w:lang w:val="en-US" w:eastAsia="zh-CN"/>
            </w:rPr>
            <w:t>九、成交通知书、签订合同</w:t>
          </w:r>
          <w:r>
            <w:tab/>
          </w:r>
          <w:r>
            <w:fldChar w:fldCharType="begin"/>
          </w:r>
          <w:r>
            <w:instrText xml:space="preserve"> PAGEREF _Toc6257 \h </w:instrText>
          </w:r>
          <w:r>
            <w:fldChar w:fldCharType="separate"/>
          </w:r>
          <w:r>
            <w:t>18</w:t>
          </w:r>
          <w:r>
            <w:fldChar w:fldCharType="end"/>
          </w:r>
          <w:r>
            <w:fldChar w:fldCharType="end"/>
          </w:r>
        </w:p>
        <w:p w14:paraId="0A29B7FB">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_Toc15274 </w:instrText>
          </w:r>
          <w:r>
            <w:fldChar w:fldCharType="separate"/>
          </w:r>
          <w:r>
            <w:rPr>
              <w:rFonts w:hint="eastAsia" w:ascii="宋体" w:hAnsi="宋体" w:eastAsia="宋体" w:cs="宋体"/>
              <w:szCs w:val="28"/>
              <w:lang w:val="en-US" w:eastAsia="zh-CN"/>
            </w:rPr>
            <w:t>十、 采购代理服务费、履约保证金</w:t>
          </w:r>
          <w:r>
            <w:tab/>
          </w:r>
          <w:r>
            <w:fldChar w:fldCharType="begin"/>
          </w:r>
          <w:r>
            <w:instrText xml:space="preserve"> PAGEREF _Toc15274 \h </w:instrText>
          </w:r>
          <w:r>
            <w:fldChar w:fldCharType="separate"/>
          </w:r>
          <w:r>
            <w:t>18</w:t>
          </w:r>
          <w:r>
            <w:fldChar w:fldCharType="end"/>
          </w:r>
          <w:r>
            <w:fldChar w:fldCharType="end"/>
          </w:r>
        </w:p>
        <w:p w14:paraId="472830EA">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_Toc21664 </w:instrText>
          </w:r>
          <w:r>
            <w:fldChar w:fldCharType="separate"/>
          </w:r>
          <w:r>
            <w:rPr>
              <w:rFonts w:hint="eastAsia" w:ascii="宋体" w:hAnsi="宋体" w:eastAsia="宋体" w:cs="宋体"/>
              <w:szCs w:val="28"/>
              <w:lang w:val="en-US" w:eastAsia="zh-CN"/>
            </w:rPr>
            <w:t>十一、附则</w:t>
          </w:r>
          <w:r>
            <w:tab/>
          </w:r>
          <w:r>
            <w:fldChar w:fldCharType="begin"/>
          </w:r>
          <w:r>
            <w:instrText xml:space="preserve"> PAGEREF _Toc21664 \h </w:instrText>
          </w:r>
          <w:r>
            <w:fldChar w:fldCharType="separate"/>
          </w:r>
          <w:r>
            <w:t>19</w:t>
          </w:r>
          <w:r>
            <w:fldChar w:fldCharType="end"/>
          </w:r>
          <w:r>
            <w:fldChar w:fldCharType="end"/>
          </w:r>
        </w:p>
        <w:p w14:paraId="2BB5238F">
          <w:pPr>
            <w:pStyle w:val="14"/>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_Toc19912 </w:instrText>
          </w:r>
          <w:r>
            <w:fldChar w:fldCharType="separate"/>
          </w:r>
          <w:r>
            <w:rPr>
              <w:rFonts w:hint="eastAsia" w:ascii="宋体" w:hAnsi="宋体" w:eastAsia="宋体" w:cs="宋体"/>
              <w:szCs w:val="32"/>
              <w:lang w:val="en-US" w:eastAsia="zh-CN"/>
            </w:rPr>
            <w:t>第三章、拟签订的合同文本</w:t>
          </w:r>
          <w:r>
            <w:tab/>
          </w:r>
          <w:r>
            <w:fldChar w:fldCharType="begin"/>
          </w:r>
          <w:r>
            <w:instrText xml:space="preserve"> PAGEREF _Toc19912 \h </w:instrText>
          </w:r>
          <w:r>
            <w:fldChar w:fldCharType="separate"/>
          </w:r>
          <w:r>
            <w:t>20</w:t>
          </w:r>
          <w:r>
            <w:fldChar w:fldCharType="end"/>
          </w:r>
          <w:r>
            <w:fldChar w:fldCharType="end"/>
          </w:r>
        </w:p>
        <w:p w14:paraId="005A07E1">
          <w:pPr>
            <w:pStyle w:val="14"/>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_Toc29286 </w:instrText>
          </w:r>
          <w:r>
            <w:fldChar w:fldCharType="separate"/>
          </w:r>
          <w:r>
            <w:rPr>
              <w:rFonts w:hint="eastAsia" w:ascii="宋体" w:hAnsi="宋体" w:eastAsia="宋体" w:cs="宋体"/>
              <w:szCs w:val="32"/>
              <w:lang w:eastAsia="zh-CN"/>
            </w:rPr>
            <w:t>第四章、附件（响应文件参考格式）</w:t>
          </w:r>
          <w:r>
            <w:tab/>
          </w:r>
          <w:r>
            <w:fldChar w:fldCharType="begin"/>
          </w:r>
          <w:r>
            <w:instrText xml:space="preserve"> PAGEREF _Toc29286 \h </w:instrText>
          </w:r>
          <w:r>
            <w:fldChar w:fldCharType="separate"/>
          </w:r>
          <w:r>
            <w:t>24</w:t>
          </w:r>
          <w:r>
            <w:fldChar w:fldCharType="end"/>
          </w:r>
          <w:r>
            <w:fldChar w:fldCharType="end"/>
          </w:r>
        </w:p>
        <w:p w14:paraId="5B700792">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_Toc32703 </w:instrText>
          </w:r>
          <w:r>
            <w:fldChar w:fldCharType="separate"/>
          </w:r>
          <w:r>
            <w:rPr>
              <w:rFonts w:hint="eastAsia" w:ascii="宋体" w:hAnsi="宋体" w:eastAsia="宋体" w:cs="宋体"/>
              <w:szCs w:val="28"/>
              <w:lang w:val="en-US" w:eastAsia="zh-CN"/>
            </w:rPr>
            <w:t>1、询价响应书</w:t>
          </w:r>
          <w:r>
            <w:tab/>
          </w:r>
          <w:r>
            <w:fldChar w:fldCharType="begin"/>
          </w:r>
          <w:r>
            <w:instrText xml:space="preserve"> PAGEREF _Toc32703 \h </w:instrText>
          </w:r>
          <w:r>
            <w:fldChar w:fldCharType="separate"/>
          </w:r>
          <w:r>
            <w:t>25</w:t>
          </w:r>
          <w:r>
            <w:fldChar w:fldCharType="end"/>
          </w:r>
          <w:r>
            <w:fldChar w:fldCharType="end"/>
          </w:r>
        </w:p>
        <w:p w14:paraId="5F87ADC9">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_Toc9159 </w:instrText>
          </w:r>
          <w:r>
            <w:fldChar w:fldCharType="separate"/>
          </w:r>
          <w:r>
            <w:rPr>
              <w:rFonts w:hint="eastAsia" w:ascii="宋体" w:hAnsi="宋体" w:eastAsia="宋体" w:cs="宋体"/>
              <w:szCs w:val="28"/>
              <w:lang w:val="en-US" w:eastAsia="zh-CN"/>
            </w:rPr>
            <w:t>2、报 价 表</w:t>
          </w:r>
          <w:r>
            <w:tab/>
          </w:r>
          <w:r>
            <w:fldChar w:fldCharType="begin"/>
          </w:r>
          <w:r>
            <w:instrText xml:space="preserve"> PAGEREF _Toc9159 \h </w:instrText>
          </w:r>
          <w:r>
            <w:fldChar w:fldCharType="separate"/>
          </w:r>
          <w:r>
            <w:t>26</w:t>
          </w:r>
          <w:r>
            <w:fldChar w:fldCharType="end"/>
          </w:r>
          <w:r>
            <w:fldChar w:fldCharType="end"/>
          </w:r>
        </w:p>
        <w:p w14:paraId="5203A7C4">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_Toc23136 </w:instrText>
          </w:r>
          <w:r>
            <w:fldChar w:fldCharType="separate"/>
          </w:r>
          <w:r>
            <w:rPr>
              <w:rFonts w:hint="eastAsia" w:ascii="宋体" w:hAnsi="宋体" w:eastAsia="宋体" w:cs="宋体"/>
              <w:szCs w:val="28"/>
              <w:lang w:val="en-US" w:eastAsia="zh-CN"/>
            </w:rPr>
            <w:t>3、分项报价表</w:t>
          </w:r>
          <w:r>
            <w:tab/>
          </w:r>
          <w:r>
            <w:fldChar w:fldCharType="begin"/>
          </w:r>
          <w:r>
            <w:instrText xml:space="preserve"> PAGEREF _Toc23136 \h </w:instrText>
          </w:r>
          <w:r>
            <w:fldChar w:fldCharType="separate"/>
          </w:r>
          <w:r>
            <w:t>27</w:t>
          </w:r>
          <w:r>
            <w:fldChar w:fldCharType="end"/>
          </w:r>
          <w:r>
            <w:fldChar w:fldCharType="end"/>
          </w:r>
        </w:p>
        <w:p w14:paraId="3C4A9D09">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_Toc31154 </w:instrText>
          </w:r>
          <w:r>
            <w:fldChar w:fldCharType="separate"/>
          </w:r>
          <w:r>
            <w:rPr>
              <w:rFonts w:hint="eastAsia" w:ascii="宋体" w:hAnsi="宋体" w:eastAsia="宋体" w:cs="宋体"/>
              <w:szCs w:val="28"/>
              <w:lang w:val="en-US" w:eastAsia="zh-CN"/>
            </w:rPr>
            <w:t>4、技术规格响应/偏离表</w:t>
          </w:r>
          <w:r>
            <w:tab/>
          </w:r>
          <w:r>
            <w:fldChar w:fldCharType="begin"/>
          </w:r>
          <w:r>
            <w:instrText xml:space="preserve"> PAGEREF _Toc31154 \h </w:instrText>
          </w:r>
          <w:r>
            <w:fldChar w:fldCharType="separate"/>
          </w:r>
          <w:r>
            <w:t>28</w:t>
          </w:r>
          <w:r>
            <w:fldChar w:fldCharType="end"/>
          </w:r>
          <w:r>
            <w:fldChar w:fldCharType="end"/>
          </w:r>
        </w:p>
        <w:p w14:paraId="673C9C94">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_Toc4310 </w:instrText>
          </w:r>
          <w:r>
            <w:fldChar w:fldCharType="separate"/>
          </w:r>
          <w:r>
            <w:rPr>
              <w:rFonts w:hint="eastAsia" w:ascii="宋体" w:hAnsi="宋体" w:eastAsia="宋体" w:cs="宋体"/>
              <w:szCs w:val="28"/>
              <w:lang w:val="en-US" w:eastAsia="zh-CN"/>
            </w:rPr>
            <w:t>5、商务条款响应/偏离表</w:t>
          </w:r>
          <w:r>
            <w:tab/>
          </w:r>
          <w:r>
            <w:fldChar w:fldCharType="begin"/>
          </w:r>
          <w:r>
            <w:instrText xml:space="preserve"> PAGEREF _Toc4310 \h </w:instrText>
          </w:r>
          <w:r>
            <w:fldChar w:fldCharType="separate"/>
          </w:r>
          <w:r>
            <w:t>29</w:t>
          </w:r>
          <w:r>
            <w:fldChar w:fldCharType="end"/>
          </w:r>
          <w:r>
            <w:fldChar w:fldCharType="end"/>
          </w:r>
        </w:p>
        <w:p w14:paraId="62DD1611">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_Toc28878 </w:instrText>
          </w:r>
          <w:r>
            <w:fldChar w:fldCharType="separate"/>
          </w:r>
          <w:r>
            <w:rPr>
              <w:rFonts w:hint="eastAsia" w:ascii="宋体" w:hAnsi="宋体" w:eastAsia="宋体" w:cs="宋体"/>
              <w:szCs w:val="28"/>
              <w:lang w:val="en-US" w:eastAsia="zh-CN"/>
            </w:rPr>
            <w:t>6、其他资料</w:t>
          </w:r>
          <w:r>
            <w:tab/>
          </w:r>
          <w:r>
            <w:fldChar w:fldCharType="begin"/>
          </w:r>
          <w:r>
            <w:instrText xml:space="preserve"> PAGEREF _Toc28878 \h </w:instrText>
          </w:r>
          <w:r>
            <w:fldChar w:fldCharType="separate"/>
          </w:r>
          <w:r>
            <w:t>30</w:t>
          </w:r>
          <w:r>
            <w:fldChar w:fldCharType="end"/>
          </w:r>
          <w:r>
            <w:fldChar w:fldCharType="end"/>
          </w:r>
        </w:p>
        <w:p w14:paraId="16E91391">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_Toc4781 </w:instrText>
          </w:r>
          <w:r>
            <w:fldChar w:fldCharType="separate"/>
          </w:r>
          <w:r>
            <w:rPr>
              <w:rFonts w:hint="eastAsia" w:ascii="宋体" w:hAnsi="宋体" w:eastAsia="宋体" w:cs="宋体"/>
              <w:szCs w:val="28"/>
              <w:lang w:val="en-US" w:eastAsia="zh-CN"/>
            </w:rPr>
            <w:t>7、中小企业声明</w:t>
          </w:r>
          <w:r>
            <w:tab/>
          </w:r>
          <w:r>
            <w:fldChar w:fldCharType="begin"/>
          </w:r>
          <w:r>
            <w:instrText xml:space="preserve"> PAGEREF _Toc4781 \h </w:instrText>
          </w:r>
          <w:r>
            <w:fldChar w:fldCharType="separate"/>
          </w:r>
          <w:r>
            <w:t>33</w:t>
          </w:r>
          <w:r>
            <w:fldChar w:fldCharType="end"/>
          </w:r>
          <w:r>
            <w:fldChar w:fldCharType="end"/>
          </w:r>
        </w:p>
        <w:p w14:paraId="4D0D2691">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_Toc4593 </w:instrText>
          </w:r>
          <w:r>
            <w:fldChar w:fldCharType="separate"/>
          </w:r>
          <w:r>
            <w:rPr>
              <w:rFonts w:hint="eastAsia" w:ascii="宋体" w:hAnsi="宋体" w:eastAsia="宋体" w:cs="宋体"/>
              <w:szCs w:val="28"/>
              <w:lang w:val="en-US" w:eastAsia="zh-CN"/>
            </w:rPr>
            <w:t>8、省级以上监狱管理局、戒毒管理局（含新疆生产建设兵团）出具的属于监狱企业证明文件</w:t>
          </w:r>
          <w:r>
            <w:tab/>
          </w:r>
          <w:r>
            <w:fldChar w:fldCharType="begin"/>
          </w:r>
          <w:r>
            <w:instrText xml:space="preserve"> PAGEREF _Toc4593 \h </w:instrText>
          </w:r>
          <w:r>
            <w:fldChar w:fldCharType="separate"/>
          </w:r>
          <w:r>
            <w:t>37</w:t>
          </w:r>
          <w:r>
            <w:fldChar w:fldCharType="end"/>
          </w:r>
          <w:r>
            <w:fldChar w:fldCharType="end"/>
          </w:r>
        </w:p>
        <w:p w14:paraId="34F0C6FE">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_Toc9968 </w:instrText>
          </w:r>
          <w:r>
            <w:fldChar w:fldCharType="separate"/>
          </w:r>
          <w:r>
            <w:rPr>
              <w:rFonts w:hint="eastAsia" w:ascii="宋体" w:hAnsi="宋体" w:eastAsia="宋体" w:cs="宋体"/>
              <w:szCs w:val="28"/>
              <w:lang w:val="en-US" w:eastAsia="zh-CN"/>
            </w:rPr>
            <w:t>9、残疾人福利性单位声明函</w:t>
          </w:r>
          <w:r>
            <w:tab/>
          </w:r>
          <w:r>
            <w:fldChar w:fldCharType="begin"/>
          </w:r>
          <w:r>
            <w:instrText xml:space="preserve"> PAGEREF _Toc9968 \h </w:instrText>
          </w:r>
          <w:r>
            <w:fldChar w:fldCharType="separate"/>
          </w:r>
          <w:r>
            <w:t>38</w:t>
          </w:r>
          <w:r>
            <w:fldChar w:fldCharType="end"/>
          </w:r>
          <w:r>
            <w:fldChar w:fldCharType="end"/>
          </w:r>
        </w:p>
        <w:p w14:paraId="29943F52">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_Toc11073 </w:instrText>
          </w:r>
          <w:r>
            <w:fldChar w:fldCharType="separate"/>
          </w:r>
          <w:r>
            <w:rPr>
              <w:rFonts w:hint="eastAsia" w:ascii="宋体" w:hAnsi="宋体" w:eastAsia="宋体" w:cs="宋体"/>
              <w:szCs w:val="28"/>
              <w:lang w:val="en-US" w:eastAsia="zh-CN"/>
            </w:rPr>
            <w:t>10、属于《节能产品政府采购品目清单》、《环境标志产品政府采购品目清单》中的产品，提供认证证书复印件或证书网页截图</w:t>
          </w:r>
          <w:r>
            <w:tab/>
          </w:r>
          <w:r>
            <w:fldChar w:fldCharType="begin"/>
          </w:r>
          <w:r>
            <w:instrText xml:space="preserve"> PAGEREF _Toc11073 \h </w:instrText>
          </w:r>
          <w:r>
            <w:fldChar w:fldCharType="separate"/>
          </w:r>
          <w:r>
            <w:t>39</w:t>
          </w:r>
          <w:r>
            <w:fldChar w:fldCharType="end"/>
          </w:r>
          <w:r>
            <w:fldChar w:fldCharType="end"/>
          </w:r>
        </w:p>
        <w:p w14:paraId="625AD3EA">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_Toc8530 </w:instrText>
          </w:r>
          <w:r>
            <w:fldChar w:fldCharType="separate"/>
          </w:r>
          <w:r>
            <w:rPr>
              <w:rFonts w:hint="eastAsia" w:ascii="宋体" w:hAnsi="宋体" w:eastAsia="宋体" w:cs="宋体"/>
              <w:szCs w:val="28"/>
              <w:lang w:val="en-US" w:eastAsia="zh-CN"/>
            </w:rPr>
            <w:t>11、技术文件</w:t>
          </w:r>
          <w:r>
            <w:tab/>
          </w:r>
          <w:r>
            <w:fldChar w:fldCharType="begin"/>
          </w:r>
          <w:r>
            <w:instrText xml:space="preserve"> PAGEREF _Toc8530 \h </w:instrText>
          </w:r>
          <w:r>
            <w:fldChar w:fldCharType="separate"/>
          </w:r>
          <w:r>
            <w:t>44</w:t>
          </w:r>
          <w:r>
            <w:fldChar w:fldCharType="end"/>
          </w:r>
          <w:r>
            <w:fldChar w:fldCharType="end"/>
          </w:r>
        </w:p>
        <w:p w14:paraId="6EA71577">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_Toc3904 </w:instrText>
          </w:r>
          <w:r>
            <w:fldChar w:fldCharType="separate"/>
          </w:r>
          <w:r>
            <w:rPr>
              <w:rFonts w:hint="eastAsia" w:ascii="宋体" w:hAnsi="宋体" w:eastAsia="宋体" w:cs="宋体"/>
              <w:szCs w:val="28"/>
              <w:lang w:val="en-US" w:eastAsia="zh-CN"/>
            </w:rPr>
            <w:t>12、资格证明文件</w:t>
          </w:r>
          <w:r>
            <w:tab/>
          </w:r>
          <w:r>
            <w:fldChar w:fldCharType="begin"/>
          </w:r>
          <w:r>
            <w:instrText xml:space="preserve"> PAGEREF _Toc3904 \h </w:instrText>
          </w:r>
          <w:r>
            <w:fldChar w:fldCharType="separate"/>
          </w:r>
          <w:r>
            <w:t>45</w:t>
          </w:r>
          <w:r>
            <w:fldChar w:fldCharType="end"/>
          </w:r>
          <w:r>
            <w:fldChar w:fldCharType="end"/>
          </w:r>
        </w:p>
        <w:p w14:paraId="6EDC8899">
          <w:pPr>
            <w:pStyle w:val="14"/>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_Toc2432 </w:instrText>
          </w:r>
          <w:r>
            <w:fldChar w:fldCharType="separate"/>
          </w:r>
          <w:r>
            <w:rPr>
              <w:rFonts w:hint="eastAsia" w:ascii="宋体" w:hAnsi="宋体" w:eastAsia="宋体" w:cs="宋体"/>
              <w:szCs w:val="32"/>
              <w:lang w:val="en-US" w:eastAsia="zh-CN"/>
            </w:rPr>
            <w:t>第五章　采购需求一览表及采购要求</w:t>
          </w:r>
          <w:r>
            <w:tab/>
          </w:r>
          <w:r>
            <w:fldChar w:fldCharType="begin"/>
          </w:r>
          <w:r>
            <w:instrText xml:space="preserve"> PAGEREF _Toc2432 \h </w:instrText>
          </w:r>
          <w:r>
            <w:fldChar w:fldCharType="separate"/>
          </w:r>
          <w:r>
            <w:t>51</w:t>
          </w:r>
          <w:r>
            <w:fldChar w:fldCharType="end"/>
          </w:r>
          <w:r>
            <w:fldChar w:fldCharType="end"/>
          </w:r>
        </w:p>
        <w:p w14:paraId="2743F40B">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_Toc29014 </w:instrText>
          </w:r>
          <w:r>
            <w:fldChar w:fldCharType="separate"/>
          </w:r>
          <w:r>
            <w:rPr>
              <w:rFonts w:hint="eastAsia" w:ascii="宋体" w:hAnsi="宋体" w:eastAsia="宋体" w:cs="宋体"/>
              <w:szCs w:val="30"/>
              <w:lang w:val="en-US" w:eastAsia="zh-CN"/>
            </w:rPr>
            <w:t>一、采购需求一览表</w:t>
          </w:r>
          <w:r>
            <w:tab/>
          </w:r>
          <w:r>
            <w:fldChar w:fldCharType="begin"/>
          </w:r>
          <w:r>
            <w:instrText xml:space="preserve"> PAGEREF _Toc29014 \h </w:instrText>
          </w:r>
          <w:r>
            <w:fldChar w:fldCharType="separate"/>
          </w:r>
          <w:r>
            <w:t>51</w:t>
          </w:r>
          <w:r>
            <w:fldChar w:fldCharType="end"/>
          </w:r>
          <w:r>
            <w:fldChar w:fldCharType="end"/>
          </w:r>
        </w:p>
        <w:p w14:paraId="5C73FA7B">
          <w:pPr>
            <w:pStyle w:val="15"/>
            <w:keepNext w:val="0"/>
            <w:keepLines w:val="0"/>
            <w:pageBreakBefore w:val="0"/>
            <w:tabs>
              <w:tab w:val="right" w:leader="dot" w:pos="8306"/>
            </w:tabs>
            <w:kinsoku/>
            <w:wordWrap/>
            <w:overflowPunct/>
            <w:topLinePunct w:val="0"/>
            <w:autoSpaceDE/>
            <w:autoSpaceDN/>
            <w:bidi w:val="0"/>
            <w:adjustRightInd/>
            <w:snapToGrid/>
            <w:spacing w:line="288" w:lineRule="auto"/>
            <w:textAlignment w:val="auto"/>
          </w:pPr>
          <w:r>
            <w:fldChar w:fldCharType="begin"/>
          </w:r>
          <w:r>
            <w:instrText xml:space="preserve"> HYPERLINK \l _Toc3589 </w:instrText>
          </w:r>
          <w:r>
            <w:fldChar w:fldCharType="separate"/>
          </w:r>
          <w:r>
            <w:rPr>
              <w:rFonts w:hint="eastAsia" w:ascii="宋体" w:hAnsi="宋体" w:eastAsia="宋体" w:cs="宋体"/>
              <w:szCs w:val="30"/>
              <w:lang w:val="en-US" w:eastAsia="zh-CN"/>
            </w:rPr>
            <w:t>二、采购要求</w:t>
          </w:r>
          <w:r>
            <w:tab/>
          </w:r>
          <w:r>
            <w:fldChar w:fldCharType="begin"/>
          </w:r>
          <w:r>
            <w:instrText xml:space="preserve"> PAGEREF _Toc3589 \h </w:instrText>
          </w:r>
          <w:r>
            <w:fldChar w:fldCharType="separate"/>
          </w:r>
          <w:r>
            <w:t>52</w:t>
          </w:r>
          <w:r>
            <w:fldChar w:fldCharType="end"/>
          </w:r>
          <w:r>
            <w:fldChar w:fldCharType="end"/>
          </w:r>
        </w:p>
        <w:p w14:paraId="3CD66E67">
          <w:pPr>
            <w:keepNext w:val="0"/>
            <w:keepLines w:val="0"/>
            <w:pageBreakBefore w:val="0"/>
            <w:kinsoku/>
            <w:wordWrap/>
            <w:overflowPunct/>
            <w:topLinePunct w:val="0"/>
            <w:autoSpaceDE/>
            <w:autoSpaceDN/>
            <w:bidi w:val="0"/>
            <w:adjustRightInd/>
            <w:snapToGrid/>
            <w:spacing w:line="288" w:lineRule="auto"/>
            <w:textAlignment w:val="auto"/>
          </w:pPr>
          <w:r>
            <w:fldChar w:fldCharType="end"/>
          </w:r>
        </w:p>
      </w:sdtContent>
    </w:sdt>
    <w:p w14:paraId="4A74C931">
      <w:pPr>
        <w:rPr>
          <w:rFonts w:hint="default"/>
          <w:lang w:eastAsia="zh-CN"/>
        </w:rPr>
      </w:pPr>
      <w:r>
        <w:rPr>
          <w:rFonts w:hint="default"/>
          <w:lang w:eastAsia="zh-CN"/>
        </w:rPr>
        <w:fldChar w:fldCharType="end"/>
      </w:r>
    </w:p>
    <w:p w14:paraId="464DBD65">
      <w:pPr>
        <w:pStyle w:val="6"/>
        <w:bidi w:val="0"/>
        <w:rPr>
          <w:rFonts w:hint="eastAsia"/>
          <w:sz w:val="32"/>
          <w:szCs w:val="32"/>
          <w:lang w:eastAsia="zh-CN"/>
        </w:rPr>
        <w:sectPr>
          <w:pgSz w:w="11906" w:h="16838"/>
          <w:pgMar w:top="1440" w:right="1800" w:bottom="1440" w:left="1800" w:header="851" w:footer="992" w:gutter="0"/>
          <w:cols w:space="425" w:num="1"/>
          <w:docGrid w:type="lines" w:linePitch="312" w:charSpace="0"/>
        </w:sectPr>
      </w:pPr>
      <w:bookmarkStart w:id="0" w:name="_Toc8249"/>
      <w:bookmarkStart w:id="1" w:name="_Toc5443"/>
      <w:bookmarkStart w:id="2" w:name="_Toc475970871"/>
      <w:bookmarkStart w:id="3" w:name="_Toc5955"/>
      <w:bookmarkStart w:id="4" w:name="_Toc10703"/>
    </w:p>
    <w:p w14:paraId="7B36327A">
      <w:pPr>
        <w:pStyle w:val="6"/>
        <w:bidi w:val="0"/>
        <w:rPr>
          <w:rFonts w:hint="eastAsia" w:ascii="宋体" w:hAnsi="宋体" w:eastAsia="宋体" w:cs="宋体"/>
          <w:b/>
          <w:bCs/>
          <w:szCs w:val="32"/>
          <w:lang w:eastAsia="zh-CN"/>
        </w:rPr>
      </w:pPr>
      <w:bookmarkStart w:id="5" w:name="_Toc22031"/>
      <w:bookmarkStart w:id="6" w:name="_Toc23187"/>
      <w:r>
        <w:rPr>
          <w:rFonts w:hint="eastAsia"/>
          <w:sz w:val="32"/>
          <w:szCs w:val="32"/>
          <w:lang w:eastAsia="zh-CN"/>
        </w:rPr>
        <w:t>第一章、询价邀请</w:t>
      </w:r>
      <w:bookmarkEnd w:id="0"/>
      <w:bookmarkEnd w:id="1"/>
      <w:bookmarkEnd w:id="2"/>
      <w:bookmarkEnd w:id="3"/>
      <w:bookmarkEnd w:id="4"/>
      <w:bookmarkEnd w:id="5"/>
      <w:bookmarkEnd w:id="6"/>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E54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E3FC444">
            <w:pPr>
              <w:pStyle w:val="18"/>
              <w:bidi w:val="0"/>
              <w:spacing w:line="360" w:lineRule="auto"/>
              <w:rPr>
                <w:rFonts w:hint="eastAsia"/>
                <w:lang w:eastAsia="zh-CN"/>
              </w:rPr>
            </w:pPr>
            <w:r>
              <w:rPr>
                <w:rFonts w:hint="eastAsia"/>
                <w:lang w:eastAsia="zh-CN"/>
              </w:rPr>
              <w:t>项目概况</w:t>
            </w:r>
          </w:p>
          <w:p w14:paraId="083C3863">
            <w:pPr>
              <w:pStyle w:val="18"/>
              <w:bidi w:val="0"/>
              <w:spacing w:line="360" w:lineRule="auto"/>
              <w:rPr>
                <w:rFonts w:hint="eastAsia"/>
                <w:lang w:eastAsia="zh-CN"/>
              </w:rPr>
            </w:pPr>
            <w:r>
              <w:rPr>
                <w:rFonts w:hint="eastAsia"/>
                <w:u w:val="none"/>
                <w:lang w:eastAsia="zh-CN"/>
              </w:rPr>
              <w:t>吉安职业技术学院校园限速设备采购</w:t>
            </w:r>
            <w:r>
              <w:rPr>
                <w:rFonts w:hint="eastAsia"/>
                <w:lang w:eastAsia="zh-CN"/>
              </w:rPr>
              <w:t>的潜在供应商应在</w:t>
            </w:r>
            <w:r>
              <w:rPr>
                <w:rFonts w:hint="eastAsia"/>
                <w:b/>
                <w:bCs/>
                <w:lang w:eastAsia="zh-CN"/>
              </w:rPr>
              <w:t>江西企恒企业管理有限公司</w:t>
            </w:r>
            <w:r>
              <w:rPr>
                <w:rFonts w:hint="eastAsia"/>
                <w:lang w:eastAsia="zh-CN"/>
              </w:rPr>
              <w:t>获取采购文件，并于</w:t>
            </w:r>
            <w:r>
              <w:rPr>
                <w:rFonts w:hint="eastAsia"/>
                <w:lang w:val="en-US" w:eastAsia="zh-CN"/>
              </w:rPr>
              <w:t>2025</w:t>
            </w:r>
            <w:r>
              <w:rPr>
                <w:rFonts w:hint="eastAsia"/>
                <w:lang w:eastAsia="zh-CN"/>
              </w:rPr>
              <w:t>年</w:t>
            </w:r>
            <w:r>
              <w:rPr>
                <w:rFonts w:hint="eastAsia"/>
                <w:lang w:val="en-US" w:eastAsia="zh-CN"/>
              </w:rPr>
              <w:t>11</w:t>
            </w:r>
            <w:r>
              <w:rPr>
                <w:rFonts w:hint="eastAsia"/>
                <w:lang w:eastAsia="zh-CN"/>
              </w:rPr>
              <w:t>月</w:t>
            </w:r>
            <w:r>
              <w:rPr>
                <w:rFonts w:hint="eastAsia"/>
                <w:lang w:val="en-US" w:eastAsia="zh-CN"/>
              </w:rPr>
              <w:t>20</w:t>
            </w:r>
            <w:r>
              <w:rPr>
                <w:rFonts w:hint="eastAsia"/>
                <w:lang w:eastAsia="zh-CN"/>
              </w:rPr>
              <w:t>日</w:t>
            </w:r>
            <w:r>
              <w:rPr>
                <w:rFonts w:hint="eastAsia"/>
                <w:lang w:val="en-US" w:eastAsia="zh-CN"/>
              </w:rPr>
              <w:t>9</w:t>
            </w:r>
            <w:r>
              <w:rPr>
                <w:rFonts w:hint="eastAsia"/>
                <w:lang w:eastAsia="zh-CN"/>
              </w:rPr>
              <w:t>点</w:t>
            </w:r>
            <w:r>
              <w:rPr>
                <w:rFonts w:hint="eastAsia"/>
                <w:lang w:val="en-US" w:eastAsia="zh-CN"/>
              </w:rPr>
              <w:t>30</w:t>
            </w:r>
            <w:r>
              <w:rPr>
                <w:rFonts w:hint="eastAsia"/>
                <w:lang w:eastAsia="zh-CN"/>
              </w:rPr>
              <w:t>分（</w:t>
            </w:r>
            <w:bookmarkStart w:id="260" w:name="_GoBack"/>
            <w:bookmarkEnd w:id="260"/>
            <w:r>
              <w:rPr>
                <w:rFonts w:hint="eastAsia"/>
                <w:lang w:eastAsia="zh-CN"/>
              </w:rPr>
              <w:t>北京时间）前提交响应文件。</w:t>
            </w:r>
          </w:p>
        </w:tc>
      </w:tr>
    </w:tbl>
    <w:p w14:paraId="13D5F204">
      <w:pPr>
        <w:pStyle w:val="18"/>
        <w:keepNext w:val="0"/>
        <w:keepLines w:val="0"/>
        <w:pageBreakBefore w:val="0"/>
        <w:widowControl w:val="0"/>
        <w:kinsoku/>
        <w:wordWrap/>
        <w:overflowPunct/>
        <w:topLinePunct w:val="0"/>
        <w:autoSpaceDE w:val="0"/>
        <w:autoSpaceDN w:val="0"/>
        <w:bidi w:val="0"/>
        <w:adjustRightInd w:val="0"/>
        <w:snapToGrid/>
        <w:ind w:left="0" w:leftChars="0" w:firstLine="0" w:firstLineChars="0"/>
        <w:jc w:val="left"/>
        <w:textAlignment w:val="auto"/>
        <w:rPr>
          <w:rFonts w:hint="eastAsia" w:ascii="宋体" w:hAnsi="宋体" w:eastAsia="宋体" w:cs="宋体"/>
          <w:b/>
          <w:bCs/>
          <w:sz w:val="24"/>
          <w:szCs w:val="24"/>
          <w:lang w:eastAsia="zh-CN"/>
        </w:rPr>
      </w:pPr>
      <w:bookmarkStart w:id="7" w:name="_Toc28359012"/>
      <w:bookmarkStart w:id="8" w:name="_Toc35393798"/>
      <w:bookmarkStart w:id="9" w:name="_Toc35393629"/>
      <w:bookmarkStart w:id="10" w:name="_Toc28359089"/>
      <w:r>
        <w:rPr>
          <w:rFonts w:hint="eastAsia" w:ascii="宋体" w:hAnsi="宋体" w:eastAsia="宋体" w:cs="宋体"/>
          <w:b/>
          <w:bCs/>
          <w:sz w:val="24"/>
          <w:szCs w:val="24"/>
          <w:lang w:eastAsia="zh-CN"/>
        </w:rPr>
        <w:t>一、项目基本情况</w:t>
      </w:r>
      <w:bookmarkEnd w:id="7"/>
      <w:bookmarkEnd w:id="8"/>
      <w:bookmarkEnd w:id="9"/>
      <w:bookmarkEnd w:id="10"/>
    </w:p>
    <w:p w14:paraId="3C7CC5D7">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项目编号：赣企恒招〔2025〕-25号</w:t>
      </w:r>
    </w:p>
    <w:p w14:paraId="54FFACD2">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项目名称：吉安职业技术学院校园限速设备采购</w:t>
      </w:r>
    </w:p>
    <w:p w14:paraId="7D3A9A2D">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采购方式：询价</w:t>
      </w:r>
    </w:p>
    <w:p w14:paraId="55A32B5F">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预算金额：161272</w:t>
      </w:r>
      <w:r>
        <w:rPr>
          <w:rFonts w:hint="eastAsia" w:eastAsia="宋体" w:cs="宋体"/>
          <w:b w:val="0"/>
          <w:bCs w:val="0"/>
          <w:sz w:val="24"/>
          <w:szCs w:val="24"/>
          <w:lang w:val="en-US" w:eastAsia="zh-CN"/>
        </w:rPr>
        <w:t>元</w:t>
      </w:r>
    </w:p>
    <w:p w14:paraId="1D3B80BE">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最高限价（如有）：</w:t>
      </w:r>
      <w:r>
        <w:rPr>
          <w:rFonts w:hint="eastAsia" w:eastAsia="宋体" w:cs="宋体"/>
          <w:b w:val="0"/>
          <w:bCs w:val="0"/>
          <w:sz w:val="24"/>
          <w:szCs w:val="24"/>
          <w:lang w:val="en-US" w:eastAsia="zh-CN"/>
        </w:rPr>
        <w:t>无</w:t>
      </w:r>
    </w:p>
    <w:p w14:paraId="3E17FCF2">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采购需求：</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3"/>
        <w:gridCol w:w="791"/>
        <w:gridCol w:w="813"/>
        <w:gridCol w:w="1954"/>
        <w:gridCol w:w="1758"/>
      </w:tblGrid>
      <w:tr w14:paraId="524F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pct"/>
            <w:vAlign w:val="center"/>
          </w:tcPr>
          <w:p w14:paraId="18A22EF1">
            <w:pPr>
              <w:spacing w:line="360" w:lineRule="auto"/>
              <w:jc w:val="center"/>
              <w:rPr>
                <w:rFonts w:hint="eastAsia"/>
                <w:lang w:eastAsia="zh-CN"/>
              </w:rPr>
            </w:pPr>
            <w:r>
              <w:rPr>
                <w:rFonts w:hint="eastAsia" w:ascii="宋体" w:hAnsi="宋体"/>
                <w:sz w:val="24"/>
                <w:szCs w:val="24"/>
              </w:rPr>
              <w:t>标的的名称</w:t>
            </w:r>
          </w:p>
        </w:tc>
        <w:tc>
          <w:tcPr>
            <w:tcW w:w="464" w:type="pct"/>
            <w:vAlign w:val="center"/>
          </w:tcPr>
          <w:p w14:paraId="2CCB92BF">
            <w:pPr>
              <w:spacing w:line="360" w:lineRule="auto"/>
              <w:jc w:val="center"/>
              <w:rPr>
                <w:rFonts w:hint="eastAsia" w:ascii="宋体" w:hAnsi="宋体" w:eastAsia="宋体" w:cs="宋体"/>
                <w:b w:val="0"/>
                <w:bCs w:val="0"/>
                <w:sz w:val="24"/>
                <w:szCs w:val="24"/>
                <w:vertAlign w:val="baseline"/>
                <w:lang w:eastAsia="zh-CN"/>
              </w:rPr>
            </w:pPr>
            <w:r>
              <w:rPr>
                <w:rFonts w:hint="eastAsia" w:ascii="宋体" w:hAnsi="宋体"/>
                <w:sz w:val="24"/>
                <w:szCs w:val="24"/>
              </w:rPr>
              <w:t>数量</w:t>
            </w:r>
          </w:p>
        </w:tc>
        <w:tc>
          <w:tcPr>
            <w:tcW w:w="477" w:type="pct"/>
            <w:vAlign w:val="center"/>
          </w:tcPr>
          <w:p w14:paraId="342875CA">
            <w:pPr>
              <w:spacing w:line="360" w:lineRule="auto"/>
              <w:jc w:val="center"/>
              <w:rPr>
                <w:rFonts w:hint="eastAsia" w:ascii="宋体" w:hAnsi="宋体" w:eastAsiaTheme="minorEastAsia"/>
                <w:sz w:val="24"/>
                <w:szCs w:val="24"/>
                <w:lang w:val="en-US" w:eastAsia="zh-CN"/>
              </w:rPr>
            </w:pPr>
            <w:r>
              <w:rPr>
                <w:rFonts w:hint="eastAsia" w:ascii="宋体" w:hAnsi="宋体"/>
                <w:sz w:val="24"/>
                <w:szCs w:val="24"/>
                <w:lang w:val="en-US" w:eastAsia="zh-CN"/>
              </w:rPr>
              <w:t>单位</w:t>
            </w:r>
          </w:p>
        </w:tc>
        <w:tc>
          <w:tcPr>
            <w:tcW w:w="1146" w:type="pct"/>
            <w:vAlign w:val="center"/>
          </w:tcPr>
          <w:p w14:paraId="5B1F4F34">
            <w:pPr>
              <w:spacing w:line="360" w:lineRule="auto"/>
              <w:jc w:val="center"/>
              <w:rPr>
                <w:rFonts w:hint="eastAsia" w:ascii="宋体" w:hAnsi="宋体" w:eastAsia="宋体" w:cs="宋体"/>
                <w:b w:val="0"/>
                <w:bCs w:val="0"/>
                <w:sz w:val="24"/>
                <w:szCs w:val="24"/>
                <w:vertAlign w:val="baseline"/>
                <w:lang w:eastAsia="zh-CN"/>
              </w:rPr>
            </w:pPr>
            <w:r>
              <w:rPr>
                <w:rFonts w:hint="eastAsia" w:ascii="宋体" w:hAnsi="宋体"/>
                <w:sz w:val="24"/>
                <w:szCs w:val="24"/>
              </w:rPr>
              <w:t>简要技术需求</w:t>
            </w:r>
          </w:p>
        </w:tc>
        <w:tc>
          <w:tcPr>
            <w:tcW w:w="1031" w:type="pct"/>
            <w:vAlign w:val="center"/>
          </w:tcPr>
          <w:p w14:paraId="2C8F1B41">
            <w:pPr>
              <w:spacing w:line="360" w:lineRule="auto"/>
              <w:jc w:val="center"/>
              <w:rPr>
                <w:rFonts w:hint="eastAsia" w:ascii="宋体" w:hAnsi="宋体" w:eastAsia="宋体" w:cs="宋体"/>
                <w:b w:val="0"/>
                <w:bCs w:val="0"/>
                <w:sz w:val="24"/>
                <w:szCs w:val="24"/>
                <w:vertAlign w:val="baseline"/>
                <w:lang w:eastAsia="zh-CN"/>
              </w:rPr>
            </w:pPr>
            <w:r>
              <w:rPr>
                <w:rFonts w:hint="eastAsia" w:ascii="宋体" w:hAnsi="宋体"/>
                <w:sz w:val="24"/>
                <w:szCs w:val="24"/>
              </w:rPr>
              <w:t>备注</w:t>
            </w:r>
          </w:p>
        </w:tc>
      </w:tr>
      <w:tr w14:paraId="102A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pct"/>
            <w:vAlign w:val="center"/>
          </w:tcPr>
          <w:p w14:paraId="52EBB872">
            <w:pPr>
              <w:pStyle w:val="18"/>
              <w:bidi w:val="0"/>
              <w:ind w:left="0" w:leftChars="0" w:firstLine="0" w:firstLineChars="0"/>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吉安职业技术学院校园限速设备采购</w:t>
            </w:r>
          </w:p>
        </w:tc>
        <w:tc>
          <w:tcPr>
            <w:tcW w:w="464" w:type="pct"/>
            <w:vAlign w:val="center"/>
          </w:tcPr>
          <w:p w14:paraId="7593D8EA">
            <w:pPr>
              <w:pStyle w:val="18"/>
              <w:bidi w:val="0"/>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eastAsia="宋体" w:cs="宋体"/>
                <w:b w:val="0"/>
                <w:bCs w:val="0"/>
                <w:sz w:val="24"/>
                <w:szCs w:val="24"/>
                <w:vertAlign w:val="baseline"/>
                <w:lang w:val="en-US" w:eastAsia="zh-CN"/>
              </w:rPr>
              <w:t>1</w:t>
            </w:r>
          </w:p>
        </w:tc>
        <w:tc>
          <w:tcPr>
            <w:tcW w:w="477" w:type="pct"/>
            <w:vAlign w:val="center"/>
          </w:tcPr>
          <w:p w14:paraId="20C7A1DD">
            <w:pPr>
              <w:pStyle w:val="18"/>
              <w:bidi w:val="0"/>
              <w:ind w:left="0" w:leftChars="0" w:firstLine="0" w:firstLineChars="0"/>
              <w:jc w:val="center"/>
              <w:rPr>
                <w:rFonts w:hint="eastAsia" w:eastAsiaTheme="minorEastAsia"/>
                <w:lang w:val="en-US" w:eastAsia="zh-CN"/>
              </w:rPr>
            </w:pPr>
            <w:r>
              <w:rPr>
                <w:rFonts w:hint="eastAsia"/>
                <w:lang w:val="en-US" w:eastAsia="zh-CN"/>
              </w:rPr>
              <w:t>批</w:t>
            </w:r>
          </w:p>
        </w:tc>
        <w:tc>
          <w:tcPr>
            <w:tcW w:w="1146" w:type="pct"/>
            <w:vAlign w:val="center"/>
          </w:tcPr>
          <w:p w14:paraId="0A5D5C92">
            <w:pPr>
              <w:pStyle w:val="18"/>
              <w:bidi w:val="0"/>
              <w:ind w:left="0" w:leftChars="0" w:firstLine="0" w:firstLineChars="0"/>
              <w:jc w:val="center"/>
              <w:rPr>
                <w:rFonts w:hint="eastAsia"/>
                <w:lang w:eastAsia="zh-CN"/>
              </w:rPr>
            </w:pPr>
            <w:r>
              <w:rPr>
                <w:rFonts w:hint="eastAsia"/>
              </w:rPr>
              <w:t>详见</w:t>
            </w:r>
            <w:r>
              <w:rPr>
                <w:rFonts w:hint="eastAsia"/>
                <w:lang w:val="en-US" w:eastAsia="zh-CN"/>
              </w:rPr>
              <w:t>询价通知书</w:t>
            </w:r>
            <w:r>
              <w:rPr>
                <w:rFonts w:hint="eastAsia"/>
              </w:rPr>
              <w:t>第五章</w:t>
            </w:r>
          </w:p>
        </w:tc>
        <w:tc>
          <w:tcPr>
            <w:tcW w:w="1031" w:type="pct"/>
            <w:vAlign w:val="center"/>
          </w:tcPr>
          <w:p w14:paraId="6C030ABE">
            <w:pPr>
              <w:pStyle w:val="18"/>
              <w:bidi w:val="0"/>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w:t>
            </w:r>
          </w:p>
        </w:tc>
      </w:tr>
    </w:tbl>
    <w:p w14:paraId="596004DA">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合同履行期限（交货期）：</w:t>
      </w:r>
      <w:r>
        <w:rPr>
          <w:rFonts w:hint="eastAsia"/>
          <w:color w:val="FF0000"/>
          <w:lang w:val="en-US" w:eastAsia="zh-CN"/>
        </w:rPr>
        <w:t>签订合同后30天内完成全部供货，货物送达指定地点，安装调试合格。</w:t>
      </w:r>
    </w:p>
    <w:p w14:paraId="50C77D21">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本项目是否接受联合体：不接受</w:t>
      </w:r>
    </w:p>
    <w:p w14:paraId="2FBBDC53">
      <w:pPr>
        <w:pStyle w:val="18"/>
        <w:keepNext w:val="0"/>
        <w:keepLines w:val="0"/>
        <w:pageBreakBefore w:val="0"/>
        <w:widowControl w:val="0"/>
        <w:kinsoku/>
        <w:wordWrap/>
        <w:overflowPunct/>
        <w:topLinePunct w:val="0"/>
        <w:autoSpaceDE w:val="0"/>
        <w:autoSpaceDN w:val="0"/>
        <w:bidi w:val="0"/>
        <w:adjustRightInd w:val="0"/>
        <w:snapToGrid/>
        <w:ind w:left="0" w:leftChars="0" w:firstLine="0" w:firstLineChars="0"/>
        <w:textAlignment w:val="auto"/>
        <w:rPr>
          <w:rFonts w:hint="eastAsia"/>
          <w:b/>
          <w:bCs/>
          <w:sz w:val="28"/>
          <w:szCs w:val="28"/>
          <w:lang w:eastAsia="zh-CN"/>
        </w:rPr>
      </w:pPr>
      <w:bookmarkStart w:id="11" w:name="_Toc28359013"/>
      <w:bookmarkStart w:id="12" w:name="_Toc35393630"/>
      <w:bookmarkStart w:id="13" w:name="_Toc35393799"/>
      <w:bookmarkStart w:id="14" w:name="_Toc28359090"/>
      <w:r>
        <w:rPr>
          <w:rFonts w:hint="eastAsia"/>
          <w:b/>
          <w:bCs/>
          <w:sz w:val="28"/>
          <w:szCs w:val="28"/>
          <w:lang w:eastAsia="zh-CN"/>
        </w:rPr>
        <w:t>二、申请人的资格要求：</w:t>
      </w:r>
      <w:bookmarkEnd w:id="11"/>
      <w:bookmarkEnd w:id="12"/>
      <w:bookmarkEnd w:id="13"/>
      <w:bookmarkEnd w:id="14"/>
    </w:p>
    <w:p w14:paraId="4B76A5D1">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bookmarkStart w:id="15" w:name="_Toc35393631"/>
      <w:bookmarkStart w:id="16" w:name="_Toc35393800"/>
      <w:r>
        <w:rPr>
          <w:rFonts w:hint="eastAsia"/>
          <w:lang w:eastAsia="zh-CN"/>
        </w:rPr>
        <w:t>1.满足《中华人民共和国政府采购法》第二十二条规定：</w:t>
      </w:r>
    </w:p>
    <w:p w14:paraId="097C34B7">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val="en-US" w:eastAsia="zh-CN"/>
        </w:rPr>
        <w:t>（1）</w:t>
      </w:r>
      <w:r>
        <w:rPr>
          <w:rFonts w:hint="eastAsia"/>
          <w:lang w:eastAsia="zh-CN"/>
        </w:rPr>
        <w:t>具有独立承担民事责任的能力；</w:t>
      </w:r>
    </w:p>
    <w:p w14:paraId="1FFF05FA">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val="en-US" w:eastAsia="zh-CN"/>
        </w:rPr>
        <w:t>（2）</w:t>
      </w:r>
      <w:r>
        <w:rPr>
          <w:rFonts w:hint="eastAsia"/>
          <w:lang w:eastAsia="zh-CN"/>
        </w:rPr>
        <w:t>具有良好的商业信誉和健全的财务会计制度；</w:t>
      </w:r>
    </w:p>
    <w:p w14:paraId="691BFB9B">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val="en-US" w:eastAsia="zh-CN"/>
        </w:rPr>
        <w:t>（3）</w:t>
      </w:r>
      <w:r>
        <w:rPr>
          <w:rFonts w:hint="eastAsia"/>
          <w:lang w:eastAsia="zh-CN"/>
        </w:rPr>
        <w:t>具有履行合同所必需的设备和专业技术能力；</w:t>
      </w:r>
    </w:p>
    <w:p w14:paraId="4F4C8BEB">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val="en-US" w:eastAsia="zh-CN"/>
        </w:rPr>
        <w:t>（4）</w:t>
      </w:r>
      <w:r>
        <w:rPr>
          <w:rFonts w:hint="eastAsia"/>
          <w:lang w:eastAsia="zh-CN"/>
        </w:rPr>
        <w:t>有依法缴纳税收和社会保障资金的良好记录；</w:t>
      </w:r>
    </w:p>
    <w:p w14:paraId="4C8FF09E">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val="en-US" w:eastAsia="zh-CN"/>
        </w:rPr>
        <w:t>（5）</w:t>
      </w:r>
      <w:r>
        <w:rPr>
          <w:rFonts w:hint="eastAsia"/>
          <w:lang w:eastAsia="zh-CN"/>
        </w:rPr>
        <w:t>参加政府采购活动前三年内，在经营活动中没有重大违法记录。</w:t>
      </w:r>
    </w:p>
    <w:p w14:paraId="363D87F1">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val="en-US" w:eastAsia="zh-CN"/>
        </w:rPr>
      </w:pPr>
      <w:r>
        <w:rPr>
          <w:rFonts w:hint="eastAsia"/>
          <w:lang w:val="en-US" w:eastAsia="zh-CN"/>
        </w:rPr>
        <w:t>（6）其他法律要求</w:t>
      </w:r>
    </w:p>
    <w:p w14:paraId="6B8B1968">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val="en-US" w:eastAsia="zh-CN"/>
        </w:rPr>
      </w:pPr>
      <w:r>
        <w:rPr>
          <w:rFonts w:hint="eastAsia"/>
          <w:lang w:val="en-US" w:eastAsia="zh-CN"/>
        </w:rPr>
        <w:t>①单位负责人为同一人或者存在直接控股、管理关系的不同供应商，不得参加同一合同项下的采购活动；</w:t>
      </w:r>
    </w:p>
    <w:p w14:paraId="0EF5167C">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val="en-US" w:eastAsia="zh-CN"/>
        </w:rPr>
      </w:pPr>
      <w:r>
        <w:rPr>
          <w:rFonts w:hint="eastAsia"/>
          <w:lang w:val="en-US" w:eastAsia="zh-CN"/>
        </w:rPr>
        <w:t>②为采购项目提供整体设计、规范编制或者项目管理、监理、检测等服务的供应商不得参加该采购项目的采购活动；</w:t>
      </w:r>
    </w:p>
    <w:p w14:paraId="5D035E29">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val="en-US" w:eastAsia="zh-CN"/>
        </w:rPr>
        <w:t>③供应商被“信用中国”网站列入失信被执行人和重大税收违法案件当事人名单的、被“中国政府采购网”网站列入政府采购严重违法失信行为记录名单（处罚期限尚未届满的），不得参与本项目的政府采购活动。</w:t>
      </w:r>
    </w:p>
    <w:p w14:paraId="07F29CFF">
      <w:pPr>
        <w:pStyle w:val="18"/>
        <w:keepNext w:val="0"/>
        <w:keepLines w:val="0"/>
        <w:pageBreakBefore w:val="0"/>
        <w:widowControl w:val="0"/>
        <w:kinsoku/>
        <w:wordWrap/>
        <w:overflowPunct/>
        <w:topLinePunct w:val="0"/>
        <w:autoSpaceDE w:val="0"/>
        <w:autoSpaceDN w:val="0"/>
        <w:bidi w:val="0"/>
        <w:adjustRightInd w:val="0"/>
        <w:snapToGrid/>
        <w:ind w:left="0" w:leftChars="0" w:firstLine="482" w:firstLineChars="200"/>
        <w:textAlignment w:val="auto"/>
        <w:rPr>
          <w:rFonts w:hint="eastAsia"/>
          <w:lang w:val="en-US" w:eastAsia="zh-CN"/>
        </w:rPr>
      </w:pPr>
      <w:r>
        <w:rPr>
          <w:rFonts w:hint="eastAsia"/>
          <w:b/>
          <w:bCs/>
          <w:lang w:val="en-US" w:eastAsia="zh-CN"/>
        </w:rPr>
        <w:t>注：</w:t>
      </w:r>
      <w:r>
        <w:rPr>
          <w:rFonts w:hint="eastAsia"/>
          <w:b/>
          <w:bCs/>
          <w:lang w:eastAsia="zh-CN"/>
        </w:rPr>
        <w:t>以上提供江西省政府采购供应商资格信用承诺函加盖响应人公章</w:t>
      </w:r>
      <w:r>
        <w:rPr>
          <w:rFonts w:hint="eastAsia"/>
          <w:b/>
          <w:bCs/>
          <w:lang w:val="en-US" w:eastAsia="zh-CN"/>
        </w:rPr>
        <w:t>或提供其他</w:t>
      </w:r>
      <w:r>
        <w:rPr>
          <w:rFonts w:hint="eastAsia"/>
          <w:b/>
          <w:bCs/>
          <w:lang w:eastAsia="zh-CN"/>
        </w:rPr>
        <w:t>证明文件（</w:t>
      </w:r>
      <w:r>
        <w:rPr>
          <w:rFonts w:hint="eastAsia"/>
          <w:b/>
          <w:bCs/>
          <w:lang w:val="en-US" w:eastAsia="zh-CN"/>
        </w:rPr>
        <w:t>详见询价文件</w:t>
      </w:r>
      <w:r>
        <w:rPr>
          <w:rFonts w:hint="eastAsia"/>
          <w:b/>
          <w:bCs/>
          <w:lang w:eastAsia="zh-CN"/>
        </w:rPr>
        <w:t>第四章</w:t>
      </w:r>
      <w:r>
        <w:rPr>
          <w:rFonts w:hint="eastAsia"/>
          <w:b/>
          <w:bCs/>
          <w:lang w:val="en-US" w:eastAsia="zh-CN"/>
        </w:rPr>
        <w:t>格式12-1</w:t>
      </w:r>
      <w:r>
        <w:rPr>
          <w:rFonts w:hint="eastAsia"/>
          <w:b/>
          <w:bCs/>
          <w:lang w:eastAsia="zh-CN"/>
        </w:rPr>
        <w:t>）。</w:t>
      </w:r>
    </w:p>
    <w:p w14:paraId="4E02B981">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val="en-US" w:eastAsia="zh-CN"/>
        </w:rPr>
        <w:t>2.</w:t>
      </w:r>
      <w:r>
        <w:rPr>
          <w:rFonts w:hint="eastAsia"/>
          <w:lang w:eastAsia="zh-CN"/>
        </w:rPr>
        <w:t>落实政府采购政策需满足的资格要求：</w:t>
      </w:r>
    </w:p>
    <w:p w14:paraId="263F373F">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val="en-US" w:eastAsia="zh-CN"/>
        </w:rPr>
        <w:t>（1）本项目：①属性为</w:t>
      </w:r>
      <w:r>
        <w:rPr>
          <w:rFonts w:hint="eastAsia"/>
          <w:color w:val="FF0000"/>
          <w:lang w:val="en-US" w:eastAsia="zh-CN"/>
        </w:rPr>
        <w:t>货物</w:t>
      </w:r>
      <w:r>
        <w:rPr>
          <w:rFonts w:hint="eastAsia"/>
          <w:lang w:val="en-US" w:eastAsia="zh-CN"/>
        </w:rPr>
        <w:t>；采购标的所属行业为</w:t>
      </w:r>
      <w:r>
        <w:rPr>
          <w:rFonts w:hint="eastAsia"/>
          <w:color w:val="FF0000"/>
          <w:lang w:val="en-US" w:eastAsia="zh-CN"/>
        </w:rPr>
        <w:t>工业</w:t>
      </w:r>
      <w:r>
        <w:rPr>
          <w:rFonts w:hint="eastAsia"/>
          <w:lang w:val="en-US" w:eastAsia="zh-CN"/>
        </w:rPr>
        <w:t>。②</w:t>
      </w:r>
      <w:r>
        <w:rPr>
          <w:rFonts w:hint="eastAsia"/>
          <w:color w:val="FF0000"/>
          <w:lang w:val="en-US" w:eastAsia="zh-CN"/>
        </w:rPr>
        <w:t>本项目非专门面向中小企业采购项目</w:t>
      </w:r>
      <w:r>
        <w:rPr>
          <w:rFonts w:hint="eastAsia"/>
          <w:color w:val="auto"/>
          <w:lang w:val="en-US" w:eastAsia="zh-CN"/>
        </w:rPr>
        <w:t>。</w:t>
      </w:r>
    </w:p>
    <w:p w14:paraId="1A6C7E3B">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w:t>
      </w:r>
      <w:r>
        <w:rPr>
          <w:rFonts w:hint="eastAsia"/>
          <w:lang w:val="en-US" w:eastAsia="zh-CN"/>
        </w:rPr>
        <w:t>2）</w:t>
      </w:r>
      <w:r>
        <w:rPr>
          <w:rFonts w:hint="eastAsia"/>
          <w:lang w:eastAsia="zh-CN"/>
        </w:rPr>
        <w:t>本项目采购落实小微企业、监狱企业、残疾人福利性单位、节能、环保产品等政府采购政策，提交产品属于政府强制采购节能产品、环境标志产品的，必须为本公告发布之日前最新一期《节能产品政府采购品目清单》、《环境标志产品政府采购品目清单》的产品。</w:t>
      </w:r>
    </w:p>
    <w:p w14:paraId="692BC535">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3.本项目的特定资格要求：</w:t>
      </w:r>
      <w:r>
        <w:rPr>
          <w:rFonts w:hint="eastAsia"/>
          <w:lang w:val="en-US" w:eastAsia="zh-CN"/>
        </w:rPr>
        <w:t>无</w:t>
      </w:r>
    </w:p>
    <w:p w14:paraId="01C0A5FD">
      <w:pPr>
        <w:pStyle w:val="18"/>
        <w:keepNext w:val="0"/>
        <w:keepLines w:val="0"/>
        <w:pageBreakBefore w:val="0"/>
        <w:widowControl w:val="0"/>
        <w:kinsoku/>
        <w:wordWrap/>
        <w:overflowPunct/>
        <w:topLinePunct w:val="0"/>
        <w:autoSpaceDE w:val="0"/>
        <w:autoSpaceDN w:val="0"/>
        <w:bidi w:val="0"/>
        <w:adjustRightInd w:val="0"/>
        <w:snapToGrid/>
        <w:ind w:left="0" w:leftChars="0" w:firstLine="0" w:firstLineChars="0"/>
        <w:textAlignment w:val="auto"/>
        <w:rPr>
          <w:rFonts w:hint="eastAsia"/>
          <w:lang w:eastAsia="zh-CN"/>
        </w:rPr>
      </w:pPr>
      <w:r>
        <w:rPr>
          <w:rFonts w:hint="eastAsia" w:ascii="宋体" w:hAnsi="宋体" w:eastAsia="宋体" w:cs="宋体"/>
          <w:b/>
          <w:bCs/>
          <w:sz w:val="28"/>
          <w:szCs w:val="28"/>
          <w:lang w:eastAsia="zh-CN"/>
        </w:rPr>
        <w:t>三、获取采购文件</w:t>
      </w:r>
      <w:bookmarkEnd w:id="15"/>
      <w:bookmarkEnd w:id="16"/>
    </w:p>
    <w:p w14:paraId="1109F782">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时间：202</w:t>
      </w:r>
      <w:r>
        <w:rPr>
          <w:rFonts w:hint="eastAsia"/>
          <w:lang w:val="en-US" w:eastAsia="zh-CN"/>
        </w:rPr>
        <w:t>5</w:t>
      </w:r>
      <w:r>
        <w:rPr>
          <w:rFonts w:hint="eastAsia"/>
          <w:lang w:eastAsia="zh-CN"/>
        </w:rPr>
        <w:t>年</w:t>
      </w:r>
      <w:r>
        <w:rPr>
          <w:rFonts w:hint="eastAsia"/>
          <w:lang w:val="en-US" w:eastAsia="zh-CN"/>
        </w:rPr>
        <w:t>11</w:t>
      </w:r>
      <w:r>
        <w:rPr>
          <w:rFonts w:hint="eastAsia"/>
          <w:lang w:eastAsia="zh-CN"/>
        </w:rPr>
        <w:t>月</w:t>
      </w:r>
      <w:r>
        <w:rPr>
          <w:rFonts w:hint="eastAsia"/>
          <w:lang w:val="en-US" w:eastAsia="zh-CN"/>
        </w:rPr>
        <w:t>13</w:t>
      </w:r>
      <w:r>
        <w:rPr>
          <w:rFonts w:hint="eastAsia"/>
          <w:lang w:eastAsia="zh-CN"/>
        </w:rPr>
        <w:t>日至202</w:t>
      </w:r>
      <w:r>
        <w:rPr>
          <w:rFonts w:hint="eastAsia"/>
          <w:lang w:val="en-US" w:eastAsia="zh-CN"/>
        </w:rPr>
        <w:t>5</w:t>
      </w:r>
      <w:r>
        <w:rPr>
          <w:rFonts w:hint="eastAsia"/>
          <w:lang w:eastAsia="zh-CN"/>
        </w:rPr>
        <w:t>年</w:t>
      </w:r>
      <w:r>
        <w:rPr>
          <w:rFonts w:hint="eastAsia"/>
          <w:lang w:val="en-US" w:eastAsia="zh-CN"/>
        </w:rPr>
        <w:t>11</w:t>
      </w:r>
      <w:r>
        <w:rPr>
          <w:rFonts w:hint="eastAsia"/>
          <w:lang w:eastAsia="zh-CN"/>
        </w:rPr>
        <w:t>月</w:t>
      </w:r>
      <w:r>
        <w:rPr>
          <w:rFonts w:hint="eastAsia"/>
          <w:lang w:val="en-US" w:eastAsia="zh-CN"/>
        </w:rPr>
        <w:t>17</w:t>
      </w:r>
      <w:r>
        <w:rPr>
          <w:rFonts w:hint="eastAsia"/>
          <w:lang w:eastAsia="zh-CN"/>
        </w:rPr>
        <w:t>日，</w:t>
      </w:r>
      <w:r>
        <w:rPr>
          <w:rFonts w:hint="eastAsia"/>
          <w:lang w:val="en-US" w:eastAsia="zh-CN"/>
        </w:rPr>
        <w:t>工作日</w:t>
      </w:r>
      <w:r>
        <w:rPr>
          <w:rFonts w:hint="eastAsia"/>
          <w:lang w:eastAsia="zh-CN"/>
        </w:rPr>
        <w:t>每天上午8：</w:t>
      </w:r>
      <w:r>
        <w:rPr>
          <w:rFonts w:hint="eastAsia"/>
          <w:lang w:val="en-US" w:eastAsia="zh-CN"/>
        </w:rPr>
        <w:t>3</w:t>
      </w:r>
      <w:r>
        <w:rPr>
          <w:rFonts w:hint="eastAsia"/>
          <w:lang w:eastAsia="zh-CN"/>
        </w:rPr>
        <w:t>0至12:00，下午</w:t>
      </w:r>
      <w:r>
        <w:rPr>
          <w:rFonts w:hint="eastAsia"/>
          <w:lang w:val="en-US" w:eastAsia="zh-CN"/>
        </w:rPr>
        <w:t>13</w:t>
      </w:r>
      <w:r>
        <w:rPr>
          <w:rFonts w:hint="eastAsia"/>
          <w:lang w:eastAsia="zh-CN"/>
        </w:rPr>
        <w:t>:</w:t>
      </w:r>
      <w:r>
        <w:rPr>
          <w:rFonts w:hint="eastAsia"/>
          <w:lang w:val="en-US" w:eastAsia="zh-CN"/>
        </w:rPr>
        <w:t>30</w:t>
      </w:r>
      <w:r>
        <w:rPr>
          <w:rFonts w:hint="eastAsia"/>
          <w:lang w:eastAsia="zh-CN"/>
        </w:rPr>
        <w:t>至17:</w:t>
      </w:r>
      <w:r>
        <w:rPr>
          <w:rFonts w:hint="eastAsia"/>
          <w:lang w:val="en-US" w:eastAsia="zh-CN"/>
        </w:rPr>
        <w:t>3</w:t>
      </w:r>
      <w:r>
        <w:rPr>
          <w:rFonts w:hint="eastAsia"/>
          <w:lang w:eastAsia="zh-CN"/>
        </w:rPr>
        <w:t>0（北京时间）</w:t>
      </w:r>
    </w:p>
    <w:p w14:paraId="303F446B">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地点：吉安市吉州区长冈南路29号二楼。</w:t>
      </w:r>
    </w:p>
    <w:p w14:paraId="08BDB9FE">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方式：提供法定代表人授权书、营业执照</w:t>
      </w:r>
      <w:r>
        <w:rPr>
          <w:rFonts w:hint="eastAsia"/>
          <w:lang w:val="en-US" w:eastAsia="zh-CN"/>
        </w:rPr>
        <w:t>及被授权人</w:t>
      </w:r>
      <w:r>
        <w:rPr>
          <w:rFonts w:hint="eastAsia"/>
          <w:lang w:eastAsia="zh-CN"/>
        </w:rPr>
        <w:t>身份证</w:t>
      </w:r>
      <w:r>
        <w:rPr>
          <w:rFonts w:hint="eastAsia"/>
          <w:lang w:val="en-US" w:eastAsia="zh-CN"/>
        </w:rPr>
        <w:t>原件（</w:t>
      </w:r>
      <w:r>
        <w:rPr>
          <w:rFonts w:hint="eastAsia"/>
          <w:lang w:eastAsia="zh-CN"/>
        </w:rPr>
        <w:t>复印件</w:t>
      </w:r>
      <w:r>
        <w:rPr>
          <w:rFonts w:hint="eastAsia"/>
          <w:lang w:val="en-US" w:eastAsia="zh-CN"/>
        </w:rPr>
        <w:t>）扫描件</w:t>
      </w:r>
      <w:r>
        <w:rPr>
          <w:rFonts w:hint="eastAsia"/>
          <w:lang w:eastAsia="zh-CN"/>
        </w:rPr>
        <w:t>加盖</w:t>
      </w:r>
      <w:r>
        <w:rPr>
          <w:rFonts w:hint="eastAsia"/>
          <w:lang w:val="en-US" w:eastAsia="zh-CN"/>
        </w:rPr>
        <w:t>响应人</w:t>
      </w:r>
      <w:r>
        <w:rPr>
          <w:rFonts w:hint="eastAsia"/>
          <w:lang w:eastAsia="zh-CN"/>
        </w:rPr>
        <w:t>公章至代理机构处报名后领取</w:t>
      </w:r>
      <w:r>
        <w:rPr>
          <w:rFonts w:hint="eastAsia"/>
          <w:lang w:val="en-US" w:eastAsia="zh-CN"/>
        </w:rPr>
        <w:t>询价</w:t>
      </w:r>
      <w:r>
        <w:rPr>
          <w:rFonts w:hint="eastAsia"/>
          <w:lang w:eastAsia="zh-CN"/>
        </w:rPr>
        <w:t>文件（</w:t>
      </w:r>
      <w:r>
        <w:rPr>
          <w:rFonts w:hint="eastAsia"/>
          <w:lang w:val="en-US" w:eastAsia="zh-CN"/>
        </w:rPr>
        <w:t>可网上提供</w:t>
      </w:r>
      <w:r>
        <w:rPr>
          <w:rFonts w:hint="eastAsia"/>
          <w:lang w:eastAsia="zh-CN"/>
        </w:rPr>
        <w:t>）。</w:t>
      </w:r>
    </w:p>
    <w:p w14:paraId="22436508">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售价：0元/份</w:t>
      </w:r>
    </w:p>
    <w:p w14:paraId="1F5EC621">
      <w:pPr>
        <w:pStyle w:val="18"/>
        <w:keepNext w:val="0"/>
        <w:keepLines w:val="0"/>
        <w:pageBreakBefore w:val="0"/>
        <w:widowControl w:val="0"/>
        <w:kinsoku/>
        <w:wordWrap/>
        <w:overflowPunct/>
        <w:topLinePunct w:val="0"/>
        <w:autoSpaceDE w:val="0"/>
        <w:autoSpaceDN w:val="0"/>
        <w:bidi w:val="0"/>
        <w:adjustRightInd w:val="0"/>
        <w:snapToGrid/>
        <w:ind w:left="0" w:leftChars="0" w:firstLine="0" w:firstLineChars="0"/>
        <w:textAlignment w:val="auto"/>
        <w:rPr>
          <w:rFonts w:hint="eastAsia"/>
          <w:lang w:eastAsia="zh-CN"/>
        </w:rPr>
      </w:pPr>
      <w:bookmarkStart w:id="17" w:name="_Toc35393801"/>
      <w:bookmarkStart w:id="18" w:name="_Toc28359092"/>
      <w:bookmarkStart w:id="19" w:name="_Toc28359015"/>
      <w:bookmarkStart w:id="20" w:name="_Toc35393632"/>
      <w:r>
        <w:rPr>
          <w:rFonts w:hint="eastAsia" w:ascii="宋体" w:hAnsi="宋体" w:eastAsia="宋体" w:cs="宋体"/>
          <w:b/>
          <w:bCs/>
          <w:sz w:val="28"/>
          <w:szCs w:val="28"/>
          <w:lang w:eastAsia="zh-CN"/>
        </w:rPr>
        <w:t>四、响应文件提交</w:t>
      </w:r>
      <w:bookmarkEnd w:id="17"/>
      <w:bookmarkEnd w:id="18"/>
      <w:bookmarkEnd w:id="19"/>
      <w:bookmarkEnd w:id="20"/>
    </w:p>
    <w:p w14:paraId="7626916E">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截止时间：</w:t>
      </w:r>
      <w:r>
        <w:rPr>
          <w:rFonts w:hint="eastAsia"/>
          <w:lang w:val="en-US" w:eastAsia="zh-CN"/>
        </w:rPr>
        <w:t>2025</w:t>
      </w:r>
      <w:r>
        <w:rPr>
          <w:rFonts w:hint="eastAsia"/>
          <w:lang w:eastAsia="zh-CN"/>
        </w:rPr>
        <w:t>年</w:t>
      </w:r>
      <w:r>
        <w:rPr>
          <w:rFonts w:hint="eastAsia"/>
          <w:lang w:val="en-US" w:eastAsia="zh-CN"/>
        </w:rPr>
        <w:t>11</w:t>
      </w:r>
      <w:r>
        <w:rPr>
          <w:rFonts w:hint="eastAsia"/>
          <w:lang w:eastAsia="zh-CN"/>
        </w:rPr>
        <w:t>月</w:t>
      </w:r>
      <w:r>
        <w:rPr>
          <w:rFonts w:hint="eastAsia"/>
          <w:lang w:val="en-US" w:eastAsia="zh-CN"/>
        </w:rPr>
        <w:t>20</w:t>
      </w:r>
      <w:r>
        <w:rPr>
          <w:rFonts w:hint="eastAsia"/>
          <w:lang w:eastAsia="zh-CN"/>
        </w:rPr>
        <w:t>日</w:t>
      </w:r>
      <w:r>
        <w:rPr>
          <w:rFonts w:hint="eastAsia"/>
          <w:lang w:val="en-US" w:eastAsia="zh-CN"/>
        </w:rPr>
        <w:t>9</w:t>
      </w:r>
      <w:r>
        <w:rPr>
          <w:rFonts w:hint="eastAsia"/>
          <w:lang w:eastAsia="zh-CN"/>
        </w:rPr>
        <w:t>点</w:t>
      </w:r>
      <w:r>
        <w:rPr>
          <w:rFonts w:hint="eastAsia"/>
          <w:lang w:val="en-US" w:eastAsia="zh-CN"/>
        </w:rPr>
        <w:t>30</w:t>
      </w:r>
      <w:r>
        <w:rPr>
          <w:rFonts w:hint="eastAsia"/>
          <w:lang w:eastAsia="zh-CN"/>
        </w:rPr>
        <w:t>分（北京时间）</w:t>
      </w:r>
    </w:p>
    <w:p w14:paraId="411BD9AE">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地点：吉安市吉州区长冈南路29号二楼。</w:t>
      </w:r>
    </w:p>
    <w:p w14:paraId="750ED6B1">
      <w:pPr>
        <w:pStyle w:val="18"/>
        <w:keepNext w:val="0"/>
        <w:keepLines w:val="0"/>
        <w:pageBreakBefore w:val="0"/>
        <w:widowControl w:val="0"/>
        <w:kinsoku/>
        <w:wordWrap/>
        <w:overflowPunct/>
        <w:topLinePunct w:val="0"/>
        <w:autoSpaceDE w:val="0"/>
        <w:autoSpaceDN w:val="0"/>
        <w:bidi w:val="0"/>
        <w:adjustRightInd w:val="0"/>
        <w:snapToGrid/>
        <w:ind w:left="0" w:leftChars="0" w:firstLine="0" w:firstLineChars="0"/>
        <w:textAlignment w:val="auto"/>
        <w:rPr>
          <w:rFonts w:hint="eastAsia"/>
          <w:lang w:eastAsia="zh-CN"/>
        </w:rPr>
      </w:pPr>
      <w:bookmarkStart w:id="21" w:name="_Toc35393802"/>
      <w:bookmarkStart w:id="22" w:name="_Toc28359016"/>
      <w:bookmarkStart w:id="23" w:name="_Toc28359093"/>
      <w:bookmarkStart w:id="24" w:name="_Toc35393633"/>
      <w:r>
        <w:rPr>
          <w:rFonts w:hint="eastAsia" w:ascii="宋体" w:hAnsi="宋体" w:eastAsia="宋体" w:cs="宋体"/>
          <w:b/>
          <w:bCs/>
          <w:sz w:val="28"/>
          <w:szCs w:val="28"/>
          <w:lang w:eastAsia="zh-CN"/>
        </w:rPr>
        <w:t>五、开启</w:t>
      </w:r>
      <w:bookmarkEnd w:id="21"/>
      <w:bookmarkEnd w:id="22"/>
      <w:bookmarkEnd w:id="23"/>
      <w:bookmarkEnd w:id="24"/>
    </w:p>
    <w:p w14:paraId="5F2DA8F7">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时间：</w:t>
      </w:r>
      <w:r>
        <w:rPr>
          <w:rFonts w:hint="eastAsia"/>
          <w:lang w:val="en-US" w:eastAsia="zh-CN"/>
        </w:rPr>
        <w:t>2025</w:t>
      </w:r>
      <w:r>
        <w:rPr>
          <w:rFonts w:hint="eastAsia"/>
          <w:lang w:eastAsia="zh-CN"/>
        </w:rPr>
        <w:t>年</w:t>
      </w:r>
      <w:r>
        <w:rPr>
          <w:rFonts w:hint="eastAsia"/>
          <w:lang w:val="en-US" w:eastAsia="zh-CN"/>
        </w:rPr>
        <w:t>11</w:t>
      </w:r>
      <w:r>
        <w:rPr>
          <w:rFonts w:hint="eastAsia"/>
          <w:lang w:eastAsia="zh-CN"/>
        </w:rPr>
        <w:t>月</w:t>
      </w:r>
      <w:r>
        <w:rPr>
          <w:rFonts w:hint="eastAsia"/>
          <w:lang w:val="en-US" w:eastAsia="zh-CN"/>
        </w:rPr>
        <w:t>20</w:t>
      </w:r>
      <w:r>
        <w:rPr>
          <w:rFonts w:hint="eastAsia"/>
          <w:lang w:eastAsia="zh-CN"/>
        </w:rPr>
        <w:t>日</w:t>
      </w:r>
      <w:r>
        <w:rPr>
          <w:rFonts w:hint="eastAsia"/>
          <w:lang w:val="en-US" w:eastAsia="zh-CN"/>
        </w:rPr>
        <w:t>9</w:t>
      </w:r>
      <w:r>
        <w:rPr>
          <w:rFonts w:hint="eastAsia"/>
          <w:lang w:eastAsia="zh-CN"/>
        </w:rPr>
        <w:t>点</w:t>
      </w:r>
      <w:r>
        <w:rPr>
          <w:rFonts w:hint="eastAsia"/>
          <w:lang w:val="en-US" w:eastAsia="zh-CN"/>
        </w:rPr>
        <w:t>30</w:t>
      </w:r>
      <w:r>
        <w:rPr>
          <w:rFonts w:hint="eastAsia"/>
          <w:lang w:eastAsia="zh-CN"/>
        </w:rPr>
        <w:t>分（北京时间）</w:t>
      </w:r>
    </w:p>
    <w:p w14:paraId="1043F99F">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地点：吉安市吉州区长冈南路29号二楼。</w:t>
      </w:r>
    </w:p>
    <w:p w14:paraId="46631BA8">
      <w:pPr>
        <w:pStyle w:val="18"/>
        <w:keepNext w:val="0"/>
        <w:keepLines w:val="0"/>
        <w:pageBreakBefore w:val="0"/>
        <w:widowControl w:val="0"/>
        <w:kinsoku/>
        <w:wordWrap/>
        <w:overflowPunct/>
        <w:topLinePunct w:val="0"/>
        <w:autoSpaceDE w:val="0"/>
        <w:autoSpaceDN w:val="0"/>
        <w:bidi w:val="0"/>
        <w:adjustRightInd w:val="0"/>
        <w:snapToGrid/>
        <w:ind w:left="0" w:leftChars="0" w:firstLine="0" w:firstLineChars="0"/>
        <w:textAlignment w:val="auto"/>
        <w:rPr>
          <w:rFonts w:hint="eastAsia"/>
          <w:lang w:eastAsia="zh-CN"/>
        </w:rPr>
      </w:pPr>
      <w:bookmarkStart w:id="25" w:name="_Toc35393634"/>
      <w:bookmarkStart w:id="26" w:name="_Toc35393803"/>
      <w:bookmarkStart w:id="27" w:name="_Toc28359094"/>
      <w:bookmarkStart w:id="28" w:name="_Toc28359017"/>
      <w:r>
        <w:rPr>
          <w:rFonts w:hint="eastAsia" w:ascii="宋体" w:hAnsi="宋体" w:eastAsia="宋体" w:cs="宋体"/>
          <w:b/>
          <w:bCs/>
          <w:sz w:val="28"/>
          <w:szCs w:val="28"/>
          <w:lang w:eastAsia="zh-CN"/>
        </w:rPr>
        <w:t>六、公告期限</w:t>
      </w:r>
      <w:bookmarkEnd w:id="25"/>
      <w:bookmarkEnd w:id="26"/>
      <w:bookmarkEnd w:id="27"/>
      <w:bookmarkEnd w:id="28"/>
    </w:p>
    <w:p w14:paraId="6585497C">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自本公告发布之日起3个工作日。</w:t>
      </w:r>
    </w:p>
    <w:p w14:paraId="6F501B84">
      <w:pPr>
        <w:pStyle w:val="18"/>
        <w:keepNext w:val="0"/>
        <w:keepLines w:val="0"/>
        <w:pageBreakBefore w:val="0"/>
        <w:widowControl w:val="0"/>
        <w:kinsoku/>
        <w:wordWrap/>
        <w:overflowPunct/>
        <w:topLinePunct w:val="0"/>
        <w:autoSpaceDE w:val="0"/>
        <w:autoSpaceDN w:val="0"/>
        <w:bidi w:val="0"/>
        <w:adjustRightInd w:val="0"/>
        <w:snapToGrid/>
        <w:ind w:left="0" w:leftChars="0" w:firstLine="0" w:firstLineChars="0"/>
        <w:textAlignment w:val="auto"/>
        <w:rPr>
          <w:rFonts w:hint="eastAsia"/>
          <w:lang w:eastAsia="zh-CN"/>
        </w:rPr>
      </w:pPr>
      <w:bookmarkStart w:id="29" w:name="_Toc35393804"/>
      <w:bookmarkStart w:id="30" w:name="_Toc35393635"/>
      <w:r>
        <w:rPr>
          <w:rFonts w:hint="eastAsia" w:ascii="宋体" w:hAnsi="宋体" w:eastAsia="宋体" w:cs="宋体"/>
          <w:b/>
          <w:bCs/>
          <w:sz w:val="28"/>
          <w:szCs w:val="28"/>
          <w:lang w:eastAsia="zh-CN"/>
        </w:rPr>
        <w:t>七、其他补充事宜</w:t>
      </w:r>
      <w:bookmarkEnd w:id="29"/>
      <w:bookmarkEnd w:id="30"/>
    </w:p>
    <w:p w14:paraId="79D889BA">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lang w:eastAsia="zh-CN"/>
        </w:rPr>
      </w:pPr>
      <w:r>
        <w:rPr>
          <w:rFonts w:hint="eastAsia"/>
          <w:lang w:eastAsia="zh-CN"/>
        </w:rPr>
        <w:t>1、询价通知书中未注明进口产品的，均为国产产品，不允许提供进口产品参加采购活动。</w:t>
      </w:r>
    </w:p>
    <w:p w14:paraId="36D95A37">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lang w:eastAsia="zh-CN"/>
        </w:rPr>
      </w:pPr>
      <w:r>
        <w:rPr>
          <w:rFonts w:hint="eastAsia"/>
          <w:lang w:val="en-US" w:eastAsia="zh-CN"/>
        </w:rPr>
        <w:t>2、</w:t>
      </w:r>
      <w:r>
        <w:rPr>
          <w:rFonts w:hint="eastAsia"/>
          <w:lang w:eastAsia="zh-CN"/>
        </w:rPr>
        <w:t>采购代理服务费：本项目向成交供应商收取采购代理服务费，收费标准详见询价通知书。</w:t>
      </w:r>
    </w:p>
    <w:p w14:paraId="4B67A50F">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lang w:val="en-US" w:eastAsia="zh-CN"/>
        </w:rPr>
      </w:pPr>
      <w:r>
        <w:rPr>
          <w:rFonts w:hint="eastAsia"/>
          <w:lang w:val="en-US" w:eastAsia="zh-CN"/>
        </w:rPr>
        <w:t>3、特别说明：响应人须将除响应文件和报价表外的零散资料装入单独的文件袋中（可不密封），并在文件袋上注明响应人名称，代理机构概不接收未袋装的零散资料。</w:t>
      </w:r>
    </w:p>
    <w:p w14:paraId="3C05E0D1">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default"/>
          <w:lang w:val="en-US" w:eastAsia="zh-CN"/>
        </w:rPr>
      </w:pPr>
      <w:r>
        <w:rPr>
          <w:rFonts w:hint="eastAsia"/>
          <w:lang w:val="en-US" w:eastAsia="zh-CN"/>
        </w:rPr>
        <w:t>4、吉安职业技术学院官网(http://www.japt.com.cn/)及江西省招标投标网（http://www.jxtb.org.cn/）公示。</w:t>
      </w:r>
    </w:p>
    <w:p w14:paraId="352B98D9">
      <w:pPr>
        <w:pStyle w:val="18"/>
        <w:keepNext w:val="0"/>
        <w:keepLines w:val="0"/>
        <w:pageBreakBefore w:val="0"/>
        <w:widowControl w:val="0"/>
        <w:kinsoku/>
        <w:wordWrap/>
        <w:overflowPunct/>
        <w:topLinePunct w:val="0"/>
        <w:autoSpaceDE w:val="0"/>
        <w:autoSpaceDN w:val="0"/>
        <w:bidi w:val="0"/>
        <w:adjustRightInd w:val="0"/>
        <w:snapToGrid/>
        <w:ind w:left="0" w:leftChars="0" w:firstLine="0" w:firstLineChars="0"/>
        <w:textAlignment w:val="auto"/>
        <w:rPr>
          <w:rFonts w:hint="eastAsia" w:ascii="宋体" w:hAnsi="宋体" w:eastAsia="宋体" w:cs="宋体"/>
          <w:b/>
          <w:bCs/>
          <w:sz w:val="28"/>
          <w:szCs w:val="28"/>
          <w:lang w:eastAsia="zh-CN"/>
        </w:rPr>
      </w:pPr>
      <w:bookmarkStart w:id="31" w:name="_Toc28359018"/>
      <w:bookmarkStart w:id="32" w:name="_Toc35393805"/>
      <w:bookmarkStart w:id="33" w:name="_Toc28359095"/>
      <w:bookmarkStart w:id="34" w:name="_Toc35393636"/>
      <w:r>
        <w:rPr>
          <w:rFonts w:hint="eastAsia" w:ascii="宋体" w:hAnsi="宋体" w:eastAsia="宋体" w:cs="宋体"/>
          <w:b/>
          <w:bCs/>
          <w:sz w:val="28"/>
          <w:szCs w:val="28"/>
          <w:lang w:eastAsia="zh-CN"/>
        </w:rPr>
        <w:t>八、凡对本次采购提出询问，请按以下方式联系。</w:t>
      </w:r>
      <w:bookmarkEnd w:id="31"/>
      <w:bookmarkEnd w:id="32"/>
      <w:bookmarkEnd w:id="33"/>
      <w:bookmarkEnd w:id="34"/>
    </w:p>
    <w:p w14:paraId="6E2E8BD7">
      <w:pPr>
        <w:pStyle w:val="18"/>
        <w:keepNext w:val="0"/>
        <w:keepLines w:val="0"/>
        <w:pageBreakBefore w:val="0"/>
        <w:widowControl w:val="0"/>
        <w:kinsoku/>
        <w:wordWrap/>
        <w:overflowPunct/>
        <w:topLinePunct w:val="0"/>
        <w:autoSpaceDE w:val="0"/>
        <w:autoSpaceDN w:val="0"/>
        <w:bidi w:val="0"/>
        <w:adjustRightInd w:val="0"/>
        <w:snapToGrid/>
        <w:ind w:left="0" w:leftChars="0" w:firstLine="482" w:firstLineChars="200"/>
        <w:textAlignment w:val="auto"/>
        <w:rPr>
          <w:rFonts w:hint="eastAsia"/>
          <w:b/>
          <w:bCs/>
          <w:lang w:eastAsia="zh-CN"/>
        </w:rPr>
      </w:pPr>
      <w:bookmarkStart w:id="35" w:name="_Toc28359019"/>
      <w:bookmarkStart w:id="36" w:name="_Toc35393637"/>
      <w:bookmarkStart w:id="37" w:name="_Toc35393806"/>
      <w:bookmarkStart w:id="38" w:name="_Toc28359096"/>
      <w:r>
        <w:rPr>
          <w:rFonts w:hint="eastAsia"/>
          <w:b/>
          <w:bCs/>
          <w:lang w:eastAsia="zh-CN"/>
        </w:rPr>
        <w:t>1、采购人信息</w:t>
      </w:r>
      <w:bookmarkEnd w:id="35"/>
      <w:bookmarkEnd w:id="36"/>
      <w:bookmarkEnd w:id="37"/>
      <w:bookmarkEnd w:id="38"/>
    </w:p>
    <w:p w14:paraId="341EB660">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名    称：吉安职业技术学院　　　　　　　　　　　　</w:t>
      </w:r>
    </w:p>
    <w:p w14:paraId="51F89E86">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地    址：江西省吉安市吉州区吉安南大道133号</w:t>
      </w:r>
    </w:p>
    <w:p w14:paraId="0B3372B8">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联系人：肖老师　　　　　　　　　　　　</w:t>
      </w:r>
    </w:p>
    <w:p w14:paraId="4695A6D5">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 xml:space="preserve">联系方式：0796-8263265　　　　　　 　　　 </w:t>
      </w:r>
    </w:p>
    <w:p w14:paraId="30BC4232">
      <w:pPr>
        <w:pStyle w:val="18"/>
        <w:keepNext w:val="0"/>
        <w:keepLines w:val="0"/>
        <w:pageBreakBefore w:val="0"/>
        <w:widowControl w:val="0"/>
        <w:kinsoku/>
        <w:wordWrap/>
        <w:overflowPunct/>
        <w:topLinePunct w:val="0"/>
        <w:autoSpaceDE w:val="0"/>
        <w:autoSpaceDN w:val="0"/>
        <w:bidi w:val="0"/>
        <w:adjustRightInd w:val="0"/>
        <w:snapToGrid/>
        <w:ind w:left="0" w:leftChars="0" w:firstLine="482" w:firstLineChars="200"/>
        <w:textAlignment w:val="auto"/>
        <w:rPr>
          <w:rFonts w:hint="eastAsia"/>
          <w:b/>
          <w:bCs/>
          <w:lang w:eastAsia="zh-CN"/>
        </w:rPr>
      </w:pPr>
      <w:bookmarkStart w:id="39" w:name="_Toc35393638"/>
      <w:bookmarkStart w:id="40" w:name="_Toc35393807"/>
      <w:bookmarkStart w:id="41" w:name="_Toc28359020"/>
      <w:bookmarkStart w:id="42" w:name="_Toc28359097"/>
      <w:r>
        <w:rPr>
          <w:rFonts w:hint="eastAsia"/>
          <w:b/>
          <w:bCs/>
          <w:lang w:eastAsia="zh-CN"/>
        </w:rPr>
        <w:t>2、采购代理机构信息</w:t>
      </w:r>
      <w:bookmarkEnd w:id="39"/>
      <w:bookmarkEnd w:id="40"/>
      <w:bookmarkEnd w:id="41"/>
      <w:bookmarkEnd w:id="42"/>
    </w:p>
    <w:p w14:paraId="68587062">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名    称：江西企恒企业管理有限公司</w:t>
      </w:r>
    </w:p>
    <w:p w14:paraId="13A67267">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地　　址：吉安市吉州区长冈南路29号二楼</w:t>
      </w:r>
    </w:p>
    <w:p w14:paraId="78E77EC8">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val="en-US" w:eastAsia="zh-CN"/>
        </w:rPr>
      </w:pPr>
      <w:r>
        <w:rPr>
          <w:rFonts w:hint="eastAsia"/>
          <w:lang w:eastAsia="zh-CN"/>
        </w:rPr>
        <w:t>联系人：</w:t>
      </w:r>
      <w:r>
        <w:rPr>
          <w:rFonts w:hint="eastAsia"/>
          <w:lang w:val="en-US" w:eastAsia="zh-CN"/>
        </w:rPr>
        <w:t>朱先生</w:t>
      </w:r>
    </w:p>
    <w:p w14:paraId="2FE0B4BA">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联系方式：0796-8181718</w:t>
      </w:r>
    </w:p>
    <w:p w14:paraId="5A6C3F37">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r>
        <w:rPr>
          <w:rFonts w:hint="eastAsia"/>
          <w:lang w:eastAsia="zh-CN"/>
        </w:rPr>
        <w:t>电子邮箱：jxqh123456@163.com</w:t>
      </w:r>
    </w:p>
    <w:p w14:paraId="48C26F8D">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eastAsia="zh-CN"/>
        </w:rPr>
      </w:pPr>
      <w:bookmarkStart w:id="43" w:name="_Toc35393808"/>
      <w:bookmarkStart w:id="44" w:name="_Toc30874"/>
      <w:bookmarkStart w:id="45" w:name="_Toc7225"/>
      <w:bookmarkStart w:id="46" w:name="_Toc28359021"/>
      <w:bookmarkStart w:id="47" w:name="_Toc23811"/>
      <w:bookmarkStart w:id="48" w:name="_Toc35393639"/>
      <w:bookmarkStart w:id="49" w:name="_Toc28359098"/>
      <w:r>
        <w:rPr>
          <w:rFonts w:hint="eastAsia"/>
          <w:lang w:eastAsia="zh-CN"/>
        </w:rPr>
        <w:t>3.项目联系方式</w:t>
      </w:r>
      <w:bookmarkEnd w:id="43"/>
      <w:bookmarkEnd w:id="44"/>
      <w:bookmarkEnd w:id="45"/>
      <w:bookmarkEnd w:id="46"/>
      <w:bookmarkEnd w:id="47"/>
      <w:bookmarkEnd w:id="48"/>
      <w:bookmarkEnd w:id="49"/>
    </w:p>
    <w:p w14:paraId="28E97764">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val="en-US" w:eastAsia="zh-CN"/>
        </w:rPr>
      </w:pPr>
      <w:r>
        <w:rPr>
          <w:rFonts w:hint="eastAsia"/>
          <w:lang w:eastAsia="zh-CN"/>
        </w:rPr>
        <w:t>项目联系人：</w:t>
      </w:r>
      <w:r>
        <w:rPr>
          <w:rFonts w:hint="eastAsia"/>
          <w:lang w:val="en-US" w:eastAsia="zh-CN"/>
        </w:rPr>
        <w:t>朱先生</w:t>
      </w:r>
    </w:p>
    <w:p w14:paraId="0E748D4C">
      <w:pPr>
        <w:pStyle w:val="18"/>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lang w:val="en-US" w:eastAsia="zh-CN"/>
        </w:rPr>
      </w:pPr>
      <w:bookmarkStart w:id="50" w:name="_Toc14305"/>
      <w:bookmarkStart w:id="51" w:name="_Toc30274"/>
      <w:bookmarkStart w:id="52" w:name="_Toc475960776"/>
      <w:r>
        <w:rPr>
          <w:rFonts w:hint="eastAsia"/>
          <w:lang w:val="en-US" w:eastAsia="zh-CN"/>
        </w:rPr>
        <w:t>电话：</w:t>
      </w:r>
      <w:r>
        <w:rPr>
          <w:rFonts w:hint="eastAsia"/>
          <w:lang w:eastAsia="zh-CN"/>
        </w:rPr>
        <w:t>0796-8181718</w:t>
      </w:r>
      <w:bookmarkEnd w:id="50"/>
      <w:bookmarkEnd w:id="51"/>
      <w:bookmarkEnd w:id="52"/>
    </w:p>
    <w:p w14:paraId="35381DFF">
      <w:pPr>
        <w:rPr>
          <w:rFonts w:hint="eastAsia"/>
          <w:lang w:val="en-US" w:eastAsia="zh-CN"/>
        </w:rPr>
      </w:pPr>
      <w:r>
        <w:rPr>
          <w:rFonts w:hint="eastAsia"/>
          <w:lang w:val="en-US" w:eastAsia="zh-CN"/>
        </w:rPr>
        <w:br w:type="page"/>
      </w:r>
    </w:p>
    <w:p w14:paraId="3CDF00F5">
      <w:pPr>
        <w:pStyle w:val="6"/>
        <w:bidi w:val="0"/>
        <w:rPr>
          <w:rFonts w:hint="eastAsia"/>
          <w:lang w:val="en-US" w:eastAsia="zh-CN"/>
        </w:rPr>
      </w:pPr>
      <w:bookmarkStart w:id="53" w:name="_Toc14874"/>
      <w:bookmarkStart w:id="54" w:name="_Toc1932"/>
      <w:r>
        <w:rPr>
          <w:rFonts w:hint="eastAsia"/>
          <w:sz w:val="32"/>
          <w:szCs w:val="32"/>
          <w:lang w:val="en-US" w:eastAsia="zh-CN"/>
        </w:rPr>
        <w:t>第二章、供应商须知</w:t>
      </w:r>
      <w:bookmarkEnd w:id="53"/>
      <w:bookmarkEnd w:id="54"/>
    </w:p>
    <w:p w14:paraId="534C2FBA">
      <w:pPr>
        <w:pStyle w:val="7"/>
        <w:bidi w:val="0"/>
        <w:rPr>
          <w:rFonts w:hint="eastAsia" w:ascii="宋体" w:hAnsi="宋体" w:eastAsia="宋体" w:cs="宋体"/>
          <w:lang w:val="en-US" w:eastAsia="zh-CN"/>
        </w:rPr>
      </w:pPr>
      <w:bookmarkStart w:id="55" w:name="_Toc373401591"/>
      <w:bookmarkStart w:id="56" w:name="_Toc24807"/>
      <w:bookmarkStart w:id="57" w:name="_Toc1336"/>
      <w:bookmarkStart w:id="58" w:name="_Toc19410"/>
      <w:bookmarkStart w:id="59" w:name="_Toc475970873"/>
      <w:bookmarkStart w:id="60" w:name="_Toc10370"/>
      <w:bookmarkStart w:id="61" w:name="_Toc287002504"/>
      <w:bookmarkStart w:id="62" w:name="_Toc373342697"/>
      <w:bookmarkStart w:id="63" w:name="_Toc5317"/>
      <w:bookmarkStart w:id="64" w:name="_Toc373342648"/>
      <w:r>
        <w:rPr>
          <w:rFonts w:hint="eastAsia" w:ascii="宋体" w:hAnsi="宋体" w:eastAsia="宋体" w:cs="宋体"/>
          <w:sz w:val="28"/>
          <w:szCs w:val="28"/>
          <w:lang w:val="en-US" w:eastAsia="zh-CN"/>
        </w:rPr>
        <w:t>一、供应商须知前附表</w:t>
      </w:r>
      <w:bookmarkEnd w:id="55"/>
      <w:bookmarkEnd w:id="56"/>
      <w:bookmarkEnd w:id="57"/>
      <w:bookmarkEnd w:id="58"/>
      <w:bookmarkEnd w:id="59"/>
      <w:bookmarkEnd w:id="60"/>
      <w:bookmarkEnd w:id="61"/>
      <w:bookmarkEnd w:id="62"/>
      <w:bookmarkEnd w:id="63"/>
      <w:bookmarkEnd w:id="64"/>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890"/>
        <w:gridCol w:w="6746"/>
      </w:tblGrid>
      <w:tr w14:paraId="13D1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vAlign w:val="top"/>
          </w:tcPr>
          <w:p w14:paraId="57D19723">
            <w:pPr>
              <w:keepNext w:val="0"/>
              <w:keepLines w:val="0"/>
              <w:pageBreakBefore w:val="0"/>
              <w:widowControl w:val="0"/>
              <w:kinsoku/>
              <w:wordWrap/>
              <w:overflowPunct/>
              <w:topLinePunct w:val="0"/>
              <w:autoSpaceDE/>
              <w:autoSpaceDN/>
              <w:bidi w:val="0"/>
              <w:spacing w:line="360" w:lineRule="auto"/>
              <w:jc w:val="center"/>
              <w:textAlignment w:val="auto"/>
              <w:rPr>
                <w:rFonts w:hint="eastAsia"/>
                <w:vertAlign w:val="baseline"/>
                <w:lang w:val="en-US" w:eastAsia="zh-CN"/>
              </w:rPr>
            </w:pPr>
            <w:r>
              <w:rPr>
                <w:rFonts w:hint="eastAsia" w:ascii="宋体" w:hAnsi="宋体"/>
                <w:b/>
                <w:bCs/>
                <w:color w:val="000000"/>
                <w:sz w:val="24"/>
                <w:szCs w:val="24"/>
              </w:rPr>
              <w:t>序号</w:t>
            </w:r>
          </w:p>
        </w:tc>
        <w:tc>
          <w:tcPr>
            <w:tcW w:w="522" w:type="pct"/>
            <w:vAlign w:val="top"/>
          </w:tcPr>
          <w:p w14:paraId="5116627A">
            <w:pPr>
              <w:keepNext w:val="0"/>
              <w:keepLines w:val="0"/>
              <w:pageBreakBefore w:val="0"/>
              <w:widowControl w:val="0"/>
              <w:kinsoku/>
              <w:wordWrap/>
              <w:overflowPunct/>
              <w:topLinePunct w:val="0"/>
              <w:autoSpaceDE/>
              <w:autoSpaceDN/>
              <w:bidi w:val="0"/>
              <w:spacing w:line="360" w:lineRule="auto"/>
              <w:jc w:val="center"/>
              <w:textAlignment w:val="auto"/>
              <w:rPr>
                <w:rFonts w:hint="eastAsia"/>
                <w:vertAlign w:val="baseline"/>
                <w:lang w:val="en-US" w:eastAsia="zh-CN"/>
              </w:rPr>
            </w:pPr>
            <w:r>
              <w:rPr>
                <w:rFonts w:hint="eastAsia" w:ascii="宋体" w:hAnsi="宋体"/>
                <w:b/>
                <w:bCs/>
                <w:color w:val="000000"/>
                <w:sz w:val="24"/>
                <w:szCs w:val="24"/>
              </w:rPr>
              <w:t>条款号</w:t>
            </w:r>
          </w:p>
        </w:tc>
        <w:tc>
          <w:tcPr>
            <w:tcW w:w="3958" w:type="pct"/>
            <w:vAlign w:val="top"/>
          </w:tcPr>
          <w:p w14:paraId="1C13C75A">
            <w:pPr>
              <w:keepNext w:val="0"/>
              <w:keepLines w:val="0"/>
              <w:pageBreakBefore w:val="0"/>
              <w:widowControl w:val="0"/>
              <w:kinsoku/>
              <w:wordWrap/>
              <w:overflowPunct/>
              <w:topLinePunct w:val="0"/>
              <w:autoSpaceDE/>
              <w:autoSpaceDN/>
              <w:bidi w:val="0"/>
              <w:spacing w:line="360" w:lineRule="auto"/>
              <w:jc w:val="center"/>
              <w:textAlignment w:val="auto"/>
              <w:rPr>
                <w:rFonts w:hint="eastAsia"/>
                <w:vertAlign w:val="baseline"/>
                <w:lang w:val="en-US" w:eastAsia="zh-CN"/>
              </w:rPr>
            </w:pPr>
            <w:r>
              <w:rPr>
                <w:rFonts w:hint="eastAsia" w:ascii="宋体" w:hAnsi="宋体"/>
                <w:b/>
                <w:bCs/>
                <w:color w:val="000000"/>
                <w:sz w:val="24"/>
                <w:szCs w:val="24"/>
              </w:rPr>
              <w:t>内    容</w:t>
            </w:r>
          </w:p>
        </w:tc>
      </w:tr>
      <w:tr w14:paraId="63B3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8" w:type="pct"/>
            <w:vAlign w:val="center"/>
          </w:tcPr>
          <w:p w14:paraId="4A2A2B2C">
            <w:pPr>
              <w:keepNext w:val="0"/>
              <w:keepLines w:val="0"/>
              <w:pageBreakBefore w:val="0"/>
              <w:widowControl w:val="0"/>
              <w:kinsoku/>
              <w:wordWrap/>
              <w:overflowPunct/>
              <w:topLinePunct w:val="0"/>
              <w:autoSpaceDE/>
              <w:autoSpaceDN/>
              <w:bidi w:val="0"/>
              <w:spacing w:line="360" w:lineRule="auto"/>
              <w:jc w:val="center"/>
              <w:textAlignment w:val="auto"/>
              <w:rPr>
                <w:rFonts w:hint="eastAsia"/>
                <w:vertAlign w:val="baseline"/>
                <w:lang w:val="en-US" w:eastAsia="zh-CN"/>
              </w:rPr>
            </w:pPr>
            <w:r>
              <w:rPr>
                <w:rFonts w:hint="eastAsia" w:ascii="宋体" w:hAnsi="宋体"/>
                <w:color w:val="000000"/>
                <w:sz w:val="24"/>
                <w:szCs w:val="24"/>
              </w:rPr>
              <w:t>1</w:t>
            </w:r>
          </w:p>
        </w:tc>
        <w:tc>
          <w:tcPr>
            <w:tcW w:w="522" w:type="pct"/>
            <w:vAlign w:val="center"/>
          </w:tcPr>
          <w:p w14:paraId="4229AEBB">
            <w:pPr>
              <w:keepNext w:val="0"/>
              <w:keepLines w:val="0"/>
              <w:pageBreakBefore w:val="0"/>
              <w:widowControl w:val="0"/>
              <w:kinsoku/>
              <w:wordWrap/>
              <w:overflowPunct/>
              <w:topLinePunct w:val="0"/>
              <w:autoSpaceDE/>
              <w:autoSpaceDN/>
              <w:bidi w:val="0"/>
              <w:spacing w:line="360" w:lineRule="auto"/>
              <w:jc w:val="center"/>
              <w:textAlignment w:val="auto"/>
              <w:rPr>
                <w:rFonts w:hint="eastAsia"/>
                <w:vertAlign w:val="baseline"/>
                <w:lang w:val="en-US" w:eastAsia="zh-CN"/>
              </w:rPr>
            </w:pPr>
            <w:r>
              <w:rPr>
                <w:rFonts w:hint="eastAsia" w:ascii="宋体" w:hAnsi="宋体"/>
                <w:color w:val="000000"/>
                <w:sz w:val="24"/>
                <w:szCs w:val="24"/>
              </w:rPr>
              <w:t>2</w:t>
            </w:r>
            <w:r>
              <w:rPr>
                <w:rFonts w:ascii="宋体" w:hAnsi="宋体"/>
                <w:color w:val="000000"/>
                <w:sz w:val="24"/>
                <w:szCs w:val="24"/>
              </w:rPr>
              <w:t>.1</w:t>
            </w:r>
          </w:p>
        </w:tc>
        <w:tc>
          <w:tcPr>
            <w:tcW w:w="3958" w:type="pct"/>
            <w:vAlign w:val="center"/>
          </w:tcPr>
          <w:p w14:paraId="76B3E5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rPr>
              <w:t>采购人名称：</w:t>
            </w:r>
            <w:r>
              <w:rPr>
                <w:rFonts w:hint="eastAsia" w:ascii="宋体" w:hAnsi="宋体"/>
                <w:sz w:val="24"/>
                <w:szCs w:val="24"/>
                <w:lang w:eastAsia="zh-CN"/>
              </w:rPr>
              <w:t>吉安职业技术学院</w:t>
            </w:r>
          </w:p>
          <w:p w14:paraId="2B9A9F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rPr>
              <w:t>联 系 人：</w:t>
            </w:r>
            <w:r>
              <w:rPr>
                <w:rFonts w:hint="eastAsia" w:ascii="宋体" w:hAnsi="宋体"/>
                <w:sz w:val="24"/>
                <w:szCs w:val="24"/>
                <w:lang w:eastAsia="zh-CN"/>
              </w:rPr>
              <w:t>肖老师</w:t>
            </w:r>
          </w:p>
          <w:p w14:paraId="5B4630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vertAlign w:val="baseline"/>
                <w:lang w:val="en-US" w:eastAsia="zh-CN"/>
              </w:rPr>
            </w:pPr>
            <w:r>
              <w:rPr>
                <w:rFonts w:hint="eastAsia" w:ascii="宋体" w:hAnsi="宋体"/>
                <w:sz w:val="24"/>
                <w:szCs w:val="24"/>
              </w:rPr>
              <w:t xml:space="preserve">联系电话：0796-8263265                          </w:t>
            </w:r>
          </w:p>
        </w:tc>
      </w:tr>
      <w:tr w14:paraId="0C56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vAlign w:val="center"/>
          </w:tcPr>
          <w:p w14:paraId="62E419E0">
            <w:pPr>
              <w:keepNext w:val="0"/>
              <w:keepLines w:val="0"/>
              <w:pageBreakBefore w:val="0"/>
              <w:widowControl w:val="0"/>
              <w:kinsoku/>
              <w:wordWrap/>
              <w:overflowPunct/>
              <w:topLinePunct w:val="0"/>
              <w:autoSpaceDE/>
              <w:autoSpaceDN/>
              <w:bidi w:val="0"/>
              <w:spacing w:line="360" w:lineRule="auto"/>
              <w:jc w:val="center"/>
              <w:textAlignment w:val="auto"/>
              <w:rPr>
                <w:rFonts w:hint="eastAsia"/>
                <w:vertAlign w:val="baseline"/>
                <w:lang w:val="en-US" w:eastAsia="zh-CN"/>
              </w:rPr>
            </w:pPr>
            <w:r>
              <w:rPr>
                <w:rFonts w:hint="eastAsia" w:ascii="宋体" w:hAnsi="宋体"/>
                <w:color w:val="000000"/>
                <w:sz w:val="24"/>
                <w:szCs w:val="24"/>
              </w:rPr>
              <w:t>2</w:t>
            </w:r>
          </w:p>
        </w:tc>
        <w:tc>
          <w:tcPr>
            <w:tcW w:w="522" w:type="pct"/>
            <w:vAlign w:val="center"/>
          </w:tcPr>
          <w:p w14:paraId="1BC6067B">
            <w:pPr>
              <w:keepNext w:val="0"/>
              <w:keepLines w:val="0"/>
              <w:pageBreakBefore w:val="0"/>
              <w:widowControl w:val="0"/>
              <w:kinsoku/>
              <w:wordWrap/>
              <w:overflowPunct/>
              <w:topLinePunct w:val="0"/>
              <w:autoSpaceDE/>
              <w:autoSpaceDN/>
              <w:bidi w:val="0"/>
              <w:spacing w:line="360" w:lineRule="auto"/>
              <w:jc w:val="center"/>
              <w:textAlignment w:val="auto"/>
              <w:rPr>
                <w:rFonts w:hint="eastAsia"/>
                <w:vertAlign w:val="baseline"/>
                <w:lang w:val="en-US" w:eastAsia="zh-CN"/>
              </w:rPr>
            </w:pPr>
            <w:r>
              <w:rPr>
                <w:rFonts w:hint="eastAsia" w:ascii="宋体" w:hAnsi="宋体"/>
                <w:color w:val="000000"/>
                <w:sz w:val="24"/>
                <w:szCs w:val="24"/>
              </w:rPr>
              <w:t>2</w:t>
            </w:r>
            <w:r>
              <w:rPr>
                <w:rFonts w:ascii="宋体" w:hAnsi="宋体"/>
                <w:color w:val="000000"/>
                <w:sz w:val="24"/>
                <w:szCs w:val="24"/>
              </w:rPr>
              <w:t>.</w:t>
            </w:r>
            <w:r>
              <w:rPr>
                <w:rFonts w:hint="eastAsia" w:ascii="宋体" w:hAnsi="宋体"/>
                <w:color w:val="000000"/>
                <w:sz w:val="24"/>
                <w:szCs w:val="24"/>
              </w:rPr>
              <w:t>2</w:t>
            </w:r>
          </w:p>
        </w:tc>
        <w:tc>
          <w:tcPr>
            <w:tcW w:w="3958" w:type="pct"/>
            <w:vAlign w:val="center"/>
          </w:tcPr>
          <w:p w14:paraId="53117F22">
            <w:pPr>
              <w:spacing w:before="120" w:beforeLines="50" w:line="360" w:lineRule="auto"/>
              <w:rPr>
                <w:rFonts w:hint="eastAsia" w:ascii="宋体" w:hAnsi="宋体" w:eastAsia="宋体"/>
                <w:sz w:val="24"/>
                <w:szCs w:val="24"/>
                <w:lang w:eastAsia="zh-CN"/>
              </w:rPr>
            </w:pPr>
            <w:r>
              <w:rPr>
                <w:rFonts w:hint="eastAsia" w:ascii="宋体" w:hAnsi="宋体"/>
                <w:sz w:val="24"/>
                <w:szCs w:val="24"/>
              </w:rPr>
              <w:t>采购代理机构：</w:t>
            </w:r>
            <w:r>
              <w:rPr>
                <w:rFonts w:hint="eastAsia" w:ascii="宋体" w:hAnsi="宋体"/>
                <w:sz w:val="24"/>
                <w:szCs w:val="24"/>
                <w:lang w:eastAsia="zh-CN"/>
              </w:rPr>
              <w:t>江西企恒企业管理有限公司</w:t>
            </w:r>
          </w:p>
          <w:p w14:paraId="5FCDC810">
            <w:pPr>
              <w:adjustRightInd w:val="0"/>
              <w:snapToGrid w:val="0"/>
              <w:spacing w:line="360" w:lineRule="auto"/>
              <w:rPr>
                <w:rFonts w:hint="eastAsia" w:ascii="微软雅黑" w:hAnsi="微软雅黑" w:eastAsia="微软雅黑"/>
                <w:color w:val="000000"/>
                <w:sz w:val="22"/>
                <w:szCs w:val="22"/>
                <w:shd w:val="clear" w:color="auto" w:fill="FFEDC4"/>
              </w:rPr>
            </w:pPr>
            <w:r>
              <w:rPr>
                <w:rFonts w:hint="eastAsia" w:ascii="宋体" w:hAnsi="宋体"/>
                <w:sz w:val="24"/>
                <w:szCs w:val="24"/>
              </w:rPr>
              <w:t>地址：</w:t>
            </w:r>
            <w:r>
              <w:rPr>
                <w:rFonts w:hint="eastAsia" w:ascii="宋体" w:hAnsi="宋体"/>
                <w:sz w:val="24"/>
                <w:szCs w:val="24"/>
                <w:lang w:eastAsia="zh-CN"/>
              </w:rPr>
              <w:t>吉安市吉州区长冈南路29号二楼</w:t>
            </w:r>
          </w:p>
          <w:p w14:paraId="7F16F984">
            <w:pPr>
              <w:adjustRightInd w:val="0"/>
              <w:snapToGrid w:val="0"/>
              <w:spacing w:line="360" w:lineRule="auto"/>
              <w:rPr>
                <w:rFonts w:hint="eastAsia"/>
                <w:vertAlign w:val="baseline"/>
                <w:lang w:val="en-US" w:eastAsia="zh-CN"/>
              </w:rPr>
            </w:pPr>
            <w:r>
              <w:rPr>
                <w:rFonts w:hint="eastAsia" w:ascii="宋体" w:hAnsi="宋体"/>
                <w:sz w:val="24"/>
                <w:szCs w:val="24"/>
                <w:lang w:val="en-US" w:eastAsia="zh-CN"/>
              </w:rPr>
              <w:t xml:space="preserve">联系人：朱先生               </w:t>
            </w:r>
            <w:r>
              <w:rPr>
                <w:rFonts w:hint="eastAsia" w:ascii="宋体" w:hAnsi="宋体"/>
                <w:sz w:val="24"/>
                <w:szCs w:val="24"/>
              </w:rPr>
              <w:t>电话：</w:t>
            </w:r>
            <w:r>
              <w:rPr>
                <w:rFonts w:hint="eastAsia" w:ascii="宋体" w:hAnsi="宋体"/>
                <w:sz w:val="24"/>
                <w:szCs w:val="24"/>
                <w:lang w:eastAsia="zh-CN"/>
              </w:rPr>
              <w:t>0796-8181718</w:t>
            </w:r>
            <w:r>
              <w:rPr>
                <w:rFonts w:hint="eastAsia" w:ascii="宋体" w:hAnsi="宋体"/>
                <w:sz w:val="24"/>
                <w:szCs w:val="24"/>
              </w:rPr>
              <w:t xml:space="preserve">           </w:t>
            </w:r>
          </w:p>
        </w:tc>
      </w:tr>
      <w:tr w14:paraId="019F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vAlign w:val="center"/>
          </w:tcPr>
          <w:p w14:paraId="3E67BE39">
            <w:pPr>
              <w:keepNext w:val="0"/>
              <w:keepLines w:val="0"/>
              <w:pageBreakBefore w:val="0"/>
              <w:widowControl w:val="0"/>
              <w:kinsoku/>
              <w:wordWrap/>
              <w:overflowPunct/>
              <w:topLinePunct w:val="0"/>
              <w:autoSpaceDE/>
              <w:autoSpaceDN/>
              <w:bidi w:val="0"/>
              <w:spacing w:line="360" w:lineRule="auto"/>
              <w:jc w:val="center"/>
              <w:textAlignment w:val="auto"/>
              <w:rPr>
                <w:rFonts w:hint="eastAsia"/>
                <w:vertAlign w:val="baseline"/>
                <w:lang w:val="en-US" w:eastAsia="zh-CN"/>
              </w:rPr>
            </w:pPr>
            <w:r>
              <w:rPr>
                <w:rFonts w:hint="eastAsia" w:ascii="宋体" w:hAnsi="宋体"/>
                <w:color w:val="000000"/>
                <w:sz w:val="24"/>
                <w:szCs w:val="24"/>
              </w:rPr>
              <w:t>3</w:t>
            </w:r>
          </w:p>
        </w:tc>
        <w:tc>
          <w:tcPr>
            <w:tcW w:w="522" w:type="pct"/>
            <w:vAlign w:val="center"/>
          </w:tcPr>
          <w:p w14:paraId="2C9C11EB">
            <w:pPr>
              <w:keepNext w:val="0"/>
              <w:keepLines w:val="0"/>
              <w:pageBreakBefore w:val="0"/>
              <w:widowControl w:val="0"/>
              <w:kinsoku/>
              <w:wordWrap/>
              <w:overflowPunct/>
              <w:topLinePunct w:val="0"/>
              <w:autoSpaceDE/>
              <w:autoSpaceDN/>
              <w:bidi w:val="0"/>
              <w:spacing w:line="360" w:lineRule="auto"/>
              <w:jc w:val="center"/>
              <w:textAlignment w:val="auto"/>
              <w:rPr>
                <w:rFonts w:hint="eastAsia"/>
                <w:vertAlign w:val="baseline"/>
                <w:lang w:val="en-US" w:eastAsia="zh-CN"/>
              </w:rPr>
            </w:pPr>
            <w:r>
              <w:rPr>
                <w:rFonts w:hint="eastAsia" w:ascii="宋体" w:hAnsi="宋体"/>
                <w:color w:val="000000"/>
                <w:sz w:val="24"/>
                <w:szCs w:val="24"/>
              </w:rPr>
              <w:t>3</w:t>
            </w:r>
          </w:p>
        </w:tc>
        <w:tc>
          <w:tcPr>
            <w:tcW w:w="3958" w:type="pct"/>
            <w:vAlign w:val="top"/>
          </w:tcPr>
          <w:p w14:paraId="3E941D63">
            <w:pPr>
              <w:keepNext w:val="0"/>
              <w:keepLines w:val="0"/>
              <w:pageBreakBefore w:val="0"/>
              <w:widowControl w:val="0"/>
              <w:kinsoku/>
              <w:wordWrap/>
              <w:overflowPunct/>
              <w:topLinePunct w:val="0"/>
              <w:autoSpaceDE/>
              <w:autoSpaceDN/>
              <w:bidi w:val="0"/>
              <w:spacing w:line="360" w:lineRule="auto"/>
              <w:textAlignment w:val="auto"/>
              <w:rPr>
                <w:rFonts w:ascii="宋体" w:hAnsi="宋体"/>
                <w:sz w:val="24"/>
                <w:szCs w:val="24"/>
              </w:rPr>
            </w:pPr>
            <w:r>
              <w:rPr>
                <w:rFonts w:hint="eastAsia" w:ascii="宋体" w:hAnsi="宋体"/>
                <w:color w:val="0D0D0D"/>
                <w:sz w:val="24"/>
                <w:szCs w:val="24"/>
              </w:rPr>
              <w:t>供应商的资格要求</w:t>
            </w:r>
            <w:r>
              <w:rPr>
                <w:rFonts w:hint="eastAsia" w:ascii="宋体" w:hAnsi="宋体"/>
                <w:sz w:val="24"/>
                <w:szCs w:val="24"/>
              </w:rPr>
              <w:t>：</w:t>
            </w:r>
          </w:p>
          <w:p w14:paraId="03343AED">
            <w:pPr>
              <w:keepNext w:val="0"/>
              <w:keepLines w:val="0"/>
              <w:pageBreakBefore w:val="0"/>
              <w:widowControl w:val="0"/>
              <w:kinsoku/>
              <w:wordWrap/>
              <w:overflowPunct/>
              <w:topLinePunct w:val="0"/>
              <w:autoSpaceDE/>
              <w:autoSpaceDN/>
              <w:bidi w:val="0"/>
              <w:spacing w:line="360" w:lineRule="auto"/>
              <w:textAlignment w:val="auto"/>
              <w:rPr>
                <w:rFonts w:hint="eastAsia"/>
                <w:vertAlign w:val="baseline"/>
                <w:lang w:val="en-US" w:eastAsia="zh-CN"/>
              </w:rPr>
            </w:pPr>
            <w:r>
              <w:rPr>
                <w:rFonts w:hint="eastAsia" w:ascii="宋体" w:hAnsi="宋体"/>
                <w:sz w:val="24"/>
                <w:szCs w:val="24"/>
              </w:rPr>
              <w:t>详见“询价邀请”</w:t>
            </w:r>
          </w:p>
        </w:tc>
      </w:tr>
      <w:tr w14:paraId="5817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vAlign w:val="center"/>
          </w:tcPr>
          <w:p w14:paraId="5D456C46">
            <w:pPr>
              <w:keepNext w:val="0"/>
              <w:keepLines w:val="0"/>
              <w:pageBreakBefore w:val="0"/>
              <w:widowControl w:val="0"/>
              <w:kinsoku/>
              <w:wordWrap/>
              <w:overflowPunct/>
              <w:topLinePunct w:val="0"/>
              <w:autoSpaceDE/>
              <w:autoSpaceDN/>
              <w:bidi w:val="0"/>
              <w:spacing w:line="360" w:lineRule="auto"/>
              <w:jc w:val="center"/>
              <w:textAlignment w:val="auto"/>
              <w:rPr>
                <w:rFonts w:hint="eastAsia"/>
                <w:vertAlign w:val="baseline"/>
                <w:lang w:val="en-US" w:eastAsia="zh-CN"/>
              </w:rPr>
            </w:pPr>
            <w:r>
              <w:rPr>
                <w:rFonts w:hint="eastAsia" w:ascii="宋体" w:hAnsi="宋体"/>
                <w:color w:val="000000"/>
                <w:sz w:val="24"/>
                <w:szCs w:val="24"/>
              </w:rPr>
              <w:t>4</w:t>
            </w:r>
          </w:p>
        </w:tc>
        <w:tc>
          <w:tcPr>
            <w:tcW w:w="522" w:type="pct"/>
            <w:vAlign w:val="center"/>
          </w:tcPr>
          <w:p w14:paraId="03CB26C4">
            <w:pPr>
              <w:keepNext w:val="0"/>
              <w:keepLines w:val="0"/>
              <w:pageBreakBefore w:val="0"/>
              <w:widowControl w:val="0"/>
              <w:kinsoku/>
              <w:wordWrap/>
              <w:overflowPunct/>
              <w:topLinePunct w:val="0"/>
              <w:autoSpaceDE/>
              <w:autoSpaceDN/>
              <w:bidi w:val="0"/>
              <w:spacing w:line="360" w:lineRule="auto"/>
              <w:jc w:val="center"/>
              <w:textAlignment w:val="auto"/>
              <w:rPr>
                <w:rFonts w:hint="eastAsia"/>
                <w:vertAlign w:val="baseline"/>
                <w:lang w:val="en-US" w:eastAsia="zh-CN"/>
              </w:rPr>
            </w:pPr>
            <w:r>
              <w:rPr>
                <w:rFonts w:ascii="宋体" w:hAnsi="宋体"/>
                <w:color w:val="000000"/>
                <w:sz w:val="24"/>
                <w:szCs w:val="24"/>
              </w:rPr>
              <w:t>1</w:t>
            </w:r>
            <w:r>
              <w:rPr>
                <w:rFonts w:hint="eastAsia" w:ascii="宋体" w:hAnsi="宋体"/>
                <w:color w:val="000000"/>
                <w:sz w:val="24"/>
                <w:szCs w:val="24"/>
              </w:rPr>
              <w:t>6</w:t>
            </w:r>
          </w:p>
        </w:tc>
        <w:tc>
          <w:tcPr>
            <w:tcW w:w="3958" w:type="pct"/>
            <w:vAlign w:val="top"/>
          </w:tcPr>
          <w:p w14:paraId="700CD8C2">
            <w:pPr>
              <w:keepNext w:val="0"/>
              <w:keepLines w:val="0"/>
              <w:pageBreakBefore w:val="0"/>
              <w:widowControl w:val="0"/>
              <w:kinsoku/>
              <w:wordWrap/>
              <w:overflowPunct/>
              <w:topLinePunct w:val="0"/>
              <w:autoSpaceDE/>
              <w:autoSpaceDN/>
              <w:bidi w:val="0"/>
              <w:spacing w:line="360" w:lineRule="auto"/>
              <w:textAlignment w:val="auto"/>
              <w:rPr>
                <w:rFonts w:hint="eastAsia"/>
                <w:vertAlign w:val="baseline"/>
                <w:lang w:val="en-US" w:eastAsia="zh-CN"/>
              </w:rPr>
            </w:pPr>
            <w:r>
              <w:rPr>
                <w:rFonts w:hint="eastAsia" w:ascii="宋体" w:hAnsi="宋体"/>
                <w:b/>
                <w:sz w:val="24"/>
                <w:lang w:val="en-US" w:eastAsia="zh-CN"/>
              </w:rPr>
              <w:t>投标保证金：本项目不收取投标保证金，询价文件中其他有关投标保证金的描述均不适用。</w:t>
            </w:r>
          </w:p>
        </w:tc>
      </w:tr>
      <w:tr w14:paraId="2755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vAlign w:val="center"/>
          </w:tcPr>
          <w:p w14:paraId="38E13765">
            <w:pPr>
              <w:keepNext w:val="0"/>
              <w:keepLines w:val="0"/>
              <w:pageBreakBefore w:val="0"/>
              <w:widowControl w:val="0"/>
              <w:kinsoku/>
              <w:wordWrap/>
              <w:overflowPunct/>
              <w:topLinePunct w:val="0"/>
              <w:autoSpaceDE/>
              <w:autoSpaceDN/>
              <w:bidi w:val="0"/>
              <w:spacing w:line="360" w:lineRule="auto"/>
              <w:jc w:val="center"/>
              <w:textAlignment w:val="auto"/>
              <w:rPr>
                <w:rFonts w:hint="eastAsia"/>
                <w:vertAlign w:val="baseline"/>
                <w:lang w:val="en-US" w:eastAsia="zh-CN"/>
              </w:rPr>
            </w:pPr>
            <w:r>
              <w:rPr>
                <w:rFonts w:hint="eastAsia" w:ascii="宋体" w:hAnsi="宋体"/>
                <w:sz w:val="24"/>
                <w:szCs w:val="24"/>
              </w:rPr>
              <w:t>5</w:t>
            </w:r>
          </w:p>
        </w:tc>
        <w:tc>
          <w:tcPr>
            <w:tcW w:w="522" w:type="pct"/>
            <w:vAlign w:val="center"/>
          </w:tcPr>
          <w:p w14:paraId="2FB5A1AE">
            <w:pPr>
              <w:keepNext w:val="0"/>
              <w:keepLines w:val="0"/>
              <w:pageBreakBefore w:val="0"/>
              <w:widowControl w:val="0"/>
              <w:kinsoku/>
              <w:wordWrap/>
              <w:overflowPunct/>
              <w:topLinePunct w:val="0"/>
              <w:autoSpaceDE/>
              <w:autoSpaceDN/>
              <w:bidi w:val="0"/>
              <w:spacing w:line="360" w:lineRule="auto"/>
              <w:jc w:val="center"/>
              <w:textAlignment w:val="auto"/>
              <w:rPr>
                <w:rFonts w:hint="eastAsia"/>
                <w:vertAlign w:val="baseline"/>
                <w:lang w:val="en-US" w:eastAsia="zh-CN"/>
              </w:rPr>
            </w:pPr>
            <w:r>
              <w:rPr>
                <w:rFonts w:ascii="宋体" w:hAnsi="宋体"/>
                <w:sz w:val="24"/>
                <w:szCs w:val="24"/>
              </w:rPr>
              <w:t>1</w:t>
            </w:r>
            <w:r>
              <w:rPr>
                <w:rFonts w:hint="eastAsia" w:ascii="宋体" w:hAnsi="宋体"/>
                <w:sz w:val="24"/>
                <w:szCs w:val="24"/>
              </w:rPr>
              <w:t>7</w:t>
            </w:r>
            <w:r>
              <w:rPr>
                <w:rFonts w:ascii="宋体" w:hAnsi="宋体"/>
                <w:sz w:val="24"/>
                <w:szCs w:val="24"/>
              </w:rPr>
              <w:t>.1</w:t>
            </w:r>
          </w:p>
        </w:tc>
        <w:tc>
          <w:tcPr>
            <w:tcW w:w="3958" w:type="pct"/>
            <w:vAlign w:val="top"/>
          </w:tcPr>
          <w:p w14:paraId="6197F8C6">
            <w:pPr>
              <w:keepNext w:val="0"/>
              <w:keepLines w:val="0"/>
              <w:pageBreakBefore w:val="0"/>
              <w:widowControl w:val="0"/>
              <w:kinsoku/>
              <w:wordWrap/>
              <w:overflowPunct/>
              <w:topLinePunct w:val="0"/>
              <w:autoSpaceDE/>
              <w:autoSpaceDN/>
              <w:bidi w:val="0"/>
              <w:spacing w:line="360" w:lineRule="auto"/>
              <w:textAlignment w:val="auto"/>
              <w:rPr>
                <w:rFonts w:hint="eastAsia"/>
                <w:vertAlign w:val="baseline"/>
                <w:lang w:val="en-US" w:eastAsia="zh-CN"/>
              </w:rPr>
            </w:pPr>
            <w:r>
              <w:rPr>
                <w:rFonts w:hint="eastAsia" w:ascii="宋体" w:hAnsi="宋体"/>
                <w:sz w:val="24"/>
                <w:szCs w:val="24"/>
              </w:rPr>
              <w:t>询价有效期：自询价之日起</w:t>
            </w:r>
            <w:r>
              <w:rPr>
                <w:rFonts w:hint="eastAsia" w:ascii="宋体" w:hAnsi="宋体"/>
                <w:sz w:val="24"/>
                <w:szCs w:val="24"/>
                <w:u w:val="single"/>
              </w:rPr>
              <w:t xml:space="preserve">  </w:t>
            </w:r>
            <w:r>
              <w:rPr>
                <w:rFonts w:hint="eastAsia" w:ascii="宋体" w:hAnsi="宋体"/>
                <w:b/>
                <w:sz w:val="24"/>
                <w:szCs w:val="24"/>
                <w:u w:val="single"/>
              </w:rPr>
              <w:t xml:space="preserve">90  </w:t>
            </w:r>
            <w:r>
              <w:rPr>
                <w:rFonts w:hint="eastAsia" w:ascii="宋体" w:hAnsi="宋体"/>
                <w:sz w:val="24"/>
                <w:szCs w:val="24"/>
              </w:rPr>
              <w:t>天</w:t>
            </w:r>
          </w:p>
        </w:tc>
      </w:tr>
      <w:tr w14:paraId="27E0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vAlign w:val="center"/>
          </w:tcPr>
          <w:p w14:paraId="47AABAD5">
            <w:pPr>
              <w:keepNext w:val="0"/>
              <w:keepLines w:val="0"/>
              <w:pageBreakBefore w:val="0"/>
              <w:widowControl w:val="0"/>
              <w:kinsoku/>
              <w:wordWrap/>
              <w:overflowPunct/>
              <w:topLinePunct w:val="0"/>
              <w:autoSpaceDE/>
              <w:autoSpaceDN/>
              <w:bidi w:val="0"/>
              <w:spacing w:line="360" w:lineRule="auto"/>
              <w:jc w:val="center"/>
              <w:textAlignment w:val="auto"/>
              <w:rPr>
                <w:rFonts w:hint="eastAsia"/>
                <w:vertAlign w:val="baseline"/>
                <w:lang w:val="en-US" w:eastAsia="zh-CN"/>
              </w:rPr>
            </w:pPr>
            <w:r>
              <w:rPr>
                <w:rFonts w:hint="eastAsia" w:ascii="宋体" w:hAnsi="宋体"/>
                <w:sz w:val="24"/>
                <w:szCs w:val="24"/>
              </w:rPr>
              <w:t>6</w:t>
            </w:r>
          </w:p>
        </w:tc>
        <w:tc>
          <w:tcPr>
            <w:tcW w:w="522" w:type="pct"/>
            <w:vAlign w:val="center"/>
          </w:tcPr>
          <w:p w14:paraId="1BAD106A">
            <w:pPr>
              <w:keepNext w:val="0"/>
              <w:keepLines w:val="0"/>
              <w:pageBreakBefore w:val="0"/>
              <w:widowControl w:val="0"/>
              <w:kinsoku/>
              <w:wordWrap/>
              <w:overflowPunct/>
              <w:topLinePunct w:val="0"/>
              <w:autoSpaceDE/>
              <w:autoSpaceDN/>
              <w:bidi w:val="0"/>
              <w:spacing w:line="360" w:lineRule="auto"/>
              <w:jc w:val="center"/>
              <w:textAlignment w:val="auto"/>
              <w:rPr>
                <w:rFonts w:hint="eastAsia"/>
                <w:vertAlign w:val="baseline"/>
                <w:lang w:val="en-US" w:eastAsia="zh-CN"/>
              </w:rPr>
            </w:pPr>
            <w:r>
              <w:rPr>
                <w:rFonts w:ascii="宋体" w:hAnsi="宋体"/>
                <w:sz w:val="24"/>
                <w:szCs w:val="24"/>
              </w:rPr>
              <w:t>1</w:t>
            </w:r>
            <w:r>
              <w:rPr>
                <w:rFonts w:hint="eastAsia" w:ascii="宋体" w:hAnsi="宋体"/>
                <w:sz w:val="24"/>
                <w:szCs w:val="24"/>
              </w:rPr>
              <w:t>8</w:t>
            </w:r>
            <w:r>
              <w:rPr>
                <w:rFonts w:ascii="宋体" w:hAnsi="宋体"/>
                <w:sz w:val="24"/>
                <w:szCs w:val="24"/>
              </w:rPr>
              <w:t>.1</w:t>
            </w:r>
          </w:p>
        </w:tc>
        <w:tc>
          <w:tcPr>
            <w:tcW w:w="3958" w:type="pct"/>
            <w:vAlign w:val="top"/>
          </w:tcPr>
          <w:p w14:paraId="2C675E30">
            <w:pPr>
              <w:keepNext w:val="0"/>
              <w:keepLines w:val="0"/>
              <w:pageBreakBefore w:val="0"/>
              <w:widowControl w:val="0"/>
              <w:kinsoku/>
              <w:wordWrap/>
              <w:overflowPunct/>
              <w:topLinePunct w:val="0"/>
              <w:autoSpaceDE/>
              <w:autoSpaceDN/>
              <w:bidi w:val="0"/>
              <w:spacing w:line="360" w:lineRule="auto"/>
              <w:textAlignment w:val="auto"/>
              <w:rPr>
                <w:rFonts w:hint="eastAsia"/>
                <w:vertAlign w:val="baseline"/>
                <w:lang w:val="en-US" w:eastAsia="zh-CN"/>
              </w:rPr>
            </w:pPr>
            <w:r>
              <w:rPr>
                <w:rFonts w:hint="eastAsia" w:ascii="宋体" w:hAnsi="宋体"/>
                <w:sz w:val="24"/>
                <w:szCs w:val="24"/>
              </w:rPr>
              <w:t>响应文件的份数：正本1份、 副本3份</w:t>
            </w:r>
          </w:p>
        </w:tc>
      </w:tr>
      <w:tr w14:paraId="2A01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vAlign w:val="center"/>
          </w:tcPr>
          <w:p w14:paraId="06270F6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vertAlign w:val="baseline"/>
                <w:lang w:val="en-US" w:eastAsia="zh-CN"/>
              </w:rPr>
            </w:pPr>
            <w:r>
              <w:rPr>
                <w:rFonts w:hint="eastAsia" w:ascii="宋体" w:hAnsi="宋体"/>
                <w:sz w:val="24"/>
                <w:szCs w:val="24"/>
              </w:rPr>
              <w:t>7</w:t>
            </w:r>
          </w:p>
        </w:tc>
        <w:tc>
          <w:tcPr>
            <w:tcW w:w="522" w:type="pct"/>
            <w:vAlign w:val="center"/>
          </w:tcPr>
          <w:p w14:paraId="56A70C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vertAlign w:val="baseline"/>
                <w:lang w:val="en-US" w:eastAsia="zh-CN"/>
              </w:rPr>
            </w:pPr>
            <w:r>
              <w:rPr>
                <w:rFonts w:hint="eastAsia" w:ascii="宋体" w:hAnsi="宋体"/>
                <w:sz w:val="24"/>
                <w:szCs w:val="24"/>
              </w:rPr>
              <w:t>20</w:t>
            </w:r>
          </w:p>
        </w:tc>
        <w:tc>
          <w:tcPr>
            <w:tcW w:w="3958" w:type="pct"/>
            <w:vAlign w:val="center"/>
          </w:tcPr>
          <w:p w14:paraId="4E1AB11E">
            <w:pPr>
              <w:keepNext w:val="0"/>
              <w:keepLines w:val="0"/>
              <w:pageBreakBefore w:val="0"/>
              <w:widowControl w:val="0"/>
              <w:kinsoku/>
              <w:wordWrap/>
              <w:overflowPunct/>
              <w:topLinePunct w:val="0"/>
              <w:autoSpaceDE/>
              <w:autoSpaceDN/>
              <w:bidi w:val="0"/>
              <w:spacing w:line="360" w:lineRule="auto"/>
              <w:textAlignment w:val="auto"/>
              <w:rPr>
                <w:rFonts w:hint="eastAsia"/>
                <w:vertAlign w:val="baseline"/>
                <w:lang w:val="en-US" w:eastAsia="zh-CN"/>
              </w:rPr>
            </w:pPr>
            <w:r>
              <w:rPr>
                <w:rFonts w:hint="eastAsia" w:ascii="宋体" w:hAnsi="宋体"/>
                <w:sz w:val="24"/>
                <w:szCs w:val="24"/>
              </w:rPr>
              <w:t>响应文件递交截止时间：详见“询价邀请”</w:t>
            </w:r>
          </w:p>
        </w:tc>
      </w:tr>
      <w:tr w14:paraId="75BA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vAlign w:val="center"/>
          </w:tcPr>
          <w:p w14:paraId="0732489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vertAlign w:val="baseline"/>
                <w:lang w:val="en-US" w:eastAsia="zh-CN"/>
              </w:rPr>
            </w:pPr>
            <w:r>
              <w:rPr>
                <w:rFonts w:hint="eastAsia" w:ascii="宋体" w:hAnsi="宋体"/>
                <w:sz w:val="24"/>
                <w:szCs w:val="24"/>
              </w:rPr>
              <w:t>8</w:t>
            </w:r>
          </w:p>
        </w:tc>
        <w:tc>
          <w:tcPr>
            <w:tcW w:w="522" w:type="pct"/>
            <w:vAlign w:val="center"/>
          </w:tcPr>
          <w:p w14:paraId="1435012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vertAlign w:val="baseline"/>
                <w:lang w:val="en-US" w:eastAsia="zh-CN"/>
              </w:rPr>
            </w:pPr>
            <w:r>
              <w:rPr>
                <w:rFonts w:hint="eastAsia" w:ascii="宋体" w:hAnsi="宋体"/>
                <w:sz w:val="24"/>
                <w:szCs w:val="24"/>
              </w:rPr>
              <w:t>23.1</w:t>
            </w:r>
          </w:p>
        </w:tc>
        <w:tc>
          <w:tcPr>
            <w:tcW w:w="3958" w:type="pct"/>
            <w:vAlign w:val="center"/>
          </w:tcPr>
          <w:p w14:paraId="72699970">
            <w:pPr>
              <w:keepNext w:val="0"/>
              <w:keepLines w:val="0"/>
              <w:pageBreakBefore w:val="0"/>
              <w:widowControl w:val="0"/>
              <w:kinsoku/>
              <w:wordWrap/>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rPr>
              <w:t>询价时间：详见“询价邀请”</w:t>
            </w:r>
          </w:p>
          <w:p w14:paraId="4409FEDB">
            <w:pPr>
              <w:keepNext w:val="0"/>
              <w:keepLines w:val="0"/>
              <w:pageBreakBefore w:val="0"/>
              <w:widowControl w:val="0"/>
              <w:kinsoku/>
              <w:wordWrap/>
              <w:overflowPunct/>
              <w:topLinePunct w:val="0"/>
              <w:autoSpaceDE/>
              <w:autoSpaceDN/>
              <w:bidi w:val="0"/>
              <w:spacing w:line="360" w:lineRule="auto"/>
              <w:textAlignment w:val="auto"/>
              <w:rPr>
                <w:rFonts w:hint="eastAsia"/>
                <w:vertAlign w:val="baseline"/>
                <w:lang w:val="en-US" w:eastAsia="zh-CN"/>
              </w:rPr>
            </w:pPr>
            <w:r>
              <w:rPr>
                <w:rFonts w:hint="eastAsia" w:ascii="宋体" w:hAnsi="宋体"/>
                <w:sz w:val="24"/>
                <w:szCs w:val="24"/>
              </w:rPr>
              <w:t>询价地点：详见“询价邀请”</w:t>
            </w:r>
          </w:p>
        </w:tc>
      </w:tr>
      <w:tr w14:paraId="535D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vAlign w:val="center"/>
          </w:tcPr>
          <w:p w14:paraId="2FA7C468">
            <w:pPr>
              <w:keepNext w:val="0"/>
              <w:keepLines w:val="0"/>
              <w:pageBreakBefore w:val="0"/>
              <w:widowControl w:val="0"/>
              <w:kinsoku/>
              <w:wordWrap/>
              <w:overflowPunct/>
              <w:topLinePunct w:val="0"/>
              <w:autoSpaceDE/>
              <w:autoSpaceDN/>
              <w:bidi w:val="0"/>
              <w:spacing w:line="360" w:lineRule="auto"/>
              <w:jc w:val="center"/>
              <w:textAlignment w:val="auto"/>
              <w:rPr>
                <w:rFonts w:hint="eastAsia"/>
                <w:vertAlign w:val="baseline"/>
                <w:lang w:val="en-US" w:eastAsia="zh-CN"/>
              </w:rPr>
            </w:pPr>
            <w:r>
              <w:rPr>
                <w:rFonts w:hint="eastAsia" w:ascii="宋体" w:hAnsi="宋体"/>
                <w:color w:val="000000"/>
                <w:sz w:val="24"/>
                <w:szCs w:val="24"/>
              </w:rPr>
              <w:t>9</w:t>
            </w:r>
          </w:p>
        </w:tc>
        <w:tc>
          <w:tcPr>
            <w:tcW w:w="522" w:type="pct"/>
            <w:vAlign w:val="center"/>
          </w:tcPr>
          <w:p w14:paraId="6254643C">
            <w:pPr>
              <w:keepNext w:val="0"/>
              <w:keepLines w:val="0"/>
              <w:pageBreakBefore w:val="0"/>
              <w:widowControl w:val="0"/>
              <w:kinsoku/>
              <w:wordWrap/>
              <w:overflowPunct/>
              <w:topLinePunct w:val="0"/>
              <w:autoSpaceDE/>
              <w:autoSpaceDN/>
              <w:bidi w:val="0"/>
              <w:spacing w:line="360" w:lineRule="auto"/>
              <w:jc w:val="center"/>
              <w:textAlignment w:val="auto"/>
              <w:rPr>
                <w:rFonts w:hint="eastAsia"/>
                <w:vertAlign w:val="baseline"/>
                <w:lang w:val="en-US" w:eastAsia="zh-CN"/>
              </w:rPr>
            </w:pPr>
            <w:r>
              <w:rPr>
                <w:rFonts w:hint="eastAsia" w:ascii="宋体" w:hAnsi="宋体"/>
                <w:color w:val="000000"/>
                <w:sz w:val="24"/>
                <w:szCs w:val="24"/>
              </w:rPr>
              <w:t>28</w:t>
            </w:r>
          </w:p>
        </w:tc>
        <w:tc>
          <w:tcPr>
            <w:tcW w:w="3958" w:type="pct"/>
            <w:vAlign w:val="center"/>
          </w:tcPr>
          <w:p w14:paraId="6F74F35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b/>
                <w:color w:val="0D0D0D"/>
                <w:sz w:val="24"/>
                <w:lang w:val="en-GB"/>
              </w:rPr>
            </w:pPr>
            <w:r>
              <w:rPr>
                <w:rFonts w:hint="eastAsia" w:ascii="宋体" w:hAnsi="宋体"/>
                <w:b/>
                <w:color w:val="0D0D0D"/>
                <w:sz w:val="24"/>
                <w:lang w:val="en-GB"/>
              </w:rPr>
              <w:t>确定成交供应商：</w:t>
            </w:r>
          </w:p>
          <w:p w14:paraId="4089AB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b/>
                <w:color w:val="0D0D0D"/>
                <w:sz w:val="24"/>
                <w:lang w:val="en-GB"/>
              </w:rPr>
            </w:pPr>
            <w:r>
              <w:rPr>
                <w:rFonts w:hint="eastAsia" w:ascii="宋体" w:hAnsi="宋体"/>
                <w:b/>
                <w:color w:val="0D0D0D"/>
                <w:sz w:val="24"/>
                <w:lang w:val="en-GB"/>
              </w:rPr>
              <w:t>采购人从评审报告提出的成交候选人中，根据质量和服务均能满足</w:t>
            </w:r>
            <w:r>
              <w:rPr>
                <w:rFonts w:hint="eastAsia" w:ascii="宋体" w:hAnsi="宋体"/>
                <w:b/>
                <w:color w:val="0D0D0D"/>
                <w:sz w:val="24"/>
                <w:lang w:val="en-GB" w:eastAsia="zh-CN"/>
              </w:rPr>
              <w:t>询价通知书</w:t>
            </w:r>
            <w:r>
              <w:rPr>
                <w:rFonts w:hint="eastAsia" w:ascii="宋体" w:hAnsi="宋体"/>
                <w:b/>
                <w:color w:val="0D0D0D"/>
                <w:sz w:val="24"/>
                <w:lang w:val="en-GB"/>
              </w:rPr>
              <w:t>实质性响应要求且最后报价最低的原则确定成交供应商，也可以书面授权</w:t>
            </w:r>
            <w:r>
              <w:rPr>
                <w:rFonts w:hint="eastAsia" w:ascii="宋体" w:hAnsi="宋体"/>
                <w:b/>
                <w:color w:val="0D0D0D"/>
                <w:sz w:val="24"/>
                <w:lang w:val="en-GB" w:eastAsia="zh-CN"/>
              </w:rPr>
              <w:t>询价</w:t>
            </w:r>
            <w:r>
              <w:rPr>
                <w:rFonts w:hint="eastAsia" w:ascii="宋体" w:hAnsi="宋体"/>
                <w:b/>
                <w:color w:val="0D0D0D"/>
                <w:sz w:val="24"/>
                <w:lang w:val="en-GB"/>
              </w:rPr>
              <w:t>小组直接确定成交供应商。</w:t>
            </w:r>
          </w:p>
          <w:p w14:paraId="2FE033EA">
            <w:pPr>
              <w:keepNext w:val="0"/>
              <w:keepLines w:val="0"/>
              <w:pageBreakBefore w:val="0"/>
              <w:widowControl w:val="0"/>
              <w:kinsoku/>
              <w:wordWrap/>
              <w:overflowPunct/>
              <w:topLinePunct w:val="0"/>
              <w:autoSpaceDE/>
              <w:autoSpaceDN/>
              <w:bidi w:val="0"/>
              <w:spacing w:line="360" w:lineRule="auto"/>
              <w:textAlignment w:val="auto"/>
              <w:rPr>
                <w:rFonts w:ascii="宋体" w:hAnsi="宋体"/>
                <w:bCs/>
                <w:sz w:val="24"/>
                <w:szCs w:val="24"/>
              </w:rPr>
            </w:pPr>
            <w:r>
              <w:rPr>
                <w:rFonts w:hint="eastAsia" w:ascii="宋体" w:hAnsi="宋体"/>
                <w:bCs/>
                <w:sz w:val="24"/>
                <w:szCs w:val="24"/>
              </w:rPr>
              <w:t>注：</w:t>
            </w:r>
            <w:r>
              <w:rPr>
                <w:rFonts w:hint="eastAsia" w:ascii="宋体" w:hAnsi="宋体"/>
                <w:color w:val="0D0D0D"/>
                <w:sz w:val="24"/>
                <w:szCs w:val="24"/>
              </w:rPr>
              <w:t>（1）对小型和微型企业产品的价格给予</w:t>
            </w:r>
            <w:r>
              <w:rPr>
                <w:rFonts w:hint="eastAsia" w:ascii="宋体" w:hAnsi="宋体"/>
                <w:b/>
                <w:bCs/>
                <w:color w:val="0D0D0D"/>
                <w:sz w:val="24"/>
                <w:szCs w:val="24"/>
                <w:lang w:val="en-US" w:eastAsia="zh-CN"/>
              </w:rPr>
              <w:t>10</w:t>
            </w:r>
            <w:r>
              <w:rPr>
                <w:rFonts w:hint="eastAsia" w:ascii="宋体" w:hAnsi="宋体"/>
                <w:b/>
                <w:bCs/>
                <w:color w:val="0D0D0D"/>
                <w:sz w:val="24"/>
                <w:szCs w:val="24"/>
              </w:rPr>
              <w:t>%</w:t>
            </w:r>
            <w:r>
              <w:rPr>
                <w:rFonts w:hint="eastAsia" w:ascii="宋体" w:hAnsi="宋体"/>
                <w:color w:val="0D0D0D"/>
                <w:sz w:val="24"/>
                <w:szCs w:val="24"/>
              </w:rPr>
              <w:t>的扣除，用扣除后的价格参与评审。</w:t>
            </w:r>
          </w:p>
          <w:p w14:paraId="01139A29">
            <w:pPr>
              <w:keepNext w:val="0"/>
              <w:keepLines w:val="0"/>
              <w:pageBreakBefore w:val="0"/>
              <w:widowControl w:val="0"/>
              <w:kinsoku/>
              <w:wordWrap/>
              <w:overflowPunct/>
              <w:topLinePunct w:val="0"/>
              <w:autoSpaceDE/>
              <w:autoSpaceDN/>
              <w:bidi w:val="0"/>
              <w:spacing w:line="360" w:lineRule="auto"/>
              <w:textAlignment w:val="auto"/>
              <w:rPr>
                <w:rFonts w:ascii="宋体" w:hAnsi="宋体"/>
                <w:color w:val="0D0D0D"/>
                <w:sz w:val="24"/>
                <w:szCs w:val="24"/>
              </w:rPr>
            </w:pPr>
            <w:r>
              <w:rPr>
                <w:rFonts w:hint="eastAsia" w:ascii="宋体" w:hAnsi="宋体"/>
                <w:color w:val="0D0D0D"/>
                <w:sz w:val="24"/>
                <w:szCs w:val="24"/>
              </w:rPr>
              <w:t>（2）监狱企业视同小型、微型企业，享受评审中价格扣除等政府促进中小企业发展的政府采购政策。</w:t>
            </w:r>
          </w:p>
          <w:p w14:paraId="33DB2197">
            <w:pPr>
              <w:keepNext w:val="0"/>
              <w:keepLines w:val="0"/>
              <w:pageBreakBefore w:val="0"/>
              <w:widowControl w:val="0"/>
              <w:kinsoku/>
              <w:wordWrap/>
              <w:overflowPunct/>
              <w:topLinePunct w:val="0"/>
              <w:autoSpaceDE/>
              <w:autoSpaceDN/>
              <w:bidi w:val="0"/>
              <w:spacing w:line="360" w:lineRule="auto"/>
              <w:textAlignment w:val="auto"/>
              <w:rPr>
                <w:rFonts w:ascii="宋体" w:hAnsi="宋体"/>
                <w:color w:val="0D0D0D"/>
                <w:sz w:val="24"/>
                <w:szCs w:val="24"/>
              </w:rPr>
            </w:pPr>
            <w:r>
              <w:rPr>
                <w:rFonts w:hint="eastAsia" w:ascii="宋体" w:hAnsi="宋体"/>
                <w:color w:val="0D0D0D"/>
                <w:sz w:val="24"/>
                <w:szCs w:val="24"/>
              </w:rPr>
              <w:t>（3）残疾人福利性单位</w:t>
            </w:r>
            <w:r>
              <w:rPr>
                <w:rFonts w:hint="eastAsia" w:ascii="宋体" w:hAnsi="宋体"/>
                <w:sz w:val="24"/>
                <w:szCs w:val="24"/>
              </w:rPr>
              <w:t>视同小型、微型企业，享受评审中价格扣除等政府促进中小企业发展的政府采购政策；</w:t>
            </w:r>
            <w:r>
              <w:rPr>
                <w:rFonts w:hint="eastAsia" w:ascii="宋体" w:hAnsi="宋体"/>
                <w:color w:val="0D0D0D"/>
                <w:sz w:val="24"/>
                <w:szCs w:val="24"/>
              </w:rPr>
              <w:t>福利性单位属于小型、微型企业的，不重复享受政策。</w:t>
            </w:r>
          </w:p>
          <w:p w14:paraId="5FEC3548">
            <w:pPr>
              <w:keepNext w:val="0"/>
              <w:keepLines w:val="0"/>
              <w:pageBreakBefore w:val="0"/>
              <w:widowControl w:val="0"/>
              <w:kinsoku/>
              <w:wordWrap/>
              <w:overflowPunct/>
              <w:topLinePunct w:val="0"/>
              <w:autoSpaceDE/>
              <w:autoSpaceDN/>
              <w:bidi w:val="0"/>
              <w:spacing w:line="360" w:lineRule="auto"/>
              <w:textAlignment w:val="auto"/>
              <w:rPr>
                <w:rFonts w:hint="eastAsia"/>
                <w:vertAlign w:val="baseline"/>
                <w:lang w:val="en-US" w:eastAsia="zh-CN"/>
              </w:rPr>
            </w:pPr>
            <w:r>
              <w:rPr>
                <w:rFonts w:hint="eastAsia" w:ascii="宋体" w:hAnsi="宋体" w:eastAsia="宋体" w:cs="宋体"/>
                <w:b w:val="0"/>
                <w:bCs w:val="0"/>
                <w:sz w:val="24"/>
                <w:szCs w:val="24"/>
              </w:rPr>
              <w:t>采购的产品属于</w:t>
            </w:r>
            <w:r>
              <w:rPr>
                <w:rFonts w:hint="eastAsia" w:ascii="宋体" w:hAnsi="宋体" w:eastAsia="宋体" w:cs="宋体"/>
                <w:sz w:val="24"/>
                <w:szCs w:val="24"/>
              </w:rPr>
              <w:t>政府采购节能产品、环境标志产品</w:t>
            </w:r>
            <w:r>
              <w:rPr>
                <w:rFonts w:hint="eastAsia" w:ascii="宋体" w:hAnsi="宋体" w:eastAsia="宋体" w:cs="宋体"/>
                <w:b w:val="0"/>
                <w:bCs w:val="0"/>
                <w:sz w:val="24"/>
                <w:szCs w:val="24"/>
              </w:rPr>
              <w:t>品目清单范围的，对获得证书的产品</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国家确定的认证机构出具的、处于有效期之内的节能产品、环境标志产品认证证书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实施政府优先</w:t>
            </w:r>
            <w:r>
              <w:rPr>
                <w:rFonts w:hint="eastAsia" w:ascii="宋体" w:hAnsi="宋体" w:cs="宋体"/>
                <w:b w:val="0"/>
                <w:bCs w:val="0"/>
                <w:sz w:val="24"/>
                <w:szCs w:val="24"/>
                <w:lang w:val="en-US" w:eastAsia="zh-CN"/>
              </w:rPr>
              <w:t>或强制</w:t>
            </w:r>
            <w:r>
              <w:rPr>
                <w:rFonts w:hint="eastAsia" w:ascii="宋体" w:hAnsi="宋体" w:eastAsia="宋体" w:cs="宋体"/>
                <w:b w:val="0"/>
                <w:bCs w:val="0"/>
                <w:sz w:val="24"/>
                <w:szCs w:val="24"/>
              </w:rPr>
              <w:t>采购。</w:t>
            </w:r>
          </w:p>
        </w:tc>
      </w:tr>
      <w:tr w14:paraId="5B75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vAlign w:val="center"/>
          </w:tcPr>
          <w:p w14:paraId="5571616B">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22" w:type="pct"/>
            <w:vAlign w:val="center"/>
          </w:tcPr>
          <w:p w14:paraId="6995BC7E">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37.1</w:t>
            </w:r>
          </w:p>
        </w:tc>
        <w:tc>
          <w:tcPr>
            <w:tcW w:w="3958" w:type="pct"/>
          </w:tcPr>
          <w:p w14:paraId="2B69EB4F">
            <w:pPr>
              <w:bidi w:val="0"/>
              <w:spacing w:line="360" w:lineRule="auto"/>
              <w:rPr>
                <w:rFonts w:hint="eastAsia" w:ascii="宋体" w:hAnsi="宋体" w:eastAsia="宋体" w:cs="宋体"/>
                <w:sz w:val="24"/>
                <w:szCs w:val="24"/>
                <w:lang w:val="en-US" w:eastAsia="zh-CN"/>
              </w:rPr>
            </w:pPr>
            <w:r>
              <w:rPr>
                <w:rFonts w:hint="eastAsia" w:ascii="宋体" w:hAnsi="宋体" w:eastAsia="宋体" w:cs="宋体"/>
                <w:color w:val="FF0000"/>
                <w:sz w:val="24"/>
                <w:szCs w:val="24"/>
              </w:rPr>
              <w:t>采购代理服务费按照</w:t>
            </w:r>
            <w:r>
              <w:rPr>
                <w:rFonts w:hint="eastAsia" w:ascii="宋体" w:hAnsi="宋体" w:eastAsia="宋体" w:cs="宋体"/>
                <w:color w:val="FF0000"/>
                <w:sz w:val="24"/>
                <w:szCs w:val="24"/>
                <w:lang w:val="en-US" w:eastAsia="zh-CN"/>
              </w:rPr>
              <w:t>《招标代理服务收费管理暂行办法》（计价格[2002]1980号）</w:t>
            </w:r>
            <w:r>
              <w:rPr>
                <w:rFonts w:hint="eastAsia" w:ascii="宋体" w:hAnsi="宋体" w:eastAsia="宋体" w:cs="宋体"/>
                <w:color w:val="FF0000"/>
                <w:sz w:val="24"/>
                <w:szCs w:val="24"/>
              </w:rPr>
              <w:t>向成交供应商收取。</w:t>
            </w:r>
          </w:p>
        </w:tc>
      </w:tr>
      <w:tr w14:paraId="6F7D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8" w:type="pct"/>
            <w:vAlign w:val="center"/>
          </w:tcPr>
          <w:p w14:paraId="1F18DBB2">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522" w:type="pct"/>
            <w:vAlign w:val="center"/>
          </w:tcPr>
          <w:p w14:paraId="7749C346">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38.1</w:t>
            </w:r>
          </w:p>
        </w:tc>
        <w:tc>
          <w:tcPr>
            <w:tcW w:w="3958" w:type="pct"/>
            <w:vAlign w:val="center"/>
          </w:tcPr>
          <w:p w14:paraId="46BEDC0B">
            <w:pPr>
              <w:bidi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rPr>
              <w:t>履</w:t>
            </w:r>
            <w:r>
              <w:rPr>
                <w:rFonts w:hint="eastAsia" w:ascii="宋体" w:hAnsi="宋体"/>
                <w:b/>
                <w:sz w:val="24"/>
                <w:lang w:val="en-US" w:eastAsia="zh-CN"/>
              </w:rPr>
              <w:t>约保证金：本项目不收取履约保证金，询价文件中其他有关履约保证金的描述均不适用。</w:t>
            </w:r>
          </w:p>
        </w:tc>
      </w:tr>
    </w:tbl>
    <w:p w14:paraId="023F7ABA">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说明：本前附表内容与本表后的询价通知书内容不一致时，以本表内容为准。</w:t>
      </w:r>
    </w:p>
    <w:p w14:paraId="6B1F6E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32"/>
          <w:lang w:val="en-US" w:eastAsia="zh-CN"/>
        </w:rPr>
      </w:pPr>
      <w:bookmarkStart w:id="65" w:name="_Toc16801"/>
      <w:bookmarkStart w:id="66" w:name="_Toc475970874"/>
      <w:bookmarkStart w:id="67" w:name="_Toc26759"/>
      <w:bookmarkStart w:id="68" w:name="_Toc14855"/>
    </w:p>
    <w:p w14:paraId="3442B1D5">
      <w:pPr>
        <w:pStyle w:val="7"/>
        <w:bidi w:val="0"/>
        <w:spacing w:line="240" w:lineRule="auto"/>
        <w:rPr>
          <w:rFonts w:hint="eastAsia" w:ascii="宋体" w:hAnsi="宋体" w:eastAsia="宋体" w:cs="宋体"/>
          <w:b/>
          <w:bCs/>
          <w:szCs w:val="32"/>
          <w:lang w:val="en-US" w:eastAsia="zh-CN"/>
        </w:rPr>
      </w:pPr>
      <w:bookmarkStart w:id="69" w:name="_Toc24684"/>
      <w:bookmarkStart w:id="70" w:name="_Toc18321"/>
      <w:r>
        <w:rPr>
          <w:rFonts w:hint="eastAsia" w:ascii="宋体" w:hAnsi="宋体" w:eastAsia="宋体" w:cs="宋体"/>
          <w:sz w:val="28"/>
          <w:szCs w:val="28"/>
          <w:lang w:val="en-US" w:eastAsia="zh-CN"/>
        </w:rPr>
        <w:t>二、说明</w:t>
      </w:r>
      <w:bookmarkEnd w:id="65"/>
      <w:bookmarkEnd w:id="66"/>
      <w:bookmarkEnd w:id="67"/>
      <w:bookmarkEnd w:id="68"/>
      <w:bookmarkEnd w:id="69"/>
      <w:bookmarkEnd w:id="70"/>
    </w:p>
    <w:p w14:paraId="174767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1．适用范围</w:t>
      </w:r>
    </w:p>
    <w:p w14:paraId="513EF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 本询价通知书仅适用于本“询价邀请”中所述货物和有关服务的采购。</w:t>
      </w:r>
    </w:p>
    <w:p w14:paraId="121EC6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 定义</w:t>
      </w:r>
    </w:p>
    <w:p w14:paraId="642392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2.1采购人：详见“供应商须知前附表”</w:t>
      </w:r>
    </w:p>
    <w:p w14:paraId="62E34A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2.2采购代理机构：江西企恒企业管理有限公司</w:t>
      </w:r>
    </w:p>
    <w:p w14:paraId="4440A9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2.3供应商：是指向采购人提供“询价邀请”中采购内容的法人、其它组织或者自然人。</w:t>
      </w:r>
    </w:p>
    <w:p w14:paraId="7E84BC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 合格供应商</w:t>
      </w:r>
    </w:p>
    <w:p w14:paraId="1F01F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3.1供应商的资格条件： 详见“询价邀请”</w:t>
      </w:r>
    </w:p>
    <w:p w14:paraId="526E92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3.2单位负责人为同一人或者存在直接控股、管理关系的不同供应商，不得参加同一合同项下的采购活动。</w:t>
      </w:r>
    </w:p>
    <w:p w14:paraId="04B09F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3.3为采购项目提供整体设计、规范编制或者项目管理、监理、检测等服务的供应商不得参加该采购项目的采购活动。</w:t>
      </w:r>
    </w:p>
    <w:p w14:paraId="5588E0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3.4提供相同制造商产品的不同供应商参加询价的认定</w:t>
      </w:r>
    </w:p>
    <w:p w14:paraId="38B864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3.4.1提供相同制造商产品的不同供应商参加本项目询价的，以其中通过资格性审查、符合性审查且报价最低的参加评审。报价相同的，由询价小组随机抽取一个参加评审的供应商，其他响应文件无效。</w:t>
      </w:r>
    </w:p>
    <w:p w14:paraId="7E8C38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非单一产品采购项目中，多家供应商提供的全部核心产品均为相同制造商产品的，视为提供相同制造商产品。核心产品为：</w:t>
      </w:r>
      <w:r>
        <w:rPr>
          <w:rFonts w:hint="eastAsia" w:ascii="宋体" w:hAnsi="宋体" w:eastAsia="宋体" w:cs="宋体"/>
          <w:b/>
          <w:bCs/>
          <w:color w:val="FF0000"/>
          <w:sz w:val="24"/>
          <w:szCs w:val="24"/>
          <w:highlight w:val="none"/>
          <w:lang w:val="en-US" w:eastAsia="zh-CN"/>
        </w:rPr>
        <w:t>终端服务器</w:t>
      </w:r>
    </w:p>
    <w:p w14:paraId="6CD9AB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3.5 联合体询价</w:t>
      </w:r>
    </w:p>
    <w:p w14:paraId="7371C0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3.5.1本项目不接受联合体参加询价。</w:t>
      </w:r>
    </w:p>
    <w:p w14:paraId="3FBFB4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询价费用</w:t>
      </w:r>
    </w:p>
    <w:p w14:paraId="381B95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4.1不论询价的结果如何，供应商应自行承担所有与准备和参加询价有关的全部费用。采购代理机构和采购人在任何情况下均无义务和责任承担这些费用。</w:t>
      </w:r>
    </w:p>
    <w:p w14:paraId="64713E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 供应商代表</w:t>
      </w:r>
    </w:p>
    <w:p w14:paraId="01A660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指全权代表供应商参加询价活动并签署响应文件的人。如果供应商代表不是法人代表（或经营者），须持有《法人代表（或经营者）授权书》（格式详见“第四章附件12”）。若供应商为自然人，须自然人本人持身份证原件参与询价活动，询价通知书关于授权参与询价活动的均不适用。</w:t>
      </w:r>
    </w:p>
    <w:p w14:paraId="36374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5707D8D6">
      <w:pPr>
        <w:pStyle w:val="7"/>
        <w:bidi w:val="0"/>
        <w:rPr>
          <w:rFonts w:hint="eastAsia" w:ascii="宋体" w:hAnsi="宋体" w:eastAsia="宋体" w:cs="宋体"/>
          <w:szCs w:val="24"/>
          <w:lang w:val="en-US" w:eastAsia="zh-CN"/>
        </w:rPr>
      </w:pPr>
      <w:bookmarkStart w:id="71" w:name="_Toc287002506"/>
      <w:bookmarkStart w:id="72" w:name="_Toc31254"/>
      <w:bookmarkStart w:id="73" w:name="_Toc31410"/>
      <w:bookmarkStart w:id="74" w:name="_Toc475970875"/>
      <w:bookmarkStart w:id="75" w:name="_Toc16971"/>
      <w:bookmarkStart w:id="76" w:name="_Toc28986"/>
      <w:bookmarkStart w:id="77" w:name="_Toc28927"/>
      <w:r>
        <w:rPr>
          <w:rFonts w:hint="eastAsia" w:ascii="宋体" w:hAnsi="宋体" w:eastAsia="宋体" w:cs="宋体"/>
          <w:sz w:val="28"/>
          <w:szCs w:val="28"/>
          <w:lang w:val="en-US" w:eastAsia="zh-CN"/>
        </w:rPr>
        <w:t>三、</w:t>
      </w:r>
      <w:bookmarkEnd w:id="71"/>
      <w:bookmarkEnd w:id="72"/>
      <w:bookmarkEnd w:id="73"/>
      <w:bookmarkEnd w:id="74"/>
      <w:r>
        <w:rPr>
          <w:rFonts w:hint="eastAsia" w:ascii="宋体" w:hAnsi="宋体" w:eastAsia="宋体" w:cs="宋体"/>
          <w:sz w:val="28"/>
          <w:szCs w:val="28"/>
          <w:lang w:val="en-US" w:eastAsia="zh-CN"/>
        </w:rPr>
        <w:t>询价通知书</w:t>
      </w:r>
      <w:bookmarkEnd w:id="75"/>
      <w:bookmarkEnd w:id="76"/>
      <w:bookmarkEnd w:id="77"/>
    </w:p>
    <w:p w14:paraId="682B5C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6. 询价通知书的构成</w:t>
      </w:r>
    </w:p>
    <w:p w14:paraId="254A0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 要求提供的货物、询价过程和合同条款在询价通知书中均有说明。询价通知书共五章，各章的内容如下：</w:t>
      </w:r>
    </w:p>
    <w:p w14:paraId="2A9E2B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第一章  询价邀请</w:t>
      </w:r>
    </w:p>
    <w:p w14:paraId="17354F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第二章  供应商须知</w:t>
      </w:r>
    </w:p>
    <w:p w14:paraId="6435AA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第三章  拟签订的合同文本</w:t>
      </w:r>
    </w:p>
    <w:p w14:paraId="7DC992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第四章  附件（响应文件参考格式）</w:t>
      </w:r>
    </w:p>
    <w:p w14:paraId="204CC5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第五章  采购需求一览表及采购要求</w:t>
      </w:r>
    </w:p>
    <w:p w14:paraId="26038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 除非有特殊要求，询价通知书不单独提供询价货物使用地的自然环境、气候条件、公用设施等情况，供应商被视为熟悉上述与履行合同有关的一切情况。</w:t>
      </w:r>
    </w:p>
    <w:p w14:paraId="24A59B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7. 询价通知书的询问</w:t>
      </w:r>
    </w:p>
    <w:p w14:paraId="5E036D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已购买询价通知书的供应商认为询价通知书的内容使自己的合法权益受到损害或有疑问的，可以在规定的时间内向采购人或采购代理机构提出书面询问，采购代理机构在3个工作日内对供应商依法提出的询问作出答复。 </w:t>
      </w:r>
    </w:p>
    <w:p w14:paraId="6D4F8DA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 询价通知书的澄清和修改</w:t>
      </w:r>
    </w:p>
    <w:p w14:paraId="583D30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 提交响应文件截止时间前的任何时候，采购代理机构可以对已发出的询价通知书进行必要的澄清或者修改，澄清或者修改的内容作为询价通知书的组成部分，并对供应商具有约束力。</w:t>
      </w:r>
    </w:p>
    <w:p w14:paraId="2E8F36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澄清或者修改的内容可能影响响应文件编制的，采购代理机构应当在提交首次响应文件截止之日3个工作日前，在吉安职业技术学院官网及江西省招标投标网公告发布更正公告，不足3个工作日的，应当顺延提交首次响应文件截止之日</w:t>
      </w:r>
    </w:p>
    <w:p w14:paraId="5EF2AF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 更正公告一经发布，视为潜在供应商已知悉。</w:t>
      </w:r>
    </w:p>
    <w:p w14:paraId="70FB3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79606368">
      <w:pPr>
        <w:pStyle w:val="7"/>
        <w:bidi w:val="0"/>
        <w:rPr>
          <w:rFonts w:hint="eastAsia" w:ascii="宋体" w:hAnsi="宋体" w:eastAsia="宋体" w:cs="宋体"/>
          <w:szCs w:val="24"/>
          <w:lang w:val="en-US" w:eastAsia="zh-CN"/>
        </w:rPr>
      </w:pPr>
      <w:bookmarkStart w:id="78" w:name="_Toc10843"/>
      <w:bookmarkStart w:id="79" w:name="_Toc386209615"/>
      <w:bookmarkStart w:id="80" w:name="_Toc12431"/>
      <w:bookmarkStart w:id="81" w:name="_Toc17963"/>
      <w:bookmarkStart w:id="82" w:name="_Toc475970876"/>
      <w:bookmarkStart w:id="83" w:name="_Toc25750"/>
      <w:bookmarkStart w:id="84" w:name="_Toc15428"/>
      <w:r>
        <w:rPr>
          <w:rFonts w:hint="eastAsia" w:ascii="宋体" w:hAnsi="宋体" w:eastAsia="宋体" w:cs="宋体"/>
          <w:b/>
          <w:bCs/>
          <w:sz w:val="28"/>
          <w:szCs w:val="28"/>
          <w:lang w:val="en-US" w:eastAsia="zh-CN"/>
        </w:rPr>
        <w:t>四、响应文件的编制</w:t>
      </w:r>
      <w:bookmarkEnd w:id="78"/>
      <w:bookmarkEnd w:id="79"/>
      <w:bookmarkEnd w:id="80"/>
      <w:bookmarkEnd w:id="81"/>
      <w:bookmarkEnd w:id="82"/>
      <w:bookmarkEnd w:id="83"/>
      <w:bookmarkEnd w:id="84"/>
    </w:p>
    <w:p w14:paraId="188038D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bookmarkStart w:id="85" w:name="_Toc262628452"/>
      <w:r>
        <w:rPr>
          <w:rFonts w:hint="eastAsia" w:ascii="宋体" w:hAnsi="宋体" w:eastAsia="宋体" w:cs="宋体"/>
          <w:b/>
          <w:bCs/>
          <w:sz w:val="24"/>
          <w:szCs w:val="24"/>
          <w:lang w:val="en-US" w:eastAsia="zh-CN"/>
        </w:rPr>
        <w:t>9. 提示</w:t>
      </w:r>
      <w:bookmarkEnd w:id="85"/>
    </w:p>
    <w:p w14:paraId="4FCC7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9.1询价通知书中未注明进口产品的，均为国产产品，并且不允许提供进口产品参加询价。提供进口产品参加询价，响应文件</w:t>
      </w:r>
      <w:r>
        <w:rPr>
          <w:rFonts w:hint="eastAsia" w:ascii="宋体" w:hAnsi="宋体" w:eastAsia="宋体" w:cs="宋体"/>
          <w:b/>
          <w:bCs/>
          <w:sz w:val="24"/>
          <w:szCs w:val="24"/>
          <w:lang w:val="en-US" w:eastAsia="zh-CN"/>
        </w:rPr>
        <w:t>被视为无效。</w:t>
      </w:r>
    </w:p>
    <w:p w14:paraId="51645D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 询价通知书中注明进口产品的，有符合条件的国产产品可以参与采购活动。</w:t>
      </w:r>
    </w:p>
    <w:p w14:paraId="563F05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9.3供应商应认真阅读询价通知书的全部内容，按照询价通知书的要求提供响应文件和资料。</w:t>
      </w:r>
    </w:p>
    <w:p w14:paraId="376AC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9.4 供应商提交的响应文件以及供应商与采购代理机构所有来往书面文件均须使用中文。响应文件中如附有外文资料，必须逐一对应翻译成中文。</w:t>
      </w:r>
    </w:p>
    <w:p w14:paraId="7A6063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9.5 翻译的中文资料与外文资料如果出现差异和矛盾时，以中文为准。</w:t>
      </w:r>
    </w:p>
    <w:p w14:paraId="4D9B93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10. 响应文件计量单位</w:t>
      </w:r>
      <w:r>
        <w:rPr>
          <w:rFonts w:hint="eastAsia" w:ascii="宋体" w:hAnsi="宋体" w:eastAsia="宋体" w:cs="宋体"/>
          <w:sz w:val="24"/>
          <w:szCs w:val="24"/>
          <w:lang w:val="en-US" w:eastAsia="zh-CN"/>
        </w:rPr>
        <w:tab/>
      </w:r>
    </w:p>
    <w:p w14:paraId="4AA35F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响应文件中所使用的计量单位, 除询价通知书中有特殊要求外，应采用国家法定计量单位。</w:t>
      </w:r>
    </w:p>
    <w:p w14:paraId="2A29BF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 响应文件的构成</w:t>
      </w:r>
    </w:p>
    <w:p w14:paraId="26E030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11.1响应文件应由下列部分构成：</w:t>
      </w:r>
    </w:p>
    <w:p w14:paraId="59E2F4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询价响应书</w:t>
      </w:r>
    </w:p>
    <w:p w14:paraId="4FDAE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报价表</w:t>
      </w:r>
    </w:p>
    <w:p w14:paraId="3F343F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分项报价表</w:t>
      </w:r>
    </w:p>
    <w:p w14:paraId="2E536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技术规格响应/偏离表</w:t>
      </w:r>
    </w:p>
    <w:p w14:paraId="0CE212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商务条款响应/偏离表</w:t>
      </w:r>
    </w:p>
    <w:p w14:paraId="1E44B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供应商情况一览表</w:t>
      </w:r>
    </w:p>
    <w:p w14:paraId="01B278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 中小企业声明（不符合小型、微型企业条件或不属于监狱企业的不需提供）</w:t>
      </w:r>
    </w:p>
    <w:p w14:paraId="45DBCF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 企业所在地的县级以上中小企业主管部门出具的中、小、微企业认定有效证明或省级以上监狱管理局、戒毒管理局（含新疆生产建设兵团）出具的属于监狱企业证明文件（不符合小型、微型企业条件或不属于监狱企业的不需提供）</w:t>
      </w:r>
    </w:p>
    <w:p w14:paraId="0E19D7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(9)残疾人福利性单位声明函</w:t>
      </w:r>
    </w:p>
    <w:p w14:paraId="4F0CCE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 技术文件</w:t>
      </w:r>
    </w:p>
    <w:p w14:paraId="02D922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 资格证明文件</w:t>
      </w:r>
    </w:p>
    <w:p w14:paraId="32DEFC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 询价保证金</w:t>
      </w:r>
    </w:p>
    <w:p w14:paraId="49B798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11.2供应商应将响应文件胶装成册，并编写目录。</w:t>
      </w:r>
    </w:p>
    <w:p w14:paraId="0209EA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12.落实的政府采购政策</w:t>
      </w:r>
    </w:p>
    <w:p w14:paraId="0304F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 中、小、微企业，监狱企业或残疾人单位参加询价</w:t>
      </w:r>
    </w:p>
    <w:p w14:paraId="2C293E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12.1.1中小企业（含中型、小型、微型企业，下同）应当符合以下条件：</w:t>
      </w:r>
    </w:p>
    <w:p w14:paraId="4A460A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（1）在货物采购项目中，货物由中小企业制造，即货物由中小企业生产且使用该中小企业商号或者注册商标；</w:t>
      </w:r>
    </w:p>
    <w:p w14:paraId="7554F1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（2）在工程采购项目中，工程由中小企业承建，即工程施工单位为中小企业；</w:t>
      </w:r>
    </w:p>
    <w:p w14:paraId="7852AD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（3）在服务采购项目中，服务由中小企业承接，即提供服务的人员为中小企业依照《中华人民共和国劳动合同法》订立劳动合同的从业人员。</w:t>
      </w:r>
    </w:p>
    <w:p w14:paraId="223C6E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12.1.2在货物采购项目中，供应商提供的货物既有中小企业制造货物，也有大型企业制造货物的，不享受中小企业扶持政策。</w:t>
      </w:r>
    </w:p>
    <w:p w14:paraId="116941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12.1.3中小企业参加询价时，必须提供《中小企业声明函》（格式详见“第四章附件 7”）。对于中小企业依照规定提交《中小企业声明函》的，不需再提供中小企业主管部门等有关部门出具的相关证明。</w:t>
      </w:r>
    </w:p>
    <w:p w14:paraId="136FEE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12.1.4对小型和微型企业产品的价格给予</w:t>
      </w:r>
      <w:r>
        <w:rPr>
          <w:rFonts w:hint="eastAsia" w:ascii="宋体" w:hAnsi="宋体" w:eastAsia="宋体" w:cs="宋体"/>
          <w:b/>
          <w:bCs/>
          <w:sz w:val="24"/>
          <w:szCs w:val="24"/>
          <w:lang w:val="en-US" w:eastAsia="zh-CN"/>
        </w:rPr>
        <w:t>10%</w:t>
      </w:r>
      <w:r>
        <w:rPr>
          <w:rFonts w:hint="eastAsia" w:ascii="宋体" w:hAnsi="宋体" w:eastAsia="宋体" w:cs="宋体"/>
          <w:sz w:val="24"/>
          <w:szCs w:val="24"/>
          <w:lang w:val="en-US" w:eastAsia="zh-CN"/>
        </w:rPr>
        <w:t>的扣除，用扣除后的价格参与评审。</w:t>
      </w:r>
    </w:p>
    <w:p w14:paraId="58BBA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12.1.5监狱企业参加政府采购项目询价时，必须提供省级以上监狱管理局、戒毒管理局（含新疆生产建设兵团）出具的属于监狱企业证明文件。</w:t>
      </w:r>
    </w:p>
    <w:p w14:paraId="6C3A70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12.1.6监狱企业视同小型、微型企业，享受评审中价格扣除等政府促进中小企业发展的政府采购政策。</w:t>
      </w:r>
    </w:p>
    <w:p w14:paraId="245D1A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12.1.7享受政府采购支持政策的残疾人福利性单位应当同时满足以下条件：</w:t>
      </w:r>
    </w:p>
    <w:p w14:paraId="367871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（1）安置的残疾人占本单位在职职工人数的比例不低于25%（含25%），并且安置的残疾人人数不少于10人（含10人）；</w:t>
      </w:r>
    </w:p>
    <w:p w14:paraId="59AE25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（2）依法与安置的每位残疾人签订了一年以上（含一年）的劳动合同或服务协议；</w:t>
      </w:r>
    </w:p>
    <w:p w14:paraId="4B1F8C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（3）为安置的每位残疾人按月足额缴纳了基本养老保险、基本医疗保险、失业保险、工伤保险和生育保险等社会保险费；</w:t>
      </w:r>
    </w:p>
    <w:p w14:paraId="059773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（4）通过银行等金融机构向安置的每位残疾人，按月支付了不低于单位所在区县适用的经省级人民政府批准的月最低工资标准的工资；</w:t>
      </w:r>
    </w:p>
    <w:p w14:paraId="4232CE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（5）提供本单位制造的货物、承担的工程或者服务（以下简称产品），或者提供其他残疾人福利性单位制造的货物（不包括使用非残疾人福利性单位注册商标的货物）。</w:t>
      </w:r>
    </w:p>
    <w:p w14:paraId="0031B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12.1.8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22D49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12.1.9残疾人福利性单位参加询价须提供的证明材料：</w:t>
      </w:r>
    </w:p>
    <w:p w14:paraId="1A1082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符合条件的残疾人福利性单位在参加政府采购活动时，应当提供《残疾人福利性单位声明函》（格式详见“第四章响应文件参考格式9），并对声明函的真实性负责。（2）供应商提供的《残疾人福利性单位声明函》与事实不符的，依照《政府采购法》第七十七条第一款的规定追究法律责任。</w:t>
      </w:r>
    </w:p>
    <w:p w14:paraId="708A64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12.1.10残疾人福利性单位视同小型、微型企业，享受评审中价格扣除等政府促进中小企业发展的政府采购政策。福利性单位属于小型、微型企业的，不重复享受政策。</w:t>
      </w:r>
    </w:p>
    <w:p w14:paraId="608501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 节能、环境标志产品参加询价采购</w:t>
      </w:r>
    </w:p>
    <w:p w14:paraId="0D0D39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86" w:name="_Toc262628455"/>
      <w:r>
        <w:rPr>
          <w:rFonts w:hint="eastAsia" w:ascii="宋体" w:hAnsi="宋体" w:eastAsia="宋体" w:cs="宋体"/>
          <w:sz w:val="24"/>
          <w:szCs w:val="24"/>
          <w:lang w:val="en-US" w:eastAsia="zh-CN"/>
        </w:rPr>
        <w:t>12.2.1节能产品是指列入《节能产品政府采购品目清单》的产品；</w:t>
      </w:r>
    </w:p>
    <w:p w14:paraId="08FB34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12.2.2环境标志产品是指列入《环境标志产品政府采购品目清单》的产品；</w:t>
      </w:r>
    </w:p>
    <w:p w14:paraId="1E6D64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12.2.3《节能产品政府采购品目清单》、《环境标志产品政府采购品目清单》以《中国政府采购网》(www.ccgp.gov.cn)发布的最新一期为准。</w:t>
      </w:r>
    </w:p>
    <w:p w14:paraId="7EC56C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12.2.4对属于《节能产品政府采购品目清单》、《环境标志产品政府采购品目清单》范围的，获得证书的产品（国家确定的认证机构出具的、处于有效期之内的节能产品、环境标志产品认证证书）给予优先或强制采购。</w:t>
      </w:r>
    </w:p>
    <w:p w14:paraId="42C5BE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12.2.5如属节能产品、环境标志产品需在响应文件中提供认证证书复印件或证书网页截图。（其中如属政府强制采购的节能产品必须提供认证证书复印件或证书网页截图，</w:t>
      </w:r>
      <w:r>
        <w:rPr>
          <w:rFonts w:hint="eastAsia" w:ascii="宋体" w:hAnsi="宋体" w:eastAsia="宋体" w:cs="宋体"/>
          <w:b/>
          <w:bCs/>
          <w:i w:val="0"/>
          <w:iCs w:val="0"/>
          <w:sz w:val="24"/>
          <w:szCs w:val="24"/>
          <w:lang w:val="en-US" w:eastAsia="zh-CN"/>
        </w:rPr>
        <w:t>否则</w:t>
      </w:r>
      <w:r>
        <w:rPr>
          <w:rFonts w:hint="eastAsia" w:ascii="宋体" w:hAnsi="宋体" w:eastAsia="宋体" w:cs="宋体"/>
          <w:b/>
          <w:bCs/>
          <w:sz w:val="24"/>
          <w:szCs w:val="24"/>
          <w:lang w:val="en-US" w:eastAsia="zh-CN"/>
        </w:rPr>
        <w:t>视为无效响应）</w:t>
      </w:r>
    </w:p>
    <w:p w14:paraId="792DF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12.2.6对于同时列入政府采购《节能产品政府采购品目清单》、《环境标志产品政府采购品目清单》的产品，应当优先于只列入其中一个清单的产品。</w:t>
      </w:r>
    </w:p>
    <w:p w14:paraId="4F7A54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12.2.7询价通知书对节能产品、环境标志产品另有规定的从其规定。</w:t>
      </w:r>
    </w:p>
    <w:p w14:paraId="653A33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13. 证明供应商合格和资格的文件</w:t>
      </w:r>
      <w:bookmarkEnd w:id="86"/>
    </w:p>
    <w:p w14:paraId="433FE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13.1具有独立承担民事责任的能力的资格证明文件</w:t>
      </w:r>
    </w:p>
    <w:p w14:paraId="7556A8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13.2具有良好的商业信誉和健全的财务会计制度的证明文件</w:t>
      </w:r>
    </w:p>
    <w:p w14:paraId="2341A6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13.3 具有履行合同所必须的设备和专业技术能力的证明文件</w:t>
      </w:r>
    </w:p>
    <w:p w14:paraId="13544F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13.4 有依法缴纳税收和社会保障资金的良好记录的证明文件</w:t>
      </w:r>
    </w:p>
    <w:p w14:paraId="4B7E8F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13.5参加政府采购前三年内,在经营活动中没有重大违法记录的证明文件</w:t>
      </w:r>
    </w:p>
    <w:p w14:paraId="05A1BA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13.6.其他法律要求</w:t>
      </w:r>
    </w:p>
    <w:p w14:paraId="68A4BA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87" w:name="_Toc262628456"/>
      <w:r>
        <w:rPr>
          <w:rFonts w:hint="eastAsia" w:ascii="宋体" w:hAnsi="宋体" w:eastAsia="宋体" w:cs="宋体"/>
          <w:sz w:val="24"/>
          <w:szCs w:val="24"/>
          <w:lang w:val="en-US" w:eastAsia="zh-CN"/>
        </w:rPr>
        <w:t>14. 证明货物符合询价通知书规定的文件</w:t>
      </w:r>
      <w:bookmarkEnd w:id="87"/>
    </w:p>
    <w:p w14:paraId="5FD31E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88" w:name="_Toc262628457"/>
      <w:r>
        <w:rPr>
          <w:rFonts w:hint="eastAsia" w:ascii="宋体" w:hAnsi="宋体" w:eastAsia="宋体" w:cs="宋体"/>
          <w:sz w:val="24"/>
          <w:szCs w:val="24"/>
          <w:lang w:val="en-US" w:eastAsia="zh-CN"/>
        </w:rPr>
        <w:t>14.1 供应商应提交其货物和相关服务符合询价通知书规定的证明，作为响应文件的一部分。</w:t>
      </w:r>
    </w:p>
    <w:p w14:paraId="33ECDE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 货物和相关服务与询价通知书的要求相一致的证明，可以是文字资料、图纸和数据，包括：</w:t>
      </w:r>
    </w:p>
    <w:p w14:paraId="0E1B4A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货物主要技术指标和性能的详细说明。</w:t>
      </w:r>
    </w:p>
    <w:p w14:paraId="294046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对照询价通知书技术规格，逐条说明所提供货物和相关服务已对询价通知书的技术规格做出了实质性响应，或申明与技术规格的偏差和例外。特别对于有具体参数要求的指标，供应商必须提供所供设备的具体参数。</w:t>
      </w:r>
    </w:p>
    <w:p w14:paraId="471CD0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商务条款的偏差和例外。</w:t>
      </w:r>
    </w:p>
    <w:p w14:paraId="13A955F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15. 报价</w:t>
      </w:r>
      <w:bookmarkEnd w:id="88"/>
    </w:p>
    <w:p w14:paraId="5B1017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15.1参加询价采购活动的供应商，应当按照询价通知书的规定一次报出不得更改的价格。</w:t>
      </w:r>
    </w:p>
    <w:p w14:paraId="01900C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15.2所有响应文件均以人民币报价，报价内容包含询价通知书规定的货物；标准附件；备品备件；专用工具；安装、调试、检验；培训；技术服务；运至最终目的地的运费、保险费和税费等相关费用。</w:t>
      </w:r>
    </w:p>
    <w:p w14:paraId="1DB20E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15.3供应商要按报价表（统一格式）和分项报价表（统一格式）的内容填写产品单价、总价及其他事项。总价中不得包含询价通知书要求以外的内容，否则，在评审时不予核减。</w:t>
      </w:r>
      <w:r>
        <w:rPr>
          <w:rFonts w:hint="eastAsia" w:ascii="宋体" w:hAnsi="宋体" w:eastAsia="宋体" w:cs="宋体"/>
          <w:b/>
          <w:bCs/>
          <w:sz w:val="24"/>
          <w:szCs w:val="24"/>
          <w:lang w:val="en-US" w:eastAsia="zh-CN"/>
        </w:rPr>
        <w:t>若供应商不同意，将被视为响应无效。</w:t>
      </w:r>
    </w:p>
    <w:p w14:paraId="41159E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15.4总价中不得缺漏询价通知书所要求的内容，否则，评审时将有效响应中该项内容的最高价计入其总价。缺漏部分成交后须提供，且成交价以响应报价为准；</w:t>
      </w:r>
      <w:r>
        <w:rPr>
          <w:rFonts w:hint="eastAsia" w:ascii="宋体" w:hAnsi="宋体" w:eastAsia="宋体" w:cs="宋体"/>
          <w:b/>
          <w:bCs/>
          <w:sz w:val="24"/>
          <w:szCs w:val="24"/>
          <w:lang w:val="en-US" w:eastAsia="zh-CN"/>
        </w:rPr>
        <w:t>若供应商不同意，将被视为响应无效。</w:t>
      </w:r>
    </w:p>
    <w:p w14:paraId="1616AB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15.5供应商所报的价格在合同执行过程中是固定不变的，不得以任何理由予以变更。供应商应对所有询价内容进行响应，且只提供最优方案一套，供应商提交任何包含价格调整要求的响应将按非实质性响应</w:t>
      </w:r>
      <w:r>
        <w:rPr>
          <w:rFonts w:hint="eastAsia" w:ascii="宋体" w:hAnsi="宋体" w:eastAsia="宋体" w:cs="宋体"/>
          <w:b/>
          <w:bCs/>
          <w:sz w:val="24"/>
          <w:szCs w:val="24"/>
          <w:lang w:val="en-US" w:eastAsia="zh-CN"/>
        </w:rPr>
        <w:t>被视为响应无效。</w:t>
      </w:r>
    </w:p>
    <w:p w14:paraId="611B13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15.6若供应商提交的最后报价出现零报价、负报价</w:t>
      </w:r>
      <w:r>
        <w:rPr>
          <w:rFonts w:hint="eastAsia" w:ascii="宋体" w:hAnsi="宋体" w:eastAsia="宋体" w:cs="宋体"/>
          <w:b/>
          <w:bCs/>
          <w:sz w:val="24"/>
          <w:szCs w:val="24"/>
          <w:lang w:val="en-US" w:eastAsia="zh-CN"/>
        </w:rPr>
        <w:t>视为无效报价。</w:t>
      </w:r>
    </w:p>
    <w:p w14:paraId="7F8518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15.7若供应商提交的最后报价出现明显低于其他通过符合性审查供应商的报价，有可能影响产品、工程质量或不能诚信履约的，询价小组有权要求供应商在合理时间内提供书面说明，必要时提交相关证明材料；供应商不能证明其报价合理性的，询价小组可将其</w:t>
      </w:r>
      <w:r>
        <w:rPr>
          <w:rFonts w:hint="eastAsia" w:ascii="宋体" w:hAnsi="宋体" w:eastAsia="宋体" w:cs="宋体"/>
          <w:b/>
          <w:bCs/>
          <w:sz w:val="24"/>
          <w:szCs w:val="24"/>
          <w:lang w:val="en-US" w:eastAsia="zh-CN"/>
        </w:rPr>
        <w:t>作为无效响应处理。</w:t>
      </w:r>
    </w:p>
    <w:p w14:paraId="44D44E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15.8 供应商如需用外汇购入某些货物，须折合人民币(包含进口环节税)计入总报价中。</w:t>
      </w:r>
    </w:p>
    <w:p w14:paraId="1DEF097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bookmarkStart w:id="89" w:name="_Toc262628458"/>
      <w:r>
        <w:rPr>
          <w:rFonts w:hint="eastAsia" w:ascii="宋体" w:hAnsi="宋体" w:eastAsia="宋体" w:cs="宋体"/>
          <w:b/>
          <w:bCs/>
          <w:sz w:val="24"/>
          <w:szCs w:val="24"/>
          <w:lang w:val="en-US" w:eastAsia="zh-CN"/>
        </w:rPr>
        <w:t>16. 询价保证金</w:t>
      </w:r>
      <w:bookmarkEnd w:id="89"/>
    </w:p>
    <w:p w14:paraId="5E3319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16.1 供应商须在响应文件递交截止时间之前向采购代理机构提交“供应商须知前附表”规定的询价保证金，并作为其响应文件的一部分。</w:t>
      </w:r>
    </w:p>
    <w:p w14:paraId="2E457C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 任何未按第16.1条要求提交询价保证金的响应文件</w:t>
      </w:r>
      <w:r>
        <w:rPr>
          <w:rFonts w:hint="eastAsia" w:ascii="宋体" w:hAnsi="宋体" w:eastAsia="宋体" w:cs="宋体"/>
          <w:b/>
          <w:bCs/>
          <w:sz w:val="24"/>
          <w:szCs w:val="24"/>
          <w:lang w:val="en-US" w:eastAsia="zh-CN"/>
        </w:rPr>
        <w:t>被视为无效。</w:t>
      </w:r>
    </w:p>
    <w:p w14:paraId="6FA071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16.3 成交供应商的询价保证金在采购合同签订后5个工作日内退还。</w:t>
      </w:r>
    </w:p>
    <w:p w14:paraId="268FEA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16.4 未成交供应商的询价保证金在成交通知书发出后5个工作日内退还。</w:t>
      </w:r>
    </w:p>
    <w:p w14:paraId="5886D5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16.5 下列任何情况发生时，询价保证金将不予退还：</w:t>
      </w:r>
    </w:p>
    <w:p w14:paraId="2423F8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(1)供应商在询价通知书规定的询价有效期内撤回其响应文件；</w:t>
      </w:r>
    </w:p>
    <w:p w14:paraId="7920E3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90" w:name="_Toc262628459"/>
      <w:r>
        <w:rPr>
          <w:rFonts w:hint="eastAsia" w:ascii="宋体" w:hAnsi="宋体" w:eastAsia="宋体" w:cs="宋体"/>
          <w:sz w:val="24"/>
          <w:szCs w:val="24"/>
          <w:lang w:val="en-US" w:eastAsia="zh-CN"/>
        </w:rPr>
        <w:t>(2)供应商在响应文件中提供虚假材料的；</w:t>
      </w:r>
    </w:p>
    <w:p w14:paraId="150435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(3)除因不可抗力或询价通知书认可的情形以外，成交供应商不与采购人签订合同的；</w:t>
      </w:r>
    </w:p>
    <w:p w14:paraId="3D495B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(4)供应商与采购人、其他供应商或者采购代理机构恶意串通的；</w:t>
      </w:r>
    </w:p>
    <w:p w14:paraId="2B40B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(5)成交供应商未按规定缴付采购代理服务费；</w:t>
      </w:r>
    </w:p>
    <w:p w14:paraId="021D85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(6)成交供应商未按规定提交履约保证金；</w:t>
      </w:r>
    </w:p>
    <w:p w14:paraId="0A1AF4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(7)采购文件规定的其他情形。</w:t>
      </w:r>
    </w:p>
    <w:p w14:paraId="720599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17. 询价有效期</w:t>
      </w:r>
      <w:bookmarkEnd w:id="90"/>
    </w:p>
    <w:p w14:paraId="2FF6A6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17.1询价有效期为自询价之日起不少于“供应商须知前附表”规定的时间保持有效。询价有效期不足的响应文件</w:t>
      </w:r>
      <w:r>
        <w:rPr>
          <w:rFonts w:hint="eastAsia" w:ascii="宋体" w:hAnsi="宋体" w:eastAsia="宋体" w:cs="宋体"/>
          <w:b/>
          <w:bCs/>
          <w:sz w:val="24"/>
          <w:szCs w:val="24"/>
          <w:lang w:val="en-US" w:eastAsia="zh-CN"/>
        </w:rPr>
        <w:t>被视为无效。</w:t>
      </w:r>
    </w:p>
    <w:p w14:paraId="4515EB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bookmarkStart w:id="91" w:name="_Toc262628460"/>
      <w:r>
        <w:rPr>
          <w:rFonts w:hint="eastAsia" w:ascii="宋体" w:hAnsi="宋体" w:eastAsia="宋体" w:cs="宋体"/>
          <w:b/>
          <w:bCs/>
          <w:sz w:val="24"/>
          <w:szCs w:val="24"/>
          <w:lang w:val="en-US" w:eastAsia="zh-CN"/>
        </w:rPr>
        <w:t>18. 响应文件的签署及规定</w:t>
      </w:r>
      <w:bookmarkEnd w:id="91"/>
    </w:p>
    <w:p w14:paraId="7E89B9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 供应商应准备一份响应文件正本和“供应商须知前附表”规定份数的副本。每套响应文件须清楚地标明“正本”或“副本”。若正本和副本不符，以正本为准。</w:t>
      </w:r>
    </w:p>
    <w:p w14:paraId="7D0C0D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18.2 响应文件的正本必须打印，并按询价通知书的要求签字、盖章（或按印）。副本可采用正本的复印件。</w:t>
      </w:r>
      <w:r>
        <w:rPr>
          <w:rFonts w:hint="eastAsia" w:ascii="宋体" w:hAnsi="宋体" w:eastAsia="宋体" w:cs="宋体"/>
          <w:b/>
          <w:bCs/>
          <w:sz w:val="24"/>
          <w:szCs w:val="24"/>
          <w:lang w:val="en-US" w:eastAsia="zh-CN"/>
        </w:rPr>
        <w:t>响应文件正、副本均须胶装。</w:t>
      </w:r>
    </w:p>
    <w:p w14:paraId="13261A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18.3 响应文件不得涂改和增删，如有修改，必须由响应文件签字人签字或盖章或按印。</w:t>
      </w:r>
    </w:p>
    <w:p w14:paraId="03640F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18.4 响应文件因字迹潦草或表达不清所引起的后果由供应商负责。</w:t>
      </w:r>
    </w:p>
    <w:p w14:paraId="6B0D19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18.5 电报、电传、传真形式的响应文件概不接受。</w:t>
      </w:r>
    </w:p>
    <w:p w14:paraId="4AE61A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3AE2070F">
      <w:pPr>
        <w:pStyle w:val="7"/>
        <w:bidi w:val="0"/>
        <w:rPr>
          <w:rFonts w:hint="eastAsia" w:ascii="宋体" w:hAnsi="宋体" w:eastAsia="宋体" w:cs="宋体"/>
          <w:szCs w:val="24"/>
          <w:lang w:val="en-US" w:eastAsia="zh-CN"/>
        </w:rPr>
      </w:pPr>
      <w:bookmarkStart w:id="92" w:name="_Toc14495"/>
      <w:bookmarkStart w:id="93" w:name="_Toc12714"/>
      <w:bookmarkStart w:id="94" w:name="_Toc475970877"/>
      <w:bookmarkStart w:id="95" w:name="_Toc13945"/>
      <w:bookmarkStart w:id="96" w:name="_Toc22928"/>
      <w:bookmarkStart w:id="97" w:name="_Toc287002508"/>
      <w:bookmarkStart w:id="98" w:name="_Toc28085"/>
      <w:r>
        <w:rPr>
          <w:rFonts w:hint="eastAsia" w:ascii="宋体" w:hAnsi="宋体" w:eastAsia="宋体" w:cs="宋体"/>
          <w:sz w:val="28"/>
          <w:szCs w:val="28"/>
          <w:lang w:val="en-US" w:eastAsia="zh-CN"/>
        </w:rPr>
        <w:t>五、响应文件的递交</w:t>
      </w:r>
      <w:bookmarkEnd w:id="92"/>
      <w:bookmarkEnd w:id="93"/>
      <w:bookmarkEnd w:id="94"/>
      <w:bookmarkEnd w:id="95"/>
      <w:bookmarkEnd w:id="96"/>
      <w:bookmarkEnd w:id="97"/>
      <w:bookmarkEnd w:id="98"/>
    </w:p>
    <w:p w14:paraId="3BADE43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19. 响应文件的密封及标记</w:t>
      </w:r>
    </w:p>
    <w:p w14:paraId="4A7F24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19.1 供应商应将响应文件正本和“供应商须知前附表”规定的副本密封装在一个单独的信封中。</w:t>
      </w:r>
    </w:p>
    <w:p w14:paraId="555A7E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 为方便询价，供应商应将报价表、询价保证金凭据复印件单独密封（响应文件正、副本中须附有），并在信封上标明“报价表”字样。</w:t>
      </w:r>
    </w:p>
    <w:p w14:paraId="6DCE93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19.3信封封口处有询价全权代表的签字或单位公章（或自然人手印）。封皮上注明询价项目名称、项目编号、供应商名称、地址、邮政编码、电话、联系人，并注明“询价时启封”字样。</w:t>
      </w:r>
    </w:p>
    <w:p w14:paraId="7A795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19.4如果供应商未按上述要求密封及加写标记，采购代理机构对响应文件的误投和提前启封概不负责。</w:t>
      </w:r>
    </w:p>
    <w:p w14:paraId="309C7B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20. 询价截止时间</w:t>
      </w:r>
    </w:p>
    <w:p w14:paraId="73E128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供应商必须在“询价邀请”规定的截止时间前，将响应文件密封送达指定地点。已购买询价通知书的供应商，在提交响应文件的截止时间一日前，未书面通知代理机构放弃询价的，不得再参加该项目的采购活动。</w:t>
      </w:r>
    </w:p>
    <w:p w14:paraId="21282D5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21. 迟交的响应文件</w:t>
      </w:r>
    </w:p>
    <w:p w14:paraId="1A28BA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21.1在响应文件递交截止时间以后送达的响应文件，采购代理机构将拒绝接收。</w:t>
      </w:r>
    </w:p>
    <w:p w14:paraId="1ABC6D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22. 响应文件的补充、修改或撤回</w:t>
      </w:r>
    </w:p>
    <w:p w14:paraId="56B925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2D6225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22.2从响应文件递交截止期至询价有效期期满这段时间内，供应商不得撤回其响应文件，否则将不予退还其交纳的询价保证金。</w:t>
      </w:r>
    </w:p>
    <w:p w14:paraId="7686E598">
      <w:pPr>
        <w:pStyle w:val="7"/>
        <w:bidi w:val="0"/>
        <w:rPr>
          <w:rFonts w:hint="eastAsia" w:ascii="宋体" w:hAnsi="宋体" w:eastAsia="宋体" w:cs="宋体"/>
          <w:b/>
          <w:bCs/>
          <w:szCs w:val="28"/>
          <w:lang w:val="en-US" w:eastAsia="zh-CN"/>
        </w:rPr>
      </w:pPr>
      <w:bookmarkStart w:id="99" w:name="_Toc287002509"/>
      <w:bookmarkStart w:id="100" w:name="_Toc15043"/>
      <w:bookmarkStart w:id="101" w:name="_Toc6101"/>
      <w:bookmarkStart w:id="102" w:name="_Toc32727"/>
      <w:bookmarkStart w:id="103" w:name="_Toc8518"/>
      <w:bookmarkStart w:id="104" w:name="_Toc475970878"/>
      <w:bookmarkStart w:id="105" w:name="_Toc26198"/>
      <w:r>
        <w:rPr>
          <w:rFonts w:hint="eastAsia" w:ascii="宋体" w:hAnsi="宋体" w:eastAsia="宋体" w:cs="宋体"/>
          <w:sz w:val="28"/>
          <w:szCs w:val="28"/>
          <w:lang w:val="en-US" w:eastAsia="zh-CN"/>
        </w:rPr>
        <w:t>六、</w:t>
      </w:r>
      <w:bookmarkEnd w:id="99"/>
      <w:r>
        <w:rPr>
          <w:rFonts w:hint="eastAsia" w:ascii="宋体" w:hAnsi="宋体" w:eastAsia="宋体" w:cs="宋体"/>
          <w:sz w:val="28"/>
          <w:szCs w:val="28"/>
          <w:lang w:val="en-US" w:eastAsia="zh-CN"/>
        </w:rPr>
        <w:t>询价与评审</w:t>
      </w:r>
      <w:bookmarkEnd w:id="100"/>
      <w:bookmarkEnd w:id="101"/>
      <w:bookmarkEnd w:id="102"/>
      <w:bookmarkEnd w:id="103"/>
      <w:bookmarkEnd w:id="104"/>
      <w:bookmarkEnd w:id="105"/>
    </w:p>
    <w:p w14:paraId="254303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bookmarkStart w:id="106" w:name="_Toc192386816"/>
      <w:bookmarkStart w:id="107" w:name="_Toc262628626"/>
      <w:r>
        <w:rPr>
          <w:rFonts w:hint="eastAsia" w:ascii="宋体" w:hAnsi="宋体" w:eastAsia="宋体" w:cs="宋体"/>
          <w:b/>
          <w:bCs/>
          <w:sz w:val="24"/>
          <w:szCs w:val="24"/>
          <w:lang w:val="en-US" w:eastAsia="zh-CN"/>
        </w:rPr>
        <w:t>23. 公开报价</w:t>
      </w:r>
    </w:p>
    <w:p w14:paraId="2E119B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23.1采购代理机构在“询价邀请”中规定的时间、地点主持公开报价。公开报价时邀请所有供应商代表参加。参加公开报价的代表应签名报到以证明其出席。</w:t>
      </w:r>
    </w:p>
    <w:p w14:paraId="2E9073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23.2公开报价时查验响应文件密封情况，确认无误后，代理机构按递交响应文件的顺序拆封并公开报价。</w:t>
      </w:r>
    </w:p>
    <w:p w14:paraId="67D937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公开报价时，采购代理机构将宣读供应商名称、总报价、交货期、交货地点、报价声明以及采购代理机构认为合适的其他内容。采购代理机构将做报价记录，只有公开报价时唱出的报价声明，在评审时才予以考虑。在公开报价时没有启封和宣读的响应文件，在评审时将不予考虑。</w:t>
      </w:r>
    </w:p>
    <w:p w14:paraId="471A3C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23.4若供应商提交的报价出现零报价、负报价视为无效报价。</w:t>
      </w:r>
    </w:p>
    <w:p w14:paraId="591263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24. 成立询价小组</w:t>
      </w:r>
    </w:p>
    <w:p w14:paraId="227976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 在相关的政府采购评审专家库中随机抽取评审专家，依法成立询价小组。评审工作由询价小组负责。</w:t>
      </w:r>
    </w:p>
    <w:p w14:paraId="497338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25. 响应文件的初审</w:t>
      </w:r>
    </w:p>
    <w:p w14:paraId="06BA7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25.1响应文件的初审分为：</w:t>
      </w:r>
    </w:p>
    <w:p w14:paraId="6EC2D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（1）资格性检查。依据法律法规和询价通知书的规定，对响应文件中的资格证明、询价保证金等进行审查，以确定供应商是否具备询价资格。</w:t>
      </w:r>
    </w:p>
    <w:p w14:paraId="1C8053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（2）采购代理机构将在询价期间查询响应人的信用记录并告知询价小组，经询价小组评审确定响应人存在不良信用记录的，其响应无效；查询到的不良信用记录随采购文件存档。</w:t>
      </w:r>
    </w:p>
    <w:p w14:paraId="5FBA49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1）根据《财政部关于在政府采购活动中查询及使用信用记录有关问题的通知》（财库[2016]125 号），不良信用记录指：响应人在“信用中国”网站（www.creditchina.gov.cn）被列入失信被执行人和重大税收违法案件当事人名单或在中国政府采购网（www.ccgp.gov.cn）被列入政府采购严重违法失信行为记录名单。</w:t>
      </w:r>
    </w:p>
    <w:p w14:paraId="30E9C7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2）响应人不良信用记录以采购代理机构查询结果为准，采购代理机构查询之后，网站信息发生的任何变更均不再作为评审依据，响应人自行提供的与网站信息不一致的其他证明材料亦不作为评审依据。</w:t>
      </w:r>
    </w:p>
    <w:p w14:paraId="269A6F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（3）符合性检查。依据询价通知书的规定，从响应文件的有效性、完整性和对询价通知书的响应程度、有无计算错误进行审查，以确定是否对询价通知书的实质性要求作出响应。</w:t>
      </w:r>
    </w:p>
    <w:p w14:paraId="364DA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 初审中，算术计算错误将按以下方法更正：</w:t>
      </w:r>
    </w:p>
    <w:p w14:paraId="4D5E0E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（1）如果报价表内容与响应文件中分项报价表内容不一致的，以报价表为准。</w:t>
      </w:r>
    </w:p>
    <w:p w14:paraId="5910F9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（2）响应文件的大写金额和小写金额不一致的，以大写金额为准；总价金额与按单价汇总金额不一致的，以单价金额计算结果为准；单价金额小数点有明显错位的，应以总价为准，并修改单价；</w:t>
      </w:r>
    </w:p>
    <w:p w14:paraId="071BF2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（3）如果供应商不同意对其错误的更正，其报价将作无效报价处理。</w:t>
      </w:r>
    </w:p>
    <w:p w14:paraId="722B9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25.3询价小组可以允许响应文件中存在不构成实质性偏差的不正规、不一致或不规范，但不能损害或影响任何供应商的相对排序。</w:t>
      </w:r>
    </w:p>
    <w:p w14:paraId="5CB270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 实质上没有响应询价通知书要求的响应文件</w:t>
      </w:r>
      <w:r>
        <w:rPr>
          <w:rFonts w:hint="eastAsia" w:ascii="宋体" w:hAnsi="宋体" w:eastAsia="宋体" w:cs="宋体"/>
          <w:b/>
          <w:bCs/>
          <w:sz w:val="24"/>
          <w:szCs w:val="24"/>
          <w:lang w:val="en-US" w:eastAsia="zh-CN"/>
        </w:rPr>
        <w:t>被视为无效。</w:t>
      </w:r>
      <w:r>
        <w:rPr>
          <w:rFonts w:hint="eastAsia" w:ascii="宋体" w:hAnsi="宋体" w:eastAsia="宋体" w:cs="宋体"/>
          <w:sz w:val="24"/>
          <w:szCs w:val="24"/>
          <w:lang w:val="en-US" w:eastAsia="zh-CN"/>
        </w:rPr>
        <w:t>供应商不得通过修正或撤消不合要求的偏离或保留从而使响应文件成为实质上响应的响应文件。如发生下列情况之一的，其响应文件</w:t>
      </w:r>
      <w:r>
        <w:rPr>
          <w:rFonts w:hint="eastAsia" w:ascii="宋体" w:hAnsi="宋体" w:eastAsia="宋体" w:cs="宋体"/>
          <w:b/>
          <w:bCs/>
          <w:sz w:val="24"/>
          <w:szCs w:val="24"/>
          <w:lang w:val="en-US" w:eastAsia="zh-CN"/>
        </w:rPr>
        <w:t>被视为无效：</w:t>
      </w:r>
    </w:p>
    <w:p w14:paraId="1B24E8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1）未提交询价响应书的；</w:t>
      </w:r>
    </w:p>
    <w:p w14:paraId="61ACF6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2）未提交报价表、分项报价表或分项报价表中未列出分项报价的；</w:t>
      </w:r>
    </w:p>
    <w:p w14:paraId="5E28EB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3）提交了可调整报价的；</w:t>
      </w:r>
    </w:p>
    <w:p w14:paraId="5E1DA9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4）供应商未提交询价保证金或金额不足，询价保证金形式不符合询价通知书要求的；</w:t>
      </w:r>
    </w:p>
    <w:p w14:paraId="210A18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5）未按询价通知书“第四章附件12”的规定提供资格证明文件；</w:t>
      </w:r>
    </w:p>
    <w:p w14:paraId="3C2D02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6）未按询价通知书要求加盖单位公章（或自然人按印），法人代表授权书没有法定代表人（或经营者）签字（章）或签字（章）人没有法定代表人（或经营者）有效委托的；</w:t>
      </w:r>
    </w:p>
    <w:p w14:paraId="0ADE7F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7）询价通知书规定为国产产品而提供的是进口产品的；</w:t>
      </w:r>
    </w:p>
    <w:p w14:paraId="470FBE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 询价有效期不足的；</w:t>
      </w:r>
    </w:p>
    <w:p w14:paraId="07223E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9)技术文件技术规格中的响应与事实不符或虚假响应的；</w:t>
      </w:r>
    </w:p>
    <w:p w14:paraId="3C834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10)超过了采购项目预算的；</w:t>
      </w:r>
    </w:p>
    <w:p w14:paraId="7119EE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11）询价通知书规定的其他响应无效条款。</w:t>
      </w:r>
    </w:p>
    <w:p w14:paraId="75C479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25.5询价小组对响应文件的判定，只依据响应文件内容本身，而不依据外部的证据。</w:t>
      </w:r>
    </w:p>
    <w:p w14:paraId="65B86D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25.6若供应商提交的报价出现明显低于其他通过符合性审查供应商的报价，有可能影响产品、工程质量或不能诚信履约的，询价小组有权要求供应商在合理时间内提供书面说明，必要时提交相关证明材料；供应商不能证明其报价合理性的，询价小组可将其作为</w:t>
      </w:r>
      <w:r>
        <w:rPr>
          <w:rFonts w:hint="eastAsia" w:ascii="宋体" w:hAnsi="宋体" w:eastAsia="宋体" w:cs="宋体"/>
          <w:b/>
          <w:bCs/>
          <w:sz w:val="24"/>
          <w:szCs w:val="24"/>
          <w:lang w:val="en-US" w:eastAsia="zh-CN"/>
        </w:rPr>
        <w:t>无效响应处理。</w:t>
      </w:r>
    </w:p>
    <w:p w14:paraId="34C50C1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 响应文件的澄清</w:t>
      </w:r>
    </w:p>
    <w:p w14:paraId="5E3F1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在评审期间，询价小组可要求供应商对其响应文件进行澄清，但澄清不得对响应文件报价等实质内容作任何修改。有关澄清的要求和答复均应以书面形式提交，供应商的澄清、说明书面材料，由其授权的代表签字。</w:t>
      </w:r>
    </w:p>
    <w:p w14:paraId="68F4725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27. 响应文件的评价与比较</w:t>
      </w:r>
    </w:p>
    <w:p w14:paraId="45C8CF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27.1询价小组按照询价通知书中的评审方法和评审标准，对资格性检查和符合性检查合格的响应文件进行商务和技术评估，综合比较与评价。</w:t>
      </w:r>
    </w:p>
    <w:p w14:paraId="0227F3E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bookmarkStart w:id="108" w:name="_Toc286758336"/>
      <w:r>
        <w:rPr>
          <w:rFonts w:hint="eastAsia" w:ascii="宋体" w:hAnsi="宋体" w:eastAsia="宋体" w:cs="宋体"/>
          <w:b/>
          <w:bCs/>
          <w:sz w:val="24"/>
          <w:szCs w:val="24"/>
          <w:lang w:val="en-US" w:eastAsia="zh-CN"/>
        </w:rPr>
        <w:t>28.</w:t>
      </w:r>
      <w:bookmarkEnd w:id="108"/>
      <w:r>
        <w:rPr>
          <w:rFonts w:hint="eastAsia" w:ascii="宋体" w:hAnsi="宋体" w:eastAsia="宋体" w:cs="宋体"/>
          <w:b/>
          <w:bCs/>
          <w:sz w:val="24"/>
          <w:szCs w:val="24"/>
          <w:lang w:val="en-US" w:eastAsia="zh-CN"/>
        </w:rPr>
        <w:t xml:space="preserve"> 成交标准</w:t>
      </w:r>
    </w:p>
    <w:p w14:paraId="4553D9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109" w:name="_Toc286760740"/>
      <w:bookmarkStart w:id="110" w:name="_Toc286758337"/>
      <w:r>
        <w:rPr>
          <w:rFonts w:hint="eastAsia" w:ascii="宋体" w:hAnsi="宋体" w:eastAsia="宋体" w:cs="宋体"/>
          <w:sz w:val="24"/>
          <w:szCs w:val="24"/>
          <w:lang w:val="en-US" w:eastAsia="zh-CN"/>
        </w:rPr>
        <w:t xml:space="preserve">28.1 详见 </w:t>
      </w:r>
      <w:r>
        <w:rPr>
          <w:rFonts w:hint="eastAsia" w:ascii="宋体" w:hAnsi="宋体" w:eastAsia="宋体" w:cs="宋体"/>
          <w:b/>
          <w:bCs/>
          <w:sz w:val="24"/>
          <w:szCs w:val="24"/>
          <w:lang w:val="en-US" w:eastAsia="zh-CN"/>
        </w:rPr>
        <w:t>“供应商须知前附表”。</w:t>
      </w:r>
    </w:p>
    <w:bookmarkEnd w:id="109"/>
    <w:p w14:paraId="35071E5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29. </w:t>
      </w:r>
      <w:bookmarkStart w:id="111" w:name="_Toc262628248"/>
      <w:r>
        <w:rPr>
          <w:rFonts w:hint="eastAsia" w:ascii="宋体" w:hAnsi="宋体" w:eastAsia="宋体" w:cs="宋体"/>
          <w:b/>
          <w:bCs/>
          <w:sz w:val="24"/>
          <w:szCs w:val="24"/>
          <w:lang w:val="en-US" w:eastAsia="zh-CN"/>
        </w:rPr>
        <w:t>与询价小组的接触</w:t>
      </w:r>
      <w:bookmarkEnd w:id="110"/>
      <w:bookmarkEnd w:id="111"/>
    </w:p>
    <w:p w14:paraId="21569A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29.1 除按本须知第26.1条规定的外，从询价之日起至授予合同期间，供应商不得就其询价有关的事项与询价小组私下接触。</w:t>
      </w:r>
    </w:p>
    <w:p w14:paraId="73FBF6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29.2 供应商试图对询价小组的评审施加任何影响，都可能导致其响应文件作无效处理。</w:t>
      </w:r>
    </w:p>
    <w:p w14:paraId="1DDFE2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30. 终止询价采购活动的情形</w:t>
      </w:r>
    </w:p>
    <w:p w14:paraId="20E21C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30.1出现下列情形之一的，终止询价采购活动：</w:t>
      </w:r>
    </w:p>
    <w:p w14:paraId="7BD415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（1）因情况变化，不再符合规定的询价采购方式适用情形的；</w:t>
      </w:r>
    </w:p>
    <w:p w14:paraId="00420F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（2）出现影响采购公正的违法、违规行为的；</w:t>
      </w:r>
    </w:p>
    <w:p w14:paraId="02FD8F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（3）在采购过程中符合竞争要求的供应商或者报价未超过采购预算的供应商不足3家的。</w:t>
      </w:r>
    </w:p>
    <w:bookmarkEnd w:id="106"/>
    <w:bookmarkEnd w:id="107"/>
    <w:p w14:paraId="3D147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112" w:name="_Toc372275496"/>
    </w:p>
    <w:p w14:paraId="366E5460">
      <w:pPr>
        <w:pStyle w:val="7"/>
        <w:bidi w:val="0"/>
        <w:rPr>
          <w:rFonts w:hint="eastAsia" w:ascii="宋体" w:hAnsi="宋体" w:eastAsia="宋体" w:cs="宋体"/>
          <w:szCs w:val="24"/>
          <w:lang w:val="en-US" w:eastAsia="zh-CN"/>
        </w:rPr>
      </w:pPr>
      <w:bookmarkStart w:id="113" w:name="_Toc8893"/>
      <w:bookmarkStart w:id="114" w:name="_Toc475970879"/>
      <w:bookmarkStart w:id="115" w:name="_Toc30893"/>
      <w:bookmarkStart w:id="116" w:name="_Toc19737"/>
      <w:bookmarkStart w:id="117" w:name="_Toc9285"/>
      <w:bookmarkStart w:id="118" w:name="_Toc9740"/>
      <w:r>
        <w:rPr>
          <w:rFonts w:hint="eastAsia" w:ascii="宋体" w:hAnsi="宋体" w:eastAsia="宋体" w:cs="宋体"/>
          <w:sz w:val="28"/>
          <w:szCs w:val="28"/>
          <w:lang w:val="en-US" w:eastAsia="zh-CN"/>
        </w:rPr>
        <w:t>七、</w:t>
      </w:r>
      <w:bookmarkEnd w:id="112"/>
      <w:r>
        <w:rPr>
          <w:rFonts w:hint="eastAsia" w:ascii="宋体" w:hAnsi="宋体" w:eastAsia="宋体" w:cs="宋体"/>
          <w:sz w:val="28"/>
          <w:szCs w:val="28"/>
          <w:lang w:val="en-US" w:eastAsia="zh-CN"/>
        </w:rPr>
        <w:t>推荐成交候选供应商、确定成交供应商</w:t>
      </w:r>
      <w:bookmarkEnd w:id="113"/>
      <w:bookmarkEnd w:id="114"/>
      <w:bookmarkEnd w:id="115"/>
      <w:bookmarkEnd w:id="116"/>
      <w:bookmarkEnd w:id="117"/>
      <w:bookmarkEnd w:id="118"/>
    </w:p>
    <w:p w14:paraId="5E1FE5C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31. 推荐成交候选供应商</w:t>
      </w:r>
    </w:p>
    <w:p w14:paraId="4608A2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31.1询价小组应当从质量和服务均能满足采购文件实质性响应要求的供应商中，按照报价由低到高的顺序提出3名以上成交候选人，并编写评审报告。</w:t>
      </w:r>
    </w:p>
    <w:p w14:paraId="57C18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31.2报价相同的，按技术指标优劣顺序及节能环保产品金额占比排列；报价相同且技术指标优劣及节能环保产品金额占比相同的由询价小组随机抽取确定排序。</w:t>
      </w:r>
    </w:p>
    <w:p w14:paraId="08906E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32. 确定成交供应商</w:t>
      </w:r>
    </w:p>
    <w:p w14:paraId="4A4F75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32.1采购代理机构在询价结束后将评审报告送采购人。</w:t>
      </w:r>
    </w:p>
    <w:p w14:paraId="779AB1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32.2采购人收到评审报告后，按照评审报告推荐的成交候选人顺序确定成交供应商。也可以事先授权询价小组直接确定成交供应商。</w:t>
      </w:r>
    </w:p>
    <w:p w14:paraId="251940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18CFF102">
      <w:pPr>
        <w:pStyle w:val="7"/>
        <w:bidi w:val="0"/>
        <w:rPr>
          <w:rFonts w:hint="eastAsia" w:ascii="宋体" w:hAnsi="宋体" w:eastAsia="宋体" w:cs="宋体"/>
          <w:szCs w:val="24"/>
          <w:lang w:val="en-US" w:eastAsia="zh-CN"/>
        </w:rPr>
      </w:pPr>
      <w:bookmarkStart w:id="119" w:name="_Toc463859525"/>
      <w:bookmarkStart w:id="120" w:name="_Toc376848254"/>
      <w:bookmarkStart w:id="121" w:name="_Toc6959"/>
      <w:bookmarkStart w:id="122" w:name="_Toc475970880"/>
      <w:bookmarkStart w:id="123" w:name="_Toc23108"/>
      <w:bookmarkStart w:id="124" w:name="_Toc25700"/>
      <w:bookmarkStart w:id="125" w:name="_Toc30193"/>
      <w:bookmarkStart w:id="126" w:name="_Toc11878"/>
      <w:bookmarkStart w:id="127" w:name="_Toc286758340"/>
      <w:r>
        <w:rPr>
          <w:rFonts w:hint="eastAsia" w:ascii="宋体" w:hAnsi="宋体" w:eastAsia="宋体" w:cs="宋体"/>
          <w:sz w:val="28"/>
          <w:szCs w:val="28"/>
          <w:lang w:val="en-US" w:eastAsia="zh-CN"/>
        </w:rPr>
        <w:t>八、评审结果公示、</w:t>
      </w:r>
      <w:bookmarkEnd w:id="119"/>
      <w:bookmarkEnd w:id="120"/>
      <w:r>
        <w:rPr>
          <w:rFonts w:hint="eastAsia" w:ascii="宋体" w:hAnsi="宋体" w:eastAsia="宋体" w:cs="宋体"/>
          <w:sz w:val="28"/>
          <w:szCs w:val="28"/>
          <w:lang w:val="en-US" w:eastAsia="zh-CN"/>
        </w:rPr>
        <w:t>质疑</w:t>
      </w:r>
      <w:bookmarkEnd w:id="121"/>
      <w:bookmarkEnd w:id="122"/>
      <w:bookmarkEnd w:id="123"/>
      <w:bookmarkEnd w:id="124"/>
      <w:bookmarkEnd w:id="125"/>
      <w:bookmarkEnd w:id="126"/>
    </w:p>
    <w:bookmarkEnd w:id="127"/>
    <w:p w14:paraId="5D1B9A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33. 公示</w:t>
      </w:r>
    </w:p>
    <w:p w14:paraId="14F6EA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成交供应商确定后，采购代理机构在吉安职业技术学院官网及江西省招标投标网公告上进行评审结果公示，公示期为1个工作日。</w:t>
      </w:r>
    </w:p>
    <w:p w14:paraId="736A665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34.质疑</w:t>
      </w:r>
    </w:p>
    <w:p w14:paraId="1CAE00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34.1 供应商认为询价通知书、采购过程、成交结果使自己的权益受到损害的，可以在知道或者应知其权益受到损害之日起7个工作日内，以书面形式向采购人、采购代理机构提出质疑。</w:t>
      </w:r>
    </w:p>
    <w:p w14:paraId="35F154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1）对可以质疑的询价通知书提出质疑的，为询价通知书公告期限届满之日起7个工作日内；</w:t>
      </w:r>
    </w:p>
    <w:p w14:paraId="23FAEB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2）对采购过程提出质疑的，为各采购程序环节结束之日起7个工作日内；</w:t>
      </w:r>
    </w:p>
    <w:p w14:paraId="211B56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3）对成交结果提出质疑的，为成交结果公告期限届满之日起7个工作日内。</w:t>
      </w:r>
    </w:p>
    <w:p w14:paraId="32CBC7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34.2 供应商应在法定质疑期内一次性提出针对同一采购程序环节的质疑。</w:t>
      </w:r>
    </w:p>
    <w:p w14:paraId="0EABD4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34.3 提出质疑的供应商应当是参与所质疑项目采购活动的供应商。</w:t>
      </w:r>
    </w:p>
    <w:p w14:paraId="5E1DBC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34.4潜在供应商已依法获取其可质疑的询价通知书的，可以对该文件提出质疑。</w:t>
      </w:r>
    </w:p>
    <w:p w14:paraId="0FAD26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34.5供应商提出质疑应当提交质疑函和必要的证明材料。质疑函应当包括下列内容（格式参照中国政府采购网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"http://www.ccgp.gov.cn/"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http://www.ccgp.gov.cn/</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下载专区的《政府采购供应商质疑函范本》）。（一）供应商的姓名或者名称、地址、邮编、联系人及联系电话；</w:t>
      </w:r>
    </w:p>
    <w:p w14:paraId="10BE1E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（二）质疑项目的名称、编号；</w:t>
      </w:r>
    </w:p>
    <w:p w14:paraId="38D848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（三）具体、明确的质疑事项和与质疑事项相关的请求；</w:t>
      </w:r>
    </w:p>
    <w:p w14:paraId="4BD760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（四）事实依据；</w:t>
      </w:r>
    </w:p>
    <w:p w14:paraId="7870B0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（五）必要的法律依据；</w:t>
      </w:r>
    </w:p>
    <w:p w14:paraId="26F40B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（六）提出质疑的日期。</w:t>
      </w:r>
    </w:p>
    <w:p w14:paraId="0599C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供应商为自然人的，应当由本人签字按印；供应商为法人或者其他组织的，应当由法定代表人（或经营者）、主要负责人，或者其授权代表签字或者盖章，并加盖公章。</w:t>
      </w:r>
    </w:p>
    <w:p w14:paraId="437BDC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对不在采购代理机构现场购买的询价通知书质疑的，须同时提供下载询价通知书的凭证。</w:t>
      </w:r>
    </w:p>
    <w:p w14:paraId="21C017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34.6质疑函接收方式</w:t>
      </w:r>
    </w:p>
    <w:p w14:paraId="1075B4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34.6.1对询价通知书、采购过程、成交结果质疑</w:t>
      </w:r>
    </w:p>
    <w:p w14:paraId="76D02B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接收部门：江西企恒企业管理有限公司</w:t>
      </w:r>
    </w:p>
    <w:p w14:paraId="6FE32C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联系电话：0796-8226866</w:t>
      </w:r>
    </w:p>
    <w:p w14:paraId="51D90E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通讯地址：吉安市吉州区白鹭苑二期一栋二楼</w:t>
      </w:r>
    </w:p>
    <w:p w14:paraId="5C9D3E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邮编：343000</w:t>
      </w:r>
    </w:p>
    <w:p w14:paraId="625F21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48E14D4C">
      <w:pPr>
        <w:pStyle w:val="7"/>
        <w:bidi w:val="0"/>
        <w:rPr>
          <w:rFonts w:hint="eastAsia" w:ascii="宋体" w:hAnsi="宋体" w:eastAsia="宋体" w:cs="宋体"/>
          <w:szCs w:val="24"/>
          <w:lang w:val="en-US" w:eastAsia="zh-CN"/>
        </w:rPr>
      </w:pPr>
      <w:bookmarkStart w:id="128" w:name="_Toc463859526"/>
      <w:bookmarkStart w:id="129" w:name="_Toc6257"/>
      <w:bookmarkStart w:id="130" w:name="_Toc13104"/>
      <w:bookmarkStart w:id="131" w:name="_Toc27599"/>
      <w:bookmarkStart w:id="132" w:name="_Toc6519"/>
      <w:bookmarkStart w:id="133" w:name="_Toc475970881"/>
      <w:bookmarkStart w:id="134" w:name="_Toc25470"/>
      <w:r>
        <w:rPr>
          <w:rFonts w:hint="eastAsia" w:ascii="宋体" w:hAnsi="宋体" w:eastAsia="宋体" w:cs="宋体"/>
          <w:sz w:val="28"/>
          <w:szCs w:val="28"/>
          <w:lang w:val="en-US" w:eastAsia="zh-CN"/>
        </w:rPr>
        <w:t>九、</w:t>
      </w:r>
      <w:bookmarkEnd w:id="128"/>
      <w:r>
        <w:rPr>
          <w:rFonts w:hint="eastAsia" w:ascii="宋体" w:hAnsi="宋体" w:eastAsia="宋体" w:cs="宋体"/>
          <w:sz w:val="28"/>
          <w:szCs w:val="28"/>
          <w:lang w:val="en-US" w:eastAsia="zh-CN"/>
        </w:rPr>
        <w:t>成交通知书、签订合同</w:t>
      </w:r>
      <w:bookmarkEnd w:id="129"/>
      <w:bookmarkEnd w:id="130"/>
      <w:bookmarkEnd w:id="131"/>
      <w:bookmarkEnd w:id="132"/>
      <w:bookmarkEnd w:id="133"/>
      <w:bookmarkEnd w:id="134"/>
    </w:p>
    <w:p w14:paraId="081837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35.成交通知书</w:t>
      </w:r>
    </w:p>
    <w:p w14:paraId="24CC16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35.1采购代理机构公示评审结果，向成交供应商发出成交通知书，并通知所有未成交的供应商。</w:t>
      </w:r>
    </w:p>
    <w:p w14:paraId="0E346E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35.2成交通知书是合同的一个组成部分。</w:t>
      </w:r>
    </w:p>
    <w:p w14:paraId="374478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bookmarkStart w:id="135" w:name="_Toc225565911"/>
      <w:r>
        <w:rPr>
          <w:rFonts w:hint="eastAsia" w:ascii="宋体" w:hAnsi="宋体" w:eastAsia="宋体" w:cs="宋体"/>
          <w:b/>
          <w:bCs/>
          <w:sz w:val="24"/>
          <w:szCs w:val="24"/>
          <w:lang w:val="en-US" w:eastAsia="zh-CN"/>
        </w:rPr>
        <w:t>36. 签订合同</w:t>
      </w:r>
      <w:bookmarkEnd w:id="135"/>
    </w:p>
    <w:p w14:paraId="462B36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36.1 成交供应商应按成交通知书规定的时间、地点与采购人签订合同，否则按询价有效期内撤回其响应文件处理。</w:t>
      </w:r>
    </w:p>
    <w:p w14:paraId="44C274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36.2 询价通知书、成交供应商的响应文件及询价过程中有关澄清文件均应作为签订合同的依据。</w:t>
      </w:r>
    </w:p>
    <w:p w14:paraId="6678A3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36.3 合同履行中，采购人需追加与合同标的相同的货物的，在不改变合同其他条款的前提下，可以与供应商协商签订补充合同，但所有补充合同的采购金额不得超过原合同采购金额的百分之十。</w:t>
      </w:r>
    </w:p>
    <w:p w14:paraId="619D36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36.4成交供应商拒绝签订政府采购合同的，采购人可以按本须知“第32条”规定的原则确定下一个候选人为成交供应商，也可以重新开展政府采购活动。拒绝签订政府采购合同的成交供应商不得参加该项目重新开展的采购活动，并不予退还其交纳的询价保证金。</w:t>
      </w:r>
    </w:p>
    <w:p w14:paraId="424FA033">
      <w:pPr>
        <w:pStyle w:val="7"/>
        <w:bidi w:val="0"/>
        <w:rPr>
          <w:rFonts w:hint="eastAsia" w:ascii="宋体" w:hAnsi="宋体" w:eastAsia="宋体" w:cs="宋体"/>
          <w:szCs w:val="24"/>
          <w:lang w:val="en-US" w:eastAsia="zh-CN"/>
        </w:rPr>
      </w:pPr>
      <w:bookmarkStart w:id="136" w:name="_Toc225565912"/>
      <w:bookmarkStart w:id="137" w:name="_Toc475970882"/>
      <w:bookmarkStart w:id="138" w:name="_Toc12358"/>
      <w:bookmarkStart w:id="139" w:name="_Toc21699"/>
      <w:bookmarkStart w:id="140" w:name="_Toc10945"/>
      <w:bookmarkStart w:id="141" w:name="_Toc20768"/>
      <w:bookmarkStart w:id="142" w:name="_Toc15274"/>
      <w:r>
        <w:rPr>
          <w:rFonts w:hint="eastAsia" w:ascii="宋体" w:hAnsi="宋体" w:eastAsia="宋体" w:cs="宋体"/>
          <w:sz w:val="28"/>
          <w:szCs w:val="28"/>
          <w:lang w:val="en-US" w:eastAsia="zh-CN"/>
        </w:rPr>
        <w:t>十、 采购代理服务费</w:t>
      </w:r>
      <w:bookmarkEnd w:id="136"/>
      <w:r>
        <w:rPr>
          <w:rFonts w:hint="eastAsia" w:ascii="宋体" w:hAnsi="宋体" w:eastAsia="宋体" w:cs="宋体"/>
          <w:sz w:val="28"/>
          <w:szCs w:val="28"/>
          <w:lang w:val="en-US" w:eastAsia="zh-CN"/>
        </w:rPr>
        <w:t>、履约保证金</w:t>
      </w:r>
      <w:bookmarkEnd w:id="137"/>
      <w:bookmarkEnd w:id="138"/>
      <w:bookmarkEnd w:id="139"/>
      <w:bookmarkEnd w:id="140"/>
      <w:bookmarkEnd w:id="141"/>
      <w:bookmarkEnd w:id="142"/>
    </w:p>
    <w:p w14:paraId="2102E2E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37. 采购代理服务费</w:t>
      </w:r>
    </w:p>
    <w:p w14:paraId="744BF8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37.1成交供应商在领取成交通知书时，须向采购代理机构缴纳“供应商须知前附表”规定的采购代理服务费。在领取采购代理服务费发票时提供一份采购合同。</w:t>
      </w:r>
    </w:p>
    <w:p w14:paraId="2C2E6B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37.2采购代理服务费采用银行转账、支票、汇票、本票现金等采购代理机构认可的形式交纳。</w:t>
      </w:r>
    </w:p>
    <w:p w14:paraId="579301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账户名：江西企恒企业管理有限公司</w:t>
      </w:r>
    </w:p>
    <w:p w14:paraId="74246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开户银行：中国建设银行股份有限公司吉安吉州支行</w:t>
      </w:r>
    </w:p>
    <w:p w14:paraId="71D00D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账号：36050184015200000460</w:t>
      </w:r>
    </w:p>
    <w:p w14:paraId="287B6A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37.3 成交供应商如未按第37.1条规定办理，采购代理机构将按第16.5条规定不予退还其询价保证金。</w:t>
      </w:r>
    </w:p>
    <w:p w14:paraId="730B55E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38. 履约保证金</w:t>
      </w:r>
    </w:p>
    <w:p w14:paraId="296F60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38.1成交供应商在与采购人签订采购合同之前，向采购人提交“供应商须知前附表”规定的履约保证金。履约保证金按采购人的要求汇入采购人指定账户。</w:t>
      </w:r>
    </w:p>
    <w:p w14:paraId="004DC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38.2 履约保证金用于补偿因成交供应商不能完成其合同义务而使采购人蒙受的损失。</w:t>
      </w:r>
    </w:p>
    <w:p w14:paraId="583A9F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38.3如果成交供应商没有按本须知“第38.1条”规定执行，被视为成交供应商拒绝签订政府采购合同，按本须知“第36.4条”规定执行。</w:t>
      </w:r>
    </w:p>
    <w:p w14:paraId="59B959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143" w:name="_Toc386209620"/>
      <w:bookmarkStart w:id="144" w:name="_Toc376848257"/>
      <w:bookmarkStart w:id="145" w:name="_Toc377117016"/>
      <w:bookmarkStart w:id="146" w:name="_Toc245611283"/>
    </w:p>
    <w:p w14:paraId="0C3FF824">
      <w:pPr>
        <w:pStyle w:val="7"/>
        <w:bidi w:val="0"/>
        <w:rPr>
          <w:rFonts w:hint="eastAsia" w:ascii="宋体" w:hAnsi="宋体" w:eastAsia="宋体" w:cs="宋体"/>
          <w:szCs w:val="24"/>
          <w:lang w:val="en-US" w:eastAsia="zh-CN"/>
        </w:rPr>
      </w:pPr>
      <w:bookmarkStart w:id="147" w:name="_Toc21664"/>
      <w:bookmarkStart w:id="148" w:name="_Toc8417"/>
      <w:bookmarkStart w:id="149" w:name="_Toc15522"/>
      <w:bookmarkStart w:id="150" w:name="_Toc10408"/>
      <w:bookmarkStart w:id="151" w:name="_Toc11696"/>
      <w:bookmarkStart w:id="152" w:name="_Toc475970883"/>
      <w:r>
        <w:rPr>
          <w:rFonts w:hint="eastAsia" w:ascii="宋体" w:hAnsi="宋体" w:eastAsia="宋体" w:cs="宋体"/>
          <w:sz w:val="28"/>
          <w:szCs w:val="28"/>
          <w:lang w:val="en-US" w:eastAsia="zh-CN"/>
        </w:rPr>
        <w:t>十一、附则</w:t>
      </w:r>
      <w:bookmarkEnd w:id="143"/>
      <w:bookmarkEnd w:id="144"/>
      <w:bookmarkEnd w:id="145"/>
      <w:bookmarkEnd w:id="147"/>
      <w:bookmarkEnd w:id="148"/>
      <w:bookmarkEnd w:id="149"/>
      <w:bookmarkEnd w:id="150"/>
      <w:bookmarkEnd w:id="151"/>
      <w:bookmarkEnd w:id="152"/>
    </w:p>
    <w:p w14:paraId="63A2A3B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39. 解释权</w:t>
      </w:r>
      <w:bookmarkEnd w:id="146"/>
    </w:p>
    <w:p w14:paraId="0EFB20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39.1本询价通知书是根据国家有关法律、法规以及政府采购管理有关规定编制，解释权属江西企恒企业管理有限公司。</w:t>
      </w:r>
    </w:p>
    <w:p w14:paraId="5502010B">
      <w:pPr>
        <w:rPr>
          <w:rFonts w:hint="eastAsia"/>
          <w:lang w:val="en-US" w:eastAsia="zh-CN"/>
        </w:rPr>
      </w:pPr>
      <w:r>
        <w:rPr>
          <w:rFonts w:hint="eastAsia" w:ascii="宋体" w:hAnsi="宋体" w:eastAsia="宋体" w:cs="宋体"/>
          <w:sz w:val="24"/>
          <w:szCs w:val="24"/>
          <w:lang w:val="en-US" w:eastAsia="zh-CN"/>
        </w:rPr>
        <w:br w:type="page"/>
      </w:r>
    </w:p>
    <w:p w14:paraId="4C49C2AF">
      <w:pPr>
        <w:rPr>
          <w:rFonts w:hint="eastAsia" w:ascii="宋体" w:hAnsi="宋体" w:eastAsia="宋体" w:cs="宋体"/>
          <w:sz w:val="24"/>
          <w:szCs w:val="24"/>
          <w:lang w:val="en-US" w:eastAsia="zh-CN"/>
        </w:rPr>
      </w:pPr>
    </w:p>
    <w:p w14:paraId="75716A44">
      <w:pPr>
        <w:pStyle w:val="6"/>
        <w:bidi w:val="0"/>
        <w:rPr>
          <w:rFonts w:hint="eastAsia"/>
          <w:lang w:val="en-US" w:eastAsia="zh-CN"/>
        </w:rPr>
      </w:pPr>
      <w:bookmarkStart w:id="153" w:name="_Toc21934"/>
      <w:bookmarkStart w:id="154" w:name="_Toc16433"/>
      <w:bookmarkStart w:id="155" w:name="_Toc2525"/>
      <w:bookmarkStart w:id="156" w:name="_Toc1052"/>
      <w:bookmarkStart w:id="157" w:name="_Toc19912"/>
      <w:r>
        <w:rPr>
          <w:rFonts w:hint="eastAsia" w:ascii="宋体" w:hAnsi="宋体" w:eastAsia="宋体" w:cs="宋体"/>
          <w:sz w:val="32"/>
          <w:szCs w:val="32"/>
          <w:lang w:val="en-US" w:eastAsia="zh-CN"/>
        </w:rPr>
        <w:t>第三章、拟签订的合同文</w:t>
      </w:r>
      <w:bookmarkEnd w:id="153"/>
      <w:bookmarkEnd w:id="154"/>
      <w:bookmarkEnd w:id="155"/>
      <w:r>
        <w:rPr>
          <w:rFonts w:hint="eastAsia" w:ascii="宋体" w:hAnsi="宋体" w:eastAsia="宋体" w:cs="宋体"/>
          <w:sz w:val="32"/>
          <w:szCs w:val="32"/>
          <w:lang w:val="en-US" w:eastAsia="zh-CN"/>
        </w:rPr>
        <w:t>本</w:t>
      </w:r>
      <w:bookmarkEnd w:id="156"/>
      <w:bookmarkEnd w:id="157"/>
    </w:p>
    <w:p w14:paraId="6EC3F7BA">
      <w:pPr>
        <w:pStyle w:val="17"/>
        <w:widowControl/>
        <w:spacing w:before="312" w:after="312" w:line="520" w:lineRule="exact"/>
        <w:jc w:val="center"/>
        <w:textAlignment w:val="baseline"/>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吉安职业技术学院采购合同模板（货物类）</w:t>
      </w:r>
    </w:p>
    <w:p w14:paraId="2E2D11A8">
      <w:pPr>
        <w:spacing w:line="480" w:lineRule="exact"/>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甲方（采购方）：吉安职业技术学院</w:t>
      </w:r>
    </w:p>
    <w:p w14:paraId="6B6887F0">
      <w:pPr>
        <w:spacing w:line="480" w:lineRule="exact"/>
        <w:jc w:val="left"/>
        <w:rPr>
          <w:rFonts w:hint="eastAsia" w:asciiTheme="minorEastAsia" w:hAnsiTheme="minorEastAsia" w:eastAsiaTheme="minorEastAsia" w:cstheme="minorEastAsia"/>
          <w:b/>
          <w:bCs/>
          <w:color w:val="FF0000"/>
          <w:sz w:val="28"/>
          <w:szCs w:val="28"/>
        </w:rPr>
      </w:pPr>
      <w:r>
        <w:rPr>
          <w:rFonts w:hint="eastAsia" w:asciiTheme="minorEastAsia" w:hAnsiTheme="minorEastAsia" w:eastAsiaTheme="minorEastAsia" w:cstheme="minorEastAsia"/>
          <w:b/>
          <w:bCs/>
          <w:sz w:val="28"/>
          <w:szCs w:val="28"/>
        </w:rPr>
        <w:t xml:space="preserve">乙方（供应方）：                            </w:t>
      </w:r>
    </w:p>
    <w:p w14:paraId="74CCE900">
      <w:pPr>
        <w:pStyle w:val="9"/>
        <w:spacing w:line="48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中华人民共和国政府采购法》《中华人民共和国民法典》及招标文件的要求，经双方协商一致，签订本合同。技术说明及其他有关合同货物的特定信息由合同附件予以说明，所有附件及本项目的招投标文件、会议纪要、协议等均为本合同不可分割之一部分。</w:t>
      </w:r>
    </w:p>
    <w:p w14:paraId="57C2C486">
      <w:pPr>
        <w:pStyle w:val="9"/>
        <w:spacing w:line="48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第一条  项目名称</w:t>
      </w:r>
    </w:p>
    <w:p w14:paraId="232B91F1">
      <w:pPr>
        <w:pStyle w:val="9"/>
        <w:spacing w:line="48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1.项目名称：</w:t>
      </w:r>
    </w:p>
    <w:p w14:paraId="56D82BDF">
      <w:pPr>
        <w:pStyle w:val="9"/>
        <w:spacing w:line="48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2.招标编号：</w:t>
      </w:r>
    </w:p>
    <w:p w14:paraId="5787B3F4">
      <w:pPr>
        <w:pStyle w:val="9"/>
        <w:spacing w:line="48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sz w:val="28"/>
          <w:szCs w:val="28"/>
        </w:rPr>
        <w:t xml:space="preserve">第二条  </w:t>
      </w:r>
      <w:r>
        <w:rPr>
          <w:rFonts w:hint="eastAsia" w:asciiTheme="minorEastAsia" w:hAnsiTheme="minorEastAsia" w:eastAsiaTheme="minorEastAsia" w:cstheme="minorEastAsia"/>
          <w:b/>
          <w:bCs/>
          <w:sz w:val="28"/>
          <w:szCs w:val="28"/>
        </w:rPr>
        <w:t>货物采购清单</w:t>
      </w:r>
    </w:p>
    <w:tbl>
      <w:tblPr>
        <w:tblStyle w:val="19"/>
        <w:tblW w:w="5228" w:type="pct"/>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268"/>
        <w:gridCol w:w="1218"/>
        <w:gridCol w:w="945"/>
        <w:gridCol w:w="1218"/>
        <w:gridCol w:w="754"/>
        <w:gridCol w:w="729"/>
        <w:gridCol w:w="707"/>
        <w:gridCol w:w="1301"/>
      </w:tblGrid>
      <w:tr w14:paraId="65F9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11DADE09">
            <w:pPr>
              <w:pStyle w:val="5"/>
              <w:spacing w:line="4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711" w:type="pct"/>
            <w:vAlign w:val="center"/>
          </w:tcPr>
          <w:p w14:paraId="4DA89548">
            <w:pPr>
              <w:pStyle w:val="5"/>
              <w:spacing w:line="4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货物名称</w:t>
            </w:r>
          </w:p>
        </w:tc>
        <w:tc>
          <w:tcPr>
            <w:tcW w:w="683" w:type="pct"/>
            <w:vAlign w:val="center"/>
          </w:tcPr>
          <w:p w14:paraId="0A863503">
            <w:pPr>
              <w:pStyle w:val="5"/>
              <w:spacing w:line="4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规格型号</w:t>
            </w:r>
          </w:p>
        </w:tc>
        <w:tc>
          <w:tcPr>
            <w:tcW w:w="530" w:type="pct"/>
            <w:vAlign w:val="center"/>
          </w:tcPr>
          <w:p w14:paraId="5424678A">
            <w:pPr>
              <w:pStyle w:val="5"/>
              <w:spacing w:line="4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原产国</w:t>
            </w:r>
          </w:p>
        </w:tc>
        <w:tc>
          <w:tcPr>
            <w:tcW w:w="683" w:type="pct"/>
            <w:vAlign w:val="center"/>
          </w:tcPr>
          <w:p w14:paraId="0B580133">
            <w:pPr>
              <w:pStyle w:val="5"/>
              <w:spacing w:line="4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生产厂商</w:t>
            </w:r>
          </w:p>
        </w:tc>
        <w:tc>
          <w:tcPr>
            <w:tcW w:w="423" w:type="pct"/>
            <w:vAlign w:val="center"/>
          </w:tcPr>
          <w:p w14:paraId="2F2898A0">
            <w:pPr>
              <w:pStyle w:val="5"/>
              <w:spacing w:line="4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w:t>
            </w:r>
          </w:p>
        </w:tc>
        <w:tc>
          <w:tcPr>
            <w:tcW w:w="409" w:type="pct"/>
            <w:vAlign w:val="center"/>
          </w:tcPr>
          <w:p w14:paraId="151B30CF">
            <w:pPr>
              <w:pStyle w:val="5"/>
              <w:spacing w:line="4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396" w:type="pct"/>
            <w:vAlign w:val="center"/>
          </w:tcPr>
          <w:p w14:paraId="7D7B8BDB">
            <w:pPr>
              <w:pStyle w:val="5"/>
              <w:spacing w:line="4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单价</w:t>
            </w:r>
          </w:p>
        </w:tc>
        <w:tc>
          <w:tcPr>
            <w:tcW w:w="729" w:type="pct"/>
            <w:vAlign w:val="center"/>
          </w:tcPr>
          <w:p w14:paraId="58B29C1B">
            <w:pPr>
              <w:pStyle w:val="5"/>
              <w:spacing w:line="4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单项合计</w:t>
            </w:r>
          </w:p>
        </w:tc>
      </w:tr>
      <w:tr w14:paraId="456D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593751DF">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711" w:type="pct"/>
            <w:vAlign w:val="center"/>
          </w:tcPr>
          <w:p w14:paraId="70A3116F">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683" w:type="pct"/>
            <w:vAlign w:val="center"/>
          </w:tcPr>
          <w:p w14:paraId="15C529E1">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530" w:type="pct"/>
            <w:vAlign w:val="center"/>
          </w:tcPr>
          <w:p w14:paraId="4821A80D">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683" w:type="pct"/>
            <w:vAlign w:val="center"/>
          </w:tcPr>
          <w:p w14:paraId="0A5B86B4">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423" w:type="pct"/>
            <w:vAlign w:val="center"/>
          </w:tcPr>
          <w:p w14:paraId="59EB89D9">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409" w:type="pct"/>
            <w:vAlign w:val="center"/>
          </w:tcPr>
          <w:p w14:paraId="3A76B1AB">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396" w:type="pct"/>
            <w:vAlign w:val="center"/>
          </w:tcPr>
          <w:p w14:paraId="7F7873B6">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729" w:type="pct"/>
            <w:vAlign w:val="center"/>
          </w:tcPr>
          <w:p w14:paraId="3038322A">
            <w:pPr>
              <w:widowControl/>
              <w:spacing w:line="440" w:lineRule="exact"/>
              <w:ind w:right="480"/>
              <w:jc w:val="center"/>
              <w:rPr>
                <w:rFonts w:hint="eastAsia" w:asciiTheme="minorEastAsia" w:hAnsiTheme="minorEastAsia" w:eastAsiaTheme="minorEastAsia" w:cstheme="minorEastAsia"/>
                <w:color w:val="000000"/>
                <w:kern w:val="0"/>
                <w:sz w:val="24"/>
              </w:rPr>
            </w:pPr>
          </w:p>
        </w:tc>
      </w:tr>
      <w:tr w14:paraId="4F2C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727D9261">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711" w:type="pct"/>
            <w:vAlign w:val="center"/>
          </w:tcPr>
          <w:p w14:paraId="34B93C69">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683" w:type="pct"/>
            <w:vAlign w:val="center"/>
          </w:tcPr>
          <w:p w14:paraId="3F936485">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530" w:type="pct"/>
            <w:vAlign w:val="center"/>
          </w:tcPr>
          <w:p w14:paraId="72A55524">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683" w:type="pct"/>
            <w:vAlign w:val="center"/>
          </w:tcPr>
          <w:p w14:paraId="5556AC44">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423" w:type="pct"/>
            <w:vAlign w:val="center"/>
          </w:tcPr>
          <w:p w14:paraId="2F953C22">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409" w:type="pct"/>
            <w:vAlign w:val="center"/>
          </w:tcPr>
          <w:p w14:paraId="1342134A">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396" w:type="pct"/>
            <w:vAlign w:val="center"/>
          </w:tcPr>
          <w:p w14:paraId="7FC09C71">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729" w:type="pct"/>
            <w:vAlign w:val="center"/>
          </w:tcPr>
          <w:p w14:paraId="15AB5F4C">
            <w:pPr>
              <w:widowControl/>
              <w:spacing w:line="440" w:lineRule="exact"/>
              <w:ind w:right="480"/>
              <w:jc w:val="center"/>
              <w:rPr>
                <w:rFonts w:hint="eastAsia" w:asciiTheme="minorEastAsia" w:hAnsiTheme="minorEastAsia" w:eastAsiaTheme="minorEastAsia" w:cstheme="minorEastAsia"/>
                <w:color w:val="000000"/>
                <w:kern w:val="0"/>
                <w:sz w:val="24"/>
              </w:rPr>
            </w:pPr>
          </w:p>
        </w:tc>
      </w:tr>
      <w:tr w14:paraId="0A6D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55762B8E">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711" w:type="pct"/>
            <w:vAlign w:val="center"/>
          </w:tcPr>
          <w:p w14:paraId="70F761CE">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683" w:type="pct"/>
            <w:vAlign w:val="center"/>
          </w:tcPr>
          <w:p w14:paraId="612B6032">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530" w:type="pct"/>
            <w:vAlign w:val="center"/>
          </w:tcPr>
          <w:p w14:paraId="0A491B7F">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683" w:type="pct"/>
            <w:vAlign w:val="center"/>
          </w:tcPr>
          <w:p w14:paraId="2905A5C8">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423" w:type="pct"/>
            <w:vAlign w:val="center"/>
          </w:tcPr>
          <w:p w14:paraId="7942222F">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409" w:type="pct"/>
            <w:vAlign w:val="center"/>
          </w:tcPr>
          <w:p w14:paraId="5DB59AEA">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396" w:type="pct"/>
            <w:vAlign w:val="center"/>
          </w:tcPr>
          <w:p w14:paraId="67F1A0A1">
            <w:pPr>
              <w:widowControl/>
              <w:spacing w:line="440" w:lineRule="exact"/>
              <w:ind w:right="480"/>
              <w:jc w:val="center"/>
              <w:rPr>
                <w:rFonts w:hint="eastAsia" w:asciiTheme="minorEastAsia" w:hAnsiTheme="minorEastAsia" w:eastAsiaTheme="minorEastAsia" w:cstheme="minorEastAsia"/>
                <w:color w:val="000000"/>
                <w:kern w:val="0"/>
                <w:sz w:val="24"/>
              </w:rPr>
            </w:pPr>
          </w:p>
        </w:tc>
        <w:tc>
          <w:tcPr>
            <w:tcW w:w="729" w:type="pct"/>
            <w:vAlign w:val="center"/>
          </w:tcPr>
          <w:p w14:paraId="38DEBB49">
            <w:pPr>
              <w:widowControl/>
              <w:spacing w:line="440" w:lineRule="exact"/>
              <w:ind w:right="480"/>
              <w:jc w:val="center"/>
              <w:rPr>
                <w:rFonts w:hint="eastAsia" w:asciiTheme="minorEastAsia" w:hAnsiTheme="minorEastAsia" w:eastAsiaTheme="minorEastAsia" w:cstheme="minorEastAsia"/>
                <w:color w:val="000000"/>
                <w:kern w:val="0"/>
                <w:sz w:val="24"/>
              </w:rPr>
            </w:pPr>
          </w:p>
        </w:tc>
      </w:tr>
    </w:tbl>
    <w:p w14:paraId="180529DF">
      <w:pPr>
        <w:pStyle w:val="9"/>
        <w:spacing w:line="100" w:lineRule="exact"/>
        <w:ind w:firstLine="562" w:firstLineChars="200"/>
        <w:rPr>
          <w:rFonts w:hint="eastAsia" w:asciiTheme="minorEastAsia" w:hAnsiTheme="minorEastAsia" w:eastAsiaTheme="minorEastAsia" w:cstheme="minorEastAsia"/>
          <w:b/>
          <w:sz w:val="28"/>
          <w:szCs w:val="28"/>
        </w:rPr>
      </w:pPr>
    </w:p>
    <w:p w14:paraId="76AD4773">
      <w:pPr>
        <w:pStyle w:val="9"/>
        <w:spacing w:line="48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第三条  合同总价</w:t>
      </w:r>
    </w:p>
    <w:p w14:paraId="0F18B1B7">
      <w:pPr>
        <w:pStyle w:val="9"/>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总价为人民币（大写）：____________，即RMB____________。该合同总价是货物设计、制造、包装、仓储、运输、安装、调试、培训、质保期服务等各项含税费用。本合同执行期间合同总价不变。</w:t>
      </w:r>
    </w:p>
    <w:p w14:paraId="27FB6A44">
      <w:pPr>
        <w:spacing w:line="48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第四条  专利权</w:t>
      </w:r>
    </w:p>
    <w:p w14:paraId="436A85F5">
      <w:pPr>
        <w:pStyle w:val="9"/>
        <w:spacing w:line="480" w:lineRule="exact"/>
        <w:ind w:firstLine="560" w:firstLineChars="200"/>
        <w:jc w:val="both"/>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乙方应保证其提供的货物、技术及有关服务不侵犯他人的专利权、商标权或工业设计等知识产权，并保证本合同中的使用者能够合法使用，否则，由此给甲方造成的一切损失均由乙方承担。</w:t>
      </w:r>
    </w:p>
    <w:p w14:paraId="3CA10422">
      <w:pPr>
        <w:pStyle w:val="9"/>
        <w:spacing w:line="48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第五条  交货和验收</w:t>
      </w:r>
    </w:p>
    <w:p w14:paraId="58BA9F46">
      <w:pPr>
        <w:pStyle w:val="9"/>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乙方须提供全新的、符合国家有关质量标准和规范、环保要求的货物，其质量、规格及技术特征符合招标文件技术参数的要求。乙方提供的全部货物均应按标准保护措施进行包装，这类包装应适应于远距离运输防潮、防震、防锈和防野蛮装卸，以确保货物安全无损运抵指定现场。由于包装不善所引起的货物锈蚀、损坏和损失均由乙方负责。</w:t>
      </w:r>
    </w:p>
    <w:p w14:paraId="41FEB304">
      <w:pPr>
        <w:pStyle w:val="9"/>
        <w:spacing w:line="480" w:lineRule="exact"/>
        <w:ind w:firstLine="56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2.存在缺陷（包括潜在缺陷）或不符合要求的货物、都将视为不合格产品，由此产生的一切后果均由乙方负责，乙方必须在5个工作日内及时完成更换。</w:t>
      </w:r>
    </w:p>
    <w:p w14:paraId="146BD162">
      <w:pPr>
        <w:pStyle w:val="9"/>
        <w:spacing w:line="48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3.在合同签订后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日内，乙方免费送货至甲方指定地点(吉安职业技术学院）。</w:t>
      </w:r>
    </w:p>
    <w:p w14:paraId="66DF6021">
      <w:pPr>
        <w:pStyle w:val="9"/>
        <w:spacing w:line="48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乙方必须保证所提供的主要货物除必要的技术性标志外，还应有以下内容的标志：（1）货物的型号和名称；（2）制造厂名称；（3）制造日期或编号。具有出厂合格证、序列号、包装箱号与厂批号一致，并可追索查阅。并将产品出厂自带的说明书、保修卡、或有关资料及配件等随同货物一同交付给甲方。</w:t>
      </w:r>
    </w:p>
    <w:p w14:paraId="0A3B7F89">
      <w:pPr>
        <w:pStyle w:val="9"/>
        <w:spacing w:line="48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货物运抵交货地点后，由甲方与乙方一起进行到货验收，对货物的数量、型号、质量、技术资料等进行检查。甲方须为货物验收提供必须的设备、工具及其它便利条件。双方确认后，由乙方提供免费安装调试与培训（含所需的一切耗材、工具、工时费等）。</w:t>
      </w:r>
    </w:p>
    <w:p w14:paraId="2C4B5BB0">
      <w:pPr>
        <w:pStyle w:val="9"/>
        <w:spacing w:line="48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6.乙方不能完整交付货物及本款规定的单证和工具的，视为未按合同约定付货，乙方必须负责补齐，因此导致逾期交付的，由乙方承担相关的违约责任。</w:t>
      </w:r>
    </w:p>
    <w:p w14:paraId="3C5C6DC0">
      <w:pPr>
        <w:pStyle w:val="9"/>
        <w:spacing w:line="48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7.甲方应在到货</w:t>
      </w:r>
      <w:r>
        <w:rPr>
          <w:rFonts w:hint="eastAsia" w:asciiTheme="minorEastAsia" w:hAnsiTheme="minorEastAsia" w:eastAsiaTheme="minorEastAsia" w:cstheme="minorEastAsia"/>
          <w:sz w:val="28"/>
          <w:szCs w:val="28"/>
          <w:u w:val="single"/>
        </w:rPr>
        <w:t xml:space="preserve">  30  </w:t>
      </w:r>
      <w:r>
        <w:rPr>
          <w:rFonts w:hint="eastAsia" w:asciiTheme="minorEastAsia" w:hAnsiTheme="minorEastAsia" w:eastAsiaTheme="minorEastAsia" w:cstheme="minorEastAsia"/>
          <w:sz w:val="28"/>
          <w:szCs w:val="28"/>
        </w:rPr>
        <w:t>天内组织验收小组对货物进行交付验收。交付验收合格后，由验收小组、甲乙双方共同签署验收单。</w:t>
      </w:r>
    </w:p>
    <w:p w14:paraId="25ACE609">
      <w:pPr>
        <w:pStyle w:val="9"/>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8.交付验收标准依次对照适用标准为：（1）符合中华人民共和国国家安全质量标准、环保标准或行业标准。（2）符合采购文件和响应承诺中甲方认可的合理最佳配置、参数及各项要求。</w:t>
      </w:r>
    </w:p>
    <w:p w14:paraId="136D04FA">
      <w:pPr>
        <w:pStyle w:val="9"/>
        <w:spacing w:line="48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sz w:val="28"/>
          <w:szCs w:val="28"/>
        </w:rPr>
        <w:t xml:space="preserve">第六条  </w:t>
      </w:r>
      <w:r>
        <w:rPr>
          <w:rFonts w:hint="eastAsia" w:asciiTheme="minorEastAsia" w:hAnsiTheme="minorEastAsia" w:eastAsiaTheme="minorEastAsia" w:cstheme="minorEastAsia"/>
          <w:b/>
          <w:bCs/>
          <w:sz w:val="28"/>
          <w:szCs w:val="28"/>
        </w:rPr>
        <w:t>付款方式</w:t>
      </w:r>
    </w:p>
    <w:p w14:paraId="00A66899">
      <w:pPr>
        <w:pStyle w:val="9"/>
        <w:spacing w:line="480" w:lineRule="exact"/>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项目交付验收合格后一次性支付合同价款的95%，余款在质保期结束后一次性支付。</w:t>
      </w:r>
    </w:p>
    <w:p w14:paraId="56350897">
      <w:pPr>
        <w:pStyle w:val="9"/>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本合同供货单位指定的收款账户：</w:t>
      </w:r>
    </w:p>
    <w:p w14:paraId="49905B1A">
      <w:pPr>
        <w:pStyle w:val="9"/>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户名：_____________________</w:t>
      </w:r>
    </w:p>
    <w:p w14:paraId="3494D807">
      <w:pPr>
        <w:pStyle w:val="9"/>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开户行：___________________</w:t>
      </w:r>
    </w:p>
    <w:p w14:paraId="45C56542">
      <w:pPr>
        <w:pStyle w:val="9"/>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账号：_____________________</w:t>
      </w:r>
    </w:p>
    <w:p w14:paraId="1253D092">
      <w:pPr>
        <w:pStyle w:val="9"/>
        <w:spacing w:line="480" w:lineRule="exact"/>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第七条  </w:t>
      </w:r>
      <w:r>
        <w:rPr>
          <w:rFonts w:hint="eastAsia" w:asciiTheme="minorEastAsia" w:hAnsiTheme="minorEastAsia" w:eastAsiaTheme="minorEastAsia" w:cstheme="minorEastAsia"/>
          <w:b/>
          <w:bCs/>
          <w:sz w:val="28"/>
          <w:szCs w:val="28"/>
        </w:rPr>
        <w:t>售后服务</w:t>
      </w:r>
    </w:p>
    <w:p w14:paraId="310883B2">
      <w:pPr>
        <w:spacing w:line="480" w:lineRule="exact"/>
        <w:ind w:firstLine="56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8"/>
          <w:szCs w:val="28"/>
        </w:rPr>
        <w:t>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14:paraId="1D6A82D2">
      <w:pPr>
        <w:spacing w:line="48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2.质量保证期为：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kern w:val="0"/>
          <w:sz w:val="28"/>
          <w:szCs w:val="28"/>
        </w:rPr>
        <w:t>；质保期自交付验收合格之日起计算，保修费用计入总价。</w:t>
      </w:r>
    </w:p>
    <w:p w14:paraId="19219F89">
      <w:pPr>
        <w:spacing w:line="48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质量保证期内，乙方负责对其提供的货物进行维修和系统维护，所有货物保修服务方式均为乙方上门保修，即由乙方派员到货物使用现场维修，由此产生的一切费用均由乙方承担，不可抗力（如火灾、雷击等）造成的故障除外。</w:t>
      </w:r>
    </w:p>
    <w:p w14:paraId="3FA21DCA">
      <w:pPr>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4.</w:t>
      </w:r>
      <w:r>
        <w:rPr>
          <w:rFonts w:hint="eastAsia" w:asciiTheme="minorEastAsia" w:hAnsiTheme="minorEastAsia" w:eastAsiaTheme="minorEastAsia" w:cstheme="minorEastAsia"/>
          <w:sz w:val="28"/>
          <w:szCs w:val="28"/>
        </w:rPr>
        <w:t>在质保期内若设备出现故障，乙方要在12小时内到达现场，并在48小时内及时排除故障，若</w:t>
      </w:r>
      <w:r>
        <w:rPr>
          <w:rFonts w:hint="eastAsia" w:asciiTheme="minorEastAsia" w:hAnsiTheme="minorEastAsia" w:eastAsiaTheme="minorEastAsia" w:cstheme="minorEastAsia"/>
          <w:kern w:val="0"/>
          <w:sz w:val="28"/>
          <w:szCs w:val="28"/>
        </w:rPr>
        <w:t>48小时内</w:t>
      </w:r>
      <w:r>
        <w:rPr>
          <w:rFonts w:hint="eastAsia" w:asciiTheme="minorEastAsia" w:hAnsiTheme="minorEastAsia" w:eastAsiaTheme="minorEastAsia" w:cstheme="minorEastAsia"/>
          <w:sz w:val="28"/>
          <w:szCs w:val="28"/>
        </w:rPr>
        <w:t>仍无法排除故障，则</w:t>
      </w:r>
      <w:r>
        <w:rPr>
          <w:rFonts w:hint="eastAsia" w:asciiTheme="minorEastAsia" w:hAnsiTheme="minorEastAsia" w:eastAsiaTheme="minorEastAsia" w:cstheme="minorEastAsia"/>
          <w:kern w:val="0"/>
          <w:sz w:val="28"/>
          <w:szCs w:val="28"/>
        </w:rPr>
        <w:t>免费提供不低于故障货物规格型号档次的备用货物供甲方使用</w:t>
      </w:r>
      <w:r>
        <w:rPr>
          <w:rFonts w:hint="eastAsia" w:asciiTheme="minorEastAsia" w:hAnsiTheme="minorEastAsia" w:eastAsiaTheme="minorEastAsia" w:cstheme="minorEastAsia"/>
          <w:sz w:val="28"/>
          <w:szCs w:val="28"/>
        </w:rPr>
        <w:t>，确保学校的正常教学不受影响。</w:t>
      </w:r>
    </w:p>
    <w:p w14:paraId="5159350A">
      <w:pPr>
        <w:spacing w:line="48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w:t>
      </w:r>
      <w:r>
        <w:rPr>
          <w:rFonts w:hint="eastAsia" w:asciiTheme="minorEastAsia" w:hAnsiTheme="minorEastAsia" w:eastAsiaTheme="minorEastAsia" w:cstheme="minorEastAsia"/>
          <w:sz w:val="28"/>
          <w:szCs w:val="28"/>
          <w:lang w:eastAsia="zh-Hans"/>
        </w:rPr>
        <w:t>质保服务期内，如对软件有新的改进、增加新功能或者为适应最新标准所形成的最新版本，均免费、及时提供给用户使用</w:t>
      </w:r>
      <w:r>
        <w:rPr>
          <w:rFonts w:hint="eastAsia" w:asciiTheme="minorEastAsia" w:hAnsiTheme="minorEastAsia" w:eastAsiaTheme="minorEastAsia" w:cstheme="minorEastAsia"/>
          <w:sz w:val="28"/>
          <w:szCs w:val="28"/>
        </w:rPr>
        <w:t>。</w:t>
      </w:r>
    </w:p>
    <w:p w14:paraId="19EB6F1D">
      <w:pPr>
        <w:spacing w:line="480" w:lineRule="exact"/>
        <w:ind w:firstLine="618" w:firstLineChars="22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6.</w:t>
      </w:r>
      <w:r>
        <w:rPr>
          <w:rFonts w:hint="eastAsia" w:asciiTheme="minorEastAsia" w:hAnsiTheme="minorEastAsia" w:eastAsiaTheme="minorEastAsia" w:cstheme="minorEastAsia"/>
          <w:sz w:val="28"/>
          <w:szCs w:val="28"/>
        </w:rPr>
        <w:t>质保期期满后，乙方将继续为甲方提供维护服务。备品配件价格不得高于本次成交价格。</w:t>
      </w:r>
    </w:p>
    <w:p w14:paraId="7D1450BC">
      <w:pPr>
        <w:pStyle w:val="9"/>
        <w:spacing w:line="48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sz w:val="28"/>
          <w:szCs w:val="28"/>
        </w:rPr>
        <w:t xml:space="preserve">第八条  </w:t>
      </w:r>
      <w:r>
        <w:rPr>
          <w:rFonts w:hint="eastAsia" w:asciiTheme="minorEastAsia" w:hAnsiTheme="minorEastAsia" w:eastAsiaTheme="minorEastAsia" w:cstheme="minorEastAsia"/>
          <w:b/>
          <w:bCs/>
          <w:sz w:val="28"/>
          <w:szCs w:val="28"/>
        </w:rPr>
        <w:t>违约责任</w:t>
      </w:r>
    </w:p>
    <w:p w14:paraId="43F76918">
      <w:pPr>
        <w:spacing w:line="480" w:lineRule="exact"/>
        <w:ind w:firstLine="618" w:firstLineChars="22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1.如乙方延期交货，应及时告知甲方，说明其原因并征得甲方同意，同时明确后续供货日期。乙方无故逾期交货超过10天以上的，甲方有权终止合同，并扣除乙方支付的履约保证金。</w:t>
      </w:r>
    </w:p>
    <w:p w14:paraId="303B3B3A">
      <w:pPr>
        <w:spacing w:line="480" w:lineRule="exact"/>
        <w:ind w:firstLine="618" w:firstLineChars="22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2.乙方所交的货物品种、型号、规格不符合合同规定或发现质量不合格产品，乙方必须按甲方的要求重新供货。乙方无法满足的，甲方有权终止合同。</w:t>
      </w:r>
    </w:p>
    <w:p w14:paraId="77F735B0">
      <w:pPr>
        <w:pStyle w:val="9"/>
        <w:spacing w:line="48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sz w:val="28"/>
          <w:szCs w:val="28"/>
        </w:rPr>
        <w:t xml:space="preserve">第九条  </w:t>
      </w:r>
      <w:r>
        <w:rPr>
          <w:rFonts w:hint="eastAsia" w:asciiTheme="minorEastAsia" w:hAnsiTheme="minorEastAsia" w:eastAsiaTheme="minorEastAsia" w:cstheme="minorEastAsia"/>
          <w:b/>
          <w:bCs/>
          <w:sz w:val="28"/>
          <w:szCs w:val="28"/>
        </w:rPr>
        <w:t>争议及仲裁</w:t>
      </w:r>
    </w:p>
    <w:p w14:paraId="78CC1B46">
      <w:pPr>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1.因货物的质量问题发生争议，由质量监督部门或其指定的质量鉴定单位进行质量鉴定。货物符合标准的，鉴定费由甲方承担；货物不符合质量标准的，鉴定费由乙方承担。</w:t>
      </w:r>
    </w:p>
    <w:p w14:paraId="55A14ACF">
      <w:pPr>
        <w:pStyle w:val="9"/>
        <w:spacing w:line="4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2.因本合同引起的争议，甲、乙双方应首先通过友好协商解决，如果协商或调解不能解决争议，则向合同签订地人民法院提起诉讼。本合同签定地：江西省吉安市。</w:t>
      </w:r>
    </w:p>
    <w:p w14:paraId="21AEE64B">
      <w:pPr>
        <w:pStyle w:val="9"/>
        <w:spacing w:line="48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sz w:val="28"/>
          <w:szCs w:val="28"/>
        </w:rPr>
        <w:t xml:space="preserve">第十条  </w:t>
      </w:r>
      <w:r>
        <w:rPr>
          <w:rFonts w:hint="eastAsia" w:asciiTheme="minorEastAsia" w:hAnsiTheme="minorEastAsia" w:eastAsiaTheme="minorEastAsia" w:cstheme="minorEastAsia"/>
          <w:b/>
          <w:bCs/>
          <w:sz w:val="28"/>
          <w:szCs w:val="28"/>
        </w:rPr>
        <w:t>其它</w:t>
      </w:r>
    </w:p>
    <w:p w14:paraId="316A6693">
      <w:pPr>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1.本合同在双方法人代表或其授权代理人签字盖章之日并甲方收到乙方提供的履约保证金后生效。</w:t>
      </w:r>
    </w:p>
    <w:p w14:paraId="2ADCFF6B">
      <w:pPr>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2.本合同一式捌份，具有同等法律效力，甲方伍份，乙方叁份，采购代理机构一份。</w:t>
      </w:r>
    </w:p>
    <w:p w14:paraId="4113748F">
      <w:pPr>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3.本合同未尽事宜，由双方协商处理。</w:t>
      </w:r>
    </w:p>
    <w:p w14:paraId="5324478D">
      <w:pPr>
        <w:pStyle w:val="4"/>
        <w:rPr>
          <w:rFonts w:hint="eastAsia" w:asciiTheme="minorEastAsia" w:hAnsiTheme="minorEastAsia" w:eastAsiaTheme="minorEastAsia" w:cstheme="minorEastAsia"/>
        </w:rPr>
      </w:pPr>
    </w:p>
    <w:p w14:paraId="07B9B346">
      <w:pPr>
        <w:pStyle w:val="9"/>
        <w:spacing w:line="480"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                           乙方：</w:t>
      </w:r>
    </w:p>
    <w:p w14:paraId="48A82729">
      <w:pPr>
        <w:pStyle w:val="9"/>
        <w:spacing w:line="480"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           法定代表人或授权代表：</w:t>
      </w:r>
    </w:p>
    <w:p w14:paraId="629771DE">
      <w:pPr>
        <w:pStyle w:val="9"/>
        <w:spacing w:line="480"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                         联系人：</w:t>
      </w:r>
    </w:p>
    <w:p w14:paraId="53712335">
      <w:pPr>
        <w:pStyle w:val="9"/>
        <w:spacing w:line="480"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电话：                           电话：</w:t>
      </w:r>
    </w:p>
    <w:p w14:paraId="2706EE5A">
      <w:pPr>
        <w:pStyle w:val="9"/>
        <w:spacing w:line="480" w:lineRule="exact"/>
        <w:ind w:firstLine="560" w:firstLineChars="200"/>
        <w:rPr>
          <w:rFonts w:hint="eastAsia" w:asciiTheme="minorEastAsia" w:hAnsiTheme="minorEastAsia" w:eastAsiaTheme="minorEastAsia" w:cstheme="minorEastAsia"/>
          <w:sz w:val="28"/>
          <w:szCs w:val="28"/>
        </w:rPr>
      </w:pPr>
    </w:p>
    <w:p w14:paraId="6EBBE4FE">
      <w:pPr>
        <w:pStyle w:val="9"/>
        <w:spacing w:line="480"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签约日期：                       签约日期：</w:t>
      </w:r>
    </w:p>
    <w:p w14:paraId="532B2836">
      <w:pPr>
        <w:pStyle w:val="9"/>
        <w:spacing w:line="480" w:lineRule="exact"/>
        <w:ind w:firstLine="562" w:firstLineChars="200"/>
        <w:rPr>
          <w:rFonts w:hint="eastAsia" w:asciiTheme="minorEastAsia" w:hAnsiTheme="minorEastAsia" w:eastAsiaTheme="minorEastAsia" w:cstheme="minorEastAsia"/>
          <w:b/>
          <w:bCs/>
          <w:sz w:val="28"/>
          <w:szCs w:val="28"/>
        </w:rPr>
      </w:pPr>
    </w:p>
    <w:p w14:paraId="4E2AB1BC">
      <w:pPr>
        <w:pStyle w:val="9"/>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（技术参数附后）</w:t>
      </w:r>
    </w:p>
    <w:p w14:paraId="715C65FF">
      <w:pPr>
        <w:pStyle w:val="9"/>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（商务条件附后）</w:t>
      </w:r>
    </w:p>
    <w:p w14:paraId="0AE7D9D4">
      <w:pPr>
        <w:keepNext w:val="0"/>
        <w:keepLines w:val="0"/>
        <w:pageBreakBefore w:val="0"/>
        <w:widowControl w:val="0"/>
        <w:kinsoku/>
        <w:wordWrap/>
        <w:overflowPunct/>
        <w:topLinePunct w:val="0"/>
        <w:autoSpaceDE/>
        <w:autoSpaceDN/>
        <w:bidi w:val="0"/>
        <w:adjustRightInd/>
        <w:snapToGrid/>
        <w:spacing w:line="332" w:lineRule="auto"/>
        <w:ind w:firstLine="560" w:firstLineChars="200"/>
        <w:textAlignment w:val="auto"/>
        <w:rPr>
          <w:rFonts w:hint="eastAsia" w:ascii="宋体" w:hAnsi="宋体" w:eastAsia="宋体" w:cs="宋体"/>
          <w:sz w:val="24"/>
          <w:szCs w:val="24"/>
          <w:lang w:eastAsia="zh-CN"/>
        </w:rPr>
      </w:pPr>
      <w:r>
        <w:rPr>
          <w:rFonts w:hint="eastAsia" w:asciiTheme="minorEastAsia" w:hAnsiTheme="minorEastAsia" w:eastAsiaTheme="minorEastAsia" w:cstheme="minorEastAsia"/>
          <w:sz w:val="28"/>
          <w:szCs w:val="28"/>
        </w:rPr>
        <w:t>（需要特别说明的情况附后）</w:t>
      </w:r>
    </w:p>
    <w:p w14:paraId="0F68E2FE">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61F9700A">
      <w:pPr>
        <w:pStyle w:val="6"/>
        <w:bidi w:val="0"/>
        <w:rPr>
          <w:rFonts w:hint="eastAsia" w:ascii="宋体" w:hAnsi="宋体" w:eastAsia="宋体" w:cs="宋体"/>
          <w:sz w:val="32"/>
          <w:szCs w:val="32"/>
          <w:lang w:eastAsia="zh-CN"/>
        </w:rPr>
      </w:pPr>
      <w:bookmarkStart w:id="158" w:name="_Toc14374"/>
      <w:bookmarkStart w:id="159" w:name="_Toc6218"/>
      <w:bookmarkStart w:id="160" w:name="_Toc25068"/>
      <w:bookmarkStart w:id="161" w:name="_Toc29286"/>
      <w:bookmarkStart w:id="162" w:name="_Toc15960"/>
      <w:r>
        <w:rPr>
          <w:rFonts w:hint="eastAsia" w:ascii="宋体" w:hAnsi="宋体" w:eastAsia="宋体" w:cs="宋体"/>
          <w:sz w:val="32"/>
          <w:szCs w:val="32"/>
          <w:lang w:eastAsia="zh-CN"/>
        </w:rPr>
        <w:t>第四章、附件（响应文件参考格式）</w:t>
      </w:r>
      <w:bookmarkEnd w:id="158"/>
      <w:bookmarkEnd w:id="159"/>
      <w:bookmarkEnd w:id="160"/>
      <w:bookmarkEnd w:id="161"/>
      <w:bookmarkEnd w:id="162"/>
    </w:p>
    <w:p w14:paraId="64A9492B">
      <w:pPr>
        <w:pStyle w:val="18"/>
        <w:ind w:left="0" w:leftChars="0" w:firstLine="0" w:firstLineChars="0"/>
        <w:rPr>
          <w:rFonts w:hint="eastAsia"/>
          <w:lang w:eastAsia="zh-CN"/>
        </w:rPr>
      </w:pPr>
    </w:p>
    <w:p w14:paraId="56933BC2">
      <w:pPr>
        <w:pStyle w:val="18"/>
        <w:ind w:left="0" w:leftChars="0" w:firstLine="0" w:firstLineChars="0"/>
        <w:rPr>
          <w:rFonts w:hint="eastAsia"/>
          <w:lang w:eastAsia="zh-CN"/>
        </w:rPr>
      </w:pPr>
    </w:p>
    <w:p w14:paraId="3715BCDB">
      <w:pPr>
        <w:pStyle w:val="18"/>
        <w:ind w:left="0" w:leftChars="0" w:firstLine="0" w:firstLineChars="0"/>
        <w:rPr>
          <w:rFonts w:hint="eastAsia"/>
          <w:lang w:eastAsia="zh-CN"/>
        </w:rPr>
      </w:pPr>
    </w:p>
    <w:p w14:paraId="10A3ED1F">
      <w:pPr>
        <w:pStyle w:val="18"/>
        <w:ind w:left="0" w:leftChars="0" w:firstLine="0" w:firstLineChars="0"/>
        <w:rPr>
          <w:rFonts w:hint="eastAsia"/>
          <w:lang w:eastAsia="zh-CN"/>
        </w:rPr>
      </w:pPr>
    </w:p>
    <w:p w14:paraId="53270BF2">
      <w:pPr>
        <w:pStyle w:val="18"/>
        <w:ind w:left="0" w:leftChars="0" w:firstLine="0" w:firstLineChars="0"/>
        <w:rPr>
          <w:rFonts w:hint="eastAsia"/>
          <w:lang w:eastAsia="zh-CN"/>
        </w:rPr>
      </w:pPr>
    </w:p>
    <w:p w14:paraId="532ED495">
      <w:pPr>
        <w:bidi w:val="0"/>
        <w:jc w:val="center"/>
        <w:rPr>
          <w:rFonts w:hint="eastAsia" w:ascii="宋体" w:hAnsi="宋体" w:eastAsia="宋体" w:cs="宋体"/>
          <w:b w:val="0"/>
          <w:bCs w:val="0"/>
          <w:sz w:val="84"/>
          <w:szCs w:val="84"/>
          <w:lang w:eastAsia="zh-CN"/>
        </w:rPr>
      </w:pPr>
      <w:r>
        <w:rPr>
          <w:rFonts w:hint="eastAsia" w:ascii="宋体" w:hAnsi="宋体" w:eastAsia="宋体" w:cs="宋体"/>
          <w:b w:val="0"/>
          <w:bCs w:val="0"/>
          <w:sz w:val="84"/>
          <w:szCs w:val="84"/>
          <w:lang w:eastAsia="zh-CN"/>
        </w:rPr>
        <w:t>询价响应文件</w:t>
      </w:r>
    </w:p>
    <w:p w14:paraId="056DC051">
      <w:pPr>
        <w:bidi w:val="0"/>
        <w:rPr>
          <w:rFonts w:hint="eastAsia"/>
          <w:lang w:eastAsia="zh-CN"/>
        </w:rPr>
      </w:pPr>
    </w:p>
    <w:p w14:paraId="515FA984">
      <w:pPr>
        <w:pStyle w:val="18"/>
        <w:rPr>
          <w:rFonts w:hint="eastAsia"/>
          <w:lang w:eastAsia="zh-CN"/>
        </w:rPr>
      </w:pPr>
    </w:p>
    <w:p w14:paraId="7E1E40B3">
      <w:pPr>
        <w:pStyle w:val="18"/>
        <w:rPr>
          <w:rFonts w:hint="eastAsia"/>
          <w:lang w:eastAsia="zh-CN"/>
        </w:rPr>
      </w:pPr>
    </w:p>
    <w:p w14:paraId="6C6DB7D3">
      <w:pPr>
        <w:pStyle w:val="18"/>
        <w:rPr>
          <w:rFonts w:hint="eastAsia"/>
          <w:lang w:eastAsia="zh-CN"/>
        </w:rPr>
      </w:pPr>
    </w:p>
    <w:p w14:paraId="5D38BE0A">
      <w:pPr>
        <w:pStyle w:val="18"/>
        <w:rPr>
          <w:rFonts w:hint="eastAsia"/>
          <w:lang w:eastAsia="zh-CN"/>
        </w:rPr>
      </w:pPr>
    </w:p>
    <w:p w14:paraId="4EFCE711">
      <w:pPr>
        <w:pStyle w:val="18"/>
        <w:rPr>
          <w:rFonts w:hint="eastAsia"/>
          <w:lang w:eastAsia="zh-CN"/>
        </w:rPr>
      </w:pPr>
    </w:p>
    <w:p w14:paraId="0C295FE0">
      <w:pPr>
        <w:bidi w:val="0"/>
        <w:ind w:firstLine="1680" w:firstLineChars="600"/>
        <w:jc w:val="left"/>
        <w:rPr>
          <w:rFonts w:hint="default"/>
          <w:u w:val="single"/>
          <w:lang w:val="en-US" w:eastAsia="zh-CN"/>
        </w:rPr>
      </w:pPr>
      <w:r>
        <w:rPr>
          <w:rFonts w:hint="eastAsia"/>
          <w:sz w:val="28"/>
          <w:szCs w:val="28"/>
          <w:lang w:eastAsia="zh-CN"/>
        </w:rPr>
        <w:t>项目名称：</w:t>
      </w:r>
      <w:r>
        <w:rPr>
          <w:rFonts w:hint="eastAsia"/>
          <w:sz w:val="28"/>
          <w:szCs w:val="28"/>
          <w:u w:val="single"/>
          <w:lang w:val="en-US" w:eastAsia="zh-CN"/>
        </w:rPr>
        <w:t xml:space="preserve">                         </w:t>
      </w:r>
    </w:p>
    <w:p w14:paraId="2F32A55A">
      <w:pPr>
        <w:bidi w:val="0"/>
        <w:rPr>
          <w:rFonts w:hint="eastAsia"/>
          <w:lang w:eastAsia="zh-CN"/>
        </w:rPr>
      </w:pPr>
    </w:p>
    <w:p w14:paraId="78321DB2">
      <w:pPr>
        <w:bidi w:val="0"/>
        <w:rPr>
          <w:rFonts w:hint="eastAsia"/>
          <w:lang w:eastAsia="zh-CN"/>
        </w:rPr>
      </w:pPr>
    </w:p>
    <w:p w14:paraId="11668AD2">
      <w:pPr>
        <w:bidi w:val="0"/>
        <w:ind w:firstLine="1680" w:firstLineChars="600"/>
        <w:rPr>
          <w:rFonts w:hint="eastAsia" w:ascii="宋体" w:hAnsi="宋体" w:eastAsia="宋体" w:cs="宋体"/>
          <w:sz w:val="28"/>
          <w:szCs w:val="28"/>
          <w:u w:val="single"/>
          <w:lang w:val="en-US" w:eastAsia="zh-CN"/>
        </w:rPr>
      </w:pPr>
      <w:r>
        <w:rPr>
          <w:rFonts w:hint="eastAsia" w:ascii="宋体" w:hAnsi="宋体" w:eastAsia="宋体" w:cs="宋体"/>
          <w:sz w:val="28"/>
          <w:szCs w:val="28"/>
          <w:lang w:eastAsia="zh-CN"/>
        </w:rPr>
        <w:t>项目编号：</w:t>
      </w:r>
      <w:r>
        <w:rPr>
          <w:rFonts w:hint="eastAsia" w:ascii="宋体" w:hAnsi="宋体" w:eastAsia="宋体" w:cs="宋体"/>
          <w:sz w:val="28"/>
          <w:szCs w:val="28"/>
          <w:u w:val="single"/>
          <w:lang w:val="en-US" w:eastAsia="zh-CN"/>
        </w:rPr>
        <w:t xml:space="preserve">                         </w:t>
      </w:r>
    </w:p>
    <w:p w14:paraId="046469A3">
      <w:pPr>
        <w:bidi w:val="0"/>
        <w:rPr>
          <w:rFonts w:hint="eastAsia"/>
          <w:lang w:val="en-US" w:eastAsia="zh-CN"/>
        </w:rPr>
      </w:pPr>
    </w:p>
    <w:p w14:paraId="38BEB193">
      <w:pPr>
        <w:pStyle w:val="18"/>
        <w:rPr>
          <w:rFonts w:hint="eastAsia"/>
          <w:lang w:val="en-US" w:eastAsia="zh-CN"/>
        </w:rPr>
      </w:pPr>
    </w:p>
    <w:p w14:paraId="4FC4BA7D">
      <w:pPr>
        <w:pStyle w:val="18"/>
        <w:rPr>
          <w:rFonts w:hint="eastAsia"/>
          <w:lang w:val="en-US" w:eastAsia="zh-CN"/>
        </w:rPr>
      </w:pPr>
    </w:p>
    <w:p w14:paraId="6A5D3721">
      <w:pPr>
        <w:pStyle w:val="18"/>
        <w:rPr>
          <w:rFonts w:hint="eastAsia"/>
          <w:lang w:val="en-US" w:eastAsia="zh-CN"/>
        </w:rPr>
      </w:pPr>
    </w:p>
    <w:p w14:paraId="47049711">
      <w:pPr>
        <w:bidi w:val="0"/>
        <w:ind w:firstLine="1680" w:firstLineChars="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单位（公章或自然人手印）</w:t>
      </w:r>
    </w:p>
    <w:p w14:paraId="17129364">
      <w:pPr>
        <w:bidi w:val="0"/>
        <w:rPr>
          <w:rFonts w:hint="eastAsia" w:ascii="宋体" w:hAnsi="宋体" w:eastAsia="宋体" w:cs="宋体"/>
          <w:sz w:val="28"/>
          <w:szCs w:val="28"/>
          <w:lang w:val="en-US" w:eastAsia="zh-CN"/>
        </w:rPr>
      </w:pPr>
    </w:p>
    <w:p w14:paraId="2DC6FA6E">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年   月   日</w:t>
      </w:r>
    </w:p>
    <w:p w14:paraId="6115E239">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38C4A88C">
      <w:pPr>
        <w:pStyle w:val="7"/>
        <w:bidi w:val="0"/>
        <w:jc w:val="center"/>
        <w:rPr>
          <w:rFonts w:hint="eastAsia"/>
          <w:lang w:val="en-US" w:eastAsia="zh-CN"/>
        </w:rPr>
      </w:pPr>
      <w:bookmarkStart w:id="163" w:name="_Toc262628654"/>
      <w:bookmarkStart w:id="164" w:name="_Toc16219"/>
      <w:bookmarkStart w:id="165" w:name="_Toc6723"/>
      <w:bookmarkStart w:id="166" w:name="_Toc19228"/>
      <w:bookmarkStart w:id="167" w:name="_Toc32703"/>
      <w:bookmarkStart w:id="168" w:name="_Toc9148"/>
      <w:bookmarkStart w:id="169" w:name="_Toc475970888"/>
      <w:r>
        <w:rPr>
          <w:rFonts w:hint="eastAsia" w:ascii="宋体" w:hAnsi="宋体" w:eastAsia="宋体" w:cs="宋体"/>
          <w:sz w:val="28"/>
          <w:szCs w:val="28"/>
          <w:lang w:val="en-US" w:eastAsia="zh-CN"/>
        </w:rPr>
        <w:t>1、询价响应</w:t>
      </w:r>
      <w:bookmarkEnd w:id="163"/>
      <w:r>
        <w:rPr>
          <w:rFonts w:hint="eastAsia" w:ascii="宋体" w:hAnsi="宋体" w:eastAsia="宋体" w:cs="宋体"/>
          <w:sz w:val="28"/>
          <w:szCs w:val="28"/>
          <w:lang w:val="en-US" w:eastAsia="zh-CN"/>
        </w:rPr>
        <w:t>书</w:t>
      </w:r>
      <w:bookmarkEnd w:id="164"/>
      <w:bookmarkEnd w:id="165"/>
      <w:bookmarkEnd w:id="166"/>
      <w:bookmarkEnd w:id="167"/>
      <w:bookmarkEnd w:id="168"/>
      <w:bookmarkEnd w:id="169"/>
    </w:p>
    <w:p w14:paraId="1B57C24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致：江西企恒企业管理有限公司</w:t>
      </w:r>
    </w:p>
    <w:p w14:paraId="65E7615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根据贵方为</w:t>
      </w:r>
      <w:r>
        <w:rPr>
          <w:rFonts w:hint="eastAsia" w:ascii="宋体" w:hAnsi="宋体" w:eastAsia="宋体" w:cs="宋体"/>
          <w:sz w:val="24"/>
          <w:szCs w:val="24"/>
          <w:u w:val="single"/>
          <w:lang w:val="en-US" w:eastAsia="zh-CN"/>
        </w:rPr>
        <w:t>(项目名称)</w:t>
      </w:r>
      <w:r>
        <w:rPr>
          <w:rFonts w:hint="eastAsia" w:ascii="宋体" w:hAnsi="宋体" w:eastAsia="宋体" w:cs="宋体"/>
          <w:sz w:val="24"/>
          <w:szCs w:val="24"/>
          <w:lang w:val="en-US" w:eastAsia="zh-CN"/>
        </w:rPr>
        <w:t>项目询价采购货物和服务的询价邀请</w:t>
      </w:r>
      <w:r>
        <w:rPr>
          <w:rFonts w:hint="eastAsia" w:ascii="宋体" w:hAnsi="宋体" w:eastAsia="宋体" w:cs="宋体"/>
          <w:sz w:val="24"/>
          <w:szCs w:val="24"/>
          <w:u w:val="single"/>
          <w:lang w:val="en-US" w:eastAsia="zh-CN"/>
        </w:rPr>
        <w:t>(项目编号)</w:t>
      </w:r>
      <w:r>
        <w:rPr>
          <w:rFonts w:hint="eastAsia" w:ascii="宋体" w:hAnsi="宋体" w:eastAsia="宋体" w:cs="宋体"/>
          <w:sz w:val="24"/>
          <w:szCs w:val="24"/>
          <w:lang w:val="en-US" w:eastAsia="zh-CN"/>
        </w:rPr>
        <w:t>，签字代表</w:t>
      </w:r>
      <w:r>
        <w:rPr>
          <w:rFonts w:hint="eastAsia" w:ascii="宋体" w:hAnsi="宋体" w:eastAsia="宋体" w:cs="宋体"/>
          <w:sz w:val="24"/>
          <w:szCs w:val="24"/>
          <w:u w:val="single"/>
          <w:lang w:val="en-US" w:eastAsia="zh-CN"/>
        </w:rPr>
        <w:t>(姓名、职务)</w:t>
      </w:r>
      <w:r>
        <w:rPr>
          <w:rFonts w:hint="eastAsia" w:ascii="宋体" w:hAnsi="宋体" w:eastAsia="宋体" w:cs="宋体"/>
          <w:sz w:val="24"/>
          <w:szCs w:val="24"/>
          <w:lang w:val="en-US" w:eastAsia="zh-CN"/>
        </w:rPr>
        <w:t>经正式授权并代表我方</w:t>
      </w:r>
      <w:r>
        <w:rPr>
          <w:rFonts w:hint="eastAsia" w:ascii="宋体" w:hAnsi="宋体" w:eastAsia="宋体" w:cs="宋体"/>
          <w:sz w:val="24"/>
          <w:szCs w:val="24"/>
          <w:u w:val="single"/>
          <w:lang w:val="en-US" w:eastAsia="zh-CN"/>
        </w:rPr>
        <w:t>(单位名称、地址)</w:t>
      </w:r>
      <w:r>
        <w:rPr>
          <w:rFonts w:hint="eastAsia" w:ascii="宋体" w:hAnsi="宋体" w:eastAsia="宋体" w:cs="宋体"/>
          <w:sz w:val="24"/>
          <w:szCs w:val="24"/>
          <w:lang w:val="en-US" w:eastAsia="zh-CN"/>
        </w:rPr>
        <w:t>提交下述文件正本一份及副本三份:</w:t>
      </w:r>
    </w:p>
    <w:p w14:paraId="107DFA2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1、报价表</w:t>
      </w:r>
    </w:p>
    <w:p w14:paraId="1CCC300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2、分项报价表</w:t>
      </w:r>
    </w:p>
    <w:p w14:paraId="5016C7F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3、技术响应表</w:t>
      </w:r>
    </w:p>
    <w:p w14:paraId="2B89A2B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4、商务响应表</w:t>
      </w:r>
    </w:p>
    <w:p w14:paraId="13C122E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5、按询价通知书供应商须知和技术规格要求提供的有关文件</w:t>
      </w:r>
    </w:p>
    <w:p w14:paraId="4EF1C17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6、资格证明文件</w:t>
      </w:r>
    </w:p>
    <w:p w14:paraId="6FA1B06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7、提交的询价保证金，金额为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138DC85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据此函,签字代表宣布同意如下:</w:t>
      </w:r>
    </w:p>
    <w:p w14:paraId="35EE2F3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1、所附报价表中规定的应提交和交付的货物总价为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（用文字和数字表示的总价）。</w:t>
      </w:r>
    </w:p>
    <w:p w14:paraId="5B10C335">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2、我方将按询价通知书的规定履行合同责任和义务，并承诺响应文件中提供的所有材料真实有效（采购人有权核实响应文件中材料的真实性），成交后不随意弃标，否则，自愿接受相应的从重处罚。</w:t>
      </w:r>
    </w:p>
    <w:p w14:paraId="6F846AF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3、我方已详细审查全部询价通知书，包括第</w:t>
      </w:r>
      <w:r>
        <w:rPr>
          <w:rFonts w:hint="eastAsia" w:ascii="宋体" w:hAnsi="宋体" w:eastAsia="宋体" w:cs="宋体"/>
          <w:sz w:val="24"/>
          <w:szCs w:val="24"/>
          <w:u w:val="single"/>
          <w:lang w:val="en-US" w:eastAsia="zh-CN"/>
        </w:rPr>
        <w:t>(编号、补遗函)(如果有的话)</w:t>
      </w:r>
      <w:r>
        <w:rPr>
          <w:rFonts w:hint="eastAsia" w:ascii="宋体" w:hAnsi="宋体" w:eastAsia="宋体" w:cs="宋体"/>
          <w:sz w:val="24"/>
          <w:szCs w:val="24"/>
          <w:lang w:val="en-US" w:eastAsia="zh-CN"/>
        </w:rPr>
        <w:t>。我们完全理解并同意放弃对这方面有不明及误解的权力。</w:t>
      </w:r>
    </w:p>
    <w:p w14:paraId="454D060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4、本询价有效期为自询价之日起</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z w:val="24"/>
          <w:szCs w:val="24"/>
          <w:u w:val="single"/>
          <w:lang w:val="en-US" w:eastAsia="zh-CN"/>
        </w:rPr>
        <w:t>90</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天。</w:t>
      </w:r>
    </w:p>
    <w:p w14:paraId="3EE67F4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5、如果在规定的询价时间后，我方在询价有效期内撤回响应文件，询价保证金将不予退还。</w:t>
      </w:r>
    </w:p>
    <w:p w14:paraId="3F9B0BB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6、我方同意提供按照贵方可能要求的与其询价有关的一切数据或资料。</w:t>
      </w:r>
    </w:p>
    <w:p w14:paraId="0372D1A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7、与本询价有关的一切正式往来信函请寄:</w:t>
      </w:r>
    </w:p>
    <w:p w14:paraId="7D16C61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p>
    <w:p w14:paraId="2987B4B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地址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传真</w:t>
      </w:r>
      <w:r>
        <w:rPr>
          <w:rFonts w:hint="eastAsia" w:ascii="宋体" w:hAnsi="宋体" w:eastAsia="宋体" w:cs="宋体"/>
          <w:sz w:val="24"/>
          <w:szCs w:val="24"/>
          <w:u w:val="single"/>
          <w:lang w:val="en-US" w:eastAsia="zh-CN"/>
        </w:rPr>
        <w:t xml:space="preserve">                         </w:t>
      </w:r>
    </w:p>
    <w:p w14:paraId="34C7CF0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电子邮件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0FA16362">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lang w:val="en-US" w:eastAsia="zh-CN"/>
        </w:rPr>
      </w:pPr>
    </w:p>
    <w:p w14:paraId="52227E2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法定代表人（或经营者或自然人）或供应商代表签字或章</w:t>
      </w:r>
      <w:r>
        <w:rPr>
          <w:rFonts w:hint="eastAsia" w:ascii="宋体" w:hAnsi="宋体" w:eastAsia="宋体" w:cs="宋体"/>
          <w:sz w:val="24"/>
          <w:szCs w:val="24"/>
          <w:u w:val="single"/>
          <w:lang w:val="en-US" w:eastAsia="zh-CN"/>
        </w:rPr>
        <w:t xml:space="preserve">                       </w:t>
      </w:r>
    </w:p>
    <w:p w14:paraId="01B3D1A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供应商盖章（或自然人手印）</w:t>
      </w:r>
      <w:r>
        <w:rPr>
          <w:rFonts w:hint="eastAsia" w:ascii="宋体" w:hAnsi="宋体" w:eastAsia="宋体" w:cs="宋体"/>
          <w:sz w:val="24"/>
          <w:szCs w:val="24"/>
          <w:u w:val="single"/>
          <w:lang w:val="en-US" w:eastAsia="zh-CN"/>
        </w:rPr>
        <w:t xml:space="preserve">                            </w:t>
      </w:r>
    </w:p>
    <w:p w14:paraId="728FFD9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p>
    <w:p w14:paraId="148CE701">
      <w:pPr>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br w:type="page"/>
      </w:r>
    </w:p>
    <w:p w14:paraId="7608906D">
      <w:pPr>
        <w:bidi w:val="0"/>
        <w:rPr>
          <w:rFonts w:hint="default"/>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2D4B75A0">
      <w:pPr>
        <w:pStyle w:val="7"/>
        <w:bidi w:val="0"/>
        <w:jc w:val="center"/>
        <w:rPr>
          <w:rFonts w:hint="default"/>
          <w:lang w:val="en-US" w:eastAsia="zh-CN"/>
        </w:rPr>
      </w:pPr>
      <w:bookmarkStart w:id="170" w:name="_Toc9159"/>
      <w:bookmarkStart w:id="171" w:name="_Toc18902"/>
      <w:bookmarkStart w:id="172" w:name="_Toc223948599"/>
      <w:bookmarkStart w:id="173" w:name="_Toc475970889"/>
      <w:bookmarkStart w:id="174" w:name="_Toc27743"/>
      <w:bookmarkStart w:id="175" w:name="_Toc16478"/>
      <w:bookmarkStart w:id="176" w:name="_Toc225565937"/>
      <w:bookmarkStart w:id="177" w:name="_Toc902"/>
      <w:r>
        <w:rPr>
          <w:rFonts w:hint="eastAsia" w:ascii="宋体" w:hAnsi="宋体" w:eastAsia="宋体" w:cs="宋体"/>
          <w:sz w:val="28"/>
          <w:szCs w:val="28"/>
          <w:lang w:val="en-US" w:eastAsia="zh-CN"/>
        </w:rPr>
        <w:t>2、报 价 表</w:t>
      </w:r>
      <w:bookmarkEnd w:id="170"/>
      <w:bookmarkEnd w:id="171"/>
      <w:bookmarkEnd w:id="172"/>
      <w:bookmarkEnd w:id="173"/>
      <w:bookmarkEnd w:id="174"/>
      <w:bookmarkEnd w:id="175"/>
      <w:bookmarkEnd w:id="176"/>
      <w:bookmarkEnd w:id="177"/>
    </w:p>
    <w:p w14:paraId="1A72B397">
      <w:pPr>
        <w:bidi w:val="0"/>
        <w:spacing w:line="360" w:lineRule="auto"/>
        <w:rPr>
          <w:rFonts w:hint="default"/>
          <w:sz w:val="24"/>
          <w:szCs w:val="24"/>
          <w:lang w:val="en-US" w:eastAsia="zh-CN"/>
        </w:rPr>
      </w:pPr>
      <w:r>
        <w:rPr>
          <w:rFonts w:hint="default"/>
          <w:sz w:val="24"/>
          <w:szCs w:val="24"/>
          <w:lang w:val="en-US" w:eastAsia="zh-CN"/>
        </w:rPr>
        <w:t>供应商名称：                                                      项目编号：</w:t>
      </w:r>
    </w:p>
    <w:tbl>
      <w:tblPr>
        <w:tblStyle w:val="19"/>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3080"/>
        <w:gridCol w:w="961"/>
        <w:gridCol w:w="1090"/>
        <w:gridCol w:w="1639"/>
        <w:gridCol w:w="1984"/>
        <w:gridCol w:w="1295"/>
        <w:gridCol w:w="1435"/>
        <w:gridCol w:w="1026"/>
      </w:tblGrid>
      <w:tr w14:paraId="5E1669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349" w:type="pct"/>
            <w:noWrap w:val="0"/>
            <w:vAlign w:val="center"/>
          </w:tcPr>
          <w:p w14:paraId="30ECCB05">
            <w:pPr>
              <w:spacing w:line="432"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144" w:type="pct"/>
            <w:noWrap w:val="0"/>
            <w:vAlign w:val="center"/>
          </w:tcPr>
          <w:p w14:paraId="561AF59B">
            <w:pPr>
              <w:spacing w:line="432"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357" w:type="pct"/>
            <w:noWrap w:val="0"/>
            <w:vAlign w:val="center"/>
          </w:tcPr>
          <w:p w14:paraId="33760536">
            <w:pPr>
              <w:spacing w:line="432"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tc>
        <w:tc>
          <w:tcPr>
            <w:tcW w:w="405" w:type="pct"/>
            <w:noWrap w:val="0"/>
            <w:vAlign w:val="center"/>
          </w:tcPr>
          <w:p w14:paraId="3ABD5B82">
            <w:pPr>
              <w:spacing w:line="432"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609" w:type="pct"/>
            <w:noWrap w:val="0"/>
            <w:vAlign w:val="center"/>
          </w:tcPr>
          <w:p w14:paraId="7A21DF77">
            <w:pPr>
              <w:spacing w:line="432"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p>
        </w:tc>
        <w:tc>
          <w:tcPr>
            <w:tcW w:w="737" w:type="pct"/>
            <w:noWrap w:val="0"/>
            <w:vAlign w:val="center"/>
          </w:tcPr>
          <w:p w14:paraId="261CB022">
            <w:pPr>
              <w:spacing w:line="432"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总报价</w:t>
            </w:r>
          </w:p>
        </w:tc>
        <w:tc>
          <w:tcPr>
            <w:tcW w:w="481" w:type="pct"/>
            <w:noWrap w:val="0"/>
            <w:vAlign w:val="center"/>
          </w:tcPr>
          <w:p w14:paraId="28465A34">
            <w:pPr>
              <w:spacing w:line="432"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交货期</w:t>
            </w:r>
          </w:p>
        </w:tc>
        <w:tc>
          <w:tcPr>
            <w:tcW w:w="533" w:type="pct"/>
            <w:noWrap w:val="0"/>
            <w:vAlign w:val="center"/>
          </w:tcPr>
          <w:p w14:paraId="09FD9495">
            <w:pPr>
              <w:spacing w:line="432"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交货地点</w:t>
            </w:r>
          </w:p>
        </w:tc>
        <w:tc>
          <w:tcPr>
            <w:tcW w:w="381" w:type="pct"/>
            <w:noWrap w:val="0"/>
            <w:vAlign w:val="center"/>
          </w:tcPr>
          <w:p w14:paraId="09F55845">
            <w:pPr>
              <w:spacing w:line="432"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14:paraId="0F045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349" w:type="pct"/>
            <w:noWrap w:val="0"/>
            <w:vAlign w:val="center"/>
          </w:tcPr>
          <w:p w14:paraId="730AC0EC">
            <w:pPr>
              <w:spacing w:line="432" w:lineRule="auto"/>
              <w:jc w:val="center"/>
              <w:rPr>
                <w:rFonts w:hint="eastAsia" w:asciiTheme="minorEastAsia" w:hAnsiTheme="minorEastAsia" w:eastAsiaTheme="minorEastAsia" w:cstheme="minorEastAsia"/>
                <w:sz w:val="28"/>
              </w:rPr>
            </w:pPr>
          </w:p>
        </w:tc>
        <w:tc>
          <w:tcPr>
            <w:tcW w:w="1144" w:type="pct"/>
            <w:noWrap w:val="0"/>
            <w:vAlign w:val="center"/>
          </w:tcPr>
          <w:p w14:paraId="52A8D848">
            <w:pPr>
              <w:spacing w:line="432" w:lineRule="auto"/>
              <w:jc w:val="center"/>
              <w:rPr>
                <w:rFonts w:hint="eastAsia" w:asciiTheme="minorEastAsia" w:hAnsiTheme="minorEastAsia" w:eastAsiaTheme="minorEastAsia" w:cstheme="minorEastAsia"/>
                <w:sz w:val="28"/>
              </w:rPr>
            </w:pPr>
          </w:p>
        </w:tc>
        <w:tc>
          <w:tcPr>
            <w:tcW w:w="357" w:type="pct"/>
            <w:noWrap w:val="0"/>
            <w:vAlign w:val="center"/>
          </w:tcPr>
          <w:p w14:paraId="5588AE31">
            <w:pPr>
              <w:spacing w:line="432" w:lineRule="auto"/>
              <w:jc w:val="center"/>
              <w:rPr>
                <w:rFonts w:hint="eastAsia" w:asciiTheme="minorEastAsia" w:hAnsiTheme="minorEastAsia" w:eastAsiaTheme="minorEastAsia" w:cstheme="minorEastAsia"/>
                <w:sz w:val="28"/>
              </w:rPr>
            </w:pPr>
          </w:p>
        </w:tc>
        <w:tc>
          <w:tcPr>
            <w:tcW w:w="405" w:type="pct"/>
            <w:noWrap w:val="0"/>
            <w:vAlign w:val="center"/>
          </w:tcPr>
          <w:p w14:paraId="0F6868A7">
            <w:pPr>
              <w:spacing w:line="432" w:lineRule="auto"/>
              <w:jc w:val="center"/>
              <w:rPr>
                <w:rFonts w:hint="eastAsia" w:asciiTheme="minorEastAsia" w:hAnsiTheme="minorEastAsia" w:eastAsiaTheme="minorEastAsia" w:cstheme="minorEastAsia"/>
                <w:sz w:val="28"/>
              </w:rPr>
            </w:pPr>
          </w:p>
        </w:tc>
        <w:tc>
          <w:tcPr>
            <w:tcW w:w="609" w:type="pct"/>
            <w:noWrap w:val="0"/>
            <w:vAlign w:val="center"/>
          </w:tcPr>
          <w:p w14:paraId="33CFEA1B">
            <w:pPr>
              <w:spacing w:line="432" w:lineRule="auto"/>
              <w:jc w:val="center"/>
              <w:rPr>
                <w:rFonts w:hint="eastAsia" w:asciiTheme="minorEastAsia" w:hAnsiTheme="minorEastAsia" w:eastAsiaTheme="minorEastAsia" w:cstheme="minorEastAsia"/>
                <w:sz w:val="28"/>
              </w:rPr>
            </w:pPr>
          </w:p>
        </w:tc>
        <w:tc>
          <w:tcPr>
            <w:tcW w:w="737" w:type="pct"/>
            <w:noWrap w:val="0"/>
            <w:vAlign w:val="center"/>
          </w:tcPr>
          <w:p w14:paraId="7BF4A2F5">
            <w:pPr>
              <w:spacing w:line="432" w:lineRule="auto"/>
              <w:jc w:val="center"/>
              <w:rPr>
                <w:rFonts w:hint="eastAsia" w:asciiTheme="minorEastAsia" w:hAnsiTheme="minorEastAsia" w:eastAsiaTheme="minorEastAsia" w:cstheme="minorEastAsia"/>
                <w:sz w:val="28"/>
              </w:rPr>
            </w:pPr>
          </w:p>
        </w:tc>
        <w:tc>
          <w:tcPr>
            <w:tcW w:w="481" w:type="pct"/>
            <w:noWrap w:val="0"/>
            <w:vAlign w:val="center"/>
          </w:tcPr>
          <w:p w14:paraId="3E57B613">
            <w:pPr>
              <w:spacing w:line="432" w:lineRule="auto"/>
              <w:jc w:val="center"/>
              <w:rPr>
                <w:rFonts w:hint="eastAsia" w:asciiTheme="minorEastAsia" w:hAnsiTheme="minorEastAsia" w:eastAsiaTheme="minorEastAsia" w:cstheme="minorEastAsia"/>
                <w:sz w:val="28"/>
              </w:rPr>
            </w:pPr>
          </w:p>
        </w:tc>
        <w:tc>
          <w:tcPr>
            <w:tcW w:w="533" w:type="pct"/>
            <w:noWrap w:val="0"/>
            <w:vAlign w:val="center"/>
          </w:tcPr>
          <w:p w14:paraId="5DE335EF">
            <w:pPr>
              <w:spacing w:line="432" w:lineRule="auto"/>
              <w:jc w:val="center"/>
              <w:rPr>
                <w:rFonts w:hint="eastAsia" w:asciiTheme="minorEastAsia" w:hAnsiTheme="minorEastAsia" w:eastAsiaTheme="minorEastAsia" w:cstheme="minorEastAsia"/>
                <w:sz w:val="28"/>
              </w:rPr>
            </w:pPr>
          </w:p>
        </w:tc>
        <w:tc>
          <w:tcPr>
            <w:tcW w:w="381" w:type="pct"/>
            <w:noWrap w:val="0"/>
            <w:vAlign w:val="center"/>
          </w:tcPr>
          <w:p w14:paraId="54EDE6E3">
            <w:pPr>
              <w:spacing w:line="432" w:lineRule="auto"/>
              <w:jc w:val="center"/>
              <w:rPr>
                <w:rFonts w:hint="eastAsia" w:asciiTheme="minorEastAsia" w:hAnsiTheme="minorEastAsia" w:eastAsiaTheme="minorEastAsia" w:cstheme="minorEastAsia"/>
                <w:sz w:val="28"/>
              </w:rPr>
            </w:pPr>
          </w:p>
        </w:tc>
      </w:tr>
    </w:tbl>
    <w:p w14:paraId="2814A46B">
      <w:pPr>
        <w:bidi w:val="0"/>
        <w:rPr>
          <w:rFonts w:hint="default"/>
          <w:b/>
          <w:bCs/>
          <w:sz w:val="24"/>
          <w:szCs w:val="24"/>
          <w:lang w:val="en-US" w:eastAsia="zh-CN"/>
        </w:rPr>
      </w:pPr>
      <w:r>
        <w:rPr>
          <w:rFonts w:hint="default"/>
          <w:b/>
          <w:bCs/>
          <w:sz w:val="24"/>
          <w:szCs w:val="24"/>
          <w:lang w:val="en-US" w:eastAsia="zh-CN"/>
        </w:rPr>
        <w:t>注： 小、微企业产品、节能产品、环境标志产品在备注栏中注明，否则产生的一切后果由供应商承担。</w:t>
      </w:r>
    </w:p>
    <w:p w14:paraId="0DFEE2CA">
      <w:pPr>
        <w:bidi w:val="0"/>
        <w:rPr>
          <w:rFonts w:hint="default"/>
          <w:lang w:val="en-US" w:eastAsia="zh-CN"/>
        </w:rPr>
      </w:pPr>
    </w:p>
    <w:p w14:paraId="61B0DD94">
      <w:pPr>
        <w:pStyle w:val="18"/>
        <w:rPr>
          <w:rFonts w:hint="default"/>
          <w:lang w:val="en-US" w:eastAsia="zh-CN"/>
        </w:rPr>
      </w:pPr>
    </w:p>
    <w:p w14:paraId="40287533">
      <w:pPr>
        <w:bidi w:val="0"/>
        <w:spacing w:line="360" w:lineRule="auto"/>
        <w:rPr>
          <w:rFonts w:hint="default"/>
          <w:sz w:val="24"/>
          <w:szCs w:val="24"/>
          <w:lang w:val="en-US" w:eastAsia="zh-CN"/>
        </w:rPr>
      </w:pPr>
    </w:p>
    <w:p w14:paraId="45A6F8D8">
      <w:pPr>
        <w:bidi w:val="0"/>
        <w:spacing w:line="360" w:lineRule="auto"/>
        <w:rPr>
          <w:rFonts w:hint="default"/>
          <w:sz w:val="24"/>
          <w:szCs w:val="24"/>
          <w:lang w:val="en-US" w:eastAsia="zh-CN"/>
        </w:rPr>
      </w:pPr>
    </w:p>
    <w:p w14:paraId="7B986ACA">
      <w:pPr>
        <w:bidi w:val="0"/>
        <w:spacing w:line="360" w:lineRule="auto"/>
        <w:rPr>
          <w:rFonts w:hint="default"/>
          <w:sz w:val="24"/>
          <w:szCs w:val="24"/>
          <w:u w:val="single"/>
          <w:lang w:val="en-US" w:eastAsia="zh-CN"/>
        </w:rPr>
      </w:pPr>
      <w:r>
        <w:rPr>
          <w:rFonts w:hint="default"/>
          <w:sz w:val="24"/>
          <w:szCs w:val="24"/>
          <w:lang w:val="en-US" w:eastAsia="zh-CN"/>
        </w:rPr>
        <w:t>供应商盖章（或自然人手印）：</w:t>
      </w:r>
      <w:r>
        <w:rPr>
          <w:rFonts w:hint="eastAsia"/>
          <w:sz w:val="24"/>
          <w:szCs w:val="24"/>
          <w:u w:val="single"/>
          <w:lang w:val="en-US" w:eastAsia="zh-CN"/>
        </w:rPr>
        <w:t xml:space="preserve">                           </w:t>
      </w:r>
    </w:p>
    <w:p w14:paraId="1051C160">
      <w:pPr>
        <w:bidi w:val="0"/>
        <w:spacing w:line="360" w:lineRule="auto"/>
        <w:rPr>
          <w:rFonts w:hint="eastAsia"/>
          <w:sz w:val="24"/>
          <w:szCs w:val="24"/>
          <w:u w:val="single"/>
          <w:lang w:val="en-US" w:eastAsia="zh-CN"/>
        </w:rPr>
      </w:pPr>
      <w:r>
        <w:rPr>
          <w:rFonts w:hint="default"/>
          <w:sz w:val="24"/>
          <w:szCs w:val="24"/>
          <w:lang w:val="en-US" w:eastAsia="zh-CN"/>
        </w:rPr>
        <w:t>法定代表人（或经营者或自然人）或供应商代表签字或章：</w:t>
      </w:r>
      <w:r>
        <w:rPr>
          <w:rFonts w:hint="eastAsia"/>
          <w:sz w:val="24"/>
          <w:szCs w:val="24"/>
          <w:u w:val="single"/>
          <w:lang w:val="en-US" w:eastAsia="zh-CN"/>
        </w:rPr>
        <w:t xml:space="preserve">                           </w:t>
      </w:r>
    </w:p>
    <w:p w14:paraId="3F11F441">
      <w:pPr>
        <w:rPr>
          <w:rFonts w:hint="eastAsia"/>
          <w:sz w:val="24"/>
          <w:szCs w:val="24"/>
          <w:u w:val="single"/>
          <w:lang w:val="en-US" w:eastAsia="zh-CN"/>
        </w:rPr>
      </w:pPr>
      <w:r>
        <w:rPr>
          <w:rFonts w:hint="eastAsia"/>
          <w:sz w:val="24"/>
          <w:szCs w:val="24"/>
          <w:u w:val="single"/>
          <w:lang w:val="en-US" w:eastAsia="zh-CN"/>
        </w:rPr>
        <w:br w:type="page"/>
      </w:r>
    </w:p>
    <w:p w14:paraId="23C2D476">
      <w:pPr>
        <w:pStyle w:val="7"/>
        <w:bidi w:val="0"/>
        <w:jc w:val="center"/>
        <w:rPr>
          <w:rFonts w:hint="default"/>
          <w:lang w:val="en-US" w:eastAsia="zh-CN"/>
        </w:rPr>
      </w:pPr>
      <w:bookmarkStart w:id="178" w:name="_Toc5399"/>
      <w:bookmarkStart w:id="179" w:name="_Toc13592"/>
      <w:bookmarkStart w:id="180" w:name="_Toc475970890"/>
      <w:bookmarkStart w:id="181" w:name="_Toc23136"/>
      <w:bookmarkStart w:id="182" w:name="_Toc19163"/>
      <w:bookmarkStart w:id="183" w:name="_Toc377477460"/>
      <w:bookmarkStart w:id="184" w:name="_Toc29162"/>
      <w:r>
        <w:rPr>
          <w:rFonts w:hint="eastAsia" w:ascii="宋体" w:hAnsi="宋体" w:eastAsia="宋体" w:cs="宋体"/>
          <w:sz w:val="28"/>
          <w:szCs w:val="28"/>
          <w:lang w:val="en-US" w:eastAsia="zh-CN"/>
        </w:rPr>
        <w:t>3、分项报价表</w:t>
      </w:r>
      <w:bookmarkEnd w:id="178"/>
      <w:bookmarkEnd w:id="179"/>
      <w:bookmarkEnd w:id="180"/>
      <w:bookmarkEnd w:id="181"/>
      <w:bookmarkEnd w:id="182"/>
      <w:bookmarkEnd w:id="183"/>
      <w:bookmarkEnd w:id="184"/>
    </w:p>
    <w:p w14:paraId="3036B998">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                                                              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1186"/>
        <w:gridCol w:w="1446"/>
        <w:gridCol w:w="1295"/>
        <w:gridCol w:w="1118"/>
        <w:gridCol w:w="1159"/>
        <w:gridCol w:w="1255"/>
        <w:gridCol w:w="1227"/>
        <w:gridCol w:w="1282"/>
        <w:gridCol w:w="1282"/>
        <w:gridCol w:w="1224"/>
      </w:tblGrid>
      <w:tr w14:paraId="3C43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14:paraId="1BB441AF">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序号</w:t>
            </w:r>
          </w:p>
        </w:tc>
        <w:tc>
          <w:tcPr>
            <w:tcW w:w="1186" w:type="dxa"/>
            <w:vAlign w:val="center"/>
          </w:tcPr>
          <w:p w14:paraId="63973963">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货物名称</w:t>
            </w:r>
          </w:p>
        </w:tc>
        <w:tc>
          <w:tcPr>
            <w:tcW w:w="1446" w:type="dxa"/>
            <w:vAlign w:val="center"/>
          </w:tcPr>
          <w:p w14:paraId="00DE08BF">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制造商、品牌</w:t>
            </w:r>
          </w:p>
        </w:tc>
        <w:tc>
          <w:tcPr>
            <w:tcW w:w="1295" w:type="dxa"/>
            <w:vAlign w:val="center"/>
          </w:tcPr>
          <w:p w14:paraId="7FCE8E16">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规格、型号</w:t>
            </w:r>
          </w:p>
        </w:tc>
        <w:tc>
          <w:tcPr>
            <w:tcW w:w="1118" w:type="dxa"/>
            <w:vAlign w:val="center"/>
          </w:tcPr>
          <w:p w14:paraId="727DB689">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产地</w:t>
            </w:r>
          </w:p>
        </w:tc>
        <w:tc>
          <w:tcPr>
            <w:tcW w:w="1159" w:type="dxa"/>
            <w:vAlign w:val="center"/>
          </w:tcPr>
          <w:p w14:paraId="57185CBC">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数量</w:t>
            </w:r>
            <w:r>
              <w:rPr>
                <w:rFonts w:hint="eastAsia" w:ascii="宋体" w:hAnsi="宋体" w:eastAsia="宋体" w:cs="宋体"/>
                <w:sz w:val="24"/>
                <w:szCs w:val="24"/>
                <w:lang w:eastAsia="zh-CN"/>
              </w:rPr>
              <w:t>、单位</w:t>
            </w:r>
          </w:p>
        </w:tc>
        <w:tc>
          <w:tcPr>
            <w:tcW w:w="1255" w:type="dxa"/>
            <w:vAlign w:val="center"/>
          </w:tcPr>
          <w:p w14:paraId="4B7E4BEA">
            <w:pPr>
              <w:bidi w:val="0"/>
              <w:jc w:val="center"/>
              <w:rPr>
                <w:rFonts w:hint="eastAsia" w:ascii="宋体" w:hAnsi="宋体" w:eastAsia="宋体" w:cs="宋体"/>
                <w:sz w:val="24"/>
                <w:szCs w:val="24"/>
              </w:rPr>
            </w:pPr>
            <w:r>
              <w:rPr>
                <w:rFonts w:hint="eastAsia" w:ascii="宋体" w:hAnsi="宋体" w:eastAsia="宋体" w:cs="宋体"/>
                <w:sz w:val="24"/>
                <w:szCs w:val="24"/>
              </w:rPr>
              <w:t>单 价</w:t>
            </w:r>
          </w:p>
          <w:p w14:paraId="314C297C">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（元）</w:t>
            </w:r>
          </w:p>
        </w:tc>
        <w:tc>
          <w:tcPr>
            <w:tcW w:w="1227" w:type="dxa"/>
            <w:vAlign w:val="center"/>
          </w:tcPr>
          <w:p w14:paraId="1E712BE8">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总价（元）</w:t>
            </w:r>
          </w:p>
        </w:tc>
        <w:tc>
          <w:tcPr>
            <w:tcW w:w="1282" w:type="dxa"/>
            <w:vAlign w:val="center"/>
          </w:tcPr>
          <w:p w14:paraId="144B530F">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是否属于小、微企业或监狱企业产品</w:t>
            </w:r>
          </w:p>
        </w:tc>
        <w:tc>
          <w:tcPr>
            <w:tcW w:w="1282" w:type="dxa"/>
            <w:vAlign w:val="center"/>
          </w:tcPr>
          <w:p w14:paraId="08B5BE6F">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是否属于节能、环保产品</w:t>
            </w:r>
          </w:p>
        </w:tc>
        <w:tc>
          <w:tcPr>
            <w:tcW w:w="1224" w:type="dxa"/>
            <w:vAlign w:val="center"/>
          </w:tcPr>
          <w:p w14:paraId="6383325B">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备注</w:t>
            </w:r>
          </w:p>
        </w:tc>
      </w:tr>
      <w:tr w14:paraId="1103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14:paraId="5821F392">
            <w:pPr>
              <w:bidi w:val="0"/>
              <w:rPr>
                <w:rFonts w:hint="default"/>
                <w:vertAlign w:val="baseline"/>
                <w:lang w:val="en-US" w:eastAsia="zh-CN"/>
              </w:rPr>
            </w:pPr>
          </w:p>
        </w:tc>
        <w:tc>
          <w:tcPr>
            <w:tcW w:w="1186" w:type="dxa"/>
          </w:tcPr>
          <w:p w14:paraId="7AE1B82D">
            <w:pPr>
              <w:bidi w:val="0"/>
              <w:rPr>
                <w:rFonts w:hint="default"/>
                <w:vertAlign w:val="baseline"/>
                <w:lang w:val="en-US" w:eastAsia="zh-CN"/>
              </w:rPr>
            </w:pPr>
          </w:p>
        </w:tc>
        <w:tc>
          <w:tcPr>
            <w:tcW w:w="1446" w:type="dxa"/>
          </w:tcPr>
          <w:p w14:paraId="7129ABB1">
            <w:pPr>
              <w:bidi w:val="0"/>
              <w:rPr>
                <w:rFonts w:hint="default"/>
                <w:vertAlign w:val="baseline"/>
                <w:lang w:val="en-US" w:eastAsia="zh-CN"/>
              </w:rPr>
            </w:pPr>
          </w:p>
        </w:tc>
        <w:tc>
          <w:tcPr>
            <w:tcW w:w="1295" w:type="dxa"/>
          </w:tcPr>
          <w:p w14:paraId="4D1E839E">
            <w:pPr>
              <w:bidi w:val="0"/>
              <w:rPr>
                <w:rFonts w:hint="default"/>
                <w:vertAlign w:val="baseline"/>
                <w:lang w:val="en-US" w:eastAsia="zh-CN"/>
              </w:rPr>
            </w:pPr>
          </w:p>
        </w:tc>
        <w:tc>
          <w:tcPr>
            <w:tcW w:w="1118" w:type="dxa"/>
          </w:tcPr>
          <w:p w14:paraId="038B4464">
            <w:pPr>
              <w:bidi w:val="0"/>
              <w:rPr>
                <w:rFonts w:hint="default"/>
                <w:vertAlign w:val="baseline"/>
                <w:lang w:val="en-US" w:eastAsia="zh-CN"/>
              </w:rPr>
            </w:pPr>
          </w:p>
        </w:tc>
        <w:tc>
          <w:tcPr>
            <w:tcW w:w="1159" w:type="dxa"/>
          </w:tcPr>
          <w:p w14:paraId="7715A05A">
            <w:pPr>
              <w:bidi w:val="0"/>
              <w:rPr>
                <w:rFonts w:hint="default"/>
                <w:vertAlign w:val="baseline"/>
                <w:lang w:val="en-US" w:eastAsia="zh-CN"/>
              </w:rPr>
            </w:pPr>
          </w:p>
        </w:tc>
        <w:tc>
          <w:tcPr>
            <w:tcW w:w="1255" w:type="dxa"/>
          </w:tcPr>
          <w:p w14:paraId="5B889FBE">
            <w:pPr>
              <w:bidi w:val="0"/>
              <w:rPr>
                <w:rFonts w:hint="default"/>
                <w:vertAlign w:val="baseline"/>
                <w:lang w:val="en-US" w:eastAsia="zh-CN"/>
              </w:rPr>
            </w:pPr>
          </w:p>
        </w:tc>
        <w:tc>
          <w:tcPr>
            <w:tcW w:w="1227" w:type="dxa"/>
          </w:tcPr>
          <w:p w14:paraId="31151264">
            <w:pPr>
              <w:bidi w:val="0"/>
              <w:rPr>
                <w:rFonts w:hint="default"/>
                <w:vertAlign w:val="baseline"/>
                <w:lang w:val="en-US" w:eastAsia="zh-CN"/>
              </w:rPr>
            </w:pPr>
          </w:p>
        </w:tc>
        <w:tc>
          <w:tcPr>
            <w:tcW w:w="1282" w:type="dxa"/>
            <w:vAlign w:val="top"/>
          </w:tcPr>
          <w:p w14:paraId="1BCA5EDE">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填表须知：详见注1</w:t>
            </w:r>
          </w:p>
        </w:tc>
        <w:tc>
          <w:tcPr>
            <w:tcW w:w="1282" w:type="dxa"/>
            <w:vAlign w:val="top"/>
          </w:tcPr>
          <w:p w14:paraId="1858AF73">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填表须知：详见注2</w:t>
            </w:r>
          </w:p>
        </w:tc>
        <w:tc>
          <w:tcPr>
            <w:tcW w:w="1224" w:type="dxa"/>
          </w:tcPr>
          <w:p w14:paraId="0DA13569">
            <w:pPr>
              <w:bidi w:val="0"/>
              <w:rPr>
                <w:rFonts w:hint="default"/>
                <w:vertAlign w:val="baseline"/>
                <w:lang w:val="en-US" w:eastAsia="zh-CN"/>
              </w:rPr>
            </w:pPr>
          </w:p>
        </w:tc>
      </w:tr>
      <w:tr w14:paraId="0D6A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80" w:type="dxa"/>
          </w:tcPr>
          <w:p w14:paraId="3FAE18CE">
            <w:pPr>
              <w:bidi w:val="0"/>
              <w:rPr>
                <w:rFonts w:hint="default"/>
                <w:vertAlign w:val="baseline"/>
                <w:lang w:val="en-US" w:eastAsia="zh-CN"/>
              </w:rPr>
            </w:pPr>
          </w:p>
        </w:tc>
        <w:tc>
          <w:tcPr>
            <w:tcW w:w="1186" w:type="dxa"/>
          </w:tcPr>
          <w:p w14:paraId="1A6AFF93">
            <w:pPr>
              <w:bidi w:val="0"/>
              <w:rPr>
                <w:rFonts w:hint="default"/>
                <w:vertAlign w:val="baseline"/>
                <w:lang w:val="en-US" w:eastAsia="zh-CN"/>
              </w:rPr>
            </w:pPr>
          </w:p>
        </w:tc>
        <w:tc>
          <w:tcPr>
            <w:tcW w:w="1446" w:type="dxa"/>
          </w:tcPr>
          <w:p w14:paraId="7D5BD8C6">
            <w:pPr>
              <w:bidi w:val="0"/>
              <w:rPr>
                <w:rFonts w:hint="default"/>
                <w:vertAlign w:val="baseline"/>
                <w:lang w:val="en-US" w:eastAsia="zh-CN"/>
              </w:rPr>
            </w:pPr>
          </w:p>
        </w:tc>
        <w:tc>
          <w:tcPr>
            <w:tcW w:w="1295" w:type="dxa"/>
          </w:tcPr>
          <w:p w14:paraId="00E4C9C6">
            <w:pPr>
              <w:bidi w:val="0"/>
              <w:rPr>
                <w:rFonts w:hint="default"/>
                <w:vertAlign w:val="baseline"/>
                <w:lang w:val="en-US" w:eastAsia="zh-CN"/>
              </w:rPr>
            </w:pPr>
          </w:p>
        </w:tc>
        <w:tc>
          <w:tcPr>
            <w:tcW w:w="1118" w:type="dxa"/>
          </w:tcPr>
          <w:p w14:paraId="49338105">
            <w:pPr>
              <w:bidi w:val="0"/>
              <w:rPr>
                <w:rFonts w:hint="default"/>
                <w:vertAlign w:val="baseline"/>
                <w:lang w:val="en-US" w:eastAsia="zh-CN"/>
              </w:rPr>
            </w:pPr>
          </w:p>
        </w:tc>
        <w:tc>
          <w:tcPr>
            <w:tcW w:w="1159" w:type="dxa"/>
          </w:tcPr>
          <w:p w14:paraId="727E3859">
            <w:pPr>
              <w:bidi w:val="0"/>
              <w:rPr>
                <w:rFonts w:hint="default"/>
                <w:vertAlign w:val="baseline"/>
                <w:lang w:val="en-US" w:eastAsia="zh-CN"/>
              </w:rPr>
            </w:pPr>
          </w:p>
        </w:tc>
        <w:tc>
          <w:tcPr>
            <w:tcW w:w="1255" w:type="dxa"/>
          </w:tcPr>
          <w:p w14:paraId="2EBFFCCD">
            <w:pPr>
              <w:bidi w:val="0"/>
              <w:rPr>
                <w:rFonts w:hint="default"/>
                <w:vertAlign w:val="baseline"/>
                <w:lang w:val="en-US" w:eastAsia="zh-CN"/>
              </w:rPr>
            </w:pPr>
          </w:p>
        </w:tc>
        <w:tc>
          <w:tcPr>
            <w:tcW w:w="1227" w:type="dxa"/>
          </w:tcPr>
          <w:p w14:paraId="2DE9C685">
            <w:pPr>
              <w:bidi w:val="0"/>
              <w:rPr>
                <w:rFonts w:hint="default"/>
                <w:vertAlign w:val="baseline"/>
                <w:lang w:val="en-US" w:eastAsia="zh-CN"/>
              </w:rPr>
            </w:pPr>
          </w:p>
        </w:tc>
        <w:tc>
          <w:tcPr>
            <w:tcW w:w="1282" w:type="dxa"/>
          </w:tcPr>
          <w:p w14:paraId="097B378E">
            <w:pPr>
              <w:bidi w:val="0"/>
              <w:rPr>
                <w:rFonts w:hint="default"/>
                <w:vertAlign w:val="baseline"/>
                <w:lang w:val="en-US" w:eastAsia="zh-CN"/>
              </w:rPr>
            </w:pPr>
          </w:p>
        </w:tc>
        <w:tc>
          <w:tcPr>
            <w:tcW w:w="1282" w:type="dxa"/>
          </w:tcPr>
          <w:p w14:paraId="56EE4E7E">
            <w:pPr>
              <w:bidi w:val="0"/>
              <w:rPr>
                <w:rFonts w:hint="default"/>
                <w:vertAlign w:val="baseline"/>
                <w:lang w:val="en-US" w:eastAsia="zh-CN"/>
              </w:rPr>
            </w:pPr>
          </w:p>
        </w:tc>
        <w:tc>
          <w:tcPr>
            <w:tcW w:w="1224" w:type="dxa"/>
          </w:tcPr>
          <w:p w14:paraId="0EEFC1E7">
            <w:pPr>
              <w:bidi w:val="0"/>
              <w:rPr>
                <w:rFonts w:hint="default"/>
                <w:vertAlign w:val="baseline"/>
                <w:lang w:val="en-US" w:eastAsia="zh-CN"/>
              </w:rPr>
            </w:pPr>
          </w:p>
        </w:tc>
      </w:tr>
      <w:tr w14:paraId="4B95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80" w:type="dxa"/>
          </w:tcPr>
          <w:p w14:paraId="6AB31100">
            <w:pPr>
              <w:bidi w:val="0"/>
              <w:rPr>
                <w:rFonts w:hint="default"/>
                <w:vertAlign w:val="baseline"/>
                <w:lang w:val="en-US" w:eastAsia="zh-CN"/>
              </w:rPr>
            </w:pPr>
          </w:p>
        </w:tc>
        <w:tc>
          <w:tcPr>
            <w:tcW w:w="1186" w:type="dxa"/>
          </w:tcPr>
          <w:p w14:paraId="573DA09F">
            <w:pPr>
              <w:bidi w:val="0"/>
              <w:rPr>
                <w:rFonts w:hint="default"/>
                <w:vertAlign w:val="baseline"/>
                <w:lang w:val="en-US" w:eastAsia="zh-CN"/>
              </w:rPr>
            </w:pPr>
          </w:p>
        </w:tc>
        <w:tc>
          <w:tcPr>
            <w:tcW w:w="1446" w:type="dxa"/>
          </w:tcPr>
          <w:p w14:paraId="5B96880D">
            <w:pPr>
              <w:bidi w:val="0"/>
              <w:rPr>
                <w:rFonts w:hint="default"/>
                <w:vertAlign w:val="baseline"/>
                <w:lang w:val="en-US" w:eastAsia="zh-CN"/>
              </w:rPr>
            </w:pPr>
          </w:p>
        </w:tc>
        <w:tc>
          <w:tcPr>
            <w:tcW w:w="1295" w:type="dxa"/>
          </w:tcPr>
          <w:p w14:paraId="22B55646">
            <w:pPr>
              <w:bidi w:val="0"/>
              <w:rPr>
                <w:rFonts w:hint="default"/>
                <w:vertAlign w:val="baseline"/>
                <w:lang w:val="en-US" w:eastAsia="zh-CN"/>
              </w:rPr>
            </w:pPr>
          </w:p>
        </w:tc>
        <w:tc>
          <w:tcPr>
            <w:tcW w:w="1118" w:type="dxa"/>
          </w:tcPr>
          <w:p w14:paraId="43A30EA2">
            <w:pPr>
              <w:bidi w:val="0"/>
              <w:rPr>
                <w:rFonts w:hint="default"/>
                <w:vertAlign w:val="baseline"/>
                <w:lang w:val="en-US" w:eastAsia="zh-CN"/>
              </w:rPr>
            </w:pPr>
          </w:p>
        </w:tc>
        <w:tc>
          <w:tcPr>
            <w:tcW w:w="1159" w:type="dxa"/>
          </w:tcPr>
          <w:p w14:paraId="4D5C87DF">
            <w:pPr>
              <w:bidi w:val="0"/>
              <w:rPr>
                <w:rFonts w:hint="default"/>
                <w:vertAlign w:val="baseline"/>
                <w:lang w:val="en-US" w:eastAsia="zh-CN"/>
              </w:rPr>
            </w:pPr>
          </w:p>
        </w:tc>
        <w:tc>
          <w:tcPr>
            <w:tcW w:w="1255" w:type="dxa"/>
          </w:tcPr>
          <w:p w14:paraId="0E8DF2AD">
            <w:pPr>
              <w:bidi w:val="0"/>
              <w:rPr>
                <w:rFonts w:hint="default"/>
                <w:vertAlign w:val="baseline"/>
                <w:lang w:val="en-US" w:eastAsia="zh-CN"/>
              </w:rPr>
            </w:pPr>
          </w:p>
        </w:tc>
        <w:tc>
          <w:tcPr>
            <w:tcW w:w="1227" w:type="dxa"/>
          </w:tcPr>
          <w:p w14:paraId="1B9790F5">
            <w:pPr>
              <w:bidi w:val="0"/>
              <w:rPr>
                <w:rFonts w:hint="default"/>
                <w:vertAlign w:val="baseline"/>
                <w:lang w:val="en-US" w:eastAsia="zh-CN"/>
              </w:rPr>
            </w:pPr>
          </w:p>
        </w:tc>
        <w:tc>
          <w:tcPr>
            <w:tcW w:w="1282" w:type="dxa"/>
          </w:tcPr>
          <w:p w14:paraId="2C76EFC0">
            <w:pPr>
              <w:bidi w:val="0"/>
              <w:rPr>
                <w:rFonts w:hint="default"/>
                <w:vertAlign w:val="baseline"/>
                <w:lang w:val="en-US" w:eastAsia="zh-CN"/>
              </w:rPr>
            </w:pPr>
          </w:p>
        </w:tc>
        <w:tc>
          <w:tcPr>
            <w:tcW w:w="1282" w:type="dxa"/>
          </w:tcPr>
          <w:p w14:paraId="6D6A0022">
            <w:pPr>
              <w:bidi w:val="0"/>
              <w:rPr>
                <w:rFonts w:hint="default"/>
                <w:vertAlign w:val="baseline"/>
                <w:lang w:val="en-US" w:eastAsia="zh-CN"/>
              </w:rPr>
            </w:pPr>
          </w:p>
        </w:tc>
        <w:tc>
          <w:tcPr>
            <w:tcW w:w="1224" w:type="dxa"/>
          </w:tcPr>
          <w:p w14:paraId="55648B29">
            <w:pPr>
              <w:bidi w:val="0"/>
              <w:rPr>
                <w:rFonts w:hint="default"/>
                <w:vertAlign w:val="baseline"/>
                <w:lang w:val="en-US" w:eastAsia="zh-CN"/>
              </w:rPr>
            </w:pPr>
          </w:p>
        </w:tc>
      </w:tr>
      <w:tr w14:paraId="10A7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80" w:type="dxa"/>
          </w:tcPr>
          <w:p w14:paraId="03218EEF">
            <w:pPr>
              <w:bidi w:val="0"/>
              <w:rPr>
                <w:rFonts w:hint="default"/>
                <w:vertAlign w:val="baseline"/>
                <w:lang w:val="en-US" w:eastAsia="zh-CN"/>
              </w:rPr>
            </w:pPr>
          </w:p>
        </w:tc>
        <w:tc>
          <w:tcPr>
            <w:tcW w:w="1186" w:type="dxa"/>
          </w:tcPr>
          <w:p w14:paraId="6CFBFD88">
            <w:pPr>
              <w:bidi w:val="0"/>
              <w:rPr>
                <w:rFonts w:hint="default"/>
                <w:vertAlign w:val="baseline"/>
                <w:lang w:val="en-US" w:eastAsia="zh-CN"/>
              </w:rPr>
            </w:pPr>
          </w:p>
        </w:tc>
        <w:tc>
          <w:tcPr>
            <w:tcW w:w="1446" w:type="dxa"/>
          </w:tcPr>
          <w:p w14:paraId="618FE7A5">
            <w:pPr>
              <w:bidi w:val="0"/>
              <w:rPr>
                <w:rFonts w:hint="default"/>
                <w:vertAlign w:val="baseline"/>
                <w:lang w:val="en-US" w:eastAsia="zh-CN"/>
              </w:rPr>
            </w:pPr>
          </w:p>
        </w:tc>
        <w:tc>
          <w:tcPr>
            <w:tcW w:w="1295" w:type="dxa"/>
          </w:tcPr>
          <w:p w14:paraId="0AAECDD5">
            <w:pPr>
              <w:bidi w:val="0"/>
              <w:rPr>
                <w:rFonts w:hint="default"/>
                <w:vertAlign w:val="baseline"/>
                <w:lang w:val="en-US" w:eastAsia="zh-CN"/>
              </w:rPr>
            </w:pPr>
          </w:p>
        </w:tc>
        <w:tc>
          <w:tcPr>
            <w:tcW w:w="1118" w:type="dxa"/>
          </w:tcPr>
          <w:p w14:paraId="51F21A66">
            <w:pPr>
              <w:bidi w:val="0"/>
              <w:rPr>
                <w:rFonts w:hint="default"/>
                <w:vertAlign w:val="baseline"/>
                <w:lang w:val="en-US" w:eastAsia="zh-CN"/>
              </w:rPr>
            </w:pPr>
          </w:p>
        </w:tc>
        <w:tc>
          <w:tcPr>
            <w:tcW w:w="1159" w:type="dxa"/>
          </w:tcPr>
          <w:p w14:paraId="1D57AFF5">
            <w:pPr>
              <w:bidi w:val="0"/>
              <w:rPr>
                <w:rFonts w:hint="default"/>
                <w:vertAlign w:val="baseline"/>
                <w:lang w:val="en-US" w:eastAsia="zh-CN"/>
              </w:rPr>
            </w:pPr>
          </w:p>
        </w:tc>
        <w:tc>
          <w:tcPr>
            <w:tcW w:w="1255" w:type="dxa"/>
          </w:tcPr>
          <w:p w14:paraId="06D5EE11">
            <w:pPr>
              <w:bidi w:val="0"/>
              <w:rPr>
                <w:rFonts w:hint="default"/>
                <w:vertAlign w:val="baseline"/>
                <w:lang w:val="en-US" w:eastAsia="zh-CN"/>
              </w:rPr>
            </w:pPr>
          </w:p>
        </w:tc>
        <w:tc>
          <w:tcPr>
            <w:tcW w:w="1227" w:type="dxa"/>
          </w:tcPr>
          <w:p w14:paraId="2F57402E">
            <w:pPr>
              <w:bidi w:val="0"/>
              <w:rPr>
                <w:rFonts w:hint="default"/>
                <w:vertAlign w:val="baseline"/>
                <w:lang w:val="en-US" w:eastAsia="zh-CN"/>
              </w:rPr>
            </w:pPr>
          </w:p>
        </w:tc>
        <w:tc>
          <w:tcPr>
            <w:tcW w:w="1282" w:type="dxa"/>
          </w:tcPr>
          <w:p w14:paraId="39E5CCD4">
            <w:pPr>
              <w:bidi w:val="0"/>
              <w:rPr>
                <w:rFonts w:hint="default"/>
                <w:vertAlign w:val="baseline"/>
                <w:lang w:val="en-US" w:eastAsia="zh-CN"/>
              </w:rPr>
            </w:pPr>
          </w:p>
        </w:tc>
        <w:tc>
          <w:tcPr>
            <w:tcW w:w="1282" w:type="dxa"/>
          </w:tcPr>
          <w:p w14:paraId="7235FB27">
            <w:pPr>
              <w:bidi w:val="0"/>
              <w:rPr>
                <w:rFonts w:hint="default"/>
                <w:vertAlign w:val="baseline"/>
                <w:lang w:val="en-US" w:eastAsia="zh-CN"/>
              </w:rPr>
            </w:pPr>
          </w:p>
        </w:tc>
        <w:tc>
          <w:tcPr>
            <w:tcW w:w="1224" w:type="dxa"/>
          </w:tcPr>
          <w:p w14:paraId="679C4D4A">
            <w:pPr>
              <w:bidi w:val="0"/>
              <w:rPr>
                <w:rFonts w:hint="default"/>
                <w:vertAlign w:val="baseline"/>
                <w:lang w:val="en-US" w:eastAsia="zh-CN"/>
              </w:rPr>
            </w:pPr>
          </w:p>
        </w:tc>
      </w:tr>
      <w:tr w14:paraId="3350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184" w:type="dxa"/>
            <w:gridSpan w:val="6"/>
          </w:tcPr>
          <w:p w14:paraId="13EAAF66">
            <w:pPr>
              <w:bidi w:val="0"/>
              <w:jc w:val="left"/>
              <w:rPr>
                <w:rFonts w:hint="default"/>
                <w:lang w:val="en-US" w:eastAsia="zh-CN"/>
              </w:rPr>
            </w:pPr>
            <w:r>
              <w:rPr>
                <w:rFonts w:hint="eastAsia" w:ascii="宋体" w:hAnsi="宋体" w:eastAsia="宋体" w:cs="宋体"/>
                <w:b w:val="0"/>
                <w:bCs w:val="0"/>
                <w:sz w:val="24"/>
                <w:szCs w:val="24"/>
              </w:rPr>
              <w:t>合     计：（大写）</w:t>
            </w:r>
          </w:p>
        </w:tc>
        <w:tc>
          <w:tcPr>
            <w:tcW w:w="6270" w:type="dxa"/>
            <w:gridSpan w:val="5"/>
          </w:tcPr>
          <w:p w14:paraId="43F9EC3E">
            <w:pPr>
              <w:bidi w:val="0"/>
              <w:jc w:val="left"/>
              <w:rPr>
                <w:rFonts w:hint="default"/>
                <w:vertAlign w:val="baseline"/>
                <w:lang w:val="en-US" w:eastAsia="zh-CN"/>
              </w:rPr>
            </w:pPr>
            <w:r>
              <w:rPr>
                <w:rFonts w:hint="eastAsia" w:ascii="宋体" w:hAnsi="宋体" w:eastAsia="宋体" w:cs="宋体"/>
                <w:b w:val="0"/>
                <w:bCs w:val="0"/>
                <w:color w:val="000000"/>
                <w:sz w:val="24"/>
                <w:szCs w:val="24"/>
              </w:rPr>
              <w:t>¥：（小写）</w:t>
            </w:r>
          </w:p>
        </w:tc>
      </w:tr>
    </w:tbl>
    <w:p w14:paraId="4A88A034">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 1. 小、微企业产品需在备注中注明，否则产生的一切后果由供应商承担。</w:t>
      </w:r>
    </w:p>
    <w:p w14:paraId="1EA16EDF">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节能、环保产品需备注注明。  </w:t>
      </w:r>
    </w:p>
    <w:p w14:paraId="698290DD">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 询价通知书如另有单独分项报价要求的按要求填写。</w:t>
      </w:r>
    </w:p>
    <w:p w14:paraId="7DD412D8">
      <w:pPr>
        <w:bidi w:val="0"/>
        <w:rPr>
          <w:rFonts w:hint="default"/>
          <w:lang w:val="en-US" w:eastAsia="zh-CN"/>
        </w:rPr>
      </w:pPr>
    </w:p>
    <w:p w14:paraId="45F7DD1D">
      <w:pPr>
        <w:bidi w:val="0"/>
        <w:rPr>
          <w:rFonts w:hint="default"/>
          <w:sz w:val="24"/>
          <w:szCs w:val="24"/>
          <w:lang w:val="en-US" w:eastAsia="zh-CN"/>
        </w:rPr>
      </w:pPr>
    </w:p>
    <w:p w14:paraId="4DC6C3B0">
      <w:pPr>
        <w:bidi w:val="0"/>
        <w:spacing w:line="360" w:lineRule="auto"/>
        <w:rPr>
          <w:rFonts w:hint="default"/>
          <w:sz w:val="24"/>
          <w:szCs w:val="24"/>
          <w:u w:val="single"/>
          <w:lang w:val="en-US" w:eastAsia="zh-CN"/>
        </w:rPr>
      </w:pPr>
      <w:r>
        <w:rPr>
          <w:rFonts w:hint="default"/>
          <w:sz w:val="24"/>
          <w:szCs w:val="24"/>
          <w:lang w:val="en-US" w:eastAsia="zh-CN"/>
        </w:rPr>
        <w:t>供应商盖章（或自然人手印）：</w:t>
      </w:r>
      <w:r>
        <w:rPr>
          <w:rFonts w:hint="eastAsia"/>
          <w:sz w:val="24"/>
          <w:szCs w:val="24"/>
          <w:u w:val="single"/>
          <w:lang w:val="en-US" w:eastAsia="zh-CN"/>
        </w:rPr>
        <w:t xml:space="preserve">                      </w:t>
      </w:r>
    </w:p>
    <w:p w14:paraId="3390802E">
      <w:pPr>
        <w:bidi w:val="0"/>
        <w:spacing w:line="360" w:lineRule="auto"/>
        <w:rPr>
          <w:rFonts w:hint="default"/>
          <w:sz w:val="24"/>
          <w:szCs w:val="24"/>
          <w:u w:val="single"/>
          <w:lang w:val="en-US" w:eastAsia="zh-CN"/>
        </w:rPr>
      </w:pPr>
      <w:r>
        <w:rPr>
          <w:rFonts w:hint="default"/>
          <w:sz w:val="24"/>
          <w:szCs w:val="24"/>
          <w:lang w:val="en-US" w:eastAsia="zh-CN"/>
        </w:rPr>
        <w:t>法定代表人（或经营者或自然人）或供应商代表签字或章：</w:t>
      </w:r>
      <w:r>
        <w:rPr>
          <w:rFonts w:hint="eastAsia"/>
          <w:sz w:val="24"/>
          <w:szCs w:val="24"/>
          <w:u w:val="single"/>
          <w:lang w:val="en-US" w:eastAsia="zh-CN"/>
        </w:rPr>
        <w:t xml:space="preserve">                      </w:t>
      </w:r>
    </w:p>
    <w:p w14:paraId="213B98F5">
      <w:pPr>
        <w:rPr>
          <w:rFonts w:hint="eastAsia"/>
          <w:sz w:val="24"/>
          <w:szCs w:val="24"/>
          <w:u w:val="single"/>
          <w:lang w:val="en-US" w:eastAsia="zh-CN"/>
        </w:rPr>
      </w:pPr>
      <w:r>
        <w:rPr>
          <w:rFonts w:hint="eastAsia"/>
          <w:sz w:val="24"/>
          <w:szCs w:val="24"/>
          <w:u w:val="single"/>
          <w:lang w:val="en-US" w:eastAsia="zh-CN"/>
        </w:rPr>
        <w:br w:type="page"/>
      </w:r>
    </w:p>
    <w:p w14:paraId="6521E234">
      <w:pPr>
        <w:pStyle w:val="18"/>
        <w:rPr>
          <w:rFonts w:hint="eastAsia"/>
          <w:lang w:val="en-US" w:eastAsia="zh-CN"/>
        </w:rPr>
        <w:sectPr>
          <w:pgSz w:w="16838" w:h="11906" w:orient="landscape"/>
          <w:pgMar w:top="1440" w:right="1800" w:bottom="1440" w:left="1800" w:header="851" w:footer="992" w:gutter="0"/>
          <w:pgNumType w:fmt="decimal"/>
          <w:cols w:space="0" w:num="1"/>
          <w:rtlGutter w:val="0"/>
          <w:docGrid w:type="lines" w:linePitch="319" w:charSpace="0"/>
        </w:sectPr>
      </w:pPr>
    </w:p>
    <w:p w14:paraId="23A1DF9D">
      <w:pPr>
        <w:pStyle w:val="7"/>
        <w:bidi w:val="0"/>
        <w:jc w:val="center"/>
        <w:rPr>
          <w:rFonts w:hint="eastAsia" w:ascii="宋体" w:hAnsi="宋体" w:eastAsia="宋体" w:cs="宋体"/>
          <w:b/>
          <w:bCs/>
          <w:szCs w:val="28"/>
          <w:lang w:val="en-US" w:eastAsia="zh-CN"/>
        </w:rPr>
      </w:pPr>
      <w:bookmarkStart w:id="185" w:name="_Toc31154"/>
      <w:bookmarkStart w:id="186" w:name="_Toc14739"/>
      <w:bookmarkStart w:id="187" w:name="_Toc223948602"/>
      <w:bookmarkStart w:id="188" w:name="_Toc3033"/>
      <w:bookmarkStart w:id="189" w:name="_Toc14864"/>
      <w:bookmarkStart w:id="190" w:name="_Toc475970891"/>
      <w:bookmarkStart w:id="191" w:name="_Toc5658"/>
      <w:bookmarkStart w:id="192" w:name="_Toc225565940"/>
      <w:r>
        <w:rPr>
          <w:rFonts w:hint="eastAsia" w:ascii="宋体" w:hAnsi="宋体" w:eastAsia="宋体" w:cs="宋体"/>
          <w:sz w:val="28"/>
          <w:szCs w:val="28"/>
          <w:lang w:val="en-US" w:eastAsia="zh-CN"/>
        </w:rPr>
        <w:t>4、技术规格响应/偏离表</w:t>
      </w:r>
      <w:bookmarkEnd w:id="185"/>
      <w:bookmarkEnd w:id="186"/>
      <w:bookmarkEnd w:id="187"/>
      <w:bookmarkEnd w:id="188"/>
      <w:bookmarkEnd w:id="189"/>
      <w:bookmarkEnd w:id="190"/>
      <w:bookmarkEnd w:id="191"/>
      <w:bookmarkEnd w:id="192"/>
    </w:p>
    <w:p w14:paraId="08699ADE">
      <w:pPr>
        <w:spacing w:line="432"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供应商公章：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0FB04441">
      <w:pPr>
        <w:spacing w:line="432"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tbl>
      <w:tblPr>
        <w:tblStyle w:val="19"/>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14:paraId="1B27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noWrap w:val="0"/>
            <w:vAlign w:val="center"/>
          </w:tcPr>
          <w:p w14:paraId="2DB42C98">
            <w:pPr>
              <w:spacing w:line="432"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704" w:type="dxa"/>
            <w:noWrap w:val="0"/>
            <w:vAlign w:val="center"/>
          </w:tcPr>
          <w:p w14:paraId="0ABAC552">
            <w:pPr>
              <w:spacing w:line="432" w:lineRule="auto"/>
              <w:jc w:val="center"/>
              <w:rPr>
                <w:rFonts w:hint="eastAsia" w:asciiTheme="minorEastAsia" w:hAnsiTheme="minorEastAsia" w:eastAsiaTheme="minorEastAsia" w:cstheme="minorEastAsia"/>
                <w:sz w:val="24"/>
              </w:rPr>
            </w:pPr>
            <w:r>
              <w:rPr>
                <w:rFonts w:hint="eastAsia" w:asciiTheme="minorEastAsia" w:hAnsiTheme="minorEastAsia" w:cstheme="minorEastAsia"/>
                <w:sz w:val="24"/>
                <w:lang w:eastAsia="zh-CN"/>
              </w:rPr>
              <w:t>询价</w:t>
            </w:r>
            <w:r>
              <w:rPr>
                <w:rFonts w:hint="eastAsia" w:asciiTheme="minorEastAsia" w:hAnsiTheme="minorEastAsia" w:eastAsiaTheme="minorEastAsia" w:cstheme="minorEastAsia"/>
                <w:sz w:val="24"/>
              </w:rPr>
              <w:t>文件条目号</w:t>
            </w:r>
          </w:p>
        </w:tc>
        <w:tc>
          <w:tcPr>
            <w:tcW w:w="2346" w:type="dxa"/>
            <w:noWrap w:val="0"/>
            <w:vAlign w:val="center"/>
          </w:tcPr>
          <w:p w14:paraId="19CB13DD">
            <w:pPr>
              <w:spacing w:line="432" w:lineRule="auto"/>
              <w:jc w:val="center"/>
              <w:rPr>
                <w:rFonts w:hint="eastAsia" w:asciiTheme="minorEastAsia" w:hAnsiTheme="minorEastAsia" w:eastAsiaTheme="minorEastAsia" w:cstheme="minorEastAsia"/>
                <w:sz w:val="24"/>
              </w:rPr>
            </w:pPr>
            <w:r>
              <w:rPr>
                <w:rFonts w:hint="eastAsia" w:asciiTheme="minorEastAsia" w:hAnsiTheme="minorEastAsia" w:cstheme="minorEastAsia"/>
                <w:sz w:val="24"/>
                <w:lang w:eastAsia="zh-CN"/>
              </w:rPr>
              <w:t>询价</w:t>
            </w:r>
            <w:r>
              <w:rPr>
                <w:rFonts w:hint="eastAsia" w:asciiTheme="minorEastAsia" w:hAnsiTheme="minorEastAsia" w:eastAsiaTheme="minorEastAsia" w:cstheme="minorEastAsia"/>
                <w:sz w:val="24"/>
              </w:rPr>
              <w:t>文件技术规格</w:t>
            </w:r>
          </w:p>
        </w:tc>
        <w:tc>
          <w:tcPr>
            <w:tcW w:w="1620" w:type="dxa"/>
            <w:noWrap w:val="0"/>
            <w:vAlign w:val="center"/>
          </w:tcPr>
          <w:p w14:paraId="79742D8B">
            <w:pPr>
              <w:spacing w:line="432"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响应文件技术规格</w:t>
            </w:r>
          </w:p>
        </w:tc>
        <w:tc>
          <w:tcPr>
            <w:tcW w:w="920" w:type="dxa"/>
            <w:noWrap w:val="0"/>
            <w:vAlign w:val="center"/>
          </w:tcPr>
          <w:p w14:paraId="62637217">
            <w:pPr>
              <w:spacing w:line="432"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响应/偏离</w:t>
            </w:r>
          </w:p>
        </w:tc>
        <w:tc>
          <w:tcPr>
            <w:tcW w:w="1222" w:type="dxa"/>
            <w:noWrap w:val="0"/>
            <w:vAlign w:val="center"/>
          </w:tcPr>
          <w:p w14:paraId="3397D85A">
            <w:pPr>
              <w:spacing w:line="432"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tc>
      </w:tr>
      <w:tr w14:paraId="31E5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val="0"/>
            <w:vAlign w:val="top"/>
          </w:tcPr>
          <w:p w14:paraId="45991220">
            <w:pPr>
              <w:spacing w:line="432" w:lineRule="auto"/>
              <w:rPr>
                <w:rFonts w:hint="eastAsia" w:asciiTheme="minorEastAsia" w:hAnsiTheme="minorEastAsia" w:eastAsiaTheme="minorEastAsia" w:cstheme="minorEastAsia"/>
                <w:sz w:val="24"/>
              </w:rPr>
            </w:pPr>
          </w:p>
        </w:tc>
        <w:tc>
          <w:tcPr>
            <w:tcW w:w="1704" w:type="dxa"/>
            <w:noWrap w:val="0"/>
            <w:vAlign w:val="top"/>
          </w:tcPr>
          <w:p w14:paraId="5A3FAFFD">
            <w:pPr>
              <w:spacing w:line="432" w:lineRule="auto"/>
              <w:rPr>
                <w:rFonts w:hint="eastAsia" w:asciiTheme="minorEastAsia" w:hAnsiTheme="minorEastAsia" w:eastAsiaTheme="minorEastAsia" w:cstheme="minorEastAsia"/>
                <w:sz w:val="24"/>
              </w:rPr>
            </w:pPr>
          </w:p>
        </w:tc>
        <w:tc>
          <w:tcPr>
            <w:tcW w:w="2346" w:type="dxa"/>
            <w:noWrap w:val="0"/>
            <w:vAlign w:val="top"/>
          </w:tcPr>
          <w:p w14:paraId="66887486">
            <w:pPr>
              <w:spacing w:line="432" w:lineRule="auto"/>
              <w:rPr>
                <w:rFonts w:hint="eastAsia" w:asciiTheme="minorEastAsia" w:hAnsiTheme="minorEastAsia" w:eastAsiaTheme="minorEastAsia" w:cstheme="minorEastAsia"/>
                <w:sz w:val="24"/>
              </w:rPr>
            </w:pPr>
          </w:p>
        </w:tc>
        <w:tc>
          <w:tcPr>
            <w:tcW w:w="1620" w:type="dxa"/>
            <w:noWrap w:val="0"/>
            <w:vAlign w:val="top"/>
          </w:tcPr>
          <w:p w14:paraId="4D385508">
            <w:pPr>
              <w:spacing w:line="432" w:lineRule="auto"/>
              <w:rPr>
                <w:rFonts w:hint="eastAsia" w:asciiTheme="minorEastAsia" w:hAnsiTheme="minorEastAsia" w:eastAsiaTheme="minorEastAsia" w:cstheme="minorEastAsia"/>
                <w:sz w:val="24"/>
              </w:rPr>
            </w:pPr>
          </w:p>
        </w:tc>
        <w:tc>
          <w:tcPr>
            <w:tcW w:w="920" w:type="dxa"/>
            <w:noWrap w:val="0"/>
            <w:vAlign w:val="top"/>
          </w:tcPr>
          <w:p w14:paraId="0640E018">
            <w:pPr>
              <w:spacing w:line="432" w:lineRule="auto"/>
              <w:rPr>
                <w:rFonts w:hint="eastAsia" w:asciiTheme="minorEastAsia" w:hAnsiTheme="minorEastAsia" w:eastAsiaTheme="minorEastAsia" w:cstheme="minorEastAsia"/>
                <w:sz w:val="24"/>
              </w:rPr>
            </w:pPr>
          </w:p>
        </w:tc>
        <w:tc>
          <w:tcPr>
            <w:tcW w:w="1222" w:type="dxa"/>
            <w:noWrap w:val="0"/>
            <w:vAlign w:val="top"/>
          </w:tcPr>
          <w:p w14:paraId="2BA866B8">
            <w:pPr>
              <w:spacing w:line="432" w:lineRule="auto"/>
              <w:rPr>
                <w:rFonts w:hint="eastAsia" w:asciiTheme="minorEastAsia" w:hAnsiTheme="minorEastAsia" w:eastAsiaTheme="minorEastAsia" w:cstheme="minorEastAsia"/>
                <w:sz w:val="24"/>
              </w:rPr>
            </w:pPr>
          </w:p>
        </w:tc>
      </w:tr>
      <w:tr w14:paraId="01AC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val="0"/>
            <w:vAlign w:val="top"/>
          </w:tcPr>
          <w:p w14:paraId="5B8EA808">
            <w:pPr>
              <w:spacing w:line="432" w:lineRule="auto"/>
              <w:rPr>
                <w:rFonts w:hint="eastAsia" w:asciiTheme="minorEastAsia" w:hAnsiTheme="minorEastAsia" w:eastAsiaTheme="minorEastAsia" w:cstheme="minorEastAsia"/>
                <w:sz w:val="24"/>
              </w:rPr>
            </w:pPr>
          </w:p>
        </w:tc>
        <w:tc>
          <w:tcPr>
            <w:tcW w:w="1704" w:type="dxa"/>
            <w:noWrap w:val="0"/>
            <w:vAlign w:val="top"/>
          </w:tcPr>
          <w:p w14:paraId="0BB9F4C5">
            <w:pPr>
              <w:spacing w:line="432" w:lineRule="auto"/>
              <w:rPr>
                <w:rFonts w:hint="eastAsia" w:asciiTheme="minorEastAsia" w:hAnsiTheme="minorEastAsia" w:eastAsiaTheme="minorEastAsia" w:cstheme="minorEastAsia"/>
                <w:sz w:val="24"/>
              </w:rPr>
            </w:pPr>
          </w:p>
        </w:tc>
        <w:tc>
          <w:tcPr>
            <w:tcW w:w="2346" w:type="dxa"/>
            <w:noWrap w:val="0"/>
            <w:vAlign w:val="top"/>
          </w:tcPr>
          <w:p w14:paraId="624CA5E5">
            <w:pPr>
              <w:spacing w:line="432" w:lineRule="auto"/>
              <w:rPr>
                <w:rFonts w:hint="eastAsia" w:asciiTheme="minorEastAsia" w:hAnsiTheme="minorEastAsia" w:eastAsiaTheme="minorEastAsia" w:cstheme="minorEastAsia"/>
                <w:sz w:val="24"/>
              </w:rPr>
            </w:pPr>
          </w:p>
        </w:tc>
        <w:tc>
          <w:tcPr>
            <w:tcW w:w="1620" w:type="dxa"/>
            <w:noWrap w:val="0"/>
            <w:vAlign w:val="top"/>
          </w:tcPr>
          <w:p w14:paraId="497631C9">
            <w:pPr>
              <w:spacing w:line="432" w:lineRule="auto"/>
              <w:rPr>
                <w:rFonts w:hint="eastAsia" w:asciiTheme="minorEastAsia" w:hAnsiTheme="minorEastAsia" w:eastAsiaTheme="minorEastAsia" w:cstheme="minorEastAsia"/>
                <w:sz w:val="24"/>
              </w:rPr>
            </w:pPr>
          </w:p>
        </w:tc>
        <w:tc>
          <w:tcPr>
            <w:tcW w:w="920" w:type="dxa"/>
            <w:noWrap w:val="0"/>
            <w:vAlign w:val="top"/>
          </w:tcPr>
          <w:p w14:paraId="4F3BCEA8">
            <w:pPr>
              <w:spacing w:line="432" w:lineRule="auto"/>
              <w:rPr>
                <w:rFonts w:hint="eastAsia" w:asciiTheme="minorEastAsia" w:hAnsiTheme="minorEastAsia" w:eastAsiaTheme="minorEastAsia" w:cstheme="minorEastAsia"/>
                <w:sz w:val="24"/>
              </w:rPr>
            </w:pPr>
          </w:p>
        </w:tc>
        <w:tc>
          <w:tcPr>
            <w:tcW w:w="1222" w:type="dxa"/>
            <w:noWrap w:val="0"/>
            <w:vAlign w:val="top"/>
          </w:tcPr>
          <w:p w14:paraId="672DE8BD">
            <w:pPr>
              <w:spacing w:line="432" w:lineRule="auto"/>
              <w:rPr>
                <w:rFonts w:hint="eastAsia" w:asciiTheme="minorEastAsia" w:hAnsiTheme="minorEastAsia" w:eastAsiaTheme="minorEastAsia" w:cstheme="minorEastAsia"/>
                <w:sz w:val="24"/>
              </w:rPr>
            </w:pPr>
          </w:p>
        </w:tc>
      </w:tr>
      <w:tr w14:paraId="6C58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val="0"/>
            <w:vAlign w:val="top"/>
          </w:tcPr>
          <w:p w14:paraId="6BC6AC3E">
            <w:pPr>
              <w:spacing w:line="432" w:lineRule="auto"/>
              <w:rPr>
                <w:rFonts w:hint="eastAsia" w:asciiTheme="minorEastAsia" w:hAnsiTheme="minorEastAsia" w:eastAsiaTheme="minorEastAsia" w:cstheme="minorEastAsia"/>
                <w:sz w:val="24"/>
              </w:rPr>
            </w:pPr>
          </w:p>
        </w:tc>
        <w:tc>
          <w:tcPr>
            <w:tcW w:w="1704" w:type="dxa"/>
            <w:noWrap w:val="0"/>
            <w:vAlign w:val="top"/>
          </w:tcPr>
          <w:p w14:paraId="34B9C676">
            <w:pPr>
              <w:spacing w:line="432" w:lineRule="auto"/>
              <w:rPr>
                <w:rFonts w:hint="eastAsia" w:asciiTheme="minorEastAsia" w:hAnsiTheme="minorEastAsia" w:eastAsiaTheme="minorEastAsia" w:cstheme="minorEastAsia"/>
                <w:sz w:val="24"/>
              </w:rPr>
            </w:pPr>
          </w:p>
        </w:tc>
        <w:tc>
          <w:tcPr>
            <w:tcW w:w="2346" w:type="dxa"/>
            <w:noWrap w:val="0"/>
            <w:vAlign w:val="top"/>
          </w:tcPr>
          <w:p w14:paraId="4AE12828">
            <w:pPr>
              <w:spacing w:line="432" w:lineRule="auto"/>
              <w:rPr>
                <w:rFonts w:hint="eastAsia" w:asciiTheme="minorEastAsia" w:hAnsiTheme="minorEastAsia" w:eastAsiaTheme="minorEastAsia" w:cstheme="minorEastAsia"/>
                <w:sz w:val="24"/>
              </w:rPr>
            </w:pPr>
          </w:p>
        </w:tc>
        <w:tc>
          <w:tcPr>
            <w:tcW w:w="1620" w:type="dxa"/>
            <w:noWrap w:val="0"/>
            <w:vAlign w:val="top"/>
          </w:tcPr>
          <w:p w14:paraId="2136F64E">
            <w:pPr>
              <w:spacing w:line="432" w:lineRule="auto"/>
              <w:rPr>
                <w:rFonts w:hint="eastAsia" w:asciiTheme="minorEastAsia" w:hAnsiTheme="minorEastAsia" w:eastAsiaTheme="minorEastAsia" w:cstheme="minorEastAsia"/>
                <w:sz w:val="24"/>
              </w:rPr>
            </w:pPr>
          </w:p>
        </w:tc>
        <w:tc>
          <w:tcPr>
            <w:tcW w:w="920" w:type="dxa"/>
            <w:noWrap w:val="0"/>
            <w:vAlign w:val="top"/>
          </w:tcPr>
          <w:p w14:paraId="3BAB012F">
            <w:pPr>
              <w:spacing w:line="432" w:lineRule="auto"/>
              <w:rPr>
                <w:rFonts w:hint="eastAsia" w:asciiTheme="minorEastAsia" w:hAnsiTheme="minorEastAsia" w:eastAsiaTheme="minorEastAsia" w:cstheme="minorEastAsia"/>
                <w:sz w:val="24"/>
              </w:rPr>
            </w:pPr>
          </w:p>
        </w:tc>
        <w:tc>
          <w:tcPr>
            <w:tcW w:w="1222" w:type="dxa"/>
            <w:noWrap w:val="0"/>
            <w:vAlign w:val="top"/>
          </w:tcPr>
          <w:p w14:paraId="40BD0DA1">
            <w:pPr>
              <w:spacing w:line="432" w:lineRule="auto"/>
              <w:rPr>
                <w:rFonts w:hint="eastAsia" w:asciiTheme="minorEastAsia" w:hAnsiTheme="minorEastAsia" w:eastAsiaTheme="minorEastAsia" w:cstheme="minorEastAsia"/>
                <w:sz w:val="24"/>
              </w:rPr>
            </w:pPr>
          </w:p>
        </w:tc>
      </w:tr>
      <w:tr w14:paraId="1412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val="0"/>
            <w:vAlign w:val="top"/>
          </w:tcPr>
          <w:p w14:paraId="4BD3668C">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704" w:type="dxa"/>
            <w:noWrap w:val="0"/>
            <w:vAlign w:val="top"/>
          </w:tcPr>
          <w:p w14:paraId="3322D4F6">
            <w:pPr>
              <w:spacing w:line="432"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346" w:type="dxa"/>
            <w:noWrap w:val="0"/>
            <w:vAlign w:val="top"/>
          </w:tcPr>
          <w:p w14:paraId="0AB2EC51">
            <w:pPr>
              <w:spacing w:line="432"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其他技术参数要求</w:t>
            </w:r>
          </w:p>
        </w:tc>
        <w:tc>
          <w:tcPr>
            <w:tcW w:w="1620" w:type="dxa"/>
            <w:noWrap w:val="0"/>
            <w:vAlign w:val="top"/>
          </w:tcPr>
          <w:p w14:paraId="11514518">
            <w:pPr>
              <w:spacing w:line="432" w:lineRule="auto"/>
              <w:rPr>
                <w:rFonts w:hint="eastAsia" w:asciiTheme="minorEastAsia" w:hAnsiTheme="minorEastAsia" w:eastAsiaTheme="minorEastAsia" w:cstheme="minorEastAsia"/>
                <w:sz w:val="24"/>
              </w:rPr>
            </w:pPr>
          </w:p>
        </w:tc>
        <w:tc>
          <w:tcPr>
            <w:tcW w:w="920" w:type="dxa"/>
            <w:noWrap w:val="0"/>
            <w:vAlign w:val="top"/>
          </w:tcPr>
          <w:p w14:paraId="5FFC0139">
            <w:pPr>
              <w:spacing w:line="432" w:lineRule="auto"/>
              <w:rPr>
                <w:rFonts w:hint="eastAsia" w:asciiTheme="minorEastAsia" w:hAnsiTheme="minorEastAsia" w:eastAsiaTheme="minorEastAsia" w:cstheme="minorEastAsia"/>
                <w:sz w:val="24"/>
              </w:rPr>
            </w:pPr>
          </w:p>
        </w:tc>
        <w:tc>
          <w:tcPr>
            <w:tcW w:w="1222" w:type="dxa"/>
            <w:noWrap w:val="0"/>
            <w:vAlign w:val="top"/>
          </w:tcPr>
          <w:p w14:paraId="1D47B298">
            <w:pPr>
              <w:spacing w:line="432" w:lineRule="auto"/>
              <w:rPr>
                <w:rFonts w:hint="eastAsia" w:asciiTheme="minorEastAsia" w:hAnsiTheme="minorEastAsia" w:eastAsiaTheme="minorEastAsia" w:cstheme="minorEastAsia"/>
                <w:sz w:val="24"/>
              </w:rPr>
            </w:pPr>
          </w:p>
        </w:tc>
      </w:tr>
    </w:tbl>
    <w:p w14:paraId="4D3A50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D0D0D"/>
          <w:sz w:val="24"/>
        </w:rPr>
      </w:pPr>
      <w:r>
        <w:rPr>
          <w:rFonts w:hint="eastAsia" w:asciiTheme="minorEastAsia" w:hAnsiTheme="minorEastAsia" w:eastAsiaTheme="minorEastAsia" w:cstheme="minorEastAsia"/>
          <w:color w:val="0D0D0D"/>
          <w:sz w:val="24"/>
        </w:rPr>
        <w:t>注：1、供应商应对</w:t>
      </w:r>
      <w:r>
        <w:rPr>
          <w:rFonts w:hint="eastAsia" w:asciiTheme="minorEastAsia" w:hAnsiTheme="minorEastAsia" w:cstheme="minorEastAsia"/>
          <w:color w:val="0D0D0D"/>
          <w:sz w:val="24"/>
          <w:lang w:val="en-US" w:eastAsia="zh-CN"/>
        </w:rPr>
        <w:t>询价</w:t>
      </w:r>
      <w:r>
        <w:rPr>
          <w:rFonts w:hint="eastAsia" w:asciiTheme="minorEastAsia" w:hAnsiTheme="minorEastAsia" w:eastAsiaTheme="minorEastAsia" w:cstheme="minorEastAsia"/>
          <w:color w:val="0D0D0D"/>
          <w:sz w:val="24"/>
        </w:rPr>
        <w:t>文件《第五章采购需求表及采购需求》的二、“采购</w:t>
      </w:r>
      <w:r>
        <w:rPr>
          <w:rFonts w:hint="eastAsia" w:asciiTheme="minorEastAsia" w:hAnsiTheme="minorEastAsia" w:cstheme="minorEastAsia"/>
          <w:color w:val="0D0D0D"/>
          <w:sz w:val="24"/>
          <w:lang w:val="en-US" w:eastAsia="zh-CN"/>
        </w:rPr>
        <w:t>要</w:t>
      </w:r>
      <w:r>
        <w:rPr>
          <w:rFonts w:hint="eastAsia" w:asciiTheme="minorEastAsia" w:hAnsiTheme="minorEastAsia" w:eastAsiaTheme="minorEastAsia" w:cstheme="minorEastAsia"/>
          <w:color w:val="0D0D0D"/>
          <w:sz w:val="24"/>
        </w:rPr>
        <w:t>求”中的“</w:t>
      </w:r>
      <w:r>
        <w:rPr>
          <w:rFonts w:hint="eastAsia" w:asciiTheme="minorEastAsia" w:hAnsiTheme="minorEastAsia" w:eastAsiaTheme="minorEastAsia" w:cstheme="minorEastAsia"/>
          <w:b/>
          <w:bCs/>
          <w:sz w:val="24"/>
          <w:szCs w:val="24"/>
          <w:highlight w:val="none"/>
          <w:lang w:val="en-US" w:eastAsia="zh-CN"/>
        </w:rPr>
        <w:t>（一）采购清单</w:t>
      </w:r>
      <w:r>
        <w:rPr>
          <w:rFonts w:hint="eastAsia" w:asciiTheme="minorEastAsia" w:hAnsiTheme="minorEastAsia" w:eastAsiaTheme="minorEastAsia" w:cstheme="minorEastAsia"/>
          <w:color w:val="0D0D0D"/>
          <w:sz w:val="24"/>
        </w:rPr>
        <w:t>”进行响应/偏离填写；</w:t>
      </w:r>
    </w:p>
    <w:p w14:paraId="184349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D0D0D"/>
          <w:sz w:val="24"/>
        </w:rPr>
      </w:pPr>
      <w:r>
        <w:rPr>
          <w:rFonts w:hint="eastAsia" w:asciiTheme="minorEastAsia" w:hAnsiTheme="minorEastAsia" w:eastAsiaTheme="minorEastAsia" w:cstheme="minorEastAsia"/>
          <w:color w:val="0D0D0D"/>
          <w:sz w:val="24"/>
        </w:rPr>
        <w:t>2、如供应商为响应可填写响应或无偏离；如供应商为偏离可填写正偏离需在</w:t>
      </w:r>
      <w:r>
        <w:rPr>
          <w:rFonts w:hint="eastAsia" w:asciiTheme="minorEastAsia" w:hAnsiTheme="minorEastAsia" w:cstheme="minorEastAsia"/>
          <w:color w:val="0D0D0D"/>
          <w:sz w:val="24"/>
          <w:lang w:eastAsia="zh-CN"/>
        </w:rPr>
        <w:t>询价</w:t>
      </w:r>
      <w:r>
        <w:rPr>
          <w:rFonts w:hint="eastAsia" w:asciiTheme="minorEastAsia" w:hAnsiTheme="minorEastAsia" w:eastAsiaTheme="minorEastAsia" w:cstheme="minorEastAsia"/>
          <w:color w:val="0D0D0D"/>
          <w:sz w:val="24"/>
        </w:rPr>
        <w:t>技术响应或者说明中把正偏离内容描述清楚。负偏离为不响应</w:t>
      </w:r>
      <w:r>
        <w:rPr>
          <w:rFonts w:hint="eastAsia" w:asciiTheme="minorEastAsia" w:hAnsiTheme="minorEastAsia" w:cstheme="minorEastAsia"/>
          <w:color w:val="0D0D0D"/>
          <w:sz w:val="24"/>
          <w:lang w:eastAsia="zh-CN"/>
        </w:rPr>
        <w:t>询价</w:t>
      </w:r>
      <w:r>
        <w:rPr>
          <w:rFonts w:hint="eastAsia" w:asciiTheme="minorEastAsia" w:hAnsiTheme="minorEastAsia" w:eastAsiaTheme="minorEastAsia" w:cstheme="minorEastAsia"/>
          <w:color w:val="0D0D0D"/>
          <w:sz w:val="24"/>
        </w:rPr>
        <w:t>文件；</w:t>
      </w:r>
    </w:p>
    <w:p w14:paraId="1DB2BD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D0D0D"/>
          <w:sz w:val="24"/>
        </w:rPr>
      </w:pPr>
      <w:r>
        <w:rPr>
          <w:rFonts w:hint="eastAsia" w:asciiTheme="minorEastAsia" w:hAnsiTheme="minorEastAsia" w:eastAsiaTheme="minorEastAsia" w:cstheme="minorEastAsia"/>
          <w:color w:val="0D0D0D"/>
          <w:sz w:val="24"/>
        </w:rPr>
        <w:t>3、若供应商满足</w:t>
      </w:r>
      <w:r>
        <w:rPr>
          <w:rFonts w:hint="eastAsia" w:asciiTheme="minorEastAsia" w:hAnsiTheme="minorEastAsia" w:cstheme="minorEastAsia"/>
          <w:color w:val="0D0D0D"/>
          <w:sz w:val="24"/>
          <w:lang w:eastAsia="zh-CN"/>
        </w:rPr>
        <w:t>询价</w:t>
      </w:r>
      <w:r>
        <w:rPr>
          <w:rFonts w:hint="eastAsia" w:asciiTheme="minorEastAsia" w:hAnsiTheme="minorEastAsia" w:eastAsiaTheme="minorEastAsia" w:cstheme="minorEastAsia"/>
          <w:color w:val="0D0D0D"/>
          <w:sz w:val="24"/>
        </w:rPr>
        <w:t>技术要求填写响应或无偏离；若供应商优于</w:t>
      </w:r>
      <w:r>
        <w:rPr>
          <w:rFonts w:hint="eastAsia" w:asciiTheme="minorEastAsia" w:hAnsiTheme="minorEastAsia" w:cstheme="minorEastAsia"/>
          <w:color w:val="0D0D0D"/>
          <w:sz w:val="24"/>
          <w:lang w:eastAsia="zh-CN"/>
        </w:rPr>
        <w:t>询价</w:t>
      </w:r>
      <w:r>
        <w:rPr>
          <w:rFonts w:hint="eastAsia" w:asciiTheme="minorEastAsia" w:hAnsiTheme="minorEastAsia" w:eastAsiaTheme="minorEastAsia" w:cstheme="minorEastAsia"/>
          <w:color w:val="0D0D0D"/>
          <w:sz w:val="24"/>
        </w:rPr>
        <w:t>技术要求填写正偏离,说明栏中描述偏离情况。若供应商不满足</w:t>
      </w:r>
      <w:r>
        <w:rPr>
          <w:rFonts w:hint="eastAsia" w:asciiTheme="minorEastAsia" w:hAnsiTheme="minorEastAsia" w:cstheme="minorEastAsia"/>
          <w:color w:val="0D0D0D"/>
          <w:sz w:val="24"/>
          <w:lang w:eastAsia="zh-CN"/>
        </w:rPr>
        <w:t>询价</w:t>
      </w:r>
      <w:r>
        <w:rPr>
          <w:rFonts w:hint="eastAsia" w:asciiTheme="minorEastAsia" w:hAnsiTheme="minorEastAsia" w:eastAsiaTheme="minorEastAsia" w:cstheme="minorEastAsia"/>
          <w:color w:val="0D0D0D"/>
          <w:sz w:val="24"/>
        </w:rPr>
        <w:t>技术要求填写负偏离；</w:t>
      </w:r>
    </w:p>
    <w:p w14:paraId="1DF738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D0D0D"/>
          <w:sz w:val="24"/>
        </w:rPr>
      </w:pPr>
      <w:r>
        <w:rPr>
          <w:rFonts w:hint="eastAsia" w:asciiTheme="minorEastAsia" w:hAnsiTheme="minorEastAsia" w:eastAsiaTheme="minorEastAsia" w:cstheme="minorEastAsia"/>
          <w:color w:val="0D0D0D"/>
          <w:sz w:val="24"/>
        </w:rPr>
        <w:t>4、供应商不按上述表格填写，所产生的一切后果由供应商承担，本项目不接受负偏离。</w:t>
      </w:r>
    </w:p>
    <w:p w14:paraId="151758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D0D0D"/>
          <w:sz w:val="24"/>
          <w:lang w:val="en-US" w:eastAsia="zh-CN"/>
        </w:rPr>
      </w:pPr>
      <w:r>
        <w:rPr>
          <w:rFonts w:hint="eastAsia" w:asciiTheme="minorEastAsia" w:hAnsiTheme="minorEastAsia" w:eastAsiaTheme="minorEastAsia" w:cstheme="minorEastAsia"/>
          <w:color w:val="0D0D0D"/>
          <w:sz w:val="24"/>
          <w:lang w:val="en-US" w:eastAsia="zh-CN"/>
        </w:rPr>
        <w:t>5</w:t>
      </w:r>
      <w:r>
        <w:rPr>
          <w:rFonts w:hint="eastAsia" w:asciiTheme="minorEastAsia" w:hAnsiTheme="minorEastAsia" w:eastAsiaTheme="minorEastAsia" w:cstheme="minorEastAsia"/>
          <w:color w:val="0D0D0D"/>
          <w:sz w:val="24"/>
        </w:rPr>
        <w:t>、</w:t>
      </w:r>
      <w:r>
        <w:rPr>
          <w:rFonts w:hint="eastAsia" w:asciiTheme="minorEastAsia" w:hAnsiTheme="minorEastAsia" w:cstheme="minorEastAsia"/>
          <w:color w:val="0D0D0D"/>
          <w:sz w:val="24"/>
          <w:lang w:eastAsia="zh-CN"/>
        </w:rPr>
        <w:t>询价</w:t>
      </w:r>
      <w:r>
        <w:rPr>
          <w:rFonts w:hint="eastAsia" w:asciiTheme="minorEastAsia" w:hAnsiTheme="minorEastAsia" w:eastAsiaTheme="minorEastAsia" w:cstheme="minorEastAsia"/>
          <w:color w:val="0D0D0D"/>
          <w:sz w:val="24"/>
        </w:rPr>
        <w:t>小组可根据</w:t>
      </w:r>
      <w:r>
        <w:rPr>
          <w:rFonts w:hint="eastAsia" w:asciiTheme="minorEastAsia" w:hAnsiTheme="minorEastAsia" w:cstheme="minorEastAsia"/>
          <w:color w:val="0D0D0D"/>
          <w:sz w:val="24"/>
          <w:lang w:eastAsia="zh-CN"/>
        </w:rPr>
        <w:t>询价</w:t>
      </w:r>
      <w:r>
        <w:rPr>
          <w:rFonts w:hint="eastAsia" w:asciiTheme="minorEastAsia" w:hAnsiTheme="minorEastAsia" w:eastAsiaTheme="minorEastAsia" w:cstheme="minorEastAsia"/>
          <w:color w:val="0D0D0D"/>
          <w:sz w:val="24"/>
        </w:rPr>
        <w:t>情况对技术规格进行变更。</w:t>
      </w:r>
    </w:p>
    <w:p w14:paraId="2C8A12E8">
      <w:pPr>
        <w:bidi w:val="0"/>
        <w:spacing w:line="480" w:lineRule="auto"/>
        <w:rPr>
          <w:rFonts w:hint="eastAsia"/>
          <w:sz w:val="24"/>
          <w:szCs w:val="24"/>
          <w:u w:val="single"/>
          <w:lang w:val="en-US" w:eastAsia="zh-CN"/>
        </w:rPr>
      </w:pPr>
      <w:r>
        <w:rPr>
          <w:rFonts w:hint="eastAsia" w:asciiTheme="minorEastAsia" w:hAnsiTheme="minorEastAsia" w:eastAsiaTheme="minorEastAsia" w:cstheme="minorEastAsia"/>
          <w:sz w:val="24"/>
        </w:rPr>
        <w:t>法定代表人（或经营者或自然人）或</w:t>
      </w:r>
      <w:r>
        <w:rPr>
          <w:rFonts w:hint="eastAsia" w:asciiTheme="minorEastAsia" w:hAnsiTheme="minorEastAsia" w:eastAsiaTheme="minorEastAsia" w:cstheme="minorEastAsia"/>
          <w:color w:val="0D0D0D"/>
          <w:sz w:val="24"/>
        </w:rPr>
        <w:t>供应商代表签字或章：</w:t>
      </w:r>
      <w:r>
        <w:rPr>
          <w:rFonts w:hint="eastAsia" w:asciiTheme="minorEastAsia" w:hAnsiTheme="minorEastAsia" w:eastAsiaTheme="minorEastAsia" w:cstheme="minorEastAsia"/>
          <w:color w:val="0D0D0D"/>
          <w:sz w:val="24"/>
          <w:u w:val="single"/>
        </w:rPr>
        <w:t xml:space="preserve">             </w:t>
      </w:r>
    </w:p>
    <w:p w14:paraId="0AE88743">
      <w:pPr>
        <w:rPr>
          <w:rFonts w:hint="eastAsia"/>
          <w:sz w:val="24"/>
          <w:szCs w:val="24"/>
          <w:u w:val="single"/>
          <w:lang w:val="en-US" w:eastAsia="zh-CN"/>
        </w:rPr>
      </w:pPr>
      <w:r>
        <w:rPr>
          <w:rFonts w:hint="eastAsia"/>
          <w:sz w:val="24"/>
          <w:szCs w:val="24"/>
          <w:u w:val="single"/>
          <w:lang w:val="en-US" w:eastAsia="zh-CN"/>
        </w:rPr>
        <w:br w:type="page"/>
      </w:r>
    </w:p>
    <w:p w14:paraId="071E5913">
      <w:pPr>
        <w:pStyle w:val="7"/>
        <w:bidi w:val="0"/>
        <w:jc w:val="center"/>
        <w:rPr>
          <w:rFonts w:hint="default"/>
          <w:lang w:val="en-US" w:eastAsia="zh-CN"/>
        </w:rPr>
      </w:pPr>
      <w:bookmarkStart w:id="193" w:name="_Toc20925"/>
      <w:bookmarkStart w:id="194" w:name="_Toc475970892"/>
      <w:bookmarkStart w:id="195" w:name="_Toc225565941"/>
      <w:bookmarkStart w:id="196" w:name="_Toc218852678"/>
      <w:bookmarkStart w:id="197" w:name="_Toc5190"/>
      <w:bookmarkStart w:id="198" w:name="_Toc7156"/>
      <w:bookmarkStart w:id="199" w:name="_Toc4310"/>
      <w:bookmarkStart w:id="200" w:name="_Toc223948603"/>
      <w:bookmarkStart w:id="201" w:name="_Toc30880"/>
      <w:r>
        <w:rPr>
          <w:rFonts w:hint="eastAsia" w:ascii="宋体" w:hAnsi="宋体" w:eastAsia="宋体" w:cs="宋体"/>
          <w:sz w:val="28"/>
          <w:szCs w:val="28"/>
          <w:lang w:val="en-US" w:eastAsia="zh-CN"/>
        </w:rPr>
        <w:t>5、商务条款响应/偏离表</w:t>
      </w:r>
      <w:bookmarkEnd w:id="193"/>
      <w:bookmarkEnd w:id="194"/>
      <w:bookmarkEnd w:id="195"/>
      <w:bookmarkEnd w:id="196"/>
      <w:bookmarkEnd w:id="197"/>
      <w:bookmarkEnd w:id="198"/>
      <w:bookmarkEnd w:id="199"/>
      <w:bookmarkEnd w:id="200"/>
      <w:bookmarkEnd w:id="201"/>
    </w:p>
    <w:p w14:paraId="36FBCD69">
      <w:pPr>
        <w:spacing w:line="432" w:lineRule="auto"/>
        <w:rPr>
          <w:rFonts w:hint="eastAsia" w:asciiTheme="minorEastAsia" w:hAnsiTheme="minorEastAsia" w:eastAsiaTheme="minorEastAsia" w:cstheme="minorEastAsia"/>
          <w:color w:val="0D0D0D"/>
          <w:sz w:val="24"/>
          <w:u w:val="single"/>
        </w:rPr>
      </w:pPr>
      <w:r>
        <w:rPr>
          <w:rFonts w:hint="eastAsia" w:asciiTheme="minorEastAsia" w:hAnsiTheme="minorEastAsia" w:eastAsiaTheme="minorEastAsia" w:cstheme="minorEastAsia"/>
          <w:color w:val="0D0D0D"/>
          <w:sz w:val="24"/>
        </w:rPr>
        <w:t>供应商公章：</w:t>
      </w:r>
      <w:r>
        <w:rPr>
          <w:rFonts w:hint="eastAsia" w:asciiTheme="minorEastAsia" w:hAnsiTheme="minorEastAsia" w:eastAsiaTheme="minorEastAsia" w:cstheme="minorEastAsia"/>
          <w:color w:val="0D0D0D"/>
          <w:sz w:val="24"/>
          <w:u w:val="single"/>
        </w:rPr>
        <w:t xml:space="preserve">               </w:t>
      </w:r>
    </w:p>
    <w:p w14:paraId="2517AA2B">
      <w:pPr>
        <w:spacing w:line="432" w:lineRule="auto"/>
        <w:rPr>
          <w:rFonts w:hint="eastAsia" w:asciiTheme="minorEastAsia" w:hAnsiTheme="minorEastAsia" w:eastAsiaTheme="minorEastAsia" w:cstheme="minorEastAsia"/>
          <w:color w:val="0D0D0D"/>
          <w:sz w:val="24"/>
          <w:u w:val="single"/>
        </w:rPr>
      </w:pPr>
      <w:r>
        <w:rPr>
          <w:rFonts w:hint="eastAsia" w:asciiTheme="minorEastAsia" w:hAnsiTheme="minorEastAsia" w:eastAsiaTheme="minorEastAsia" w:cstheme="minorEastAsia"/>
          <w:color w:val="0D0D0D"/>
          <w:sz w:val="24"/>
        </w:rPr>
        <w:t>项目编号：</w:t>
      </w:r>
      <w:r>
        <w:rPr>
          <w:rFonts w:hint="eastAsia" w:asciiTheme="minorEastAsia" w:hAnsiTheme="minorEastAsia" w:eastAsiaTheme="minorEastAsia" w:cstheme="minorEastAsia"/>
          <w:color w:val="0D0D0D"/>
          <w:sz w:val="24"/>
          <w:u w:val="single"/>
        </w:rPr>
        <w:t xml:space="preserve">                 </w:t>
      </w:r>
    </w:p>
    <w:tbl>
      <w:tblPr>
        <w:tblStyle w:val="19"/>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50"/>
        <w:gridCol w:w="1838"/>
        <w:gridCol w:w="1762"/>
        <w:gridCol w:w="1124"/>
        <w:gridCol w:w="1471"/>
      </w:tblGrid>
      <w:tr w14:paraId="275D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78" w:type="dxa"/>
            <w:noWrap w:val="0"/>
            <w:vAlign w:val="center"/>
          </w:tcPr>
          <w:p w14:paraId="2A7CE9E1">
            <w:pPr>
              <w:spacing w:line="432" w:lineRule="auto"/>
              <w:jc w:val="center"/>
              <w:rPr>
                <w:rFonts w:hint="eastAsia" w:asciiTheme="minorEastAsia" w:hAnsiTheme="minorEastAsia" w:eastAsiaTheme="minorEastAsia" w:cstheme="minorEastAsia"/>
                <w:color w:val="0D0D0D"/>
                <w:sz w:val="24"/>
              </w:rPr>
            </w:pPr>
            <w:r>
              <w:rPr>
                <w:rFonts w:hint="eastAsia" w:asciiTheme="minorEastAsia" w:hAnsiTheme="minorEastAsia" w:eastAsiaTheme="minorEastAsia" w:cstheme="minorEastAsia"/>
                <w:color w:val="0D0D0D"/>
                <w:sz w:val="24"/>
              </w:rPr>
              <w:t>序号</w:t>
            </w:r>
          </w:p>
        </w:tc>
        <w:tc>
          <w:tcPr>
            <w:tcW w:w="1850" w:type="dxa"/>
            <w:noWrap w:val="0"/>
            <w:vAlign w:val="center"/>
          </w:tcPr>
          <w:p w14:paraId="106A598D">
            <w:pPr>
              <w:spacing w:line="432" w:lineRule="auto"/>
              <w:jc w:val="center"/>
              <w:rPr>
                <w:rFonts w:hint="eastAsia" w:asciiTheme="minorEastAsia" w:hAnsiTheme="minorEastAsia" w:eastAsiaTheme="minorEastAsia" w:cstheme="minorEastAsia"/>
                <w:color w:val="0D0D0D"/>
                <w:sz w:val="24"/>
              </w:rPr>
            </w:pPr>
            <w:r>
              <w:rPr>
                <w:rFonts w:hint="eastAsia" w:asciiTheme="minorEastAsia" w:hAnsiTheme="minorEastAsia" w:cstheme="minorEastAsia"/>
                <w:color w:val="0D0D0D"/>
                <w:sz w:val="24"/>
                <w:lang w:eastAsia="zh-CN"/>
              </w:rPr>
              <w:t>询价</w:t>
            </w:r>
            <w:r>
              <w:rPr>
                <w:rFonts w:hint="eastAsia" w:asciiTheme="minorEastAsia" w:hAnsiTheme="minorEastAsia" w:eastAsiaTheme="minorEastAsia" w:cstheme="minorEastAsia"/>
                <w:color w:val="0D0D0D"/>
                <w:sz w:val="24"/>
              </w:rPr>
              <w:t>文件条目号</w:t>
            </w:r>
          </w:p>
        </w:tc>
        <w:tc>
          <w:tcPr>
            <w:tcW w:w="1838" w:type="dxa"/>
            <w:noWrap w:val="0"/>
            <w:vAlign w:val="center"/>
          </w:tcPr>
          <w:p w14:paraId="24E8D144">
            <w:pPr>
              <w:spacing w:line="432" w:lineRule="auto"/>
              <w:jc w:val="center"/>
              <w:rPr>
                <w:rFonts w:hint="eastAsia" w:asciiTheme="minorEastAsia" w:hAnsiTheme="minorEastAsia" w:eastAsiaTheme="minorEastAsia" w:cstheme="minorEastAsia"/>
                <w:color w:val="0D0D0D"/>
                <w:sz w:val="24"/>
              </w:rPr>
            </w:pPr>
            <w:r>
              <w:rPr>
                <w:rFonts w:hint="eastAsia" w:asciiTheme="minorEastAsia" w:hAnsiTheme="minorEastAsia" w:cstheme="minorEastAsia"/>
                <w:color w:val="0D0D0D"/>
                <w:sz w:val="24"/>
                <w:lang w:eastAsia="zh-CN"/>
              </w:rPr>
              <w:t>询价</w:t>
            </w:r>
            <w:r>
              <w:rPr>
                <w:rFonts w:hint="eastAsia" w:asciiTheme="minorEastAsia" w:hAnsiTheme="minorEastAsia" w:eastAsiaTheme="minorEastAsia" w:cstheme="minorEastAsia"/>
                <w:color w:val="0D0D0D"/>
                <w:sz w:val="24"/>
              </w:rPr>
              <w:t>文件的商务条款</w:t>
            </w:r>
          </w:p>
        </w:tc>
        <w:tc>
          <w:tcPr>
            <w:tcW w:w="1762" w:type="dxa"/>
            <w:noWrap w:val="0"/>
            <w:vAlign w:val="center"/>
          </w:tcPr>
          <w:p w14:paraId="3DE345B2">
            <w:pPr>
              <w:spacing w:line="432" w:lineRule="auto"/>
              <w:jc w:val="center"/>
              <w:rPr>
                <w:rFonts w:hint="eastAsia" w:asciiTheme="minorEastAsia" w:hAnsiTheme="minorEastAsia" w:eastAsiaTheme="minorEastAsia" w:cstheme="minorEastAsia"/>
                <w:color w:val="0D0D0D"/>
                <w:sz w:val="24"/>
              </w:rPr>
            </w:pPr>
            <w:r>
              <w:rPr>
                <w:rFonts w:hint="eastAsia" w:asciiTheme="minorEastAsia" w:hAnsiTheme="minorEastAsia" w:eastAsiaTheme="minorEastAsia" w:cstheme="minorEastAsia"/>
                <w:color w:val="0D0D0D"/>
                <w:sz w:val="24"/>
              </w:rPr>
              <w:t>响应文件的商务条款</w:t>
            </w:r>
          </w:p>
        </w:tc>
        <w:tc>
          <w:tcPr>
            <w:tcW w:w="1124" w:type="dxa"/>
            <w:noWrap w:val="0"/>
            <w:vAlign w:val="center"/>
          </w:tcPr>
          <w:p w14:paraId="5E720BC2">
            <w:pPr>
              <w:spacing w:line="432" w:lineRule="auto"/>
              <w:jc w:val="center"/>
              <w:rPr>
                <w:rFonts w:hint="eastAsia" w:asciiTheme="minorEastAsia" w:hAnsiTheme="minorEastAsia" w:eastAsiaTheme="minorEastAsia" w:cstheme="minorEastAsia"/>
                <w:color w:val="0D0D0D"/>
                <w:sz w:val="24"/>
              </w:rPr>
            </w:pPr>
            <w:r>
              <w:rPr>
                <w:rFonts w:hint="eastAsia" w:asciiTheme="minorEastAsia" w:hAnsiTheme="minorEastAsia" w:eastAsiaTheme="minorEastAsia" w:cstheme="minorEastAsia"/>
                <w:color w:val="0D0D0D"/>
                <w:sz w:val="24"/>
              </w:rPr>
              <w:t>响应/偏离</w:t>
            </w:r>
          </w:p>
        </w:tc>
        <w:tc>
          <w:tcPr>
            <w:tcW w:w="1471" w:type="dxa"/>
            <w:noWrap w:val="0"/>
            <w:vAlign w:val="center"/>
          </w:tcPr>
          <w:p w14:paraId="53ACF64F">
            <w:pPr>
              <w:spacing w:line="432" w:lineRule="auto"/>
              <w:jc w:val="center"/>
              <w:rPr>
                <w:rFonts w:hint="eastAsia" w:asciiTheme="minorEastAsia" w:hAnsiTheme="minorEastAsia" w:eastAsiaTheme="minorEastAsia" w:cstheme="minorEastAsia"/>
                <w:color w:val="0D0D0D"/>
                <w:sz w:val="24"/>
              </w:rPr>
            </w:pPr>
            <w:r>
              <w:rPr>
                <w:rFonts w:hint="eastAsia" w:asciiTheme="minorEastAsia" w:hAnsiTheme="minorEastAsia" w:eastAsiaTheme="minorEastAsia" w:cstheme="minorEastAsia"/>
                <w:color w:val="0D0D0D"/>
                <w:sz w:val="24"/>
              </w:rPr>
              <w:t>说明</w:t>
            </w:r>
          </w:p>
        </w:tc>
      </w:tr>
      <w:tr w14:paraId="470D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78" w:type="dxa"/>
            <w:noWrap w:val="0"/>
            <w:vAlign w:val="top"/>
          </w:tcPr>
          <w:p w14:paraId="361177CD">
            <w:pPr>
              <w:spacing w:line="432" w:lineRule="auto"/>
              <w:rPr>
                <w:rFonts w:hint="eastAsia" w:asciiTheme="minorEastAsia" w:hAnsiTheme="minorEastAsia" w:eastAsiaTheme="minorEastAsia" w:cstheme="minorEastAsia"/>
                <w:color w:val="0D0D0D"/>
                <w:sz w:val="24"/>
              </w:rPr>
            </w:pPr>
          </w:p>
        </w:tc>
        <w:tc>
          <w:tcPr>
            <w:tcW w:w="1850" w:type="dxa"/>
            <w:noWrap w:val="0"/>
            <w:vAlign w:val="top"/>
          </w:tcPr>
          <w:p w14:paraId="74E12504">
            <w:pPr>
              <w:spacing w:line="432" w:lineRule="auto"/>
              <w:rPr>
                <w:rFonts w:hint="eastAsia" w:asciiTheme="minorEastAsia" w:hAnsiTheme="minorEastAsia" w:eastAsiaTheme="minorEastAsia" w:cstheme="minorEastAsia"/>
                <w:color w:val="0D0D0D"/>
                <w:sz w:val="24"/>
              </w:rPr>
            </w:pPr>
          </w:p>
        </w:tc>
        <w:tc>
          <w:tcPr>
            <w:tcW w:w="1838" w:type="dxa"/>
            <w:noWrap w:val="0"/>
            <w:vAlign w:val="top"/>
          </w:tcPr>
          <w:p w14:paraId="1F9313FB">
            <w:pPr>
              <w:spacing w:line="432" w:lineRule="auto"/>
              <w:rPr>
                <w:rFonts w:hint="eastAsia" w:asciiTheme="minorEastAsia" w:hAnsiTheme="minorEastAsia" w:eastAsiaTheme="minorEastAsia" w:cstheme="minorEastAsia"/>
                <w:color w:val="0D0D0D"/>
                <w:sz w:val="24"/>
              </w:rPr>
            </w:pPr>
          </w:p>
        </w:tc>
        <w:tc>
          <w:tcPr>
            <w:tcW w:w="1762" w:type="dxa"/>
            <w:noWrap w:val="0"/>
            <w:vAlign w:val="top"/>
          </w:tcPr>
          <w:p w14:paraId="66D38D15">
            <w:pPr>
              <w:spacing w:line="432" w:lineRule="auto"/>
              <w:rPr>
                <w:rFonts w:hint="eastAsia" w:asciiTheme="minorEastAsia" w:hAnsiTheme="minorEastAsia" w:eastAsiaTheme="minorEastAsia" w:cstheme="minorEastAsia"/>
                <w:color w:val="0D0D0D"/>
                <w:sz w:val="24"/>
              </w:rPr>
            </w:pPr>
          </w:p>
        </w:tc>
        <w:tc>
          <w:tcPr>
            <w:tcW w:w="1124" w:type="dxa"/>
            <w:noWrap w:val="0"/>
            <w:vAlign w:val="top"/>
          </w:tcPr>
          <w:p w14:paraId="05D2AA55">
            <w:pPr>
              <w:spacing w:line="432" w:lineRule="auto"/>
              <w:rPr>
                <w:rFonts w:hint="eastAsia" w:asciiTheme="minorEastAsia" w:hAnsiTheme="minorEastAsia" w:eastAsiaTheme="minorEastAsia" w:cstheme="minorEastAsia"/>
                <w:color w:val="0D0D0D"/>
                <w:sz w:val="24"/>
              </w:rPr>
            </w:pPr>
          </w:p>
        </w:tc>
        <w:tc>
          <w:tcPr>
            <w:tcW w:w="1471" w:type="dxa"/>
            <w:noWrap w:val="0"/>
            <w:vAlign w:val="top"/>
          </w:tcPr>
          <w:p w14:paraId="21D3C5B2">
            <w:pPr>
              <w:spacing w:line="432" w:lineRule="auto"/>
              <w:rPr>
                <w:rFonts w:hint="eastAsia" w:asciiTheme="minorEastAsia" w:hAnsiTheme="minorEastAsia" w:eastAsiaTheme="minorEastAsia" w:cstheme="minorEastAsia"/>
                <w:color w:val="0D0D0D"/>
                <w:sz w:val="24"/>
              </w:rPr>
            </w:pPr>
          </w:p>
        </w:tc>
      </w:tr>
      <w:tr w14:paraId="61FB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78" w:type="dxa"/>
            <w:noWrap w:val="0"/>
            <w:vAlign w:val="top"/>
          </w:tcPr>
          <w:p w14:paraId="73A5873A">
            <w:pPr>
              <w:spacing w:line="432" w:lineRule="auto"/>
              <w:rPr>
                <w:rFonts w:hint="eastAsia" w:asciiTheme="minorEastAsia" w:hAnsiTheme="minorEastAsia" w:eastAsiaTheme="minorEastAsia" w:cstheme="minorEastAsia"/>
                <w:color w:val="0D0D0D"/>
                <w:sz w:val="24"/>
              </w:rPr>
            </w:pPr>
          </w:p>
        </w:tc>
        <w:tc>
          <w:tcPr>
            <w:tcW w:w="1850" w:type="dxa"/>
            <w:noWrap w:val="0"/>
            <w:vAlign w:val="top"/>
          </w:tcPr>
          <w:p w14:paraId="7D2E72E5">
            <w:pPr>
              <w:spacing w:line="432" w:lineRule="auto"/>
              <w:rPr>
                <w:rFonts w:hint="eastAsia" w:asciiTheme="minorEastAsia" w:hAnsiTheme="minorEastAsia" w:eastAsiaTheme="minorEastAsia" w:cstheme="minorEastAsia"/>
                <w:color w:val="0D0D0D"/>
                <w:sz w:val="24"/>
              </w:rPr>
            </w:pPr>
          </w:p>
        </w:tc>
        <w:tc>
          <w:tcPr>
            <w:tcW w:w="1838" w:type="dxa"/>
            <w:noWrap w:val="0"/>
            <w:vAlign w:val="top"/>
          </w:tcPr>
          <w:p w14:paraId="6ACE9ACB">
            <w:pPr>
              <w:spacing w:line="432" w:lineRule="auto"/>
              <w:rPr>
                <w:rFonts w:hint="eastAsia" w:asciiTheme="minorEastAsia" w:hAnsiTheme="minorEastAsia" w:eastAsiaTheme="minorEastAsia" w:cstheme="minorEastAsia"/>
                <w:color w:val="0D0D0D"/>
                <w:sz w:val="24"/>
              </w:rPr>
            </w:pPr>
          </w:p>
        </w:tc>
        <w:tc>
          <w:tcPr>
            <w:tcW w:w="1762" w:type="dxa"/>
            <w:noWrap w:val="0"/>
            <w:vAlign w:val="top"/>
          </w:tcPr>
          <w:p w14:paraId="2B66A0E3">
            <w:pPr>
              <w:spacing w:line="432" w:lineRule="auto"/>
              <w:rPr>
                <w:rFonts w:hint="eastAsia" w:asciiTheme="minorEastAsia" w:hAnsiTheme="minorEastAsia" w:eastAsiaTheme="minorEastAsia" w:cstheme="minorEastAsia"/>
                <w:color w:val="0D0D0D"/>
                <w:sz w:val="24"/>
              </w:rPr>
            </w:pPr>
          </w:p>
        </w:tc>
        <w:tc>
          <w:tcPr>
            <w:tcW w:w="1124" w:type="dxa"/>
            <w:noWrap w:val="0"/>
            <w:vAlign w:val="top"/>
          </w:tcPr>
          <w:p w14:paraId="3D83B49E">
            <w:pPr>
              <w:spacing w:line="432" w:lineRule="auto"/>
              <w:rPr>
                <w:rFonts w:hint="eastAsia" w:asciiTheme="minorEastAsia" w:hAnsiTheme="minorEastAsia" w:eastAsiaTheme="minorEastAsia" w:cstheme="minorEastAsia"/>
                <w:color w:val="0D0D0D"/>
                <w:sz w:val="24"/>
              </w:rPr>
            </w:pPr>
          </w:p>
        </w:tc>
        <w:tc>
          <w:tcPr>
            <w:tcW w:w="1471" w:type="dxa"/>
            <w:noWrap w:val="0"/>
            <w:vAlign w:val="top"/>
          </w:tcPr>
          <w:p w14:paraId="7AF134A1">
            <w:pPr>
              <w:spacing w:line="432" w:lineRule="auto"/>
              <w:rPr>
                <w:rFonts w:hint="eastAsia" w:asciiTheme="minorEastAsia" w:hAnsiTheme="minorEastAsia" w:eastAsiaTheme="minorEastAsia" w:cstheme="minorEastAsia"/>
                <w:color w:val="0D0D0D"/>
                <w:sz w:val="24"/>
              </w:rPr>
            </w:pPr>
          </w:p>
        </w:tc>
      </w:tr>
      <w:tr w14:paraId="5129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78" w:type="dxa"/>
            <w:noWrap w:val="0"/>
            <w:vAlign w:val="top"/>
          </w:tcPr>
          <w:p w14:paraId="00265E81">
            <w:pPr>
              <w:spacing w:line="432" w:lineRule="auto"/>
              <w:rPr>
                <w:rFonts w:hint="eastAsia" w:asciiTheme="minorEastAsia" w:hAnsiTheme="minorEastAsia" w:eastAsiaTheme="minorEastAsia" w:cstheme="minorEastAsia"/>
                <w:color w:val="0D0D0D"/>
                <w:sz w:val="24"/>
              </w:rPr>
            </w:pPr>
          </w:p>
        </w:tc>
        <w:tc>
          <w:tcPr>
            <w:tcW w:w="1850" w:type="dxa"/>
            <w:noWrap w:val="0"/>
            <w:vAlign w:val="top"/>
          </w:tcPr>
          <w:p w14:paraId="34F1D326">
            <w:pPr>
              <w:spacing w:line="432" w:lineRule="auto"/>
              <w:rPr>
                <w:rFonts w:hint="eastAsia" w:asciiTheme="minorEastAsia" w:hAnsiTheme="minorEastAsia" w:eastAsiaTheme="minorEastAsia" w:cstheme="minorEastAsia"/>
                <w:color w:val="0D0D0D"/>
                <w:sz w:val="24"/>
              </w:rPr>
            </w:pPr>
          </w:p>
        </w:tc>
        <w:tc>
          <w:tcPr>
            <w:tcW w:w="1838" w:type="dxa"/>
            <w:noWrap w:val="0"/>
            <w:vAlign w:val="top"/>
          </w:tcPr>
          <w:p w14:paraId="35ED4F67">
            <w:pPr>
              <w:spacing w:line="432" w:lineRule="auto"/>
              <w:rPr>
                <w:rFonts w:hint="eastAsia" w:asciiTheme="minorEastAsia" w:hAnsiTheme="minorEastAsia" w:eastAsiaTheme="minorEastAsia" w:cstheme="minorEastAsia"/>
                <w:color w:val="0D0D0D"/>
                <w:sz w:val="24"/>
              </w:rPr>
            </w:pPr>
          </w:p>
        </w:tc>
        <w:tc>
          <w:tcPr>
            <w:tcW w:w="1762" w:type="dxa"/>
            <w:noWrap w:val="0"/>
            <w:vAlign w:val="top"/>
          </w:tcPr>
          <w:p w14:paraId="223F8FEC">
            <w:pPr>
              <w:spacing w:line="432" w:lineRule="auto"/>
              <w:rPr>
                <w:rFonts w:hint="eastAsia" w:asciiTheme="minorEastAsia" w:hAnsiTheme="minorEastAsia" w:eastAsiaTheme="minorEastAsia" w:cstheme="minorEastAsia"/>
                <w:color w:val="0D0D0D"/>
                <w:sz w:val="24"/>
              </w:rPr>
            </w:pPr>
          </w:p>
        </w:tc>
        <w:tc>
          <w:tcPr>
            <w:tcW w:w="1124" w:type="dxa"/>
            <w:noWrap w:val="0"/>
            <w:vAlign w:val="top"/>
          </w:tcPr>
          <w:p w14:paraId="5485B9CD">
            <w:pPr>
              <w:spacing w:line="432" w:lineRule="auto"/>
              <w:rPr>
                <w:rFonts w:hint="eastAsia" w:asciiTheme="minorEastAsia" w:hAnsiTheme="minorEastAsia" w:eastAsiaTheme="minorEastAsia" w:cstheme="minorEastAsia"/>
                <w:color w:val="0D0D0D"/>
                <w:sz w:val="24"/>
              </w:rPr>
            </w:pPr>
          </w:p>
        </w:tc>
        <w:tc>
          <w:tcPr>
            <w:tcW w:w="1471" w:type="dxa"/>
            <w:noWrap w:val="0"/>
            <w:vAlign w:val="top"/>
          </w:tcPr>
          <w:p w14:paraId="693AE8BF">
            <w:pPr>
              <w:spacing w:line="432" w:lineRule="auto"/>
              <w:rPr>
                <w:rFonts w:hint="eastAsia" w:asciiTheme="minorEastAsia" w:hAnsiTheme="minorEastAsia" w:eastAsiaTheme="minorEastAsia" w:cstheme="minorEastAsia"/>
                <w:color w:val="0D0D0D"/>
                <w:sz w:val="24"/>
              </w:rPr>
            </w:pPr>
          </w:p>
        </w:tc>
      </w:tr>
      <w:tr w14:paraId="679A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78" w:type="dxa"/>
            <w:noWrap w:val="0"/>
            <w:vAlign w:val="top"/>
          </w:tcPr>
          <w:p w14:paraId="72AD2006">
            <w:pPr>
              <w:spacing w:line="360" w:lineRule="auto"/>
              <w:rPr>
                <w:rFonts w:hint="eastAsia" w:asciiTheme="minorEastAsia" w:hAnsiTheme="minorEastAsia" w:eastAsiaTheme="minorEastAsia" w:cstheme="minorEastAsia"/>
                <w:color w:val="0D0D0D"/>
                <w:sz w:val="24"/>
              </w:rPr>
            </w:pPr>
            <w:r>
              <w:rPr>
                <w:rFonts w:hint="eastAsia" w:asciiTheme="minorEastAsia" w:hAnsiTheme="minorEastAsia" w:eastAsiaTheme="minorEastAsia" w:cstheme="minorEastAsia"/>
                <w:sz w:val="24"/>
              </w:rPr>
              <w:t>...</w:t>
            </w:r>
          </w:p>
        </w:tc>
        <w:tc>
          <w:tcPr>
            <w:tcW w:w="1850" w:type="dxa"/>
            <w:noWrap w:val="0"/>
            <w:vAlign w:val="top"/>
          </w:tcPr>
          <w:p w14:paraId="5F153B5E">
            <w:pPr>
              <w:spacing w:line="432" w:lineRule="auto"/>
              <w:rPr>
                <w:rFonts w:hint="eastAsia" w:asciiTheme="minorEastAsia" w:hAnsiTheme="minorEastAsia" w:eastAsiaTheme="minorEastAsia" w:cstheme="minorEastAsia"/>
                <w:color w:val="0D0D0D"/>
                <w:sz w:val="24"/>
              </w:rPr>
            </w:pPr>
            <w:r>
              <w:rPr>
                <w:rFonts w:hint="eastAsia" w:asciiTheme="minorEastAsia" w:hAnsiTheme="minorEastAsia" w:eastAsiaTheme="minorEastAsia" w:cstheme="minorEastAsia"/>
                <w:sz w:val="24"/>
              </w:rPr>
              <w:t>...</w:t>
            </w:r>
          </w:p>
        </w:tc>
        <w:tc>
          <w:tcPr>
            <w:tcW w:w="1838" w:type="dxa"/>
            <w:noWrap w:val="0"/>
            <w:vAlign w:val="top"/>
          </w:tcPr>
          <w:p w14:paraId="0168A41F">
            <w:pPr>
              <w:spacing w:line="432" w:lineRule="auto"/>
              <w:rPr>
                <w:rFonts w:hint="eastAsia" w:asciiTheme="minorEastAsia" w:hAnsiTheme="minorEastAsia" w:eastAsiaTheme="minorEastAsia" w:cstheme="minorEastAsia"/>
                <w:color w:val="0D0D0D"/>
                <w:sz w:val="24"/>
                <w:lang w:val="en-US" w:eastAsia="zh-CN"/>
              </w:rPr>
            </w:pPr>
            <w:r>
              <w:rPr>
                <w:rFonts w:hint="eastAsia" w:asciiTheme="minorEastAsia" w:hAnsiTheme="minorEastAsia" w:eastAsiaTheme="minorEastAsia" w:cstheme="minorEastAsia"/>
                <w:sz w:val="24"/>
              </w:rPr>
              <w:t>其他商务</w:t>
            </w:r>
            <w:r>
              <w:rPr>
                <w:rFonts w:hint="eastAsia" w:asciiTheme="minorEastAsia" w:hAnsiTheme="minorEastAsia" w:eastAsiaTheme="minorEastAsia" w:cstheme="minorEastAsia"/>
                <w:sz w:val="24"/>
                <w:lang w:val="en-US" w:eastAsia="zh-CN"/>
              </w:rPr>
              <w:t>条款</w:t>
            </w:r>
          </w:p>
        </w:tc>
        <w:tc>
          <w:tcPr>
            <w:tcW w:w="1762" w:type="dxa"/>
            <w:noWrap w:val="0"/>
            <w:vAlign w:val="top"/>
          </w:tcPr>
          <w:p w14:paraId="66FCA88D">
            <w:pPr>
              <w:spacing w:line="432" w:lineRule="auto"/>
              <w:rPr>
                <w:rFonts w:hint="eastAsia" w:asciiTheme="minorEastAsia" w:hAnsiTheme="minorEastAsia" w:eastAsiaTheme="minorEastAsia" w:cstheme="minorEastAsia"/>
                <w:color w:val="0D0D0D"/>
                <w:sz w:val="24"/>
              </w:rPr>
            </w:pPr>
          </w:p>
        </w:tc>
        <w:tc>
          <w:tcPr>
            <w:tcW w:w="1124" w:type="dxa"/>
            <w:noWrap w:val="0"/>
            <w:vAlign w:val="top"/>
          </w:tcPr>
          <w:p w14:paraId="321C2BC6">
            <w:pPr>
              <w:spacing w:line="432" w:lineRule="auto"/>
              <w:rPr>
                <w:rFonts w:hint="eastAsia" w:asciiTheme="minorEastAsia" w:hAnsiTheme="minorEastAsia" w:eastAsiaTheme="minorEastAsia" w:cstheme="minorEastAsia"/>
                <w:color w:val="0D0D0D"/>
                <w:sz w:val="24"/>
              </w:rPr>
            </w:pPr>
          </w:p>
        </w:tc>
        <w:tc>
          <w:tcPr>
            <w:tcW w:w="1471" w:type="dxa"/>
            <w:noWrap w:val="0"/>
            <w:vAlign w:val="top"/>
          </w:tcPr>
          <w:p w14:paraId="3308C39C">
            <w:pPr>
              <w:spacing w:line="432" w:lineRule="auto"/>
              <w:rPr>
                <w:rFonts w:hint="eastAsia" w:asciiTheme="minorEastAsia" w:hAnsiTheme="minorEastAsia" w:eastAsiaTheme="minorEastAsia" w:cstheme="minorEastAsia"/>
                <w:color w:val="0D0D0D"/>
                <w:sz w:val="24"/>
              </w:rPr>
            </w:pPr>
          </w:p>
        </w:tc>
      </w:tr>
    </w:tbl>
    <w:p w14:paraId="47A1C7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D0D0D"/>
          <w:sz w:val="24"/>
        </w:rPr>
      </w:pPr>
      <w:r>
        <w:rPr>
          <w:rFonts w:hint="eastAsia" w:asciiTheme="minorEastAsia" w:hAnsiTheme="minorEastAsia" w:eastAsiaTheme="minorEastAsia" w:cstheme="minorEastAsia"/>
          <w:color w:val="0D0D0D"/>
          <w:sz w:val="24"/>
        </w:rPr>
        <w:t>注：1、供应商应对</w:t>
      </w:r>
      <w:r>
        <w:rPr>
          <w:rFonts w:hint="eastAsia" w:asciiTheme="minorEastAsia" w:hAnsiTheme="minorEastAsia" w:cstheme="minorEastAsia"/>
          <w:color w:val="0D0D0D"/>
          <w:sz w:val="24"/>
          <w:lang w:val="en-US" w:eastAsia="zh-CN"/>
        </w:rPr>
        <w:t>询价</w:t>
      </w:r>
      <w:r>
        <w:rPr>
          <w:rFonts w:hint="eastAsia" w:asciiTheme="minorEastAsia" w:hAnsiTheme="minorEastAsia" w:eastAsiaTheme="minorEastAsia" w:cstheme="minorEastAsia"/>
          <w:color w:val="0D0D0D"/>
          <w:sz w:val="24"/>
        </w:rPr>
        <w:t>文件《第五章采购需求表及采购需求》的二、“采购</w:t>
      </w:r>
      <w:r>
        <w:rPr>
          <w:rFonts w:hint="eastAsia" w:asciiTheme="minorEastAsia" w:hAnsiTheme="minorEastAsia" w:cstheme="minorEastAsia"/>
          <w:color w:val="0D0D0D"/>
          <w:sz w:val="24"/>
          <w:lang w:val="en-US" w:eastAsia="zh-CN"/>
        </w:rPr>
        <w:t>要</w:t>
      </w:r>
      <w:r>
        <w:rPr>
          <w:rFonts w:hint="eastAsia" w:asciiTheme="minorEastAsia" w:hAnsiTheme="minorEastAsia" w:eastAsiaTheme="minorEastAsia" w:cstheme="minorEastAsia"/>
          <w:color w:val="0D0D0D"/>
          <w:sz w:val="24"/>
        </w:rPr>
        <w:t>求”中的“</w:t>
      </w:r>
      <w:r>
        <w:rPr>
          <w:rFonts w:hint="eastAsia" w:asciiTheme="minorEastAsia" w:hAnsiTheme="minorEastAsia" w:eastAsiaTheme="minorEastAsia" w:cstheme="minorEastAsia"/>
          <w:b/>
          <w:bCs/>
          <w:color w:val="0D0D0D"/>
          <w:sz w:val="24"/>
        </w:rPr>
        <w:t>（</w:t>
      </w:r>
      <w:r>
        <w:rPr>
          <w:rFonts w:hint="eastAsia" w:asciiTheme="minorEastAsia" w:hAnsiTheme="minorEastAsia" w:cstheme="minorEastAsia"/>
          <w:b/>
          <w:bCs/>
          <w:color w:val="0D0D0D"/>
          <w:sz w:val="24"/>
          <w:lang w:val="en-US" w:eastAsia="zh-CN"/>
        </w:rPr>
        <w:t>二</w:t>
      </w:r>
      <w:r>
        <w:rPr>
          <w:rFonts w:hint="eastAsia" w:asciiTheme="minorEastAsia" w:hAnsiTheme="minorEastAsia" w:eastAsiaTheme="minorEastAsia" w:cstheme="minorEastAsia"/>
          <w:b/>
          <w:bCs/>
          <w:color w:val="0D0D0D"/>
          <w:sz w:val="24"/>
        </w:rPr>
        <w:t>）商务条件所有内容</w:t>
      </w:r>
      <w:r>
        <w:rPr>
          <w:rFonts w:hint="eastAsia" w:asciiTheme="minorEastAsia" w:hAnsiTheme="minorEastAsia" w:eastAsiaTheme="minorEastAsia" w:cstheme="minorEastAsia"/>
          <w:color w:val="0D0D0D"/>
          <w:sz w:val="24"/>
        </w:rPr>
        <w:t>”进行响应/偏离填写；</w:t>
      </w:r>
    </w:p>
    <w:p w14:paraId="6D5100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D0D0D"/>
          <w:sz w:val="24"/>
        </w:rPr>
      </w:pPr>
      <w:r>
        <w:rPr>
          <w:rFonts w:hint="eastAsia" w:asciiTheme="minorEastAsia" w:hAnsiTheme="minorEastAsia" w:eastAsiaTheme="minorEastAsia" w:cstheme="minorEastAsia"/>
          <w:color w:val="0D0D0D"/>
          <w:sz w:val="24"/>
        </w:rPr>
        <w:t>2、如供应商为响应可填写响应或无偏离；如供应商为偏离可填写正偏离需在</w:t>
      </w:r>
      <w:r>
        <w:rPr>
          <w:rFonts w:hint="eastAsia" w:asciiTheme="minorEastAsia" w:hAnsiTheme="minorEastAsia" w:cstheme="minorEastAsia"/>
          <w:color w:val="0D0D0D"/>
          <w:sz w:val="24"/>
          <w:lang w:eastAsia="zh-CN"/>
        </w:rPr>
        <w:t>询价</w:t>
      </w:r>
      <w:r>
        <w:rPr>
          <w:rFonts w:hint="eastAsia" w:asciiTheme="minorEastAsia" w:hAnsiTheme="minorEastAsia" w:eastAsiaTheme="minorEastAsia" w:cstheme="minorEastAsia"/>
          <w:color w:val="0D0D0D"/>
          <w:sz w:val="24"/>
        </w:rPr>
        <w:t>技术响应或者说明中把正偏离内容描述清楚。负偏离为不响应</w:t>
      </w:r>
      <w:r>
        <w:rPr>
          <w:rFonts w:hint="eastAsia" w:asciiTheme="minorEastAsia" w:hAnsiTheme="minorEastAsia" w:cstheme="minorEastAsia"/>
          <w:color w:val="0D0D0D"/>
          <w:sz w:val="24"/>
          <w:lang w:eastAsia="zh-CN"/>
        </w:rPr>
        <w:t>询价</w:t>
      </w:r>
      <w:r>
        <w:rPr>
          <w:rFonts w:hint="eastAsia" w:asciiTheme="minorEastAsia" w:hAnsiTheme="minorEastAsia" w:eastAsiaTheme="minorEastAsia" w:cstheme="minorEastAsia"/>
          <w:color w:val="0D0D0D"/>
          <w:sz w:val="24"/>
        </w:rPr>
        <w:t>文件；</w:t>
      </w:r>
    </w:p>
    <w:p w14:paraId="047267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D0D0D"/>
          <w:sz w:val="24"/>
        </w:rPr>
      </w:pPr>
      <w:r>
        <w:rPr>
          <w:rFonts w:hint="eastAsia" w:asciiTheme="minorEastAsia" w:hAnsiTheme="minorEastAsia" w:eastAsiaTheme="minorEastAsia" w:cstheme="minorEastAsia"/>
          <w:color w:val="0D0D0D"/>
          <w:sz w:val="24"/>
        </w:rPr>
        <w:t>3、若供应商满足</w:t>
      </w:r>
      <w:r>
        <w:rPr>
          <w:rFonts w:hint="eastAsia" w:asciiTheme="minorEastAsia" w:hAnsiTheme="minorEastAsia" w:cstheme="minorEastAsia"/>
          <w:color w:val="0D0D0D"/>
          <w:sz w:val="24"/>
          <w:lang w:eastAsia="zh-CN"/>
        </w:rPr>
        <w:t>询价</w:t>
      </w:r>
      <w:r>
        <w:rPr>
          <w:rFonts w:hint="eastAsia" w:asciiTheme="minorEastAsia" w:hAnsiTheme="minorEastAsia" w:eastAsiaTheme="minorEastAsia" w:cstheme="minorEastAsia"/>
          <w:color w:val="0D0D0D"/>
          <w:sz w:val="24"/>
        </w:rPr>
        <w:t>技术要求填写响应或无偏离；若供应商优于</w:t>
      </w:r>
      <w:r>
        <w:rPr>
          <w:rFonts w:hint="eastAsia" w:asciiTheme="minorEastAsia" w:hAnsiTheme="minorEastAsia" w:cstheme="minorEastAsia"/>
          <w:color w:val="0D0D0D"/>
          <w:sz w:val="24"/>
          <w:lang w:eastAsia="zh-CN"/>
        </w:rPr>
        <w:t>询价</w:t>
      </w:r>
      <w:r>
        <w:rPr>
          <w:rFonts w:hint="eastAsia" w:asciiTheme="minorEastAsia" w:hAnsiTheme="minorEastAsia" w:eastAsiaTheme="minorEastAsia" w:cstheme="minorEastAsia"/>
          <w:color w:val="0D0D0D"/>
          <w:sz w:val="24"/>
        </w:rPr>
        <w:t>技术要求填写正偏离,说明栏中描述偏离情况。若供应商不满足</w:t>
      </w:r>
      <w:r>
        <w:rPr>
          <w:rFonts w:hint="eastAsia" w:asciiTheme="minorEastAsia" w:hAnsiTheme="minorEastAsia" w:cstheme="minorEastAsia"/>
          <w:color w:val="0D0D0D"/>
          <w:sz w:val="24"/>
          <w:lang w:eastAsia="zh-CN"/>
        </w:rPr>
        <w:t>询价</w:t>
      </w:r>
      <w:r>
        <w:rPr>
          <w:rFonts w:hint="eastAsia" w:asciiTheme="minorEastAsia" w:hAnsiTheme="minorEastAsia" w:eastAsiaTheme="minorEastAsia" w:cstheme="minorEastAsia"/>
          <w:color w:val="0D0D0D"/>
          <w:sz w:val="24"/>
        </w:rPr>
        <w:t>技术要求填写负偏离；</w:t>
      </w:r>
    </w:p>
    <w:p w14:paraId="4196FD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D0D0D"/>
          <w:sz w:val="24"/>
        </w:rPr>
      </w:pPr>
      <w:r>
        <w:rPr>
          <w:rFonts w:hint="eastAsia" w:asciiTheme="minorEastAsia" w:hAnsiTheme="minorEastAsia" w:eastAsiaTheme="minorEastAsia" w:cstheme="minorEastAsia"/>
          <w:color w:val="0D0D0D"/>
          <w:sz w:val="24"/>
        </w:rPr>
        <w:t>4、供应商不按上述表格填写，所产生的一切后果由供应商承担，本项目不接受负偏离。</w:t>
      </w:r>
    </w:p>
    <w:p w14:paraId="32A4BE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p>
    <w:p w14:paraId="560C7774">
      <w:pPr>
        <w:bidi w:val="0"/>
        <w:spacing w:line="360" w:lineRule="auto"/>
        <w:rPr>
          <w:rFonts w:hint="eastAsia" w:ascii="宋体" w:hAnsi="宋体" w:eastAsia="宋体" w:cs="宋体"/>
          <w:sz w:val="24"/>
          <w:szCs w:val="24"/>
          <w:u w:val="single"/>
          <w:lang w:val="en-US" w:eastAsia="zh-CN"/>
        </w:rPr>
      </w:pPr>
      <w:r>
        <w:rPr>
          <w:rFonts w:hint="eastAsia" w:asciiTheme="minorEastAsia" w:hAnsiTheme="minorEastAsia" w:eastAsiaTheme="minorEastAsia" w:cstheme="minorEastAsia"/>
          <w:sz w:val="24"/>
        </w:rPr>
        <w:t>法定代表人（或经营者或自然人）或</w:t>
      </w:r>
      <w:r>
        <w:rPr>
          <w:rFonts w:hint="eastAsia" w:asciiTheme="minorEastAsia" w:hAnsiTheme="minorEastAsia" w:eastAsiaTheme="minorEastAsia" w:cstheme="minorEastAsia"/>
          <w:color w:val="0D0D0D"/>
          <w:sz w:val="24"/>
        </w:rPr>
        <w:t>供应商代表签字或章：</w:t>
      </w:r>
      <w:r>
        <w:rPr>
          <w:rFonts w:hint="eastAsia" w:asciiTheme="minorEastAsia" w:hAnsiTheme="minorEastAsia" w:eastAsiaTheme="minorEastAsia" w:cstheme="minorEastAsia"/>
          <w:color w:val="0D0D0D"/>
          <w:sz w:val="24"/>
          <w:u w:val="single"/>
        </w:rPr>
        <w:t xml:space="preserve">             </w:t>
      </w:r>
    </w:p>
    <w:p w14:paraId="58A0B6F7">
      <w:pPr>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br w:type="page"/>
      </w:r>
    </w:p>
    <w:p w14:paraId="7A49ACD0">
      <w:pPr>
        <w:pStyle w:val="7"/>
        <w:bidi w:val="0"/>
        <w:jc w:val="center"/>
        <w:rPr>
          <w:rFonts w:hint="default"/>
          <w:lang w:val="en-US" w:eastAsia="zh-CN"/>
        </w:rPr>
      </w:pPr>
      <w:bookmarkStart w:id="202" w:name="_Toc12147"/>
      <w:bookmarkStart w:id="203" w:name="_Toc28878"/>
      <w:bookmarkStart w:id="204" w:name="_Toc475970893"/>
      <w:bookmarkStart w:id="205" w:name="_Toc28209"/>
      <w:bookmarkStart w:id="206" w:name="_Toc13968"/>
      <w:bookmarkStart w:id="207" w:name="_Toc13092"/>
      <w:bookmarkStart w:id="208" w:name="_Toc377477463"/>
      <w:r>
        <w:rPr>
          <w:rFonts w:hint="eastAsia" w:ascii="宋体" w:hAnsi="宋体" w:eastAsia="宋体" w:cs="宋体"/>
          <w:sz w:val="28"/>
          <w:szCs w:val="28"/>
          <w:lang w:val="en-US" w:eastAsia="zh-CN"/>
        </w:rPr>
        <w:t>6</w:t>
      </w:r>
      <w:bookmarkStart w:id="209" w:name="_Toc463859539"/>
      <w:r>
        <w:rPr>
          <w:rFonts w:hint="eastAsia" w:ascii="宋体" w:hAnsi="宋体" w:eastAsia="宋体" w:cs="宋体"/>
          <w:sz w:val="28"/>
          <w:szCs w:val="28"/>
          <w:lang w:val="en-US" w:eastAsia="zh-CN"/>
        </w:rPr>
        <w:t>、其他资料</w:t>
      </w:r>
      <w:bookmarkEnd w:id="202"/>
      <w:bookmarkEnd w:id="203"/>
      <w:bookmarkEnd w:id="204"/>
      <w:bookmarkEnd w:id="205"/>
      <w:bookmarkEnd w:id="206"/>
      <w:bookmarkEnd w:id="207"/>
      <w:bookmarkEnd w:id="209"/>
    </w:p>
    <w:bookmarkEnd w:id="208"/>
    <w:p w14:paraId="015ABC1A">
      <w:pPr>
        <w:bidi w:val="0"/>
        <w:spacing w:line="360" w:lineRule="auto"/>
        <w:jc w:val="center"/>
        <w:rPr>
          <w:rFonts w:hint="eastAsia" w:ascii="宋体" w:hAnsi="宋体" w:eastAsia="宋体" w:cs="宋体"/>
          <w:sz w:val="24"/>
          <w:szCs w:val="24"/>
          <w:lang w:val="en-US" w:eastAsia="zh-CN"/>
        </w:rPr>
      </w:pPr>
      <w:bookmarkStart w:id="210" w:name="_Toc475970894"/>
      <w:bookmarkStart w:id="211" w:name="_Toc463859540"/>
      <w:r>
        <w:rPr>
          <w:rFonts w:hint="eastAsia" w:ascii="宋体" w:hAnsi="宋体" w:eastAsia="宋体" w:cs="宋体"/>
          <w:b/>
          <w:bCs/>
          <w:sz w:val="24"/>
          <w:szCs w:val="24"/>
          <w:lang w:val="en-US" w:eastAsia="zh-CN"/>
        </w:rPr>
        <w:t>6-1. 供应商情况一览表</w:t>
      </w:r>
      <w:bookmarkEnd w:id="210"/>
      <w:bookmarkEnd w:id="211"/>
    </w:p>
    <w:p w14:paraId="71E7C5E5">
      <w:pPr>
        <w:bidi w:val="0"/>
        <w:spacing w:line="360" w:lineRule="auto"/>
        <w:jc w:val="center"/>
        <w:rPr>
          <w:rFonts w:hint="eastAsia"/>
          <w:vertAlign w:val="baseline"/>
          <w:lang w:val="en-US" w:eastAsia="zh-CN"/>
        </w:rPr>
      </w:pPr>
      <w:r>
        <w:rPr>
          <w:rFonts w:hint="eastAsia" w:ascii="宋体" w:hAnsi="宋体" w:eastAsia="宋体" w:cs="宋体"/>
          <w:sz w:val="24"/>
          <w:szCs w:val="24"/>
          <w:lang w:val="en-US" w:eastAsia="zh-CN"/>
        </w:rPr>
        <w:t>（注：自然人参与询价活动不需提供）</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995"/>
        <w:gridCol w:w="1242"/>
        <w:gridCol w:w="749"/>
        <w:gridCol w:w="505"/>
        <w:gridCol w:w="1350"/>
        <w:gridCol w:w="764"/>
        <w:gridCol w:w="1241"/>
      </w:tblGrid>
      <w:tr w14:paraId="7C5E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76" w:type="dxa"/>
            <w:vAlign w:val="center"/>
          </w:tcPr>
          <w:p w14:paraId="577DF0DD">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供应商名称</w:t>
            </w:r>
          </w:p>
        </w:tc>
        <w:tc>
          <w:tcPr>
            <w:tcW w:w="6846" w:type="dxa"/>
            <w:gridSpan w:val="7"/>
            <w:vAlign w:val="center"/>
          </w:tcPr>
          <w:p w14:paraId="6FFE8627">
            <w:pPr>
              <w:bidi w:val="0"/>
              <w:spacing w:line="360" w:lineRule="auto"/>
              <w:rPr>
                <w:rFonts w:hint="eastAsia" w:ascii="宋体" w:hAnsi="宋体" w:eastAsia="宋体" w:cs="宋体"/>
                <w:sz w:val="24"/>
                <w:szCs w:val="24"/>
                <w:lang w:val="en-US" w:eastAsia="zh-CN"/>
              </w:rPr>
            </w:pPr>
          </w:p>
        </w:tc>
      </w:tr>
      <w:tr w14:paraId="0FAF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14:paraId="0839F6D1">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注册地址</w:t>
            </w:r>
          </w:p>
        </w:tc>
        <w:tc>
          <w:tcPr>
            <w:tcW w:w="3491" w:type="dxa"/>
            <w:gridSpan w:val="4"/>
            <w:vAlign w:val="center"/>
          </w:tcPr>
          <w:p w14:paraId="2606BD17">
            <w:pPr>
              <w:bidi w:val="0"/>
              <w:spacing w:line="360" w:lineRule="auto"/>
              <w:rPr>
                <w:rFonts w:hint="eastAsia" w:ascii="宋体" w:hAnsi="宋体" w:eastAsia="宋体" w:cs="宋体"/>
                <w:sz w:val="24"/>
                <w:szCs w:val="24"/>
                <w:lang w:val="en-US" w:eastAsia="zh-CN"/>
              </w:rPr>
            </w:pPr>
          </w:p>
        </w:tc>
        <w:tc>
          <w:tcPr>
            <w:tcW w:w="1350" w:type="dxa"/>
            <w:vAlign w:val="center"/>
          </w:tcPr>
          <w:p w14:paraId="4EC14A66">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邮政编码</w:t>
            </w:r>
          </w:p>
        </w:tc>
        <w:tc>
          <w:tcPr>
            <w:tcW w:w="2005" w:type="dxa"/>
            <w:gridSpan w:val="2"/>
            <w:vAlign w:val="center"/>
          </w:tcPr>
          <w:p w14:paraId="2F06459F">
            <w:pPr>
              <w:bidi w:val="0"/>
              <w:spacing w:line="360" w:lineRule="auto"/>
              <w:rPr>
                <w:rFonts w:hint="eastAsia" w:ascii="宋体" w:hAnsi="宋体" w:eastAsia="宋体" w:cs="宋体"/>
                <w:sz w:val="24"/>
                <w:szCs w:val="24"/>
                <w:lang w:val="en-US" w:eastAsia="zh-CN"/>
              </w:rPr>
            </w:pPr>
          </w:p>
        </w:tc>
      </w:tr>
      <w:tr w14:paraId="7211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Merge w:val="restart"/>
            <w:vAlign w:val="center"/>
          </w:tcPr>
          <w:p w14:paraId="1C777A93">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联系方式</w:t>
            </w:r>
          </w:p>
        </w:tc>
        <w:tc>
          <w:tcPr>
            <w:tcW w:w="995" w:type="dxa"/>
            <w:vAlign w:val="center"/>
          </w:tcPr>
          <w:p w14:paraId="55E0F5F0">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联系人</w:t>
            </w:r>
          </w:p>
        </w:tc>
        <w:tc>
          <w:tcPr>
            <w:tcW w:w="2496" w:type="dxa"/>
            <w:gridSpan w:val="3"/>
            <w:vAlign w:val="center"/>
          </w:tcPr>
          <w:p w14:paraId="7B91ABE2">
            <w:pPr>
              <w:bidi w:val="0"/>
              <w:spacing w:line="360" w:lineRule="auto"/>
              <w:rPr>
                <w:rFonts w:hint="eastAsia" w:ascii="宋体" w:hAnsi="宋体" w:eastAsia="宋体" w:cs="宋体"/>
                <w:sz w:val="24"/>
                <w:szCs w:val="24"/>
                <w:lang w:val="en-US" w:eastAsia="zh-CN"/>
              </w:rPr>
            </w:pPr>
          </w:p>
        </w:tc>
        <w:tc>
          <w:tcPr>
            <w:tcW w:w="1350" w:type="dxa"/>
            <w:vAlign w:val="center"/>
          </w:tcPr>
          <w:p w14:paraId="63C9A023">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联系电话</w:t>
            </w:r>
          </w:p>
        </w:tc>
        <w:tc>
          <w:tcPr>
            <w:tcW w:w="2005" w:type="dxa"/>
            <w:gridSpan w:val="2"/>
            <w:vAlign w:val="center"/>
          </w:tcPr>
          <w:p w14:paraId="3AFEBC35">
            <w:pPr>
              <w:bidi w:val="0"/>
              <w:spacing w:line="360" w:lineRule="auto"/>
              <w:rPr>
                <w:rFonts w:hint="eastAsia" w:ascii="宋体" w:hAnsi="宋体" w:eastAsia="宋体" w:cs="宋体"/>
                <w:sz w:val="24"/>
                <w:szCs w:val="24"/>
                <w:lang w:val="en-US" w:eastAsia="zh-CN"/>
              </w:rPr>
            </w:pPr>
          </w:p>
        </w:tc>
      </w:tr>
      <w:tr w14:paraId="2AF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Merge w:val="continue"/>
            <w:vAlign w:val="center"/>
          </w:tcPr>
          <w:p w14:paraId="49B6DCAA">
            <w:pPr>
              <w:bidi w:val="0"/>
              <w:spacing w:line="360" w:lineRule="auto"/>
              <w:rPr>
                <w:rFonts w:hint="eastAsia" w:ascii="宋体" w:hAnsi="宋体" w:eastAsia="宋体" w:cs="宋体"/>
                <w:sz w:val="24"/>
                <w:szCs w:val="24"/>
                <w:lang w:val="en-US" w:eastAsia="zh-CN"/>
              </w:rPr>
            </w:pPr>
          </w:p>
        </w:tc>
        <w:tc>
          <w:tcPr>
            <w:tcW w:w="995" w:type="dxa"/>
            <w:vAlign w:val="center"/>
          </w:tcPr>
          <w:p w14:paraId="3D124F92">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传  真</w:t>
            </w:r>
          </w:p>
        </w:tc>
        <w:tc>
          <w:tcPr>
            <w:tcW w:w="2496" w:type="dxa"/>
            <w:gridSpan w:val="3"/>
            <w:vAlign w:val="center"/>
          </w:tcPr>
          <w:p w14:paraId="7ACAD0F4">
            <w:pPr>
              <w:bidi w:val="0"/>
              <w:spacing w:line="360" w:lineRule="auto"/>
              <w:rPr>
                <w:rFonts w:hint="eastAsia" w:ascii="宋体" w:hAnsi="宋体" w:eastAsia="宋体" w:cs="宋体"/>
                <w:sz w:val="24"/>
                <w:szCs w:val="24"/>
                <w:lang w:val="en-US" w:eastAsia="zh-CN"/>
              </w:rPr>
            </w:pPr>
          </w:p>
        </w:tc>
        <w:tc>
          <w:tcPr>
            <w:tcW w:w="1350" w:type="dxa"/>
            <w:vAlign w:val="center"/>
          </w:tcPr>
          <w:p w14:paraId="56A9BEAF">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网址/邮箱</w:t>
            </w:r>
          </w:p>
        </w:tc>
        <w:tc>
          <w:tcPr>
            <w:tcW w:w="2005" w:type="dxa"/>
            <w:gridSpan w:val="2"/>
            <w:vAlign w:val="center"/>
          </w:tcPr>
          <w:p w14:paraId="4A998F22">
            <w:pPr>
              <w:bidi w:val="0"/>
              <w:spacing w:line="360" w:lineRule="auto"/>
              <w:rPr>
                <w:rFonts w:hint="eastAsia" w:ascii="宋体" w:hAnsi="宋体" w:eastAsia="宋体" w:cs="宋体"/>
                <w:sz w:val="24"/>
                <w:szCs w:val="24"/>
                <w:lang w:val="en-US" w:eastAsia="zh-CN"/>
              </w:rPr>
            </w:pPr>
          </w:p>
        </w:tc>
      </w:tr>
      <w:tr w14:paraId="3C72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676" w:type="dxa"/>
            <w:vAlign w:val="center"/>
          </w:tcPr>
          <w:p w14:paraId="08347CC3">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法定代表人（或经营者）</w:t>
            </w:r>
          </w:p>
        </w:tc>
        <w:tc>
          <w:tcPr>
            <w:tcW w:w="995" w:type="dxa"/>
            <w:vAlign w:val="center"/>
          </w:tcPr>
          <w:p w14:paraId="5C0D32C3">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姓名</w:t>
            </w:r>
          </w:p>
        </w:tc>
        <w:tc>
          <w:tcPr>
            <w:tcW w:w="1242" w:type="dxa"/>
            <w:vAlign w:val="center"/>
          </w:tcPr>
          <w:p w14:paraId="6CD4281F">
            <w:pPr>
              <w:bidi w:val="0"/>
              <w:spacing w:line="360" w:lineRule="auto"/>
              <w:rPr>
                <w:rFonts w:hint="eastAsia" w:ascii="宋体" w:hAnsi="宋体" w:eastAsia="宋体" w:cs="宋体"/>
                <w:sz w:val="24"/>
                <w:szCs w:val="24"/>
                <w:lang w:val="en-US" w:eastAsia="zh-CN"/>
              </w:rPr>
            </w:pPr>
          </w:p>
        </w:tc>
        <w:tc>
          <w:tcPr>
            <w:tcW w:w="1254" w:type="dxa"/>
            <w:gridSpan w:val="2"/>
            <w:vAlign w:val="center"/>
          </w:tcPr>
          <w:p w14:paraId="74C86EF7">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技术职称</w:t>
            </w:r>
          </w:p>
        </w:tc>
        <w:tc>
          <w:tcPr>
            <w:tcW w:w="1350" w:type="dxa"/>
            <w:vAlign w:val="center"/>
          </w:tcPr>
          <w:p w14:paraId="13FF25C0">
            <w:pPr>
              <w:bidi w:val="0"/>
              <w:spacing w:line="360" w:lineRule="auto"/>
              <w:rPr>
                <w:rFonts w:hint="eastAsia" w:ascii="宋体" w:hAnsi="宋体" w:eastAsia="宋体" w:cs="宋体"/>
                <w:sz w:val="24"/>
                <w:szCs w:val="24"/>
                <w:lang w:val="en-US" w:eastAsia="zh-CN"/>
              </w:rPr>
            </w:pPr>
          </w:p>
        </w:tc>
        <w:tc>
          <w:tcPr>
            <w:tcW w:w="764" w:type="dxa"/>
            <w:vAlign w:val="center"/>
          </w:tcPr>
          <w:p w14:paraId="57DFA565">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电话</w:t>
            </w:r>
          </w:p>
        </w:tc>
        <w:tc>
          <w:tcPr>
            <w:tcW w:w="1241" w:type="dxa"/>
            <w:vAlign w:val="center"/>
          </w:tcPr>
          <w:p w14:paraId="75519C3E">
            <w:pPr>
              <w:bidi w:val="0"/>
              <w:spacing w:line="360" w:lineRule="auto"/>
              <w:rPr>
                <w:rFonts w:hint="eastAsia" w:ascii="宋体" w:hAnsi="宋体" w:eastAsia="宋体" w:cs="宋体"/>
                <w:sz w:val="24"/>
                <w:szCs w:val="24"/>
                <w:lang w:val="en-US" w:eastAsia="zh-CN"/>
              </w:rPr>
            </w:pPr>
          </w:p>
        </w:tc>
      </w:tr>
      <w:tr w14:paraId="6BA5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14:paraId="03EAE04D">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技术负责人</w:t>
            </w:r>
          </w:p>
        </w:tc>
        <w:tc>
          <w:tcPr>
            <w:tcW w:w="995" w:type="dxa"/>
            <w:vAlign w:val="center"/>
          </w:tcPr>
          <w:p w14:paraId="77C4A508">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姓名</w:t>
            </w:r>
          </w:p>
        </w:tc>
        <w:tc>
          <w:tcPr>
            <w:tcW w:w="1242" w:type="dxa"/>
            <w:vAlign w:val="center"/>
          </w:tcPr>
          <w:p w14:paraId="6E224563">
            <w:pPr>
              <w:bidi w:val="0"/>
              <w:spacing w:line="360" w:lineRule="auto"/>
              <w:rPr>
                <w:rFonts w:hint="eastAsia" w:ascii="宋体" w:hAnsi="宋体" w:eastAsia="宋体" w:cs="宋体"/>
                <w:sz w:val="24"/>
                <w:szCs w:val="24"/>
                <w:lang w:val="en-US" w:eastAsia="zh-CN"/>
              </w:rPr>
            </w:pPr>
          </w:p>
        </w:tc>
        <w:tc>
          <w:tcPr>
            <w:tcW w:w="1254" w:type="dxa"/>
            <w:gridSpan w:val="2"/>
            <w:vAlign w:val="center"/>
          </w:tcPr>
          <w:p w14:paraId="004F90A3">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技术职称</w:t>
            </w:r>
          </w:p>
        </w:tc>
        <w:tc>
          <w:tcPr>
            <w:tcW w:w="1350" w:type="dxa"/>
            <w:vAlign w:val="center"/>
          </w:tcPr>
          <w:p w14:paraId="72D4C38E">
            <w:pPr>
              <w:bidi w:val="0"/>
              <w:spacing w:line="360" w:lineRule="auto"/>
              <w:rPr>
                <w:rFonts w:hint="eastAsia" w:ascii="宋体" w:hAnsi="宋体" w:eastAsia="宋体" w:cs="宋体"/>
                <w:sz w:val="24"/>
                <w:szCs w:val="24"/>
                <w:lang w:val="en-US" w:eastAsia="zh-CN"/>
              </w:rPr>
            </w:pPr>
          </w:p>
        </w:tc>
        <w:tc>
          <w:tcPr>
            <w:tcW w:w="764" w:type="dxa"/>
            <w:vAlign w:val="center"/>
          </w:tcPr>
          <w:p w14:paraId="0C364CCD">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电话</w:t>
            </w:r>
          </w:p>
        </w:tc>
        <w:tc>
          <w:tcPr>
            <w:tcW w:w="1241" w:type="dxa"/>
            <w:vAlign w:val="center"/>
          </w:tcPr>
          <w:p w14:paraId="61337D5B">
            <w:pPr>
              <w:bidi w:val="0"/>
              <w:spacing w:line="360" w:lineRule="auto"/>
              <w:rPr>
                <w:rFonts w:hint="eastAsia" w:ascii="宋体" w:hAnsi="宋体" w:eastAsia="宋体" w:cs="宋体"/>
                <w:sz w:val="24"/>
                <w:szCs w:val="24"/>
                <w:lang w:val="en-US" w:eastAsia="zh-CN"/>
              </w:rPr>
            </w:pPr>
          </w:p>
        </w:tc>
      </w:tr>
      <w:tr w14:paraId="4BCD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14:paraId="7AA99EB0">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成立时间</w:t>
            </w:r>
          </w:p>
        </w:tc>
        <w:tc>
          <w:tcPr>
            <w:tcW w:w="2237" w:type="dxa"/>
            <w:gridSpan w:val="2"/>
            <w:vAlign w:val="center"/>
          </w:tcPr>
          <w:p w14:paraId="50ECB3D9">
            <w:pPr>
              <w:bidi w:val="0"/>
              <w:spacing w:line="360" w:lineRule="auto"/>
              <w:rPr>
                <w:rFonts w:hint="eastAsia" w:ascii="宋体" w:hAnsi="宋体" w:eastAsia="宋体" w:cs="宋体"/>
                <w:sz w:val="24"/>
                <w:szCs w:val="24"/>
                <w:lang w:val="en-US" w:eastAsia="zh-CN"/>
              </w:rPr>
            </w:pPr>
          </w:p>
        </w:tc>
        <w:tc>
          <w:tcPr>
            <w:tcW w:w="4609" w:type="dxa"/>
            <w:gridSpan w:val="5"/>
            <w:vAlign w:val="center"/>
          </w:tcPr>
          <w:p w14:paraId="19696F3C">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员工总人数：</w:t>
            </w:r>
          </w:p>
        </w:tc>
      </w:tr>
      <w:tr w14:paraId="1B81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14:paraId="24493F9B">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营业执照号</w:t>
            </w:r>
          </w:p>
        </w:tc>
        <w:tc>
          <w:tcPr>
            <w:tcW w:w="2237" w:type="dxa"/>
            <w:gridSpan w:val="2"/>
            <w:vAlign w:val="center"/>
          </w:tcPr>
          <w:p w14:paraId="63B067E7">
            <w:pPr>
              <w:bidi w:val="0"/>
              <w:spacing w:line="360" w:lineRule="auto"/>
              <w:rPr>
                <w:rFonts w:hint="eastAsia" w:ascii="宋体" w:hAnsi="宋体" w:eastAsia="宋体" w:cs="宋体"/>
                <w:sz w:val="24"/>
                <w:szCs w:val="24"/>
                <w:lang w:val="en-US" w:eastAsia="zh-CN"/>
              </w:rPr>
            </w:pPr>
          </w:p>
        </w:tc>
        <w:tc>
          <w:tcPr>
            <w:tcW w:w="749" w:type="dxa"/>
            <w:vMerge w:val="restart"/>
            <w:vAlign w:val="center"/>
          </w:tcPr>
          <w:p w14:paraId="53761CB4">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其中</w:t>
            </w:r>
          </w:p>
        </w:tc>
        <w:tc>
          <w:tcPr>
            <w:tcW w:w="1855" w:type="dxa"/>
            <w:gridSpan w:val="2"/>
            <w:vAlign w:val="center"/>
          </w:tcPr>
          <w:p w14:paraId="3D7AC1E1">
            <w:pPr>
              <w:bidi w:val="0"/>
              <w:spacing w:line="360" w:lineRule="auto"/>
              <w:rPr>
                <w:rFonts w:hint="eastAsia" w:ascii="宋体" w:hAnsi="宋体" w:eastAsia="宋体" w:cs="宋体"/>
                <w:sz w:val="24"/>
                <w:szCs w:val="24"/>
              </w:rPr>
            </w:pPr>
            <w:r>
              <w:rPr>
                <w:rFonts w:hint="eastAsia" w:ascii="宋体" w:hAnsi="宋体" w:eastAsia="宋体" w:cs="宋体"/>
                <w:sz w:val="24"/>
                <w:szCs w:val="24"/>
              </w:rPr>
              <w:t>高级职称人员</w:t>
            </w:r>
          </w:p>
        </w:tc>
        <w:tc>
          <w:tcPr>
            <w:tcW w:w="2005" w:type="dxa"/>
            <w:gridSpan w:val="2"/>
            <w:vAlign w:val="center"/>
          </w:tcPr>
          <w:p w14:paraId="5D07E68E">
            <w:pPr>
              <w:bidi w:val="0"/>
              <w:spacing w:line="360" w:lineRule="auto"/>
              <w:rPr>
                <w:rFonts w:hint="eastAsia" w:ascii="宋体" w:hAnsi="宋体" w:eastAsia="宋体" w:cs="宋体"/>
                <w:sz w:val="24"/>
                <w:szCs w:val="24"/>
                <w:lang w:val="en-US" w:eastAsia="zh-CN"/>
              </w:rPr>
            </w:pPr>
          </w:p>
        </w:tc>
      </w:tr>
      <w:tr w14:paraId="5891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14:paraId="465E5945">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注册资金</w:t>
            </w:r>
          </w:p>
        </w:tc>
        <w:tc>
          <w:tcPr>
            <w:tcW w:w="2237" w:type="dxa"/>
            <w:gridSpan w:val="2"/>
            <w:vAlign w:val="center"/>
          </w:tcPr>
          <w:p w14:paraId="70FB9D75">
            <w:pPr>
              <w:bidi w:val="0"/>
              <w:spacing w:line="360" w:lineRule="auto"/>
              <w:rPr>
                <w:rFonts w:hint="eastAsia" w:ascii="宋体" w:hAnsi="宋体" w:eastAsia="宋体" w:cs="宋体"/>
                <w:sz w:val="24"/>
                <w:szCs w:val="24"/>
                <w:lang w:val="en-US" w:eastAsia="zh-CN"/>
              </w:rPr>
            </w:pPr>
          </w:p>
        </w:tc>
        <w:tc>
          <w:tcPr>
            <w:tcW w:w="749" w:type="dxa"/>
            <w:vMerge w:val="continue"/>
            <w:vAlign w:val="center"/>
          </w:tcPr>
          <w:p w14:paraId="0B2F6D44">
            <w:pPr>
              <w:bidi w:val="0"/>
              <w:spacing w:line="360" w:lineRule="auto"/>
              <w:rPr>
                <w:rFonts w:hint="eastAsia" w:ascii="宋体" w:hAnsi="宋体" w:eastAsia="宋体" w:cs="宋体"/>
                <w:sz w:val="24"/>
                <w:szCs w:val="24"/>
                <w:lang w:val="en-US" w:eastAsia="zh-CN"/>
              </w:rPr>
            </w:pPr>
          </w:p>
        </w:tc>
        <w:tc>
          <w:tcPr>
            <w:tcW w:w="1855" w:type="dxa"/>
            <w:gridSpan w:val="2"/>
            <w:vAlign w:val="center"/>
          </w:tcPr>
          <w:p w14:paraId="0A3B8103">
            <w:pPr>
              <w:bidi w:val="0"/>
              <w:spacing w:line="360" w:lineRule="auto"/>
              <w:rPr>
                <w:rFonts w:hint="eastAsia" w:ascii="宋体" w:hAnsi="宋体" w:eastAsia="宋体" w:cs="宋体"/>
                <w:sz w:val="24"/>
                <w:szCs w:val="24"/>
              </w:rPr>
            </w:pPr>
            <w:r>
              <w:rPr>
                <w:rFonts w:hint="eastAsia" w:ascii="宋体" w:hAnsi="宋体" w:eastAsia="宋体" w:cs="宋体"/>
                <w:sz w:val="24"/>
                <w:szCs w:val="24"/>
              </w:rPr>
              <w:t>中级职称人员</w:t>
            </w:r>
          </w:p>
        </w:tc>
        <w:tc>
          <w:tcPr>
            <w:tcW w:w="2005" w:type="dxa"/>
            <w:gridSpan w:val="2"/>
            <w:vAlign w:val="center"/>
          </w:tcPr>
          <w:p w14:paraId="41C7D42B">
            <w:pPr>
              <w:bidi w:val="0"/>
              <w:spacing w:line="360" w:lineRule="auto"/>
              <w:rPr>
                <w:rFonts w:hint="eastAsia" w:ascii="宋体" w:hAnsi="宋体" w:eastAsia="宋体" w:cs="宋体"/>
                <w:sz w:val="24"/>
                <w:szCs w:val="24"/>
                <w:lang w:val="en-US" w:eastAsia="zh-CN"/>
              </w:rPr>
            </w:pPr>
          </w:p>
        </w:tc>
      </w:tr>
      <w:tr w14:paraId="4B55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14:paraId="7FBAA205">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开户银行</w:t>
            </w:r>
          </w:p>
        </w:tc>
        <w:tc>
          <w:tcPr>
            <w:tcW w:w="2237" w:type="dxa"/>
            <w:gridSpan w:val="2"/>
            <w:vAlign w:val="center"/>
          </w:tcPr>
          <w:p w14:paraId="65E59473">
            <w:pPr>
              <w:bidi w:val="0"/>
              <w:spacing w:line="360" w:lineRule="auto"/>
              <w:rPr>
                <w:rFonts w:hint="eastAsia" w:ascii="宋体" w:hAnsi="宋体" w:eastAsia="宋体" w:cs="宋体"/>
                <w:sz w:val="24"/>
                <w:szCs w:val="24"/>
                <w:lang w:val="en-US" w:eastAsia="zh-CN"/>
              </w:rPr>
            </w:pPr>
          </w:p>
        </w:tc>
        <w:tc>
          <w:tcPr>
            <w:tcW w:w="749" w:type="dxa"/>
            <w:vMerge w:val="continue"/>
            <w:vAlign w:val="center"/>
          </w:tcPr>
          <w:p w14:paraId="2D54BB62">
            <w:pPr>
              <w:bidi w:val="0"/>
              <w:spacing w:line="360" w:lineRule="auto"/>
              <w:rPr>
                <w:rFonts w:hint="eastAsia" w:ascii="宋体" w:hAnsi="宋体" w:eastAsia="宋体" w:cs="宋体"/>
                <w:sz w:val="24"/>
                <w:szCs w:val="24"/>
                <w:lang w:val="en-US" w:eastAsia="zh-CN"/>
              </w:rPr>
            </w:pPr>
          </w:p>
        </w:tc>
        <w:tc>
          <w:tcPr>
            <w:tcW w:w="1855" w:type="dxa"/>
            <w:gridSpan w:val="2"/>
            <w:vAlign w:val="center"/>
          </w:tcPr>
          <w:p w14:paraId="6A5469C8">
            <w:pPr>
              <w:bidi w:val="0"/>
              <w:spacing w:line="360" w:lineRule="auto"/>
              <w:rPr>
                <w:rFonts w:hint="eastAsia" w:ascii="宋体" w:hAnsi="宋体" w:eastAsia="宋体" w:cs="宋体"/>
                <w:sz w:val="24"/>
                <w:szCs w:val="24"/>
              </w:rPr>
            </w:pPr>
            <w:r>
              <w:rPr>
                <w:rFonts w:hint="eastAsia" w:ascii="宋体" w:hAnsi="宋体" w:eastAsia="宋体" w:cs="宋体"/>
                <w:sz w:val="24"/>
                <w:szCs w:val="24"/>
              </w:rPr>
              <w:t>初级职称人员</w:t>
            </w:r>
          </w:p>
        </w:tc>
        <w:tc>
          <w:tcPr>
            <w:tcW w:w="2005" w:type="dxa"/>
            <w:gridSpan w:val="2"/>
            <w:vAlign w:val="center"/>
          </w:tcPr>
          <w:p w14:paraId="0BC9CCE0">
            <w:pPr>
              <w:bidi w:val="0"/>
              <w:spacing w:line="360" w:lineRule="auto"/>
              <w:rPr>
                <w:rFonts w:hint="eastAsia" w:ascii="宋体" w:hAnsi="宋体" w:eastAsia="宋体" w:cs="宋体"/>
                <w:sz w:val="24"/>
                <w:szCs w:val="24"/>
                <w:lang w:val="en-US" w:eastAsia="zh-CN"/>
              </w:rPr>
            </w:pPr>
          </w:p>
        </w:tc>
      </w:tr>
      <w:tr w14:paraId="458D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14:paraId="30428742">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银行账号</w:t>
            </w:r>
          </w:p>
        </w:tc>
        <w:tc>
          <w:tcPr>
            <w:tcW w:w="2237" w:type="dxa"/>
            <w:gridSpan w:val="2"/>
            <w:vAlign w:val="center"/>
          </w:tcPr>
          <w:p w14:paraId="58810871">
            <w:pPr>
              <w:bidi w:val="0"/>
              <w:spacing w:line="360" w:lineRule="auto"/>
              <w:rPr>
                <w:rFonts w:hint="eastAsia" w:ascii="宋体" w:hAnsi="宋体" w:eastAsia="宋体" w:cs="宋体"/>
                <w:sz w:val="24"/>
                <w:szCs w:val="24"/>
                <w:lang w:val="en-US" w:eastAsia="zh-CN"/>
              </w:rPr>
            </w:pPr>
          </w:p>
        </w:tc>
        <w:tc>
          <w:tcPr>
            <w:tcW w:w="749" w:type="dxa"/>
            <w:vMerge w:val="continue"/>
            <w:vAlign w:val="center"/>
          </w:tcPr>
          <w:p w14:paraId="2289A390">
            <w:pPr>
              <w:bidi w:val="0"/>
              <w:spacing w:line="360" w:lineRule="auto"/>
              <w:rPr>
                <w:rFonts w:hint="eastAsia" w:ascii="宋体" w:hAnsi="宋体" w:eastAsia="宋体" w:cs="宋体"/>
                <w:sz w:val="24"/>
                <w:szCs w:val="24"/>
                <w:lang w:val="en-US" w:eastAsia="zh-CN"/>
              </w:rPr>
            </w:pPr>
          </w:p>
        </w:tc>
        <w:tc>
          <w:tcPr>
            <w:tcW w:w="1855" w:type="dxa"/>
            <w:gridSpan w:val="2"/>
            <w:vAlign w:val="center"/>
          </w:tcPr>
          <w:p w14:paraId="11DFB367">
            <w:pPr>
              <w:bidi w:val="0"/>
              <w:spacing w:line="360" w:lineRule="auto"/>
              <w:rPr>
                <w:rFonts w:hint="eastAsia" w:ascii="宋体" w:hAnsi="宋体" w:eastAsia="宋体" w:cs="宋体"/>
                <w:sz w:val="24"/>
                <w:szCs w:val="24"/>
              </w:rPr>
            </w:pPr>
            <w:r>
              <w:rPr>
                <w:rFonts w:hint="eastAsia" w:ascii="宋体" w:hAnsi="宋体" w:eastAsia="宋体" w:cs="宋体"/>
                <w:sz w:val="24"/>
                <w:szCs w:val="24"/>
              </w:rPr>
              <w:t>技工</w:t>
            </w:r>
          </w:p>
        </w:tc>
        <w:tc>
          <w:tcPr>
            <w:tcW w:w="2005" w:type="dxa"/>
            <w:gridSpan w:val="2"/>
            <w:vAlign w:val="center"/>
          </w:tcPr>
          <w:p w14:paraId="47AE52C6">
            <w:pPr>
              <w:bidi w:val="0"/>
              <w:spacing w:line="360" w:lineRule="auto"/>
              <w:rPr>
                <w:rFonts w:hint="eastAsia" w:ascii="宋体" w:hAnsi="宋体" w:eastAsia="宋体" w:cs="宋体"/>
                <w:sz w:val="24"/>
                <w:szCs w:val="24"/>
                <w:lang w:val="en-US" w:eastAsia="zh-CN"/>
              </w:rPr>
            </w:pPr>
          </w:p>
        </w:tc>
      </w:tr>
      <w:tr w14:paraId="3AE2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1676" w:type="dxa"/>
            <w:vAlign w:val="center"/>
          </w:tcPr>
          <w:p w14:paraId="77C0E8EC">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经营范围备注</w:t>
            </w:r>
          </w:p>
        </w:tc>
        <w:tc>
          <w:tcPr>
            <w:tcW w:w="6846" w:type="dxa"/>
            <w:gridSpan w:val="7"/>
            <w:vAlign w:val="center"/>
          </w:tcPr>
          <w:p w14:paraId="3AB96FEE">
            <w:pPr>
              <w:bidi w:val="0"/>
              <w:spacing w:line="360" w:lineRule="auto"/>
              <w:rPr>
                <w:rFonts w:hint="eastAsia" w:ascii="宋体" w:hAnsi="宋体" w:eastAsia="宋体" w:cs="宋体"/>
                <w:sz w:val="24"/>
                <w:szCs w:val="24"/>
                <w:lang w:val="en-US" w:eastAsia="zh-CN"/>
              </w:rPr>
            </w:pPr>
          </w:p>
        </w:tc>
      </w:tr>
    </w:tbl>
    <w:p w14:paraId="74FA9F4D">
      <w:pPr>
        <w:bidi w:val="0"/>
        <w:rPr>
          <w:rFonts w:hint="eastAsia"/>
          <w:lang w:val="en-US" w:eastAsia="zh-CN"/>
        </w:rPr>
      </w:pPr>
    </w:p>
    <w:p w14:paraId="487CC437">
      <w:pPr>
        <w:bidi w:val="0"/>
        <w:rPr>
          <w:rFonts w:hint="eastAsia"/>
          <w:lang w:val="en-US" w:eastAsia="zh-CN"/>
        </w:rPr>
      </w:pPr>
    </w:p>
    <w:p w14:paraId="7FABB98A">
      <w:pPr>
        <w:bidi w:val="0"/>
        <w:rPr>
          <w:rFonts w:hint="eastAsia" w:ascii="宋体" w:hAnsi="宋体" w:eastAsia="宋体" w:cs="宋体"/>
          <w:sz w:val="24"/>
          <w:szCs w:val="24"/>
          <w:lang w:val="en-US" w:eastAsia="zh-CN"/>
        </w:rPr>
      </w:pPr>
    </w:p>
    <w:p w14:paraId="65F45DFD">
      <w:pPr>
        <w:bidi w:val="0"/>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应商盖章:</w:t>
      </w:r>
      <w:r>
        <w:rPr>
          <w:rFonts w:hint="eastAsia" w:ascii="宋体" w:hAnsi="宋体" w:eastAsia="宋体" w:cs="宋体"/>
          <w:sz w:val="24"/>
          <w:szCs w:val="24"/>
          <w:u w:val="single"/>
          <w:lang w:val="en-US" w:eastAsia="zh-CN"/>
        </w:rPr>
        <w:t xml:space="preserve">                     </w:t>
      </w:r>
    </w:p>
    <w:p w14:paraId="0B681EB0">
      <w:pPr>
        <w:rPr>
          <w:rFonts w:hint="eastAsia"/>
          <w:lang w:val="en-US" w:eastAsia="zh-CN"/>
        </w:rPr>
      </w:pPr>
      <w:r>
        <w:rPr>
          <w:rFonts w:hint="eastAsia"/>
          <w:lang w:val="en-US" w:eastAsia="zh-CN"/>
        </w:rPr>
        <w:br w:type="page"/>
      </w:r>
    </w:p>
    <w:p w14:paraId="653E97C0">
      <w:pPr>
        <w:bidi w:val="0"/>
        <w:rPr>
          <w:rFonts w:hint="eastAsia"/>
          <w:lang w:val="en-US" w:eastAsia="zh-CN"/>
        </w:rPr>
      </w:pPr>
    </w:p>
    <w:p w14:paraId="09D2DF22">
      <w:pPr>
        <w:bidi w:val="0"/>
        <w:jc w:val="center"/>
        <w:rPr>
          <w:rFonts w:hint="eastAsia" w:ascii="宋体" w:hAnsi="宋体" w:eastAsia="宋体" w:cs="宋体"/>
          <w:b/>
          <w:bCs/>
          <w:sz w:val="24"/>
          <w:szCs w:val="24"/>
          <w:lang w:val="en-US" w:eastAsia="zh-CN"/>
        </w:rPr>
      </w:pPr>
      <w:bookmarkStart w:id="212" w:name="_Toc461116134"/>
      <w:bookmarkStart w:id="213" w:name="_Toc475970895"/>
      <w:bookmarkStart w:id="214" w:name="_Toc463859541"/>
      <w:r>
        <w:rPr>
          <w:rFonts w:hint="eastAsia" w:ascii="宋体" w:hAnsi="宋体" w:eastAsia="宋体" w:cs="宋体"/>
          <w:b/>
          <w:bCs/>
          <w:sz w:val="24"/>
          <w:szCs w:val="24"/>
          <w:lang w:val="en-US" w:eastAsia="zh-CN"/>
        </w:rPr>
        <w:t>6-2. 近年完成的类似项目情况表</w:t>
      </w:r>
      <w:bookmarkEnd w:id="212"/>
      <w:bookmarkEnd w:id="213"/>
      <w:bookmarkEnd w:id="214"/>
    </w:p>
    <w:p w14:paraId="2A77F3C4">
      <w:pPr>
        <w:bidi w:val="0"/>
        <w:rPr>
          <w:rFonts w:hint="eastAsia"/>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6285"/>
      </w:tblGrid>
      <w:tr w14:paraId="7389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237" w:type="dxa"/>
            <w:vAlign w:val="center"/>
          </w:tcPr>
          <w:p w14:paraId="169BF404">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项目名称</w:t>
            </w:r>
          </w:p>
        </w:tc>
        <w:tc>
          <w:tcPr>
            <w:tcW w:w="6285" w:type="dxa"/>
            <w:vAlign w:val="center"/>
          </w:tcPr>
          <w:p w14:paraId="236789C8">
            <w:pPr>
              <w:bidi w:val="0"/>
              <w:jc w:val="center"/>
              <w:rPr>
                <w:rFonts w:hint="eastAsia" w:ascii="宋体" w:hAnsi="宋体" w:eastAsia="宋体" w:cs="宋体"/>
                <w:sz w:val="24"/>
                <w:szCs w:val="24"/>
                <w:lang w:val="en-US" w:eastAsia="zh-CN"/>
              </w:rPr>
            </w:pPr>
          </w:p>
        </w:tc>
      </w:tr>
      <w:tr w14:paraId="423C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237" w:type="dxa"/>
            <w:vAlign w:val="center"/>
          </w:tcPr>
          <w:p w14:paraId="2057EA79">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项目所在地</w:t>
            </w:r>
          </w:p>
        </w:tc>
        <w:tc>
          <w:tcPr>
            <w:tcW w:w="6285" w:type="dxa"/>
            <w:vAlign w:val="center"/>
          </w:tcPr>
          <w:p w14:paraId="628E9279">
            <w:pPr>
              <w:bidi w:val="0"/>
              <w:jc w:val="center"/>
              <w:rPr>
                <w:rFonts w:hint="eastAsia" w:ascii="宋体" w:hAnsi="宋体" w:eastAsia="宋体" w:cs="宋体"/>
                <w:sz w:val="24"/>
                <w:szCs w:val="24"/>
                <w:lang w:val="en-US" w:eastAsia="zh-CN"/>
              </w:rPr>
            </w:pPr>
          </w:p>
        </w:tc>
      </w:tr>
      <w:tr w14:paraId="767C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237" w:type="dxa"/>
            <w:vAlign w:val="center"/>
          </w:tcPr>
          <w:p w14:paraId="779A3E52">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采购人名称</w:t>
            </w:r>
          </w:p>
        </w:tc>
        <w:tc>
          <w:tcPr>
            <w:tcW w:w="6285" w:type="dxa"/>
            <w:vAlign w:val="center"/>
          </w:tcPr>
          <w:p w14:paraId="345FE3AB">
            <w:pPr>
              <w:bidi w:val="0"/>
              <w:jc w:val="center"/>
              <w:rPr>
                <w:rFonts w:hint="eastAsia" w:ascii="宋体" w:hAnsi="宋体" w:eastAsia="宋体" w:cs="宋体"/>
                <w:sz w:val="24"/>
                <w:szCs w:val="24"/>
                <w:lang w:val="en-US" w:eastAsia="zh-CN"/>
              </w:rPr>
            </w:pPr>
          </w:p>
        </w:tc>
      </w:tr>
      <w:tr w14:paraId="5541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237" w:type="dxa"/>
            <w:vAlign w:val="center"/>
          </w:tcPr>
          <w:p w14:paraId="71EEA58F">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采购人地址</w:t>
            </w:r>
          </w:p>
        </w:tc>
        <w:tc>
          <w:tcPr>
            <w:tcW w:w="6285" w:type="dxa"/>
            <w:vAlign w:val="center"/>
          </w:tcPr>
          <w:p w14:paraId="6C4E4EF6">
            <w:pPr>
              <w:bidi w:val="0"/>
              <w:jc w:val="center"/>
              <w:rPr>
                <w:rFonts w:hint="eastAsia" w:ascii="宋体" w:hAnsi="宋体" w:eastAsia="宋体" w:cs="宋体"/>
                <w:sz w:val="24"/>
                <w:szCs w:val="24"/>
                <w:lang w:val="en-US" w:eastAsia="zh-CN"/>
              </w:rPr>
            </w:pPr>
          </w:p>
        </w:tc>
      </w:tr>
      <w:tr w14:paraId="1CCF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37" w:type="dxa"/>
            <w:vAlign w:val="center"/>
          </w:tcPr>
          <w:p w14:paraId="4C5A2A2D">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采购人电话</w:t>
            </w:r>
          </w:p>
        </w:tc>
        <w:tc>
          <w:tcPr>
            <w:tcW w:w="6285" w:type="dxa"/>
            <w:vAlign w:val="center"/>
          </w:tcPr>
          <w:p w14:paraId="66AD59C8">
            <w:pPr>
              <w:bidi w:val="0"/>
              <w:jc w:val="center"/>
              <w:rPr>
                <w:rFonts w:hint="eastAsia" w:ascii="宋体" w:hAnsi="宋体" w:eastAsia="宋体" w:cs="宋体"/>
                <w:sz w:val="24"/>
                <w:szCs w:val="24"/>
                <w:lang w:val="en-US" w:eastAsia="zh-CN"/>
              </w:rPr>
            </w:pPr>
          </w:p>
        </w:tc>
      </w:tr>
      <w:tr w14:paraId="48EA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37" w:type="dxa"/>
            <w:vAlign w:val="center"/>
          </w:tcPr>
          <w:p w14:paraId="0D40276C">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合同价格</w:t>
            </w:r>
          </w:p>
        </w:tc>
        <w:tc>
          <w:tcPr>
            <w:tcW w:w="6285" w:type="dxa"/>
            <w:vAlign w:val="center"/>
          </w:tcPr>
          <w:p w14:paraId="7B1BB8BA">
            <w:pPr>
              <w:bidi w:val="0"/>
              <w:jc w:val="center"/>
              <w:rPr>
                <w:rFonts w:hint="eastAsia" w:ascii="宋体" w:hAnsi="宋体" w:eastAsia="宋体" w:cs="宋体"/>
                <w:sz w:val="24"/>
                <w:szCs w:val="24"/>
                <w:lang w:val="en-US" w:eastAsia="zh-CN"/>
              </w:rPr>
            </w:pPr>
          </w:p>
        </w:tc>
      </w:tr>
      <w:tr w14:paraId="012F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237" w:type="dxa"/>
            <w:vAlign w:val="center"/>
          </w:tcPr>
          <w:p w14:paraId="66E569C5">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交付日期</w:t>
            </w:r>
          </w:p>
        </w:tc>
        <w:tc>
          <w:tcPr>
            <w:tcW w:w="6285" w:type="dxa"/>
            <w:vAlign w:val="center"/>
          </w:tcPr>
          <w:p w14:paraId="42D70B93">
            <w:pPr>
              <w:bidi w:val="0"/>
              <w:jc w:val="center"/>
              <w:rPr>
                <w:rFonts w:hint="eastAsia" w:ascii="宋体" w:hAnsi="宋体" w:eastAsia="宋体" w:cs="宋体"/>
                <w:sz w:val="24"/>
                <w:szCs w:val="24"/>
                <w:lang w:val="en-US" w:eastAsia="zh-CN"/>
              </w:rPr>
            </w:pPr>
          </w:p>
        </w:tc>
      </w:tr>
      <w:tr w14:paraId="4FE9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237" w:type="dxa"/>
            <w:vAlign w:val="center"/>
          </w:tcPr>
          <w:p w14:paraId="6F810932">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技术负责人</w:t>
            </w:r>
          </w:p>
        </w:tc>
        <w:tc>
          <w:tcPr>
            <w:tcW w:w="6285" w:type="dxa"/>
            <w:vAlign w:val="center"/>
          </w:tcPr>
          <w:p w14:paraId="78C22637">
            <w:pPr>
              <w:bidi w:val="0"/>
              <w:jc w:val="center"/>
              <w:rPr>
                <w:rFonts w:hint="eastAsia" w:ascii="宋体" w:hAnsi="宋体" w:eastAsia="宋体" w:cs="宋体"/>
                <w:sz w:val="24"/>
                <w:szCs w:val="24"/>
                <w:lang w:val="en-US" w:eastAsia="zh-CN"/>
              </w:rPr>
            </w:pPr>
          </w:p>
        </w:tc>
      </w:tr>
      <w:tr w14:paraId="04CA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trPr>
        <w:tc>
          <w:tcPr>
            <w:tcW w:w="2237" w:type="dxa"/>
            <w:vAlign w:val="center"/>
          </w:tcPr>
          <w:p w14:paraId="5FC064A9">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项目描述</w:t>
            </w:r>
          </w:p>
        </w:tc>
        <w:tc>
          <w:tcPr>
            <w:tcW w:w="6285" w:type="dxa"/>
            <w:vAlign w:val="center"/>
          </w:tcPr>
          <w:p w14:paraId="6C160B9C">
            <w:pPr>
              <w:bidi w:val="0"/>
              <w:jc w:val="center"/>
              <w:rPr>
                <w:rFonts w:hint="eastAsia" w:ascii="宋体" w:hAnsi="宋体" w:eastAsia="宋体" w:cs="宋体"/>
                <w:sz w:val="24"/>
                <w:szCs w:val="24"/>
                <w:lang w:val="en-US" w:eastAsia="zh-CN"/>
              </w:rPr>
            </w:pPr>
          </w:p>
        </w:tc>
      </w:tr>
      <w:tr w14:paraId="3444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237" w:type="dxa"/>
            <w:vAlign w:val="center"/>
          </w:tcPr>
          <w:p w14:paraId="5FE9A593">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备注</w:t>
            </w:r>
          </w:p>
        </w:tc>
        <w:tc>
          <w:tcPr>
            <w:tcW w:w="6285" w:type="dxa"/>
            <w:vAlign w:val="center"/>
          </w:tcPr>
          <w:p w14:paraId="3DE61FD1">
            <w:pPr>
              <w:bidi w:val="0"/>
              <w:jc w:val="center"/>
              <w:rPr>
                <w:rFonts w:hint="eastAsia" w:ascii="宋体" w:hAnsi="宋体" w:eastAsia="宋体" w:cs="宋体"/>
                <w:sz w:val="24"/>
                <w:szCs w:val="24"/>
                <w:lang w:val="en-US" w:eastAsia="zh-CN"/>
              </w:rPr>
            </w:pPr>
          </w:p>
        </w:tc>
      </w:tr>
    </w:tbl>
    <w:p w14:paraId="008EFEAF">
      <w:pPr>
        <w:bidi w:val="0"/>
        <w:rPr>
          <w:rFonts w:hint="eastAsia"/>
          <w:lang w:val="en-US" w:eastAsia="zh-CN"/>
        </w:rPr>
      </w:pPr>
    </w:p>
    <w:p w14:paraId="75342058">
      <w:pPr>
        <w:bidi w:val="0"/>
        <w:rPr>
          <w:rFonts w:hint="eastAsia"/>
          <w:lang w:val="en-US" w:eastAsia="zh-CN"/>
        </w:rPr>
      </w:pPr>
    </w:p>
    <w:p w14:paraId="416A4AF5">
      <w:pPr>
        <w:bidi w:val="0"/>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供应商公章（或自然人手印）</w:t>
      </w:r>
      <w:r>
        <w:rPr>
          <w:rFonts w:hint="eastAsia" w:ascii="宋体" w:hAnsi="宋体" w:eastAsia="宋体" w:cs="宋体"/>
          <w:sz w:val="24"/>
          <w:szCs w:val="24"/>
          <w:u w:val="single"/>
          <w:lang w:val="en-US" w:eastAsia="zh-CN"/>
        </w:rPr>
        <w:t xml:space="preserve">                     </w:t>
      </w:r>
    </w:p>
    <w:p w14:paraId="0F6EF13E">
      <w:pPr>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br w:type="page"/>
      </w:r>
    </w:p>
    <w:p w14:paraId="268B81B0">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6-3.关于及时交纳代理服务费及提供采购合同的承诺函</w:t>
      </w:r>
    </w:p>
    <w:p w14:paraId="5B2CB55E">
      <w:pPr>
        <w:bidi w:val="0"/>
        <w:rPr>
          <w:rFonts w:hint="default"/>
          <w:lang w:val="en-US" w:eastAsia="zh-CN"/>
        </w:rPr>
      </w:pPr>
    </w:p>
    <w:p w14:paraId="4E1247A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致：江西企恒企业管理有限公司</w:t>
      </w:r>
    </w:p>
    <w:p w14:paraId="4D26CD8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我方若有幸成为本项目的成交人，郑重作出以下承诺：</w:t>
      </w:r>
    </w:p>
    <w:p w14:paraId="785BD7E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将按照询价通知书要求及时交纳采购代理服务费；</w:t>
      </w:r>
    </w:p>
    <w:p w14:paraId="3C6EF63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在与采购人签订采购合同后的</w:t>
      </w:r>
      <w:r>
        <w:rPr>
          <w:rFonts w:hint="eastAsia" w:ascii="宋体" w:hAnsi="宋体" w:eastAsia="宋体" w:cs="宋体"/>
          <w:b/>
          <w:bCs/>
          <w:sz w:val="24"/>
          <w:szCs w:val="24"/>
          <w:lang w:val="en-US" w:eastAsia="zh-CN"/>
        </w:rPr>
        <w:t>1个工作日内</w:t>
      </w:r>
      <w:r>
        <w:rPr>
          <w:rFonts w:hint="eastAsia" w:ascii="宋体" w:hAnsi="宋体" w:eastAsia="宋体" w:cs="宋体"/>
          <w:sz w:val="24"/>
          <w:szCs w:val="24"/>
          <w:lang w:val="en-US" w:eastAsia="zh-CN"/>
        </w:rPr>
        <w:t>，向贵公司提供一份采购合同原件。</w:t>
      </w:r>
    </w:p>
    <w:p w14:paraId="26B763DE">
      <w:pPr>
        <w:bidi w:val="0"/>
        <w:spacing w:line="360" w:lineRule="auto"/>
        <w:rPr>
          <w:rFonts w:hint="eastAsia" w:ascii="宋体" w:hAnsi="宋体" w:eastAsia="宋体" w:cs="宋体"/>
          <w:sz w:val="24"/>
          <w:szCs w:val="24"/>
          <w:lang w:val="en-US" w:eastAsia="zh-CN"/>
        </w:rPr>
      </w:pPr>
    </w:p>
    <w:p w14:paraId="1B369A15">
      <w:pPr>
        <w:bidi w:val="0"/>
        <w:spacing w:line="360" w:lineRule="auto"/>
        <w:rPr>
          <w:rFonts w:hint="eastAsia" w:ascii="宋体" w:hAnsi="宋体" w:eastAsia="宋体" w:cs="宋体"/>
          <w:sz w:val="24"/>
          <w:szCs w:val="24"/>
          <w:lang w:val="en-US" w:eastAsia="zh-CN"/>
        </w:rPr>
      </w:pPr>
    </w:p>
    <w:p w14:paraId="3A590D42">
      <w:pPr>
        <w:bidi w:val="0"/>
        <w:spacing w:line="360" w:lineRule="auto"/>
        <w:rPr>
          <w:rFonts w:hint="eastAsia" w:ascii="宋体" w:hAnsi="宋体" w:eastAsia="宋体" w:cs="宋体"/>
          <w:sz w:val="24"/>
          <w:szCs w:val="24"/>
          <w:lang w:val="en-US" w:eastAsia="zh-CN"/>
        </w:rPr>
      </w:pPr>
    </w:p>
    <w:p w14:paraId="48CC9E0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法定代表人（或经营者或自然人）或供应商代表签字或章：</w:t>
      </w:r>
      <w:r>
        <w:rPr>
          <w:rFonts w:hint="eastAsia" w:ascii="宋体" w:hAnsi="宋体" w:eastAsia="宋体" w:cs="宋体"/>
          <w:sz w:val="24"/>
          <w:szCs w:val="24"/>
          <w:u w:val="single"/>
          <w:lang w:val="en-US" w:eastAsia="zh-CN"/>
        </w:rPr>
        <w:t xml:space="preserve">                </w:t>
      </w:r>
    </w:p>
    <w:p w14:paraId="3B037CD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供应商公章（或自然人手印）：</w:t>
      </w:r>
      <w:r>
        <w:rPr>
          <w:rFonts w:hint="eastAsia" w:ascii="宋体" w:hAnsi="宋体" w:eastAsia="宋体" w:cs="宋体"/>
          <w:sz w:val="24"/>
          <w:szCs w:val="24"/>
          <w:u w:val="single"/>
          <w:lang w:val="en-US" w:eastAsia="zh-CN"/>
        </w:rPr>
        <w:t xml:space="preserve">                        </w:t>
      </w:r>
    </w:p>
    <w:p w14:paraId="0D290C1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日  期：</w:t>
      </w:r>
      <w:r>
        <w:rPr>
          <w:rFonts w:hint="eastAsia" w:ascii="宋体" w:hAnsi="宋体" w:eastAsia="宋体" w:cs="宋体"/>
          <w:sz w:val="24"/>
          <w:szCs w:val="24"/>
          <w:u w:val="single"/>
          <w:lang w:val="en-US" w:eastAsia="zh-CN"/>
        </w:rPr>
        <w:t xml:space="preserve">                     </w:t>
      </w:r>
    </w:p>
    <w:p w14:paraId="51346EDB">
      <w:pPr>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br w:type="page"/>
      </w:r>
    </w:p>
    <w:p w14:paraId="5939EA1E">
      <w:pPr>
        <w:pStyle w:val="7"/>
        <w:bidi w:val="0"/>
        <w:jc w:val="center"/>
        <w:rPr>
          <w:rFonts w:hint="default"/>
          <w:lang w:val="en-US" w:eastAsia="zh-CN"/>
        </w:rPr>
      </w:pPr>
      <w:bookmarkStart w:id="215" w:name="_Toc4781"/>
      <w:bookmarkStart w:id="216" w:name="_Toc5324"/>
      <w:r>
        <w:rPr>
          <w:rFonts w:hint="eastAsia" w:ascii="宋体" w:hAnsi="宋体" w:eastAsia="宋体" w:cs="宋体"/>
          <w:sz w:val="28"/>
          <w:szCs w:val="28"/>
          <w:lang w:val="en-US" w:eastAsia="zh-CN"/>
        </w:rPr>
        <w:t>7、中小企业声明</w:t>
      </w:r>
      <w:bookmarkEnd w:id="215"/>
      <w:bookmarkEnd w:id="216"/>
    </w:p>
    <w:p w14:paraId="06771B16">
      <w:pPr>
        <w:bidi w:val="0"/>
        <w:rPr>
          <w:rFonts w:hint="default"/>
          <w:lang w:val="en-US" w:eastAsia="zh-CN"/>
        </w:rPr>
      </w:pPr>
    </w:p>
    <w:p w14:paraId="7715C99F">
      <w:pPr>
        <w:bidi w:val="0"/>
        <w:jc w:val="center"/>
        <w:rPr>
          <w:rFonts w:hint="default"/>
          <w:lang w:val="en-US" w:eastAsia="zh-CN"/>
        </w:rPr>
      </w:pPr>
      <w:r>
        <w:rPr>
          <w:rFonts w:hint="eastAsia" w:ascii="宋体" w:hAnsi="宋体" w:eastAsia="宋体" w:cs="宋体"/>
          <w:b/>
          <w:bCs/>
          <w:sz w:val="24"/>
          <w:szCs w:val="24"/>
          <w:lang w:val="en-US" w:eastAsia="zh-CN"/>
        </w:rPr>
        <w:t>7.1中小企业声明（货物）</w:t>
      </w:r>
    </w:p>
    <w:p w14:paraId="7B51F0DF">
      <w:pPr>
        <w:bidi w:val="0"/>
        <w:rPr>
          <w:rFonts w:hint="default"/>
          <w:lang w:val="en-US" w:eastAsia="zh-CN"/>
        </w:rPr>
      </w:pPr>
    </w:p>
    <w:p w14:paraId="23E5AB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本公司（联合体）郑重声明，根据《政府采购促进中小企业发展管理办法》（财库[2020]46号）的规定，本公司（联合体）参加</w:t>
      </w:r>
      <w:r>
        <w:rPr>
          <w:rFonts w:hint="eastAsia" w:ascii="宋体" w:hAnsi="宋体" w:eastAsia="宋体" w:cs="宋体"/>
          <w:sz w:val="24"/>
          <w:szCs w:val="24"/>
          <w:u w:val="single"/>
          <w:lang w:val="en-US" w:eastAsia="zh-CN"/>
        </w:rPr>
        <w:t>（单位名称）</w:t>
      </w:r>
      <w:r>
        <w:rPr>
          <w:rFonts w:hint="eastAsia" w:ascii="宋体" w:hAnsi="宋体" w:eastAsia="宋体" w:cs="宋体"/>
          <w:sz w:val="24"/>
          <w:szCs w:val="24"/>
          <w:lang w:val="en-US" w:eastAsia="zh-CN"/>
        </w:rPr>
        <w:t>的</w:t>
      </w:r>
      <w:r>
        <w:rPr>
          <w:rFonts w:hint="eastAsia" w:ascii="宋体" w:hAnsi="宋体" w:eastAsia="宋体" w:cs="宋体"/>
          <w:sz w:val="24"/>
          <w:szCs w:val="24"/>
          <w:u w:val="single"/>
          <w:lang w:val="en-US" w:eastAsia="zh-CN"/>
        </w:rPr>
        <w:t>（项目名称）</w:t>
      </w:r>
      <w:r>
        <w:rPr>
          <w:rFonts w:hint="eastAsia" w:ascii="宋体" w:hAnsi="宋体" w:eastAsia="宋体" w:cs="宋体"/>
          <w:sz w:val="24"/>
          <w:szCs w:val="24"/>
          <w:lang w:val="en-US" w:eastAsia="zh-CN"/>
        </w:rPr>
        <w:t>采购活动，提供的货物全部由符合政策要求的中小企业制造。相关企业（含联合体中的中小企业、签订分包意向协议的中小企业）的具体情况如下：</w:t>
      </w:r>
    </w:p>
    <w:p w14:paraId="11D9A9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u w:val="single"/>
          <w:lang w:val="en-US" w:eastAsia="zh-CN"/>
        </w:rPr>
        <w:t>（标的名称）</w:t>
      </w:r>
      <w:r>
        <w:rPr>
          <w:rFonts w:hint="eastAsia" w:ascii="宋体" w:hAnsi="宋体" w:eastAsia="宋体" w:cs="宋体"/>
          <w:sz w:val="24"/>
          <w:szCs w:val="24"/>
          <w:lang w:val="en-US" w:eastAsia="zh-CN"/>
        </w:rPr>
        <w:t>，属于</w:t>
      </w:r>
      <w:r>
        <w:rPr>
          <w:rFonts w:hint="eastAsia" w:ascii="宋体" w:hAnsi="宋体" w:eastAsia="宋体" w:cs="宋体"/>
          <w:sz w:val="24"/>
          <w:szCs w:val="24"/>
          <w:u w:val="single"/>
          <w:lang w:val="en-US" w:eastAsia="zh-CN"/>
        </w:rPr>
        <w:t>（采购文件中明确的所属行业）</w:t>
      </w:r>
      <w:r>
        <w:rPr>
          <w:rFonts w:hint="eastAsia" w:ascii="宋体" w:hAnsi="宋体" w:eastAsia="宋体" w:cs="宋体"/>
          <w:sz w:val="24"/>
          <w:szCs w:val="24"/>
          <w:lang w:val="en-US" w:eastAsia="zh-CN"/>
        </w:rPr>
        <w:t>行业，制造商为（企业名称），从业人员   人，营业收入为   万元，资产总额为   万元，属于（中型企业、小型企业、微型企业）；</w:t>
      </w:r>
    </w:p>
    <w:p w14:paraId="43861D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2、（标的名称），属于（采购文件中明确的所属行业）行业，制造商为</w:t>
      </w:r>
      <w:r>
        <w:rPr>
          <w:rFonts w:hint="eastAsia" w:ascii="宋体" w:hAnsi="宋体" w:eastAsia="宋体" w:cs="宋体"/>
          <w:sz w:val="24"/>
          <w:szCs w:val="24"/>
          <w:u w:val="single"/>
          <w:lang w:val="en-US" w:eastAsia="zh-CN"/>
        </w:rPr>
        <w:t>（企业名称）</w:t>
      </w:r>
      <w:r>
        <w:rPr>
          <w:rFonts w:hint="eastAsia" w:ascii="宋体" w:hAnsi="宋体" w:eastAsia="宋体" w:cs="宋体"/>
          <w:sz w:val="24"/>
          <w:szCs w:val="24"/>
          <w:lang w:val="en-US" w:eastAsia="zh-CN"/>
        </w:rPr>
        <w:t>，从业人员   人，营业收入为   万元，资产总额为   万元，属于</w:t>
      </w:r>
      <w:r>
        <w:rPr>
          <w:rFonts w:hint="eastAsia" w:ascii="宋体" w:hAnsi="宋体" w:eastAsia="宋体" w:cs="宋体"/>
          <w:sz w:val="24"/>
          <w:szCs w:val="24"/>
          <w:u w:val="single"/>
          <w:lang w:val="en-US" w:eastAsia="zh-CN"/>
        </w:rPr>
        <w:t>（中型企业、小型企业、微型企业）</w:t>
      </w:r>
      <w:r>
        <w:rPr>
          <w:rFonts w:hint="eastAsia" w:ascii="宋体" w:hAnsi="宋体" w:eastAsia="宋体" w:cs="宋体"/>
          <w:sz w:val="24"/>
          <w:szCs w:val="24"/>
          <w:lang w:val="en-US" w:eastAsia="zh-CN"/>
        </w:rPr>
        <w:t>；</w:t>
      </w:r>
    </w:p>
    <w:p w14:paraId="06F0EB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14:paraId="23A84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以上企业，不属于大型企业的分支机构，不存在控股股东为大企业的情形，也不存在与大企业的负责人为同一人的情形。</w:t>
      </w:r>
    </w:p>
    <w:p w14:paraId="53171A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本公司对上述声明内容的真实性负责。如有虚假，将依法承担相应责任。</w:t>
      </w:r>
    </w:p>
    <w:p w14:paraId="606472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A5404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4EAAA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企业名称（盖章）：</w:t>
      </w:r>
      <w:r>
        <w:rPr>
          <w:rFonts w:hint="eastAsia" w:ascii="宋体" w:hAnsi="宋体" w:eastAsia="宋体" w:cs="宋体"/>
          <w:sz w:val="24"/>
          <w:szCs w:val="24"/>
          <w:u w:val="single"/>
          <w:lang w:val="en-US" w:eastAsia="zh-CN"/>
        </w:rPr>
        <w:t xml:space="preserve">                      </w:t>
      </w:r>
    </w:p>
    <w:p w14:paraId="72183A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BB2B9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12BE0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p>
    <w:p w14:paraId="47A7DB6D">
      <w:pPr>
        <w:bidi w:val="0"/>
        <w:spacing w:line="360" w:lineRule="auto"/>
        <w:jc w:val="center"/>
        <w:rPr>
          <w:rFonts w:hint="eastAsia" w:ascii="宋体" w:hAnsi="宋体" w:eastAsia="宋体" w:cs="宋体"/>
          <w:sz w:val="24"/>
          <w:szCs w:val="24"/>
          <w:lang w:val="en-US" w:eastAsia="zh-CN"/>
        </w:rPr>
      </w:pPr>
    </w:p>
    <w:p w14:paraId="54C72F92">
      <w:pPr>
        <w:bidi w:val="0"/>
        <w:spacing w:line="360" w:lineRule="auto"/>
        <w:jc w:val="center"/>
        <w:rPr>
          <w:rFonts w:hint="eastAsia" w:ascii="宋体" w:hAnsi="宋体" w:eastAsia="宋体" w:cs="宋体"/>
          <w:sz w:val="24"/>
          <w:szCs w:val="24"/>
          <w:lang w:val="en-US" w:eastAsia="zh-CN"/>
        </w:rPr>
      </w:pPr>
    </w:p>
    <w:p w14:paraId="276505C4">
      <w:pPr>
        <w:bidi w:val="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（注：不符合中小企业条件的不需提供）</w:t>
      </w:r>
    </w:p>
    <w:p w14:paraId="579D8E09">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tbl>
      <w:tblPr>
        <w:tblStyle w:val="20"/>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620"/>
        <w:gridCol w:w="729"/>
        <w:gridCol w:w="1286"/>
        <w:gridCol w:w="1618"/>
        <w:gridCol w:w="1252"/>
        <w:gridCol w:w="818"/>
      </w:tblGrid>
      <w:tr w14:paraId="6351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97" w:type="pct"/>
            <w:noWrap w:val="0"/>
            <w:vAlign w:val="center"/>
          </w:tcPr>
          <w:p w14:paraId="1325A7D3">
            <w:pPr>
              <w:pStyle w:val="4"/>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b/>
                <w:bCs/>
                <w:color w:val="auto"/>
                <w:sz w:val="24"/>
                <w:szCs w:val="24"/>
                <w:lang w:eastAsia="zh-CN"/>
              </w:rPr>
              <w:br w:type="page"/>
            </w:r>
            <w:r>
              <w:rPr>
                <w:rFonts w:hint="eastAsia" w:asciiTheme="minorEastAsia" w:hAnsiTheme="minorEastAsia" w:eastAsiaTheme="minorEastAsia" w:cstheme="minorEastAsia"/>
                <w:i w:val="0"/>
                <w:iCs w:val="0"/>
                <w:kern w:val="2"/>
                <w:sz w:val="24"/>
                <w:szCs w:val="22"/>
                <w:u w:val="none"/>
                <w:lang w:val="en-US" w:eastAsia="zh-CN" w:bidi="ar-SA"/>
              </w:rPr>
              <w:t>行业名称</w:t>
            </w:r>
          </w:p>
        </w:tc>
        <w:tc>
          <w:tcPr>
            <w:tcW w:w="951" w:type="pct"/>
            <w:noWrap w:val="0"/>
            <w:vAlign w:val="center"/>
          </w:tcPr>
          <w:p w14:paraId="5EF9D1E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指标名称</w:t>
            </w:r>
          </w:p>
        </w:tc>
        <w:tc>
          <w:tcPr>
            <w:tcW w:w="428" w:type="pct"/>
            <w:noWrap w:val="0"/>
            <w:vAlign w:val="center"/>
          </w:tcPr>
          <w:p w14:paraId="0CC209BD">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计量单位</w:t>
            </w:r>
          </w:p>
        </w:tc>
        <w:tc>
          <w:tcPr>
            <w:tcW w:w="755" w:type="pct"/>
            <w:noWrap w:val="0"/>
            <w:vAlign w:val="center"/>
          </w:tcPr>
          <w:p w14:paraId="119EAB4C">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大型</w:t>
            </w:r>
          </w:p>
        </w:tc>
        <w:tc>
          <w:tcPr>
            <w:tcW w:w="950" w:type="pct"/>
            <w:noWrap w:val="0"/>
            <w:vAlign w:val="center"/>
          </w:tcPr>
          <w:p w14:paraId="5C5B034A">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中型</w:t>
            </w:r>
          </w:p>
        </w:tc>
        <w:tc>
          <w:tcPr>
            <w:tcW w:w="735" w:type="pct"/>
            <w:noWrap w:val="0"/>
            <w:vAlign w:val="center"/>
          </w:tcPr>
          <w:p w14:paraId="60EE9BC6">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小型</w:t>
            </w:r>
          </w:p>
        </w:tc>
        <w:tc>
          <w:tcPr>
            <w:tcW w:w="480" w:type="pct"/>
            <w:noWrap w:val="0"/>
            <w:vAlign w:val="center"/>
          </w:tcPr>
          <w:p w14:paraId="037F3BC7">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微型</w:t>
            </w:r>
          </w:p>
        </w:tc>
      </w:tr>
      <w:tr w14:paraId="0084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97" w:type="pct"/>
            <w:noWrap w:val="0"/>
            <w:vAlign w:val="center"/>
          </w:tcPr>
          <w:p w14:paraId="1EA36180">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农、林、牧、渔业</w:t>
            </w:r>
          </w:p>
        </w:tc>
        <w:tc>
          <w:tcPr>
            <w:tcW w:w="951" w:type="pct"/>
            <w:noWrap w:val="0"/>
            <w:vAlign w:val="center"/>
          </w:tcPr>
          <w:p w14:paraId="5550004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营业收入(Y)</w:t>
            </w:r>
          </w:p>
        </w:tc>
        <w:tc>
          <w:tcPr>
            <w:tcW w:w="428" w:type="pct"/>
            <w:noWrap w:val="0"/>
            <w:vAlign w:val="center"/>
          </w:tcPr>
          <w:p w14:paraId="7E881F6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万元</w:t>
            </w:r>
          </w:p>
        </w:tc>
        <w:tc>
          <w:tcPr>
            <w:tcW w:w="755" w:type="pct"/>
            <w:noWrap w:val="0"/>
            <w:vAlign w:val="center"/>
          </w:tcPr>
          <w:p w14:paraId="1FBC337F">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Y≥20000</w:t>
            </w:r>
          </w:p>
        </w:tc>
        <w:tc>
          <w:tcPr>
            <w:tcW w:w="950" w:type="pct"/>
            <w:noWrap w:val="0"/>
            <w:vAlign w:val="center"/>
          </w:tcPr>
          <w:p w14:paraId="4A9D93D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500≤Y＜2000</w:t>
            </w:r>
          </w:p>
        </w:tc>
        <w:tc>
          <w:tcPr>
            <w:tcW w:w="735" w:type="pct"/>
            <w:noWrap w:val="0"/>
            <w:vAlign w:val="center"/>
          </w:tcPr>
          <w:p w14:paraId="2FDBDEDE">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50≤Y＜500</w:t>
            </w:r>
          </w:p>
        </w:tc>
        <w:tc>
          <w:tcPr>
            <w:tcW w:w="480" w:type="pct"/>
            <w:noWrap w:val="0"/>
            <w:vAlign w:val="center"/>
          </w:tcPr>
          <w:p w14:paraId="0CD7C4C0">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Y＜50</w:t>
            </w:r>
          </w:p>
        </w:tc>
      </w:tr>
      <w:tr w14:paraId="65E9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97" w:type="pct"/>
            <w:vMerge w:val="restart"/>
            <w:noWrap w:val="0"/>
            <w:vAlign w:val="center"/>
          </w:tcPr>
          <w:p w14:paraId="35817A4C">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工业 *</w:t>
            </w:r>
          </w:p>
        </w:tc>
        <w:tc>
          <w:tcPr>
            <w:tcW w:w="951" w:type="pct"/>
            <w:noWrap w:val="0"/>
            <w:vAlign w:val="center"/>
          </w:tcPr>
          <w:p w14:paraId="2F3FF7FD">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从业人员(X)</w:t>
            </w:r>
          </w:p>
        </w:tc>
        <w:tc>
          <w:tcPr>
            <w:tcW w:w="428" w:type="pct"/>
            <w:noWrap w:val="0"/>
            <w:vAlign w:val="center"/>
          </w:tcPr>
          <w:p w14:paraId="1F8E5EB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人</w:t>
            </w:r>
          </w:p>
        </w:tc>
        <w:tc>
          <w:tcPr>
            <w:tcW w:w="755" w:type="pct"/>
            <w:noWrap w:val="0"/>
            <w:vAlign w:val="center"/>
          </w:tcPr>
          <w:p w14:paraId="618E60A9">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X≥1000</w:t>
            </w:r>
          </w:p>
        </w:tc>
        <w:tc>
          <w:tcPr>
            <w:tcW w:w="950" w:type="pct"/>
            <w:noWrap w:val="0"/>
            <w:vAlign w:val="center"/>
          </w:tcPr>
          <w:p w14:paraId="16753F5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300≤X＜1000</w:t>
            </w:r>
          </w:p>
        </w:tc>
        <w:tc>
          <w:tcPr>
            <w:tcW w:w="735" w:type="pct"/>
            <w:noWrap w:val="0"/>
            <w:vAlign w:val="center"/>
          </w:tcPr>
          <w:p w14:paraId="606EA38E">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20≤X＜300</w:t>
            </w:r>
          </w:p>
        </w:tc>
        <w:tc>
          <w:tcPr>
            <w:tcW w:w="480" w:type="pct"/>
            <w:noWrap w:val="0"/>
            <w:vAlign w:val="center"/>
          </w:tcPr>
          <w:p w14:paraId="0E70911F">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X＜20</w:t>
            </w:r>
          </w:p>
        </w:tc>
      </w:tr>
      <w:tr w14:paraId="53A7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pct"/>
            <w:vMerge w:val="continue"/>
            <w:noWrap w:val="0"/>
            <w:vAlign w:val="center"/>
          </w:tcPr>
          <w:p w14:paraId="06B9A20C">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p>
        </w:tc>
        <w:tc>
          <w:tcPr>
            <w:tcW w:w="951" w:type="pct"/>
            <w:noWrap w:val="0"/>
            <w:vAlign w:val="center"/>
          </w:tcPr>
          <w:p w14:paraId="7248A161">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营业收入(Y)</w:t>
            </w:r>
          </w:p>
        </w:tc>
        <w:tc>
          <w:tcPr>
            <w:tcW w:w="428" w:type="pct"/>
            <w:noWrap w:val="0"/>
            <w:vAlign w:val="center"/>
          </w:tcPr>
          <w:p w14:paraId="7333A551">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万元</w:t>
            </w:r>
          </w:p>
        </w:tc>
        <w:tc>
          <w:tcPr>
            <w:tcW w:w="755" w:type="pct"/>
            <w:noWrap w:val="0"/>
            <w:vAlign w:val="center"/>
          </w:tcPr>
          <w:p w14:paraId="00DC4787">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Y≥40000</w:t>
            </w:r>
          </w:p>
        </w:tc>
        <w:tc>
          <w:tcPr>
            <w:tcW w:w="950" w:type="pct"/>
            <w:noWrap w:val="0"/>
            <w:vAlign w:val="center"/>
          </w:tcPr>
          <w:p w14:paraId="165D9637">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2000≤Y＜40000</w:t>
            </w:r>
          </w:p>
        </w:tc>
        <w:tc>
          <w:tcPr>
            <w:tcW w:w="735" w:type="pct"/>
            <w:noWrap w:val="0"/>
            <w:vAlign w:val="center"/>
          </w:tcPr>
          <w:p w14:paraId="4D7E56D3">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300≤Y＜2000</w:t>
            </w:r>
          </w:p>
        </w:tc>
        <w:tc>
          <w:tcPr>
            <w:tcW w:w="480" w:type="pct"/>
            <w:noWrap w:val="0"/>
            <w:vAlign w:val="center"/>
          </w:tcPr>
          <w:p w14:paraId="4EEE5E49">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Y＜300</w:t>
            </w:r>
          </w:p>
        </w:tc>
      </w:tr>
      <w:tr w14:paraId="5B6A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pct"/>
            <w:vMerge w:val="restart"/>
            <w:noWrap w:val="0"/>
            <w:vAlign w:val="center"/>
          </w:tcPr>
          <w:p w14:paraId="59154D0D">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建筑业</w:t>
            </w:r>
          </w:p>
        </w:tc>
        <w:tc>
          <w:tcPr>
            <w:tcW w:w="951" w:type="pct"/>
            <w:noWrap w:val="0"/>
            <w:vAlign w:val="center"/>
          </w:tcPr>
          <w:p w14:paraId="4015A2C0">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营业收入(Y)</w:t>
            </w:r>
          </w:p>
        </w:tc>
        <w:tc>
          <w:tcPr>
            <w:tcW w:w="428" w:type="pct"/>
            <w:noWrap w:val="0"/>
            <w:vAlign w:val="center"/>
          </w:tcPr>
          <w:p w14:paraId="566F536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万元</w:t>
            </w:r>
          </w:p>
        </w:tc>
        <w:tc>
          <w:tcPr>
            <w:tcW w:w="755" w:type="pct"/>
            <w:noWrap w:val="0"/>
            <w:vAlign w:val="center"/>
          </w:tcPr>
          <w:p w14:paraId="3B3CFA7F">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Y≥80000</w:t>
            </w:r>
          </w:p>
        </w:tc>
        <w:tc>
          <w:tcPr>
            <w:tcW w:w="950" w:type="pct"/>
            <w:noWrap w:val="0"/>
            <w:vAlign w:val="center"/>
          </w:tcPr>
          <w:p w14:paraId="3F62DE20">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6000≤Y＜80000</w:t>
            </w:r>
          </w:p>
        </w:tc>
        <w:tc>
          <w:tcPr>
            <w:tcW w:w="735" w:type="pct"/>
            <w:noWrap w:val="0"/>
            <w:vAlign w:val="center"/>
          </w:tcPr>
          <w:p w14:paraId="244AC5A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300≤Y＜6000</w:t>
            </w:r>
          </w:p>
        </w:tc>
        <w:tc>
          <w:tcPr>
            <w:tcW w:w="480" w:type="pct"/>
            <w:noWrap w:val="0"/>
            <w:vAlign w:val="center"/>
          </w:tcPr>
          <w:p w14:paraId="77F9CC4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Y＜300</w:t>
            </w:r>
          </w:p>
        </w:tc>
      </w:tr>
      <w:tr w14:paraId="2209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pct"/>
            <w:vMerge w:val="continue"/>
            <w:noWrap w:val="0"/>
            <w:vAlign w:val="center"/>
          </w:tcPr>
          <w:p w14:paraId="1B1A8421">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p>
        </w:tc>
        <w:tc>
          <w:tcPr>
            <w:tcW w:w="951" w:type="pct"/>
            <w:noWrap w:val="0"/>
            <w:vAlign w:val="center"/>
          </w:tcPr>
          <w:p w14:paraId="2276BAE1">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资产总额(Z)</w:t>
            </w:r>
          </w:p>
        </w:tc>
        <w:tc>
          <w:tcPr>
            <w:tcW w:w="428" w:type="pct"/>
            <w:noWrap w:val="0"/>
            <w:vAlign w:val="center"/>
          </w:tcPr>
          <w:p w14:paraId="13C80187">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万元</w:t>
            </w:r>
          </w:p>
        </w:tc>
        <w:tc>
          <w:tcPr>
            <w:tcW w:w="755" w:type="pct"/>
            <w:noWrap w:val="0"/>
            <w:vAlign w:val="center"/>
          </w:tcPr>
          <w:p w14:paraId="44FBABE6">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Z≥80000</w:t>
            </w:r>
          </w:p>
        </w:tc>
        <w:tc>
          <w:tcPr>
            <w:tcW w:w="950" w:type="pct"/>
            <w:noWrap w:val="0"/>
            <w:vAlign w:val="center"/>
          </w:tcPr>
          <w:p w14:paraId="27142A5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5000≤Z＜80000</w:t>
            </w:r>
          </w:p>
        </w:tc>
        <w:tc>
          <w:tcPr>
            <w:tcW w:w="735" w:type="pct"/>
            <w:noWrap w:val="0"/>
            <w:vAlign w:val="center"/>
          </w:tcPr>
          <w:p w14:paraId="3060CD9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300≤Z＜5000</w:t>
            </w:r>
          </w:p>
        </w:tc>
        <w:tc>
          <w:tcPr>
            <w:tcW w:w="480" w:type="pct"/>
            <w:noWrap w:val="0"/>
            <w:vAlign w:val="center"/>
          </w:tcPr>
          <w:p w14:paraId="365AFEFA">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Z＜300</w:t>
            </w:r>
          </w:p>
        </w:tc>
      </w:tr>
      <w:tr w14:paraId="0EB1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pct"/>
            <w:vMerge w:val="restart"/>
            <w:noWrap w:val="0"/>
            <w:vAlign w:val="center"/>
          </w:tcPr>
          <w:p w14:paraId="0B1FA7C7">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批发业</w:t>
            </w:r>
          </w:p>
        </w:tc>
        <w:tc>
          <w:tcPr>
            <w:tcW w:w="951" w:type="pct"/>
            <w:noWrap w:val="0"/>
            <w:vAlign w:val="center"/>
          </w:tcPr>
          <w:p w14:paraId="5E1FCF1E">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从业人员(X)</w:t>
            </w:r>
          </w:p>
        </w:tc>
        <w:tc>
          <w:tcPr>
            <w:tcW w:w="428" w:type="pct"/>
            <w:noWrap w:val="0"/>
            <w:vAlign w:val="center"/>
          </w:tcPr>
          <w:p w14:paraId="637BB9A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人</w:t>
            </w:r>
          </w:p>
        </w:tc>
        <w:tc>
          <w:tcPr>
            <w:tcW w:w="755" w:type="pct"/>
            <w:noWrap w:val="0"/>
            <w:vAlign w:val="center"/>
          </w:tcPr>
          <w:p w14:paraId="6E0C645C">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X≥200</w:t>
            </w:r>
          </w:p>
        </w:tc>
        <w:tc>
          <w:tcPr>
            <w:tcW w:w="950" w:type="pct"/>
            <w:noWrap w:val="0"/>
            <w:vAlign w:val="center"/>
          </w:tcPr>
          <w:p w14:paraId="41C23EC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20≤X＜200</w:t>
            </w:r>
          </w:p>
        </w:tc>
        <w:tc>
          <w:tcPr>
            <w:tcW w:w="735" w:type="pct"/>
            <w:noWrap w:val="0"/>
            <w:vAlign w:val="center"/>
          </w:tcPr>
          <w:p w14:paraId="59E0508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5≤X＜20</w:t>
            </w:r>
          </w:p>
        </w:tc>
        <w:tc>
          <w:tcPr>
            <w:tcW w:w="480" w:type="pct"/>
            <w:noWrap w:val="0"/>
            <w:vAlign w:val="center"/>
          </w:tcPr>
          <w:p w14:paraId="6752C1BC">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X＜5</w:t>
            </w:r>
          </w:p>
        </w:tc>
      </w:tr>
      <w:tr w14:paraId="0FA8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pct"/>
            <w:vMerge w:val="continue"/>
            <w:noWrap w:val="0"/>
            <w:vAlign w:val="center"/>
          </w:tcPr>
          <w:p w14:paraId="5D4D303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p>
        </w:tc>
        <w:tc>
          <w:tcPr>
            <w:tcW w:w="951" w:type="pct"/>
            <w:noWrap w:val="0"/>
            <w:vAlign w:val="center"/>
          </w:tcPr>
          <w:p w14:paraId="533D925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营业收入(Y)</w:t>
            </w:r>
          </w:p>
        </w:tc>
        <w:tc>
          <w:tcPr>
            <w:tcW w:w="428" w:type="pct"/>
            <w:noWrap w:val="0"/>
            <w:vAlign w:val="center"/>
          </w:tcPr>
          <w:p w14:paraId="3EE7F9AE">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万元</w:t>
            </w:r>
          </w:p>
        </w:tc>
        <w:tc>
          <w:tcPr>
            <w:tcW w:w="755" w:type="pct"/>
            <w:noWrap w:val="0"/>
            <w:vAlign w:val="center"/>
          </w:tcPr>
          <w:p w14:paraId="58241333">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Y≥40000</w:t>
            </w:r>
          </w:p>
        </w:tc>
        <w:tc>
          <w:tcPr>
            <w:tcW w:w="950" w:type="pct"/>
            <w:noWrap w:val="0"/>
            <w:vAlign w:val="center"/>
          </w:tcPr>
          <w:p w14:paraId="56374523">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5000≤Y＜40000</w:t>
            </w:r>
          </w:p>
        </w:tc>
        <w:tc>
          <w:tcPr>
            <w:tcW w:w="735" w:type="pct"/>
            <w:noWrap w:val="0"/>
            <w:vAlign w:val="center"/>
          </w:tcPr>
          <w:p w14:paraId="1551E6C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1000≤Y＜5000</w:t>
            </w:r>
          </w:p>
        </w:tc>
        <w:tc>
          <w:tcPr>
            <w:tcW w:w="480" w:type="pct"/>
            <w:noWrap w:val="0"/>
            <w:vAlign w:val="center"/>
          </w:tcPr>
          <w:p w14:paraId="5F42267D">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Y＜1000</w:t>
            </w:r>
          </w:p>
        </w:tc>
      </w:tr>
      <w:tr w14:paraId="5DF2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pct"/>
            <w:vMerge w:val="restart"/>
            <w:noWrap w:val="0"/>
            <w:vAlign w:val="center"/>
          </w:tcPr>
          <w:p w14:paraId="2F6AD71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零售业</w:t>
            </w:r>
          </w:p>
        </w:tc>
        <w:tc>
          <w:tcPr>
            <w:tcW w:w="951" w:type="pct"/>
            <w:noWrap w:val="0"/>
            <w:vAlign w:val="center"/>
          </w:tcPr>
          <w:p w14:paraId="48BB547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从业人员(X)</w:t>
            </w:r>
          </w:p>
        </w:tc>
        <w:tc>
          <w:tcPr>
            <w:tcW w:w="428" w:type="pct"/>
            <w:noWrap w:val="0"/>
            <w:vAlign w:val="center"/>
          </w:tcPr>
          <w:p w14:paraId="50D40E0A">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人</w:t>
            </w:r>
          </w:p>
        </w:tc>
        <w:tc>
          <w:tcPr>
            <w:tcW w:w="755" w:type="pct"/>
            <w:noWrap w:val="0"/>
            <w:vAlign w:val="center"/>
          </w:tcPr>
          <w:p w14:paraId="221CCFA0">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X≥300</w:t>
            </w:r>
          </w:p>
        </w:tc>
        <w:tc>
          <w:tcPr>
            <w:tcW w:w="950" w:type="pct"/>
            <w:noWrap w:val="0"/>
            <w:vAlign w:val="center"/>
          </w:tcPr>
          <w:p w14:paraId="5D83FCB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50≤X＜300</w:t>
            </w:r>
          </w:p>
        </w:tc>
        <w:tc>
          <w:tcPr>
            <w:tcW w:w="735" w:type="pct"/>
            <w:noWrap w:val="0"/>
            <w:vAlign w:val="center"/>
          </w:tcPr>
          <w:p w14:paraId="57C31290">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10≤X＜50</w:t>
            </w:r>
          </w:p>
        </w:tc>
        <w:tc>
          <w:tcPr>
            <w:tcW w:w="480" w:type="pct"/>
            <w:noWrap w:val="0"/>
            <w:vAlign w:val="center"/>
          </w:tcPr>
          <w:p w14:paraId="2F50AC8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X＜10</w:t>
            </w:r>
          </w:p>
        </w:tc>
      </w:tr>
      <w:tr w14:paraId="4AA1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97" w:type="pct"/>
            <w:vMerge w:val="continue"/>
            <w:noWrap w:val="0"/>
            <w:vAlign w:val="center"/>
          </w:tcPr>
          <w:p w14:paraId="01C997ED">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p>
        </w:tc>
        <w:tc>
          <w:tcPr>
            <w:tcW w:w="951" w:type="pct"/>
            <w:noWrap w:val="0"/>
            <w:vAlign w:val="center"/>
          </w:tcPr>
          <w:p w14:paraId="152B3F6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营业收入(Y)</w:t>
            </w:r>
          </w:p>
        </w:tc>
        <w:tc>
          <w:tcPr>
            <w:tcW w:w="428" w:type="pct"/>
            <w:noWrap w:val="0"/>
            <w:vAlign w:val="center"/>
          </w:tcPr>
          <w:p w14:paraId="06B767F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万元</w:t>
            </w:r>
          </w:p>
        </w:tc>
        <w:tc>
          <w:tcPr>
            <w:tcW w:w="755" w:type="pct"/>
            <w:noWrap w:val="0"/>
            <w:vAlign w:val="center"/>
          </w:tcPr>
          <w:p w14:paraId="505A99AE">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Y≥20000</w:t>
            </w:r>
          </w:p>
        </w:tc>
        <w:tc>
          <w:tcPr>
            <w:tcW w:w="950" w:type="pct"/>
            <w:noWrap w:val="0"/>
            <w:vAlign w:val="center"/>
          </w:tcPr>
          <w:p w14:paraId="2FCB0B87">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500≤Y＜20000</w:t>
            </w:r>
          </w:p>
        </w:tc>
        <w:tc>
          <w:tcPr>
            <w:tcW w:w="735" w:type="pct"/>
            <w:noWrap w:val="0"/>
            <w:vAlign w:val="center"/>
          </w:tcPr>
          <w:p w14:paraId="0EA17C54">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100≤Y＜500</w:t>
            </w:r>
          </w:p>
        </w:tc>
        <w:tc>
          <w:tcPr>
            <w:tcW w:w="480" w:type="pct"/>
            <w:noWrap w:val="0"/>
            <w:vAlign w:val="center"/>
          </w:tcPr>
          <w:p w14:paraId="669BB320">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Y＜100</w:t>
            </w:r>
          </w:p>
        </w:tc>
      </w:tr>
      <w:tr w14:paraId="6C59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97" w:type="pct"/>
            <w:vMerge w:val="restart"/>
            <w:noWrap w:val="0"/>
            <w:vAlign w:val="center"/>
          </w:tcPr>
          <w:p w14:paraId="171BDA2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交通运输业*</w:t>
            </w:r>
          </w:p>
        </w:tc>
        <w:tc>
          <w:tcPr>
            <w:tcW w:w="951" w:type="pct"/>
            <w:noWrap w:val="0"/>
            <w:vAlign w:val="center"/>
          </w:tcPr>
          <w:p w14:paraId="5E50AAF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从业人员(X)</w:t>
            </w:r>
          </w:p>
        </w:tc>
        <w:tc>
          <w:tcPr>
            <w:tcW w:w="428" w:type="pct"/>
            <w:noWrap w:val="0"/>
            <w:vAlign w:val="center"/>
          </w:tcPr>
          <w:p w14:paraId="4A4E30C1">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人</w:t>
            </w:r>
          </w:p>
        </w:tc>
        <w:tc>
          <w:tcPr>
            <w:tcW w:w="755" w:type="pct"/>
            <w:noWrap w:val="0"/>
            <w:vAlign w:val="center"/>
          </w:tcPr>
          <w:p w14:paraId="14F2BAF6">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X≥1000</w:t>
            </w:r>
          </w:p>
        </w:tc>
        <w:tc>
          <w:tcPr>
            <w:tcW w:w="950" w:type="pct"/>
            <w:noWrap w:val="0"/>
            <w:vAlign w:val="center"/>
          </w:tcPr>
          <w:p w14:paraId="66B9DDC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300≤X＜1000</w:t>
            </w:r>
          </w:p>
        </w:tc>
        <w:tc>
          <w:tcPr>
            <w:tcW w:w="735" w:type="pct"/>
            <w:noWrap w:val="0"/>
            <w:vAlign w:val="center"/>
          </w:tcPr>
          <w:p w14:paraId="066596CA">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20≤X＜300</w:t>
            </w:r>
          </w:p>
        </w:tc>
        <w:tc>
          <w:tcPr>
            <w:tcW w:w="956" w:type="dxa"/>
            <w:noWrap w:val="0"/>
            <w:vAlign w:val="center"/>
          </w:tcPr>
          <w:p w14:paraId="6186C8C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X＜20</w:t>
            </w:r>
          </w:p>
        </w:tc>
      </w:tr>
      <w:tr w14:paraId="6AD4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97" w:type="pct"/>
            <w:vMerge w:val="continue"/>
            <w:noWrap w:val="0"/>
            <w:vAlign w:val="center"/>
          </w:tcPr>
          <w:p w14:paraId="6427269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p>
        </w:tc>
        <w:tc>
          <w:tcPr>
            <w:tcW w:w="951" w:type="pct"/>
            <w:noWrap w:val="0"/>
            <w:vAlign w:val="center"/>
          </w:tcPr>
          <w:p w14:paraId="7D06AA04">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营业收入(Y)</w:t>
            </w:r>
          </w:p>
        </w:tc>
        <w:tc>
          <w:tcPr>
            <w:tcW w:w="428" w:type="pct"/>
            <w:noWrap w:val="0"/>
            <w:vAlign w:val="center"/>
          </w:tcPr>
          <w:p w14:paraId="71B7FE9E">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万元</w:t>
            </w:r>
          </w:p>
        </w:tc>
        <w:tc>
          <w:tcPr>
            <w:tcW w:w="755" w:type="pct"/>
            <w:noWrap w:val="0"/>
            <w:vAlign w:val="center"/>
          </w:tcPr>
          <w:p w14:paraId="060ABE0A">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Y≥30000</w:t>
            </w:r>
          </w:p>
        </w:tc>
        <w:tc>
          <w:tcPr>
            <w:tcW w:w="950" w:type="pct"/>
            <w:noWrap w:val="0"/>
            <w:vAlign w:val="center"/>
          </w:tcPr>
          <w:p w14:paraId="7AD38EC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3000≤Y＜30000</w:t>
            </w:r>
          </w:p>
        </w:tc>
        <w:tc>
          <w:tcPr>
            <w:tcW w:w="735" w:type="pct"/>
            <w:noWrap w:val="0"/>
            <w:vAlign w:val="center"/>
          </w:tcPr>
          <w:p w14:paraId="341DE2E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200≤Y＜3000</w:t>
            </w:r>
          </w:p>
        </w:tc>
        <w:tc>
          <w:tcPr>
            <w:tcW w:w="956" w:type="dxa"/>
            <w:noWrap w:val="0"/>
            <w:vAlign w:val="center"/>
          </w:tcPr>
          <w:p w14:paraId="178A7C11">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Y＜200</w:t>
            </w:r>
          </w:p>
        </w:tc>
      </w:tr>
      <w:tr w14:paraId="0AC0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pct"/>
            <w:vMerge w:val="restart"/>
            <w:noWrap w:val="0"/>
            <w:vAlign w:val="center"/>
          </w:tcPr>
          <w:p w14:paraId="4AF7D421">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仓储业*</w:t>
            </w:r>
          </w:p>
        </w:tc>
        <w:tc>
          <w:tcPr>
            <w:tcW w:w="951" w:type="pct"/>
            <w:noWrap w:val="0"/>
            <w:vAlign w:val="center"/>
          </w:tcPr>
          <w:p w14:paraId="2DC2BE2A">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从业人员(X)</w:t>
            </w:r>
          </w:p>
        </w:tc>
        <w:tc>
          <w:tcPr>
            <w:tcW w:w="428" w:type="pct"/>
            <w:noWrap w:val="0"/>
            <w:vAlign w:val="center"/>
          </w:tcPr>
          <w:p w14:paraId="184F23B1">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人</w:t>
            </w:r>
          </w:p>
        </w:tc>
        <w:tc>
          <w:tcPr>
            <w:tcW w:w="755" w:type="pct"/>
            <w:noWrap w:val="0"/>
            <w:vAlign w:val="center"/>
          </w:tcPr>
          <w:p w14:paraId="78CAB1DD">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X≥200</w:t>
            </w:r>
          </w:p>
        </w:tc>
        <w:tc>
          <w:tcPr>
            <w:tcW w:w="950" w:type="pct"/>
            <w:noWrap w:val="0"/>
            <w:vAlign w:val="center"/>
          </w:tcPr>
          <w:p w14:paraId="6ADEC5B0">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100≤X＜200</w:t>
            </w:r>
          </w:p>
        </w:tc>
        <w:tc>
          <w:tcPr>
            <w:tcW w:w="735" w:type="pct"/>
            <w:noWrap w:val="0"/>
            <w:vAlign w:val="center"/>
          </w:tcPr>
          <w:p w14:paraId="2B70846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20≤X＜100</w:t>
            </w:r>
          </w:p>
        </w:tc>
        <w:tc>
          <w:tcPr>
            <w:tcW w:w="480" w:type="pct"/>
            <w:noWrap w:val="0"/>
            <w:vAlign w:val="center"/>
          </w:tcPr>
          <w:p w14:paraId="13A54DB1">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X＜20</w:t>
            </w:r>
          </w:p>
        </w:tc>
      </w:tr>
      <w:tr w14:paraId="1560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pct"/>
            <w:vMerge w:val="continue"/>
            <w:noWrap w:val="0"/>
            <w:vAlign w:val="center"/>
          </w:tcPr>
          <w:p w14:paraId="4FA9D84A">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p>
        </w:tc>
        <w:tc>
          <w:tcPr>
            <w:tcW w:w="951" w:type="pct"/>
            <w:noWrap w:val="0"/>
            <w:vAlign w:val="center"/>
          </w:tcPr>
          <w:p w14:paraId="46D61E1F">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营业收入(Y)</w:t>
            </w:r>
          </w:p>
        </w:tc>
        <w:tc>
          <w:tcPr>
            <w:tcW w:w="428" w:type="pct"/>
            <w:noWrap w:val="0"/>
            <w:vAlign w:val="center"/>
          </w:tcPr>
          <w:p w14:paraId="7BEC9F5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万元</w:t>
            </w:r>
          </w:p>
        </w:tc>
        <w:tc>
          <w:tcPr>
            <w:tcW w:w="755" w:type="pct"/>
            <w:noWrap w:val="0"/>
            <w:vAlign w:val="center"/>
          </w:tcPr>
          <w:p w14:paraId="02C5DC34">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Y≥30000</w:t>
            </w:r>
          </w:p>
        </w:tc>
        <w:tc>
          <w:tcPr>
            <w:tcW w:w="950" w:type="pct"/>
            <w:noWrap w:val="0"/>
            <w:vAlign w:val="center"/>
          </w:tcPr>
          <w:p w14:paraId="3856E57D">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1000≤Y＜30000</w:t>
            </w:r>
          </w:p>
        </w:tc>
        <w:tc>
          <w:tcPr>
            <w:tcW w:w="735" w:type="pct"/>
            <w:noWrap w:val="0"/>
            <w:vAlign w:val="center"/>
          </w:tcPr>
          <w:p w14:paraId="46F7BC31">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100≤Y＜1000</w:t>
            </w:r>
          </w:p>
        </w:tc>
        <w:tc>
          <w:tcPr>
            <w:tcW w:w="480" w:type="pct"/>
            <w:noWrap w:val="0"/>
            <w:vAlign w:val="center"/>
          </w:tcPr>
          <w:p w14:paraId="6C7EBA1A">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Y＜100</w:t>
            </w:r>
          </w:p>
        </w:tc>
      </w:tr>
      <w:tr w14:paraId="77D5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97" w:type="pct"/>
            <w:vMerge w:val="restart"/>
            <w:noWrap w:val="0"/>
            <w:vAlign w:val="center"/>
          </w:tcPr>
          <w:p w14:paraId="567309C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邮政业</w:t>
            </w:r>
          </w:p>
        </w:tc>
        <w:tc>
          <w:tcPr>
            <w:tcW w:w="951" w:type="pct"/>
            <w:noWrap w:val="0"/>
            <w:vAlign w:val="center"/>
          </w:tcPr>
          <w:p w14:paraId="79A12D2F">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从业人员(X)</w:t>
            </w:r>
          </w:p>
        </w:tc>
        <w:tc>
          <w:tcPr>
            <w:tcW w:w="428" w:type="pct"/>
            <w:noWrap w:val="0"/>
            <w:vAlign w:val="center"/>
          </w:tcPr>
          <w:p w14:paraId="46690BF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人</w:t>
            </w:r>
          </w:p>
        </w:tc>
        <w:tc>
          <w:tcPr>
            <w:tcW w:w="755" w:type="pct"/>
            <w:noWrap w:val="0"/>
            <w:vAlign w:val="center"/>
          </w:tcPr>
          <w:p w14:paraId="7A6BB50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X≥1000</w:t>
            </w:r>
          </w:p>
        </w:tc>
        <w:tc>
          <w:tcPr>
            <w:tcW w:w="950" w:type="pct"/>
            <w:noWrap w:val="0"/>
            <w:vAlign w:val="center"/>
          </w:tcPr>
          <w:p w14:paraId="068B71F9">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300≤X＜1000</w:t>
            </w:r>
          </w:p>
        </w:tc>
        <w:tc>
          <w:tcPr>
            <w:tcW w:w="735" w:type="pct"/>
            <w:noWrap w:val="0"/>
            <w:vAlign w:val="center"/>
          </w:tcPr>
          <w:p w14:paraId="4AFC0FCC">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20≤X＜300</w:t>
            </w:r>
          </w:p>
        </w:tc>
        <w:tc>
          <w:tcPr>
            <w:tcW w:w="480" w:type="pct"/>
            <w:noWrap w:val="0"/>
            <w:vAlign w:val="center"/>
          </w:tcPr>
          <w:p w14:paraId="473E3533">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X＜20</w:t>
            </w:r>
          </w:p>
        </w:tc>
      </w:tr>
      <w:tr w14:paraId="65F5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pct"/>
            <w:vMerge w:val="continue"/>
            <w:noWrap w:val="0"/>
            <w:vAlign w:val="center"/>
          </w:tcPr>
          <w:p w14:paraId="1B56EF2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p>
        </w:tc>
        <w:tc>
          <w:tcPr>
            <w:tcW w:w="951" w:type="pct"/>
            <w:noWrap w:val="0"/>
            <w:vAlign w:val="center"/>
          </w:tcPr>
          <w:p w14:paraId="768132D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营业收入(Y)</w:t>
            </w:r>
          </w:p>
        </w:tc>
        <w:tc>
          <w:tcPr>
            <w:tcW w:w="428" w:type="pct"/>
            <w:noWrap w:val="0"/>
            <w:vAlign w:val="center"/>
          </w:tcPr>
          <w:p w14:paraId="6D8F0C2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万元</w:t>
            </w:r>
          </w:p>
        </w:tc>
        <w:tc>
          <w:tcPr>
            <w:tcW w:w="755" w:type="pct"/>
            <w:noWrap w:val="0"/>
            <w:vAlign w:val="center"/>
          </w:tcPr>
          <w:p w14:paraId="6D14E67C">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Y≥30000</w:t>
            </w:r>
          </w:p>
        </w:tc>
        <w:tc>
          <w:tcPr>
            <w:tcW w:w="950" w:type="pct"/>
            <w:noWrap w:val="0"/>
            <w:vAlign w:val="center"/>
          </w:tcPr>
          <w:p w14:paraId="00902FC9">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2000≤Y＜30000</w:t>
            </w:r>
          </w:p>
        </w:tc>
        <w:tc>
          <w:tcPr>
            <w:tcW w:w="735" w:type="pct"/>
            <w:noWrap w:val="0"/>
            <w:vAlign w:val="center"/>
          </w:tcPr>
          <w:p w14:paraId="675B6946">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100≤Y＜2000</w:t>
            </w:r>
          </w:p>
        </w:tc>
        <w:tc>
          <w:tcPr>
            <w:tcW w:w="480" w:type="pct"/>
            <w:noWrap w:val="0"/>
            <w:vAlign w:val="center"/>
          </w:tcPr>
          <w:p w14:paraId="0EC0782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Y＜100</w:t>
            </w:r>
          </w:p>
        </w:tc>
      </w:tr>
      <w:tr w14:paraId="14FA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pct"/>
            <w:vMerge w:val="restart"/>
            <w:noWrap w:val="0"/>
            <w:vAlign w:val="center"/>
          </w:tcPr>
          <w:p w14:paraId="182E6364">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住宿业</w:t>
            </w:r>
          </w:p>
        </w:tc>
        <w:tc>
          <w:tcPr>
            <w:tcW w:w="951" w:type="pct"/>
            <w:noWrap w:val="0"/>
            <w:vAlign w:val="center"/>
          </w:tcPr>
          <w:p w14:paraId="24507A63">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从业人员(X)</w:t>
            </w:r>
          </w:p>
        </w:tc>
        <w:tc>
          <w:tcPr>
            <w:tcW w:w="428" w:type="pct"/>
            <w:noWrap w:val="0"/>
            <w:vAlign w:val="center"/>
          </w:tcPr>
          <w:p w14:paraId="2E5E6FF0">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人</w:t>
            </w:r>
          </w:p>
        </w:tc>
        <w:tc>
          <w:tcPr>
            <w:tcW w:w="755" w:type="pct"/>
            <w:noWrap w:val="0"/>
            <w:vAlign w:val="center"/>
          </w:tcPr>
          <w:p w14:paraId="6276C7E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X≥300</w:t>
            </w:r>
          </w:p>
        </w:tc>
        <w:tc>
          <w:tcPr>
            <w:tcW w:w="950" w:type="pct"/>
            <w:noWrap w:val="0"/>
            <w:vAlign w:val="center"/>
          </w:tcPr>
          <w:p w14:paraId="6ACD548A">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100≤X＜300</w:t>
            </w:r>
          </w:p>
        </w:tc>
        <w:tc>
          <w:tcPr>
            <w:tcW w:w="735" w:type="pct"/>
            <w:noWrap w:val="0"/>
            <w:vAlign w:val="center"/>
          </w:tcPr>
          <w:p w14:paraId="174B4DC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10≤X＜100</w:t>
            </w:r>
          </w:p>
        </w:tc>
        <w:tc>
          <w:tcPr>
            <w:tcW w:w="480" w:type="pct"/>
            <w:noWrap w:val="0"/>
            <w:vAlign w:val="center"/>
          </w:tcPr>
          <w:p w14:paraId="19CC86A1">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X＜10</w:t>
            </w:r>
          </w:p>
        </w:tc>
      </w:tr>
      <w:tr w14:paraId="6511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97" w:type="pct"/>
            <w:vMerge w:val="continue"/>
            <w:noWrap w:val="0"/>
            <w:vAlign w:val="center"/>
          </w:tcPr>
          <w:p w14:paraId="7C80F61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p>
        </w:tc>
        <w:tc>
          <w:tcPr>
            <w:tcW w:w="951" w:type="pct"/>
            <w:noWrap w:val="0"/>
            <w:vAlign w:val="center"/>
          </w:tcPr>
          <w:p w14:paraId="6A2CD1B4">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营业收入(Y)</w:t>
            </w:r>
          </w:p>
        </w:tc>
        <w:tc>
          <w:tcPr>
            <w:tcW w:w="428" w:type="pct"/>
            <w:noWrap w:val="0"/>
            <w:vAlign w:val="center"/>
          </w:tcPr>
          <w:p w14:paraId="5EE08173">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万元</w:t>
            </w:r>
          </w:p>
        </w:tc>
        <w:tc>
          <w:tcPr>
            <w:tcW w:w="755" w:type="pct"/>
            <w:noWrap w:val="0"/>
            <w:vAlign w:val="center"/>
          </w:tcPr>
          <w:p w14:paraId="6F09CD1E">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Y≥10000</w:t>
            </w:r>
          </w:p>
        </w:tc>
        <w:tc>
          <w:tcPr>
            <w:tcW w:w="950" w:type="pct"/>
            <w:noWrap w:val="0"/>
            <w:vAlign w:val="center"/>
          </w:tcPr>
          <w:p w14:paraId="6F9D14FA">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2000≤Y＜10000</w:t>
            </w:r>
          </w:p>
        </w:tc>
        <w:tc>
          <w:tcPr>
            <w:tcW w:w="735" w:type="pct"/>
            <w:noWrap w:val="0"/>
            <w:vAlign w:val="center"/>
          </w:tcPr>
          <w:p w14:paraId="6160BBF3">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100≤Y＜2000</w:t>
            </w:r>
          </w:p>
        </w:tc>
        <w:tc>
          <w:tcPr>
            <w:tcW w:w="480" w:type="pct"/>
            <w:noWrap w:val="0"/>
            <w:vAlign w:val="center"/>
          </w:tcPr>
          <w:p w14:paraId="3DE107B4">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Y＜100</w:t>
            </w:r>
          </w:p>
        </w:tc>
      </w:tr>
      <w:tr w14:paraId="1E05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97" w:type="pct"/>
            <w:vMerge w:val="restart"/>
            <w:noWrap w:val="0"/>
            <w:vAlign w:val="center"/>
          </w:tcPr>
          <w:p w14:paraId="2A14F2AE">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餐饮业</w:t>
            </w:r>
          </w:p>
        </w:tc>
        <w:tc>
          <w:tcPr>
            <w:tcW w:w="951" w:type="pct"/>
            <w:noWrap w:val="0"/>
            <w:vAlign w:val="center"/>
          </w:tcPr>
          <w:p w14:paraId="0164427D">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从业人员(X)</w:t>
            </w:r>
          </w:p>
        </w:tc>
        <w:tc>
          <w:tcPr>
            <w:tcW w:w="428" w:type="pct"/>
            <w:noWrap w:val="0"/>
            <w:vAlign w:val="center"/>
          </w:tcPr>
          <w:p w14:paraId="52388CB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人</w:t>
            </w:r>
          </w:p>
        </w:tc>
        <w:tc>
          <w:tcPr>
            <w:tcW w:w="755" w:type="pct"/>
            <w:noWrap w:val="0"/>
            <w:vAlign w:val="center"/>
          </w:tcPr>
          <w:p w14:paraId="5CB446E9">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X≥300</w:t>
            </w:r>
          </w:p>
        </w:tc>
        <w:tc>
          <w:tcPr>
            <w:tcW w:w="950" w:type="pct"/>
            <w:noWrap w:val="0"/>
            <w:vAlign w:val="center"/>
          </w:tcPr>
          <w:p w14:paraId="67902AFE">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100≤X＜300</w:t>
            </w:r>
          </w:p>
        </w:tc>
        <w:tc>
          <w:tcPr>
            <w:tcW w:w="735" w:type="pct"/>
            <w:noWrap w:val="0"/>
            <w:vAlign w:val="center"/>
          </w:tcPr>
          <w:p w14:paraId="2265E95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10≤X＜100</w:t>
            </w:r>
          </w:p>
        </w:tc>
        <w:tc>
          <w:tcPr>
            <w:tcW w:w="480" w:type="pct"/>
            <w:noWrap w:val="0"/>
            <w:vAlign w:val="center"/>
          </w:tcPr>
          <w:p w14:paraId="21EF99B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X＜10</w:t>
            </w:r>
          </w:p>
        </w:tc>
      </w:tr>
      <w:tr w14:paraId="17E3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97" w:type="pct"/>
            <w:vMerge w:val="continue"/>
            <w:noWrap w:val="0"/>
            <w:vAlign w:val="center"/>
          </w:tcPr>
          <w:p w14:paraId="1E732F0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p>
        </w:tc>
        <w:tc>
          <w:tcPr>
            <w:tcW w:w="951" w:type="pct"/>
            <w:noWrap w:val="0"/>
            <w:vAlign w:val="center"/>
          </w:tcPr>
          <w:p w14:paraId="05E4D081">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营业收入(Y)</w:t>
            </w:r>
          </w:p>
        </w:tc>
        <w:tc>
          <w:tcPr>
            <w:tcW w:w="428" w:type="pct"/>
            <w:noWrap w:val="0"/>
            <w:vAlign w:val="center"/>
          </w:tcPr>
          <w:p w14:paraId="6417366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万元</w:t>
            </w:r>
          </w:p>
        </w:tc>
        <w:tc>
          <w:tcPr>
            <w:tcW w:w="755" w:type="pct"/>
            <w:noWrap w:val="0"/>
            <w:vAlign w:val="center"/>
          </w:tcPr>
          <w:p w14:paraId="7C861DE9">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Y≥10000</w:t>
            </w:r>
          </w:p>
        </w:tc>
        <w:tc>
          <w:tcPr>
            <w:tcW w:w="950" w:type="pct"/>
            <w:noWrap w:val="0"/>
            <w:vAlign w:val="center"/>
          </w:tcPr>
          <w:p w14:paraId="70B76BF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2000≤Y＜10000</w:t>
            </w:r>
          </w:p>
        </w:tc>
        <w:tc>
          <w:tcPr>
            <w:tcW w:w="735" w:type="pct"/>
            <w:noWrap w:val="0"/>
            <w:vAlign w:val="center"/>
          </w:tcPr>
          <w:p w14:paraId="6AC8A6AE">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100≤Y＜2000</w:t>
            </w:r>
          </w:p>
        </w:tc>
        <w:tc>
          <w:tcPr>
            <w:tcW w:w="480" w:type="pct"/>
            <w:noWrap w:val="0"/>
            <w:vAlign w:val="center"/>
          </w:tcPr>
          <w:p w14:paraId="6FC0C87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Y＜100</w:t>
            </w:r>
          </w:p>
        </w:tc>
      </w:tr>
      <w:tr w14:paraId="481B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97" w:type="pct"/>
            <w:vMerge w:val="restart"/>
            <w:noWrap w:val="0"/>
            <w:vAlign w:val="center"/>
          </w:tcPr>
          <w:p w14:paraId="7E5E8AF0">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信息传输业 *</w:t>
            </w:r>
          </w:p>
        </w:tc>
        <w:tc>
          <w:tcPr>
            <w:tcW w:w="951" w:type="pct"/>
            <w:noWrap w:val="0"/>
            <w:vAlign w:val="center"/>
          </w:tcPr>
          <w:p w14:paraId="7A6FFDC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从业人员(X)</w:t>
            </w:r>
          </w:p>
        </w:tc>
        <w:tc>
          <w:tcPr>
            <w:tcW w:w="428" w:type="pct"/>
            <w:noWrap w:val="0"/>
            <w:vAlign w:val="center"/>
          </w:tcPr>
          <w:p w14:paraId="5EF60E9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人</w:t>
            </w:r>
          </w:p>
        </w:tc>
        <w:tc>
          <w:tcPr>
            <w:tcW w:w="755" w:type="pct"/>
            <w:noWrap w:val="0"/>
            <w:vAlign w:val="center"/>
          </w:tcPr>
          <w:p w14:paraId="0EAC14B9">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X≥2000</w:t>
            </w:r>
          </w:p>
        </w:tc>
        <w:tc>
          <w:tcPr>
            <w:tcW w:w="950" w:type="pct"/>
            <w:noWrap w:val="0"/>
            <w:vAlign w:val="center"/>
          </w:tcPr>
          <w:p w14:paraId="42DD798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100≤X＜2000</w:t>
            </w:r>
          </w:p>
        </w:tc>
        <w:tc>
          <w:tcPr>
            <w:tcW w:w="735" w:type="pct"/>
            <w:noWrap w:val="0"/>
            <w:vAlign w:val="center"/>
          </w:tcPr>
          <w:p w14:paraId="1A20BF9A">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10≤X＜100</w:t>
            </w:r>
          </w:p>
        </w:tc>
        <w:tc>
          <w:tcPr>
            <w:tcW w:w="480" w:type="pct"/>
            <w:noWrap w:val="0"/>
            <w:vAlign w:val="center"/>
          </w:tcPr>
          <w:p w14:paraId="11A91CEC">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X＜10</w:t>
            </w:r>
          </w:p>
        </w:tc>
      </w:tr>
      <w:tr w14:paraId="4887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97" w:type="pct"/>
            <w:vMerge w:val="continue"/>
            <w:noWrap w:val="0"/>
            <w:vAlign w:val="center"/>
          </w:tcPr>
          <w:p w14:paraId="2EE962C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p>
        </w:tc>
        <w:tc>
          <w:tcPr>
            <w:tcW w:w="951" w:type="pct"/>
            <w:noWrap w:val="0"/>
            <w:vAlign w:val="center"/>
          </w:tcPr>
          <w:p w14:paraId="2AA0538E">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营业收入(Y)</w:t>
            </w:r>
          </w:p>
        </w:tc>
        <w:tc>
          <w:tcPr>
            <w:tcW w:w="428" w:type="pct"/>
            <w:noWrap w:val="0"/>
            <w:vAlign w:val="center"/>
          </w:tcPr>
          <w:p w14:paraId="37616F54">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万元</w:t>
            </w:r>
          </w:p>
        </w:tc>
        <w:tc>
          <w:tcPr>
            <w:tcW w:w="755" w:type="pct"/>
            <w:noWrap w:val="0"/>
            <w:vAlign w:val="center"/>
          </w:tcPr>
          <w:p w14:paraId="0F2342C1">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Y≥100000</w:t>
            </w:r>
          </w:p>
        </w:tc>
        <w:tc>
          <w:tcPr>
            <w:tcW w:w="950" w:type="pct"/>
            <w:noWrap w:val="0"/>
            <w:vAlign w:val="center"/>
          </w:tcPr>
          <w:p w14:paraId="41C461A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1000≤Y＜100000</w:t>
            </w:r>
          </w:p>
        </w:tc>
        <w:tc>
          <w:tcPr>
            <w:tcW w:w="735" w:type="pct"/>
            <w:noWrap w:val="0"/>
            <w:vAlign w:val="center"/>
          </w:tcPr>
          <w:p w14:paraId="62E5040E">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100≤Y＜1000</w:t>
            </w:r>
          </w:p>
        </w:tc>
        <w:tc>
          <w:tcPr>
            <w:tcW w:w="480" w:type="pct"/>
            <w:noWrap w:val="0"/>
            <w:vAlign w:val="center"/>
          </w:tcPr>
          <w:p w14:paraId="1D969DED">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Y＜100</w:t>
            </w:r>
          </w:p>
        </w:tc>
      </w:tr>
      <w:tr w14:paraId="7F3F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97" w:type="pct"/>
            <w:vMerge w:val="restart"/>
            <w:noWrap w:val="0"/>
            <w:vAlign w:val="center"/>
          </w:tcPr>
          <w:p w14:paraId="4553A75D">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软件和信息技术服务</w:t>
            </w:r>
          </w:p>
        </w:tc>
        <w:tc>
          <w:tcPr>
            <w:tcW w:w="951" w:type="pct"/>
            <w:noWrap w:val="0"/>
            <w:vAlign w:val="center"/>
          </w:tcPr>
          <w:p w14:paraId="1AB52AA3">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从业人员(X)</w:t>
            </w:r>
          </w:p>
        </w:tc>
        <w:tc>
          <w:tcPr>
            <w:tcW w:w="428" w:type="pct"/>
            <w:noWrap w:val="0"/>
            <w:vAlign w:val="center"/>
          </w:tcPr>
          <w:p w14:paraId="54B3D1E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人</w:t>
            </w:r>
          </w:p>
        </w:tc>
        <w:tc>
          <w:tcPr>
            <w:tcW w:w="755" w:type="pct"/>
            <w:noWrap w:val="0"/>
            <w:vAlign w:val="center"/>
          </w:tcPr>
          <w:p w14:paraId="01335916">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X≥300</w:t>
            </w:r>
          </w:p>
        </w:tc>
        <w:tc>
          <w:tcPr>
            <w:tcW w:w="950" w:type="pct"/>
            <w:noWrap w:val="0"/>
            <w:vAlign w:val="center"/>
          </w:tcPr>
          <w:p w14:paraId="6583110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100≤X＜300</w:t>
            </w:r>
          </w:p>
        </w:tc>
        <w:tc>
          <w:tcPr>
            <w:tcW w:w="735" w:type="pct"/>
            <w:noWrap w:val="0"/>
            <w:vAlign w:val="center"/>
          </w:tcPr>
          <w:p w14:paraId="5E1051BA">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10≤X＜100</w:t>
            </w:r>
          </w:p>
        </w:tc>
        <w:tc>
          <w:tcPr>
            <w:tcW w:w="480" w:type="pct"/>
            <w:noWrap w:val="0"/>
            <w:vAlign w:val="center"/>
          </w:tcPr>
          <w:p w14:paraId="1A1FB0A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X＜10</w:t>
            </w:r>
          </w:p>
        </w:tc>
      </w:tr>
      <w:tr w14:paraId="2B26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97" w:type="pct"/>
            <w:vMerge w:val="continue"/>
            <w:noWrap w:val="0"/>
            <w:vAlign w:val="center"/>
          </w:tcPr>
          <w:p w14:paraId="5252AB59">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p>
        </w:tc>
        <w:tc>
          <w:tcPr>
            <w:tcW w:w="951" w:type="pct"/>
            <w:noWrap w:val="0"/>
            <w:vAlign w:val="center"/>
          </w:tcPr>
          <w:p w14:paraId="3D9F7FCD">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营业收入(Y)</w:t>
            </w:r>
          </w:p>
        </w:tc>
        <w:tc>
          <w:tcPr>
            <w:tcW w:w="428" w:type="pct"/>
            <w:noWrap w:val="0"/>
            <w:vAlign w:val="center"/>
          </w:tcPr>
          <w:p w14:paraId="6341CB30">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万元</w:t>
            </w:r>
          </w:p>
        </w:tc>
        <w:tc>
          <w:tcPr>
            <w:tcW w:w="755" w:type="pct"/>
            <w:noWrap w:val="0"/>
            <w:vAlign w:val="center"/>
          </w:tcPr>
          <w:p w14:paraId="2F8F80A7">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Y≥10000</w:t>
            </w:r>
          </w:p>
        </w:tc>
        <w:tc>
          <w:tcPr>
            <w:tcW w:w="950" w:type="pct"/>
            <w:noWrap w:val="0"/>
            <w:vAlign w:val="center"/>
          </w:tcPr>
          <w:p w14:paraId="5D16CEB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1000≤Y＜10000</w:t>
            </w:r>
          </w:p>
        </w:tc>
        <w:tc>
          <w:tcPr>
            <w:tcW w:w="735" w:type="pct"/>
            <w:noWrap w:val="0"/>
            <w:vAlign w:val="center"/>
          </w:tcPr>
          <w:p w14:paraId="70E11001">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50≤Y＜1000</w:t>
            </w:r>
          </w:p>
        </w:tc>
        <w:tc>
          <w:tcPr>
            <w:tcW w:w="480" w:type="pct"/>
            <w:noWrap w:val="0"/>
            <w:vAlign w:val="center"/>
          </w:tcPr>
          <w:p w14:paraId="4696200A">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Y＜50</w:t>
            </w:r>
          </w:p>
        </w:tc>
      </w:tr>
      <w:tr w14:paraId="220E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97" w:type="pct"/>
            <w:vMerge w:val="restart"/>
            <w:noWrap w:val="0"/>
            <w:vAlign w:val="center"/>
          </w:tcPr>
          <w:p w14:paraId="5BF6760C">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房地产开发经营</w:t>
            </w:r>
          </w:p>
        </w:tc>
        <w:tc>
          <w:tcPr>
            <w:tcW w:w="951" w:type="pct"/>
            <w:noWrap w:val="0"/>
            <w:vAlign w:val="center"/>
          </w:tcPr>
          <w:p w14:paraId="045312AD">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营业收入(Y)</w:t>
            </w:r>
          </w:p>
        </w:tc>
        <w:tc>
          <w:tcPr>
            <w:tcW w:w="428" w:type="pct"/>
            <w:noWrap w:val="0"/>
            <w:vAlign w:val="center"/>
          </w:tcPr>
          <w:p w14:paraId="401D7C80">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万元</w:t>
            </w:r>
          </w:p>
        </w:tc>
        <w:tc>
          <w:tcPr>
            <w:tcW w:w="755" w:type="pct"/>
            <w:noWrap w:val="0"/>
            <w:vAlign w:val="center"/>
          </w:tcPr>
          <w:p w14:paraId="0AFABF1E">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Y≥200000</w:t>
            </w:r>
          </w:p>
        </w:tc>
        <w:tc>
          <w:tcPr>
            <w:tcW w:w="950" w:type="pct"/>
            <w:noWrap w:val="0"/>
            <w:vAlign w:val="center"/>
          </w:tcPr>
          <w:p w14:paraId="6A8FA499">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1000≤Y＜200000</w:t>
            </w:r>
          </w:p>
        </w:tc>
        <w:tc>
          <w:tcPr>
            <w:tcW w:w="735" w:type="pct"/>
            <w:noWrap w:val="0"/>
            <w:vAlign w:val="center"/>
          </w:tcPr>
          <w:p w14:paraId="21BDABF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100≤Y＜1000</w:t>
            </w:r>
          </w:p>
        </w:tc>
        <w:tc>
          <w:tcPr>
            <w:tcW w:w="480" w:type="pct"/>
            <w:noWrap w:val="0"/>
            <w:vAlign w:val="center"/>
          </w:tcPr>
          <w:p w14:paraId="23C20DB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Y＜100</w:t>
            </w:r>
          </w:p>
        </w:tc>
      </w:tr>
      <w:tr w14:paraId="1863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697" w:type="pct"/>
            <w:vMerge w:val="continue"/>
            <w:noWrap w:val="0"/>
            <w:vAlign w:val="center"/>
          </w:tcPr>
          <w:p w14:paraId="2684AE6F">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p>
        </w:tc>
        <w:tc>
          <w:tcPr>
            <w:tcW w:w="951" w:type="pct"/>
            <w:noWrap w:val="0"/>
            <w:vAlign w:val="center"/>
          </w:tcPr>
          <w:p w14:paraId="4A3FE5A3">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资产总额(Z)</w:t>
            </w:r>
          </w:p>
        </w:tc>
        <w:tc>
          <w:tcPr>
            <w:tcW w:w="428" w:type="pct"/>
            <w:noWrap w:val="0"/>
            <w:vAlign w:val="center"/>
          </w:tcPr>
          <w:p w14:paraId="4006FAED">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万元</w:t>
            </w:r>
          </w:p>
        </w:tc>
        <w:tc>
          <w:tcPr>
            <w:tcW w:w="755" w:type="pct"/>
            <w:noWrap w:val="0"/>
            <w:vAlign w:val="center"/>
          </w:tcPr>
          <w:p w14:paraId="22C999D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Z≥10000</w:t>
            </w:r>
          </w:p>
        </w:tc>
        <w:tc>
          <w:tcPr>
            <w:tcW w:w="950" w:type="pct"/>
            <w:noWrap w:val="0"/>
            <w:vAlign w:val="center"/>
          </w:tcPr>
          <w:p w14:paraId="7759EF8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5000≤Z＜10000</w:t>
            </w:r>
          </w:p>
        </w:tc>
        <w:tc>
          <w:tcPr>
            <w:tcW w:w="735" w:type="pct"/>
            <w:noWrap w:val="0"/>
            <w:vAlign w:val="center"/>
          </w:tcPr>
          <w:p w14:paraId="466AA516">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2000≤Z＜5000</w:t>
            </w:r>
          </w:p>
        </w:tc>
        <w:tc>
          <w:tcPr>
            <w:tcW w:w="480" w:type="pct"/>
            <w:noWrap w:val="0"/>
            <w:vAlign w:val="center"/>
          </w:tcPr>
          <w:p w14:paraId="431A2419">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Z＜2000</w:t>
            </w:r>
          </w:p>
        </w:tc>
      </w:tr>
      <w:tr w14:paraId="4338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97" w:type="pct"/>
            <w:vMerge w:val="restart"/>
            <w:noWrap w:val="0"/>
            <w:vAlign w:val="center"/>
          </w:tcPr>
          <w:p w14:paraId="619CD797">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物业管理</w:t>
            </w:r>
          </w:p>
        </w:tc>
        <w:tc>
          <w:tcPr>
            <w:tcW w:w="951" w:type="pct"/>
            <w:noWrap w:val="0"/>
            <w:vAlign w:val="center"/>
          </w:tcPr>
          <w:p w14:paraId="073A5FC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从业人员(X)</w:t>
            </w:r>
          </w:p>
        </w:tc>
        <w:tc>
          <w:tcPr>
            <w:tcW w:w="428" w:type="pct"/>
            <w:noWrap w:val="0"/>
            <w:vAlign w:val="center"/>
          </w:tcPr>
          <w:p w14:paraId="67A4FFD1">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人</w:t>
            </w:r>
          </w:p>
        </w:tc>
        <w:tc>
          <w:tcPr>
            <w:tcW w:w="755" w:type="pct"/>
            <w:noWrap w:val="0"/>
            <w:vAlign w:val="center"/>
          </w:tcPr>
          <w:p w14:paraId="5913EC6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X≥1000</w:t>
            </w:r>
          </w:p>
        </w:tc>
        <w:tc>
          <w:tcPr>
            <w:tcW w:w="950" w:type="pct"/>
            <w:noWrap w:val="0"/>
            <w:vAlign w:val="center"/>
          </w:tcPr>
          <w:p w14:paraId="25C0FB2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300≤X＜1000</w:t>
            </w:r>
          </w:p>
        </w:tc>
        <w:tc>
          <w:tcPr>
            <w:tcW w:w="735" w:type="pct"/>
            <w:noWrap w:val="0"/>
            <w:vAlign w:val="center"/>
          </w:tcPr>
          <w:p w14:paraId="044E50C0">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100≤X＜300</w:t>
            </w:r>
          </w:p>
        </w:tc>
        <w:tc>
          <w:tcPr>
            <w:tcW w:w="480" w:type="pct"/>
            <w:noWrap w:val="0"/>
            <w:vAlign w:val="center"/>
          </w:tcPr>
          <w:p w14:paraId="7E72DD7C">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X＜100</w:t>
            </w:r>
          </w:p>
        </w:tc>
      </w:tr>
      <w:tr w14:paraId="0AB5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97" w:type="pct"/>
            <w:vMerge w:val="continue"/>
            <w:noWrap w:val="0"/>
            <w:vAlign w:val="center"/>
          </w:tcPr>
          <w:p w14:paraId="053837D0">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p>
        </w:tc>
        <w:tc>
          <w:tcPr>
            <w:tcW w:w="951" w:type="pct"/>
            <w:noWrap w:val="0"/>
            <w:vAlign w:val="center"/>
          </w:tcPr>
          <w:p w14:paraId="543C2D36">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营业收入(Y)</w:t>
            </w:r>
          </w:p>
        </w:tc>
        <w:tc>
          <w:tcPr>
            <w:tcW w:w="428" w:type="pct"/>
            <w:noWrap w:val="0"/>
            <w:vAlign w:val="center"/>
          </w:tcPr>
          <w:p w14:paraId="5D7E5DDD">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万元</w:t>
            </w:r>
          </w:p>
        </w:tc>
        <w:tc>
          <w:tcPr>
            <w:tcW w:w="755" w:type="pct"/>
            <w:noWrap w:val="0"/>
            <w:vAlign w:val="center"/>
          </w:tcPr>
          <w:p w14:paraId="3EA4FEE3">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Y≥5000</w:t>
            </w:r>
          </w:p>
        </w:tc>
        <w:tc>
          <w:tcPr>
            <w:tcW w:w="950" w:type="pct"/>
            <w:noWrap w:val="0"/>
            <w:vAlign w:val="center"/>
          </w:tcPr>
          <w:p w14:paraId="21192557">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1000≤Y＜5000</w:t>
            </w:r>
          </w:p>
        </w:tc>
        <w:tc>
          <w:tcPr>
            <w:tcW w:w="735" w:type="pct"/>
            <w:noWrap w:val="0"/>
            <w:vAlign w:val="center"/>
          </w:tcPr>
          <w:p w14:paraId="53E0FCFA">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500≤Y＜1000</w:t>
            </w:r>
          </w:p>
        </w:tc>
        <w:tc>
          <w:tcPr>
            <w:tcW w:w="480" w:type="pct"/>
            <w:noWrap w:val="0"/>
            <w:vAlign w:val="center"/>
          </w:tcPr>
          <w:p w14:paraId="42BE63D0">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Y＜500</w:t>
            </w:r>
          </w:p>
        </w:tc>
      </w:tr>
      <w:tr w14:paraId="72CE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97" w:type="pct"/>
            <w:vMerge w:val="restart"/>
            <w:noWrap w:val="0"/>
            <w:vAlign w:val="center"/>
          </w:tcPr>
          <w:p w14:paraId="24524D67">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租赁和商务服务业</w:t>
            </w:r>
          </w:p>
        </w:tc>
        <w:tc>
          <w:tcPr>
            <w:tcW w:w="951" w:type="pct"/>
            <w:noWrap w:val="0"/>
            <w:vAlign w:val="center"/>
          </w:tcPr>
          <w:p w14:paraId="22540B10">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从业人员(X)</w:t>
            </w:r>
          </w:p>
        </w:tc>
        <w:tc>
          <w:tcPr>
            <w:tcW w:w="428" w:type="pct"/>
            <w:noWrap w:val="0"/>
            <w:vAlign w:val="center"/>
          </w:tcPr>
          <w:p w14:paraId="55715B7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人</w:t>
            </w:r>
          </w:p>
        </w:tc>
        <w:tc>
          <w:tcPr>
            <w:tcW w:w="755" w:type="pct"/>
            <w:noWrap w:val="0"/>
            <w:vAlign w:val="center"/>
          </w:tcPr>
          <w:p w14:paraId="75D44B19">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X≥300</w:t>
            </w:r>
          </w:p>
        </w:tc>
        <w:tc>
          <w:tcPr>
            <w:tcW w:w="950" w:type="pct"/>
            <w:noWrap w:val="0"/>
            <w:vAlign w:val="center"/>
          </w:tcPr>
          <w:p w14:paraId="4681575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100≤X＜300</w:t>
            </w:r>
          </w:p>
        </w:tc>
        <w:tc>
          <w:tcPr>
            <w:tcW w:w="735" w:type="pct"/>
            <w:noWrap w:val="0"/>
            <w:vAlign w:val="center"/>
          </w:tcPr>
          <w:p w14:paraId="7E56BF1B">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10≤X＜100</w:t>
            </w:r>
          </w:p>
        </w:tc>
        <w:tc>
          <w:tcPr>
            <w:tcW w:w="480" w:type="pct"/>
            <w:noWrap w:val="0"/>
            <w:vAlign w:val="center"/>
          </w:tcPr>
          <w:p w14:paraId="539A8713">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X＜10</w:t>
            </w:r>
          </w:p>
        </w:tc>
      </w:tr>
      <w:tr w14:paraId="1919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97" w:type="pct"/>
            <w:vMerge w:val="continue"/>
            <w:noWrap w:val="0"/>
            <w:vAlign w:val="center"/>
          </w:tcPr>
          <w:p w14:paraId="6917542D">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p>
        </w:tc>
        <w:tc>
          <w:tcPr>
            <w:tcW w:w="951" w:type="pct"/>
            <w:noWrap w:val="0"/>
            <w:vAlign w:val="center"/>
          </w:tcPr>
          <w:p w14:paraId="00D8EB8D">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资产总额(Z)</w:t>
            </w:r>
          </w:p>
        </w:tc>
        <w:tc>
          <w:tcPr>
            <w:tcW w:w="428" w:type="pct"/>
            <w:noWrap w:val="0"/>
            <w:vAlign w:val="center"/>
          </w:tcPr>
          <w:p w14:paraId="3F5F79B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万元</w:t>
            </w:r>
          </w:p>
        </w:tc>
        <w:tc>
          <w:tcPr>
            <w:tcW w:w="755" w:type="pct"/>
            <w:noWrap w:val="0"/>
            <w:vAlign w:val="center"/>
          </w:tcPr>
          <w:p w14:paraId="56715A42">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Z≥120000</w:t>
            </w:r>
          </w:p>
        </w:tc>
        <w:tc>
          <w:tcPr>
            <w:tcW w:w="950" w:type="pct"/>
            <w:noWrap w:val="0"/>
            <w:vAlign w:val="center"/>
          </w:tcPr>
          <w:p w14:paraId="21E43BDF">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8000≤Z＜120000</w:t>
            </w:r>
          </w:p>
        </w:tc>
        <w:tc>
          <w:tcPr>
            <w:tcW w:w="735" w:type="pct"/>
            <w:noWrap w:val="0"/>
            <w:vAlign w:val="center"/>
          </w:tcPr>
          <w:p w14:paraId="7C9E1974">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100≤Z＜8000</w:t>
            </w:r>
          </w:p>
        </w:tc>
        <w:tc>
          <w:tcPr>
            <w:tcW w:w="480" w:type="pct"/>
            <w:noWrap w:val="0"/>
            <w:vAlign w:val="center"/>
          </w:tcPr>
          <w:p w14:paraId="695B247C">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Z＜100</w:t>
            </w:r>
          </w:p>
        </w:tc>
      </w:tr>
      <w:tr w14:paraId="0CC3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97" w:type="pct"/>
            <w:noWrap w:val="0"/>
            <w:vAlign w:val="center"/>
          </w:tcPr>
          <w:p w14:paraId="3A4B5709">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其他未列明行业 *</w:t>
            </w:r>
          </w:p>
        </w:tc>
        <w:tc>
          <w:tcPr>
            <w:tcW w:w="951" w:type="pct"/>
            <w:noWrap w:val="0"/>
            <w:vAlign w:val="center"/>
          </w:tcPr>
          <w:p w14:paraId="34C5FB3E">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从业人员(X)</w:t>
            </w:r>
          </w:p>
        </w:tc>
        <w:tc>
          <w:tcPr>
            <w:tcW w:w="428" w:type="pct"/>
            <w:noWrap w:val="0"/>
            <w:vAlign w:val="center"/>
          </w:tcPr>
          <w:p w14:paraId="41AFCC0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人</w:t>
            </w:r>
          </w:p>
        </w:tc>
        <w:tc>
          <w:tcPr>
            <w:tcW w:w="755" w:type="pct"/>
            <w:noWrap w:val="0"/>
            <w:vAlign w:val="center"/>
          </w:tcPr>
          <w:p w14:paraId="04E626A5">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X≥300</w:t>
            </w:r>
          </w:p>
        </w:tc>
        <w:tc>
          <w:tcPr>
            <w:tcW w:w="950" w:type="pct"/>
            <w:noWrap w:val="0"/>
            <w:vAlign w:val="center"/>
          </w:tcPr>
          <w:p w14:paraId="239CB108">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100≤X＜300</w:t>
            </w:r>
          </w:p>
        </w:tc>
        <w:tc>
          <w:tcPr>
            <w:tcW w:w="735" w:type="pct"/>
            <w:noWrap w:val="0"/>
            <w:vAlign w:val="center"/>
          </w:tcPr>
          <w:p w14:paraId="311A4287">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10≤X＜100</w:t>
            </w:r>
          </w:p>
        </w:tc>
        <w:tc>
          <w:tcPr>
            <w:tcW w:w="480" w:type="pct"/>
            <w:noWrap w:val="0"/>
            <w:vAlign w:val="center"/>
          </w:tcPr>
          <w:p w14:paraId="0F389173">
            <w:pPr>
              <w:widowControl w:val="0"/>
              <w:spacing w:before="95" w:line="360" w:lineRule="auto"/>
              <w:jc w:val="center"/>
              <w:rPr>
                <w:rFonts w:hint="eastAsia" w:asciiTheme="minorEastAsia" w:hAnsiTheme="minorEastAsia" w:eastAsiaTheme="minorEastAsia" w:cstheme="minorEastAsia"/>
                <w:i w:val="0"/>
                <w:iCs w:val="0"/>
                <w:kern w:val="2"/>
                <w:sz w:val="24"/>
                <w:szCs w:val="22"/>
                <w:u w:val="none"/>
                <w:lang w:val="en-US" w:eastAsia="zh-CN" w:bidi="ar-SA"/>
              </w:rPr>
            </w:pPr>
            <w:r>
              <w:rPr>
                <w:rFonts w:hint="eastAsia" w:asciiTheme="minorEastAsia" w:hAnsiTheme="minorEastAsia" w:eastAsiaTheme="minorEastAsia" w:cstheme="minorEastAsia"/>
                <w:i w:val="0"/>
                <w:iCs w:val="0"/>
                <w:kern w:val="2"/>
                <w:sz w:val="24"/>
                <w:szCs w:val="22"/>
                <w:u w:val="none"/>
                <w:lang w:val="en-US" w:eastAsia="zh-CN" w:bidi="ar-SA"/>
              </w:rPr>
              <w:t>X＜10</w:t>
            </w:r>
          </w:p>
        </w:tc>
      </w:tr>
    </w:tbl>
    <w:p w14:paraId="1FEBEBAC">
      <w:pPr>
        <w:keepNext w:val="0"/>
        <w:keepLines w:val="0"/>
        <w:pageBreakBefore w:val="0"/>
        <w:widowControl w:val="0"/>
        <w:kinsoku w:val="0"/>
        <w:wordWrap/>
        <w:overflowPunct/>
        <w:topLinePunct w:val="0"/>
        <w:autoSpaceDE w:val="0"/>
        <w:autoSpaceDN w:val="0"/>
        <w:bidi w:val="0"/>
        <w:adjustRightInd w:val="0"/>
        <w:snapToGrid w:val="0"/>
        <w:spacing w:before="95" w:line="336" w:lineRule="auto"/>
        <w:ind w:firstLine="472" w:firstLineChars="200"/>
        <w:jc w:val="left"/>
        <w:textAlignment w:val="baseline"/>
        <w:rPr>
          <w:rFonts w:hint="eastAsia" w:asciiTheme="minorEastAsia" w:hAnsiTheme="minorEastAsia" w:eastAsiaTheme="minorEastAsia" w:cstheme="minorEastAsia"/>
          <w:i w:val="0"/>
          <w:iCs w:val="0"/>
          <w:color w:val="333333"/>
          <w:spacing w:val="-2"/>
          <w:sz w:val="24"/>
          <w:szCs w:val="24"/>
        </w:rPr>
      </w:pPr>
      <w:r>
        <w:rPr>
          <w:rFonts w:hint="eastAsia" w:asciiTheme="minorEastAsia" w:hAnsiTheme="minorEastAsia" w:eastAsiaTheme="minorEastAsia" w:cstheme="minorEastAsia"/>
          <w:i w:val="0"/>
          <w:iCs w:val="0"/>
          <w:color w:val="333333"/>
          <w:spacing w:val="-2"/>
          <w:sz w:val="24"/>
          <w:szCs w:val="24"/>
        </w:rPr>
        <w:t>说明：</w:t>
      </w:r>
    </w:p>
    <w:p w14:paraId="64684498">
      <w:pPr>
        <w:keepNext w:val="0"/>
        <w:keepLines w:val="0"/>
        <w:pageBreakBefore w:val="0"/>
        <w:widowControl w:val="0"/>
        <w:kinsoku w:val="0"/>
        <w:wordWrap/>
        <w:overflowPunct/>
        <w:topLinePunct w:val="0"/>
        <w:autoSpaceDE w:val="0"/>
        <w:autoSpaceDN w:val="0"/>
        <w:bidi w:val="0"/>
        <w:adjustRightInd w:val="0"/>
        <w:snapToGrid w:val="0"/>
        <w:spacing w:before="95" w:line="336" w:lineRule="auto"/>
        <w:ind w:firstLine="472" w:firstLineChars="200"/>
        <w:jc w:val="left"/>
        <w:textAlignment w:val="baseline"/>
        <w:rPr>
          <w:rFonts w:hint="eastAsia" w:asciiTheme="minorEastAsia" w:hAnsiTheme="minorEastAsia" w:eastAsiaTheme="minorEastAsia" w:cstheme="minorEastAsia"/>
          <w:i w:val="0"/>
          <w:iCs w:val="0"/>
          <w:color w:val="333333"/>
          <w:spacing w:val="-2"/>
          <w:sz w:val="24"/>
          <w:szCs w:val="24"/>
        </w:rPr>
      </w:pPr>
      <w:r>
        <w:rPr>
          <w:rFonts w:hint="eastAsia" w:asciiTheme="minorEastAsia" w:hAnsiTheme="minorEastAsia" w:eastAsiaTheme="minorEastAsia" w:cstheme="minorEastAsia"/>
          <w:i w:val="0"/>
          <w:iCs w:val="0"/>
          <w:color w:val="333333"/>
          <w:spacing w:val="-2"/>
          <w:sz w:val="24"/>
          <w:szCs w:val="24"/>
        </w:rPr>
        <w:t>1.大型、中型和小型企业须同时满足所列指标的下限，否则下划一档；微型企业只须满足所列指标中的一项即可。</w:t>
      </w:r>
    </w:p>
    <w:p w14:paraId="6483DA89">
      <w:pPr>
        <w:keepNext w:val="0"/>
        <w:keepLines w:val="0"/>
        <w:pageBreakBefore w:val="0"/>
        <w:widowControl w:val="0"/>
        <w:kinsoku w:val="0"/>
        <w:wordWrap/>
        <w:overflowPunct/>
        <w:topLinePunct w:val="0"/>
        <w:autoSpaceDE w:val="0"/>
        <w:autoSpaceDN w:val="0"/>
        <w:bidi w:val="0"/>
        <w:adjustRightInd w:val="0"/>
        <w:snapToGrid w:val="0"/>
        <w:spacing w:before="95" w:line="336" w:lineRule="auto"/>
        <w:ind w:firstLine="472" w:firstLineChars="200"/>
        <w:jc w:val="left"/>
        <w:textAlignment w:val="baseline"/>
        <w:rPr>
          <w:rFonts w:hint="eastAsia" w:asciiTheme="minorEastAsia" w:hAnsiTheme="minorEastAsia" w:eastAsiaTheme="minorEastAsia" w:cstheme="minorEastAsia"/>
          <w:i w:val="0"/>
          <w:iCs w:val="0"/>
          <w:color w:val="333333"/>
          <w:spacing w:val="-2"/>
          <w:sz w:val="24"/>
          <w:szCs w:val="24"/>
        </w:rPr>
      </w:pPr>
      <w:r>
        <w:rPr>
          <w:rFonts w:hint="eastAsia" w:asciiTheme="minorEastAsia" w:hAnsiTheme="minorEastAsia" w:eastAsiaTheme="minorEastAsia" w:cstheme="minorEastAsia"/>
          <w:i w:val="0"/>
          <w:iCs w:val="0"/>
          <w:color w:val="333333"/>
          <w:spacing w:val="-2"/>
          <w:sz w:val="24"/>
          <w:szCs w:val="24"/>
        </w:rPr>
        <w:t>2.附表中各行业的范围以《国民经济行业分类》(GB/T4754-2017)为准。带*的项为行业组合类别，其中，工业包括采矿业，制造业，电力、热 生产和供应业；交通运输业包括道路运输业，水上运输业，航空运输业，管道运输业，多式联运和运输代理业、装卸搬运，不包括铁路运输业；仓储</w:t>
      </w:r>
      <w:r>
        <w:rPr>
          <w:rFonts w:hint="eastAsia" w:asciiTheme="minorEastAsia" w:hAnsiTheme="minorEastAsia" w:eastAsiaTheme="minorEastAsia" w:cstheme="minorEastAsia"/>
          <w:i w:val="0"/>
          <w:iCs w:val="0"/>
          <w:color w:val="333333"/>
          <w:spacing w:val="-2"/>
          <w:sz w:val="24"/>
          <w:szCs w:val="24"/>
          <w:lang w:val="en-US" w:eastAsia="zh-CN"/>
        </w:rPr>
        <w:t>业包括通用</w:t>
      </w:r>
      <w:r>
        <w:rPr>
          <w:rFonts w:hint="eastAsia" w:asciiTheme="minorEastAsia" w:hAnsiTheme="minorEastAsia" w:eastAsiaTheme="minorEastAsia" w:cstheme="minorEastAsia"/>
          <w:i w:val="0"/>
          <w:iCs w:val="0"/>
          <w:color w:val="333333"/>
          <w:spacing w:val="-2"/>
          <w:sz w:val="24"/>
          <w:szCs w:val="24"/>
        </w:rPr>
        <w:t>仓储，低温仓储，危险品仓储，谷物、棉花等农产品仓储，中药材仓储和其他仓储业;信息传输业包括电信、广播电视和卫星传输服务，互联网和相关服 明行业包括科学研究和技术服务业，水利、环境和公共设施管理业，居民服务、修理和其他服务业，社会工作，文化、体育和娱乐业，以及房地产中房地产业等，不包括自有房地产经营活动。</w:t>
      </w:r>
    </w:p>
    <w:p w14:paraId="75EB3A18">
      <w:pPr>
        <w:keepNext w:val="0"/>
        <w:keepLines w:val="0"/>
        <w:pageBreakBefore w:val="0"/>
        <w:widowControl w:val="0"/>
        <w:kinsoku w:val="0"/>
        <w:wordWrap/>
        <w:overflowPunct/>
        <w:topLinePunct w:val="0"/>
        <w:autoSpaceDE w:val="0"/>
        <w:autoSpaceDN w:val="0"/>
        <w:bidi w:val="0"/>
        <w:adjustRightInd w:val="0"/>
        <w:snapToGrid w:val="0"/>
        <w:spacing w:before="95" w:line="336" w:lineRule="auto"/>
        <w:ind w:firstLine="472" w:firstLineChars="200"/>
        <w:jc w:val="left"/>
        <w:textAlignment w:val="baseline"/>
        <w:rPr>
          <w:rFonts w:hint="eastAsia" w:asciiTheme="minorEastAsia" w:hAnsiTheme="minorEastAsia" w:eastAsiaTheme="minorEastAsia" w:cstheme="minorEastAsia"/>
          <w:i w:val="0"/>
          <w:iCs w:val="0"/>
          <w:color w:val="333333"/>
          <w:spacing w:val="-2"/>
          <w:sz w:val="24"/>
          <w:szCs w:val="24"/>
        </w:rPr>
      </w:pPr>
      <w:r>
        <w:rPr>
          <w:rFonts w:hint="eastAsia" w:asciiTheme="minorEastAsia" w:hAnsiTheme="minorEastAsia" w:eastAsiaTheme="minorEastAsia" w:cstheme="minorEastAsia"/>
          <w:i w:val="0"/>
          <w:iCs w:val="0"/>
          <w:color w:val="333333"/>
          <w:spacing w:val="-2"/>
          <w:sz w:val="24"/>
          <w:szCs w:val="24"/>
        </w:rPr>
        <w:t>3.企业划分指标以现行统计制度为准。</w:t>
      </w:r>
    </w:p>
    <w:p w14:paraId="5757E8E1">
      <w:pPr>
        <w:keepNext w:val="0"/>
        <w:keepLines w:val="0"/>
        <w:pageBreakBefore w:val="0"/>
        <w:widowControl w:val="0"/>
        <w:kinsoku w:val="0"/>
        <w:wordWrap/>
        <w:overflowPunct/>
        <w:topLinePunct w:val="0"/>
        <w:autoSpaceDE w:val="0"/>
        <w:autoSpaceDN w:val="0"/>
        <w:bidi w:val="0"/>
        <w:adjustRightInd w:val="0"/>
        <w:snapToGrid w:val="0"/>
        <w:spacing w:before="95" w:line="336" w:lineRule="auto"/>
        <w:ind w:firstLine="472" w:firstLineChars="200"/>
        <w:jc w:val="left"/>
        <w:textAlignment w:val="baseline"/>
        <w:rPr>
          <w:rFonts w:hint="eastAsia" w:asciiTheme="minorEastAsia" w:hAnsiTheme="minorEastAsia" w:eastAsiaTheme="minorEastAsia" w:cstheme="minorEastAsia"/>
          <w:i w:val="0"/>
          <w:iCs w:val="0"/>
          <w:color w:val="333333"/>
          <w:spacing w:val="-2"/>
          <w:sz w:val="24"/>
          <w:szCs w:val="24"/>
        </w:rPr>
      </w:pPr>
      <w:r>
        <w:rPr>
          <w:rFonts w:hint="eastAsia" w:asciiTheme="minorEastAsia" w:hAnsiTheme="minorEastAsia" w:eastAsiaTheme="minorEastAsia" w:cstheme="minorEastAsia"/>
          <w:i w:val="0"/>
          <w:iCs w:val="0"/>
          <w:color w:val="333333"/>
          <w:spacing w:val="-2"/>
          <w:sz w:val="24"/>
          <w:szCs w:val="24"/>
        </w:rPr>
        <w:t>(1)从业人员，是指期末从业人员数，没有期末从业人员数的，采用全年平均人员数代替。</w:t>
      </w:r>
    </w:p>
    <w:p w14:paraId="6A6B0969">
      <w:pPr>
        <w:keepNext w:val="0"/>
        <w:keepLines w:val="0"/>
        <w:pageBreakBefore w:val="0"/>
        <w:widowControl w:val="0"/>
        <w:kinsoku w:val="0"/>
        <w:wordWrap/>
        <w:overflowPunct/>
        <w:topLinePunct w:val="0"/>
        <w:autoSpaceDE w:val="0"/>
        <w:autoSpaceDN w:val="0"/>
        <w:bidi w:val="0"/>
        <w:adjustRightInd w:val="0"/>
        <w:snapToGrid w:val="0"/>
        <w:spacing w:before="95" w:line="336" w:lineRule="auto"/>
        <w:ind w:firstLine="472" w:firstLineChars="200"/>
        <w:jc w:val="left"/>
        <w:textAlignment w:val="baseline"/>
        <w:rPr>
          <w:rFonts w:hint="eastAsia" w:asciiTheme="minorEastAsia" w:hAnsiTheme="minorEastAsia" w:eastAsiaTheme="minorEastAsia" w:cstheme="minorEastAsia"/>
          <w:i w:val="0"/>
          <w:iCs w:val="0"/>
          <w:color w:val="333333"/>
          <w:spacing w:val="-2"/>
          <w:sz w:val="24"/>
          <w:szCs w:val="24"/>
        </w:rPr>
      </w:pPr>
      <w:r>
        <w:rPr>
          <w:rFonts w:hint="eastAsia" w:asciiTheme="minorEastAsia" w:hAnsiTheme="minorEastAsia" w:eastAsiaTheme="minorEastAsia" w:cstheme="minorEastAsia"/>
          <w:i w:val="0"/>
          <w:iCs w:val="0"/>
          <w:color w:val="333333"/>
          <w:spacing w:val="-2"/>
          <w:sz w:val="24"/>
          <w:szCs w:val="24"/>
        </w:rPr>
        <w:t>(2)营业收入，工业、建筑业、限额以上批发和零售业、限额以上住宿和餐饮业以及其他设置主营业务收入指标的行业，采用主营业务收入；限额 零售业企业采用商品销售额代替；限额以下住宿与餐饮业企业采用营业额代替；农、林、牧、渔业企业采用营业总收入代替；其他未设置主营业务收用营业收入指标。</w:t>
      </w:r>
    </w:p>
    <w:p w14:paraId="5867700E">
      <w:pPr>
        <w:pStyle w:val="16"/>
        <w:rPr>
          <w:rFonts w:hint="eastAsia"/>
          <w:lang w:val="en-US" w:eastAsia="zh-CN"/>
        </w:rPr>
      </w:pPr>
      <w:bookmarkStart w:id="217" w:name="_Toc6825"/>
      <w:bookmarkStart w:id="218" w:name="_Toc3496"/>
      <w:r>
        <w:rPr>
          <w:rFonts w:hint="eastAsia" w:asciiTheme="minorEastAsia" w:hAnsiTheme="minorEastAsia" w:eastAsiaTheme="minorEastAsia" w:cstheme="minorEastAsia"/>
          <w:b w:val="0"/>
          <w:bCs w:val="0"/>
          <w:i w:val="0"/>
          <w:iCs w:val="0"/>
          <w:color w:val="333333"/>
          <w:spacing w:val="-2"/>
          <w:sz w:val="24"/>
          <w:szCs w:val="24"/>
        </w:rPr>
        <w:t>(3)资产总额，采用资产总计代替。</w:t>
      </w:r>
      <w:bookmarkEnd w:id="217"/>
      <w:bookmarkEnd w:id="218"/>
    </w:p>
    <w:p w14:paraId="0EC6C2BF">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356A68D1">
      <w:pPr>
        <w:pStyle w:val="7"/>
        <w:bidi w:val="0"/>
        <w:jc w:val="center"/>
        <w:rPr>
          <w:rFonts w:hint="eastAsia"/>
          <w:lang w:val="en-US" w:eastAsia="zh-CN"/>
        </w:rPr>
      </w:pPr>
      <w:bookmarkStart w:id="219" w:name="_Toc406058178"/>
      <w:bookmarkStart w:id="220" w:name="_Toc29826"/>
      <w:bookmarkStart w:id="221" w:name="_Toc5021"/>
      <w:bookmarkStart w:id="222" w:name="_Toc463859543"/>
      <w:bookmarkStart w:id="223" w:name="_Toc4593"/>
      <w:bookmarkStart w:id="224" w:name="_Toc27225"/>
      <w:bookmarkStart w:id="225" w:name="_Toc475970897"/>
      <w:bookmarkStart w:id="226" w:name="_Toc15827"/>
      <w:r>
        <w:rPr>
          <w:rFonts w:hint="eastAsia" w:ascii="宋体" w:hAnsi="宋体" w:eastAsia="宋体" w:cs="宋体"/>
          <w:sz w:val="28"/>
          <w:szCs w:val="28"/>
          <w:lang w:val="en-US" w:eastAsia="zh-CN"/>
        </w:rPr>
        <w:t>8、省级以上监狱管理局、戒毒管理局（含新疆生产建设兵团）出具的属于监狱企业证明文件</w:t>
      </w:r>
      <w:bookmarkEnd w:id="219"/>
      <w:bookmarkEnd w:id="220"/>
      <w:bookmarkEnd w:id="221"/>
      <w:bookmarkEnd w:id="222"/>
      <w:bookmarkEnd w:id="223"/>
      <w:bookmarkEnd w:id="224"/>
      <w:bookmarkEnd w:id="225"/>
      <w:bookmarkEnd w:id="226"/>
    </w:p>
    <w:p w14:paraId="3AAACADA">
      <w:pPr>
        <w:bidi w:val="0"/>
        <w:spacing w:line="360" w:lineRule="auto"/>
        <w:rPr>
          <w:rFonts w:hint="eastAsia"/>
          <w:b/>
          <w:bCs/>
          <w:sz w:val="24"/>
          <w:szCs w:val="24"/>
          <w:lang w:val="en-US" w:eastAsia="zh-CN"/>
        </w:rPr>
      </w:pPr>
    </w:p>
    <w:p w14:paraId="490FB3C5">
      <w:pPr>
        <w:bidi w:val="0"/>
        <w:spacing w:line="360" w:lineRule="auto"/>
        <w:rPr>
          <w:rFonts w:hint="eastAsia"/>
          <w:b/>
          <w:bCs/>
          <w:sz w:val="24"/>
          <w:szCs w:val="24"/>
          <w:lang w:val="en-US" w:eastAsia="zh-CN"/>
        </w:rPr>
      </w:pPr>
    </w:p>
    <w:p w14:paraId="1F4061FE">
      <w:pPr>
        <w:bidi w:val="0"/>
        <w:spacing w:line="360" w:lineRule="auto"/>
        <w:rPr>
          <w:rFonts w:hint="eastAsia"/>
          <w:b/>
          <w:bCs/>
          <w:sz w:val="24"/>
          <w:szCs w:val="24"/>
          <w:lang w:val="en-US" w:eastAsia="zh-CN"/>
        </w:rPr>
      </w:pPr>
    </w:p>
    <w:p w14:paraId="5B00543F">
      <w:pPr>
        <w:bidi w:val="0"/>
        <w:spacing w:line="360" w:lineRule="auto"/>
        <w:rPr>
          <w:rFonts w:hint="eastAsia"/>
          <w:b/>
          <w:bCs/>
          <w:sz w:val="24"/>
          <w:szCs w:val="24"/>
          <w:lang w:val="en-US" w:eastAsia="zh-CN"/>
        </w:rPr>
      </w:pPr>
    </w:p>
    <w:p w14:paraId="63B4485C">
      <w:pPr>
        <w:bidi w:val="0"/>
        <w:spacing w:line="360" w:lineRule="auto"/>
        <w:rPr>
          <w:rFonts w:hint="eastAsia"/>
          <w:b/>
          <w:bCs/>
          <w:sz w:val="24"/>
          <w:szCs w:val="24"/>
          <w:lang w:val="en-US" w:eastAsia="zh-CN"/>
        </w:rPr>
      </w:pPr>
    </w:p>
    <w:p w14:paraId="192E091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sz w:val="24"/>
          <w:szCs w:val="24"/>
          <w:lang w:val="en-US" w:eastAsia="zh-CN"/>
        </w:rPr>
      </w:pPr>
      <w:r>
        <w:rPr>
          <w:rFonts w:hint="eastAsia"/>
          <w:b/>
          <w:bCs/>
          <w:sz w:val="24"/>
          <w:szCs w:val="24"/>
          <w:lang w:val="en-US" w:eastAsia="zh-CN"/>
        </w:rPr>
        <w:t>注</w:t>
      </w:r>
      <w:r>
        <w:rPr>
          <w:rFonts w:hint="eastAsia"/>
          <w:sz w:val="24"/>
          <w:szCs w:val="24"/>
          <w:lang w:val="en-US" w:eastAsia="zh-CN"/>
        </w:rPr>
        <w:t>：1、省级以上监狱管理局、戒毒管理局（含新疆生产建设兵团）出具的属于监狱企业证明文件格式由出具单位提供；</w:t>
      </w:r>
    </w:p>
    <w:p w14:paraId="427824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2、不属于监狱企业的不需提供。</w:t>
      </w:r>
    </w:p>
    <w:p w14:paraId="509293FA">
      <w:pPr>
        <w:rPr>
          <w:rFonts w:hint="eastAsia"/>
          <w:sz w:val="24"/>
          <w:szCs w:val="24"/>
          <w:lang w:val="en-US" w:eastAsia="zh-CN"/>
        </w:rPr>
      </w:pPr>
      <w:r>
        <w:rPr>
          <w:rFonts w:hint="eastAsia"/>
          <w:sz w:val="24"/>
          <w:szCs w:val="24"/>
          <w:lang w:val="en-US" w:eastAsia="zh-CN"/>
        </w:rPr>
        <w:br w:type="page"/>
      </w:r>
    </w:p>
    <w:p w14:paraId="174D55E2">
      <w:pPr>
        <w:pStyle w:val="7"/>
        <w:bidi w:val="0"/>
        <w:jc w:val="center"/>
        <w:rPr>
          <w:rFonts w:hint="eastAsia" w:ascii="宋体" w:hAnsi="宋体" w:eastAsia="宋体" w:cs="宋体"/>
          <w:b/>
          <w:bCs/>
          <w:szCs w:val="28"/>
          <w:lang w:val="en-US" w:eastAsia="zh-CN"/>
        </w:rPr>
      </w:pPr>
      <w:bookmarkStart w:id="227" w:name="_Toc9968"/>
      <w:bookmarkStart w:id="228" w:name="_Toc8063"/>
      <w:r>
        <w:rPr>
          <w:rFonts w:hint="eastAsia" w:ascii="宋体" w:hAnsi="宋体" w:eastAsia="宋体" w:cs="宋体"/>
          <w:sz w:val="28"/>
          <w:szCs w:val="28"/>
          <w:lang w:val="en-US" w:eastAsia="zh-CN"/>
        </w:rPr>
        <w:t>9、残疾人福利性单位声明函</w:t>
      </w:r>
      <w:bookmarkEnd w:id="227"/>
      <w:bookmarkEnd w:id="228"/>
    </w:p>
    <w:p w14:paraId="520B11BA">
      <w:pPr>
        <w:numPr>
          <w:ilvl w:val="0"/>
          <w:numId w:val="0"/>
        </w:numPr>
        <w:bidi w:val="0"/>
        <w:jc w:val="center"/>
        <w:rPr>
          <w:rFonts w:hint="eastAsia" w:ascii="宋体" w:hAnsi="宋体" w:eastAsia="宋体" w:cs="宋体"/>
          <w:b/>
          <w:bCs/>
          <w:sz w:val="28"/>
          <w:szCs w:val="28"/>
          <w:lang w:val="en-US" w:eastAsia="zh-CN"/>
        </w:rPr>
      </w:pPr>
    </w:p>
    <w:p w14:paraId="6DE2D71F">
      <w:pPr>
        <w:numPr>
          <w:ilvl w:val="0"/>
          <w:numId w:val="0"/>
        </w:num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残疾人福利性单位声明函</w:t>
      </w:r>
    </w:p>
    <w:p w14:paraId="2C1F3337">
      <w:pPr>
        <w:bidi w:val="0"/>
        <w:spacing w:line="360" w:lineRule="auto"/>
        <w:rPr>
          <w:rFonts w:hint="eastAsia" w:ascii="宋体" w:hAnsi="宋体" w:eastAsia="宋体" w:cs="宋体"/>
          <w:sz w:val="24"/>
          <w:szCs w:val="24"/>
          <w:lang w:val="en-US" w:eastAsia="zh-CN"/>
        </w:rPr>
      </w:pPr>
    </w:p>
    <w:p w14:paraId="1D32F3B9">
      <w:pPr>
        <w:bidi w:val="0"/>
        <w:spacing w:line="360" w:lineRule="auto"/>
        <w:rPr>
          <w:rFonts w:hint="eastAsia" w:ascii="宋体" w:hAnsi="宋体" w:eastAsia="宋体" w:cs="宋体"/>
          <w:sz w:val="24"/>
          <w:szCs w:val="24"/>
          <w:lang w:val="en-US" w:eastAsia="zh-CN"/>
        </w:rPr>
      </w:pPr>
    </w:p>
    <w:p w14:paraId="0F737F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49DD3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本单位对上述声明的真实性负责。如有虚假，将依法承担相应责任。</w:t>
      </w:r>
    </w:p>
    <w:p w14:paraId="3806B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4B7BDC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3ED017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345EAB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76BCF6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单位名称（盖章）：</w:t>
      </w:r>
      <w:r>
        <w:rPr>
          <w:rFonts w:hint="eastAsia" w:ascii="宋体" w:hAnsi="宋体" w:eastAsia="宋体" w:cs="宋体"/>
          <w:sz w:val="24"/>
          <w:szCs w:val="24"/>
          <w:u w:val="single"/>
          <w:lang w:val="en-US" w:eastAsia="zh-CN"/>
        </w:rPr>
        <w:t xml:space="preserve">                          </w:t>
      </w:r>
    </w:p>
    <w:p w14:paraId="2DBCA3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6F26B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4B6D88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74B55F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日  期：</w:t>
      </w:r>
      <w:r>
        <w:rPr>
          <w:rFonts w:hint="eastAsia" w:ascii="宋体" w:hAnsi="宋体" w:eastAsia="宋体" w:cs="宋体"/>
          <w:sz w:val="24"/>
          <w:szCs w:val="24"/>
          <w:u w:val="single"/>
          <w:lang w:val="en-US" w:eastAsia="zh-CN"/>
        </w:rPr>
        <w:t xml:space="preserve">                        </w:t>
      </w:r>
    </w:p>
    <w:p w14:paraId="4E165933">
      <w:pPr>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br w:type="page"/>
      </w:r>
    </w:p>
    <w:p w14:paraId="0C6CCE32">
      <w:pPr>
        <w:pStyle w:val="7"/>
        <w:bidi w:val="0"/>
        <w:jc w:val="center"/>
        <w:rPr>
          <w:rFonts w:hint="default"/>
          <w:lang w:val="en-US" w:eastAsia="zh-CN"/>
        </w:rPr>
      </w:pPr>
      <w:bookmarkStart w:id="229" w:name="_Toc30461"/>
      <w:bookmarkStart w:id="230" w:name="_Toc10866"/>
      <w:bookmarkStart w:id="231" w:name="_Toc26090"/>
      <w:bookmarkStart w:id="232" w:name="_Toc18378"/>
      <w:bookmarkStart w:id="233" w:name="_Toc11073"/>
      <w:r>
        <w:rPr>
          <w:rFonts w:hint="eastAsia" w:ascii="宋体" w:hAnsi="宋体" w:eastAsia="宋体" w:cs="宋体"/>
          <w:sz w:val="28"/>
          <w:szCs w:val="28"/>
          <w:lang w:val="en-US" w:eastAsia="zh-CN"/>
        </w:rPr>
        <w:t>10</w:t>
      </w:r>
      <w:bookmarkEnd w:id="229"/>
      <w:bookmarkEnd w:id="230"/>
      <w:bookmarkEnd w:id="231"/>
      <w:bookmarkStart w:id="234" w:name="_Toc3946"/>
      <w:r>
        <w:rPr>
          <w:rFonts w:hint="eastAsia" w:ascii="宋体" w:hAnsi="宋体" w:eastAsia="宋体" w:cs="宋体"/>
          <w:sz w:val="28"/>
          <w:szCs w:val="28"/>
          <w:lang w:val="en-US" w:eastAsia="zh-CN"/>
        </w:rPr>
        <w:t>、属于《节能产品政府采购品目清单》、《环境标志产品政府采购品目清单》中的产品，提供认证证书复印件或证书网页截图</w:t>
      </w:r>
      <w:bookmarkEnd w:id="232"/>
      <w:bookmarkEnd w:id="233"/>
      <w:bookmarkEnd w:id="234"/>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30"/>
        <w:gridCol w:w="1681"/>
        <w:gridCol w:w="1797"/>
        <w:gridCol w:w="2922"/>
      </w:tblGrid>
      <w:tr w14:paraId="1D11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64" w:type="pct"/>
            <w:vAlign w:val="center"/>
          </w:tcPr>
          <w:p w14:paraId="1C12E245">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序号</w:t>
            </w:r>
          </w:p>
        </w:tc>
        <w:tc>
          <w:tcPr>
            <w:tcW w:w="2820" w:type="pct"/>
            <w:gridSpan w:val="3"/>
            <w:vAlign w:val="center"/>
          </w:tcPr>
          <w:p w14:paraId="7EFC11CD">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名称</w:t>
            </w:r>
          </w:p>
        </w:tc>
        <w:tc>
          <w:tcPr>
            <w:tcW w:w="1714" w:type="pct"/>
            <w:vAlign w:val="center"/>
          </w:tcPr>
          <w:p w14:paraId="24E3BC8F">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依据的标准</w:t>
            </w:r>
          </w:p>
        </w:tc>
      </w:tr>
      <w:tr w14:paraId="7B39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64" w:type="pct"/>
            <w:vMerge w:val="restart"/>
            <w:vAlign w:val="center"/>
          </w:tcPr>
          <w:p w14:paraId="3FFF16E8">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1</w:t>
            </w:r>
          </w:p>
        </w:tc>
        <w:tc>
          <w:tcPr>
            <w:tcW w:w="780" w:type="pct"/>
            <w:vMerge w:val="restart"/>
            <w:vAlign w:val="center"/>
          </w:tcPr>
          <w:p w14:paraId="36A0BE12">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A020101计算机设备</w:t>
            </w:r>
          </w:p>
        </w:tc>
        <w:tc>
          <w:tcPr>
            <w:tcW w:w="986" w:type="pct"/>
            <w:vMerge w:val="restart"/>
            <w:vAlign w:val="center"/>
          </w:tcPr>
          <w:p w14:paraId="58A051B0">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★A02010104 台式计算机</w:t>
            </w:r>
          </w:p>
        </w:tc>
        <w:tc>
          <w:tcPr>
            <w:tcW w:w="1054" w:type="pct"/>
            <w:vMerge w:val="restart"/>
            <w:vAlign w:val="center"/>
          </w:tcPr>
          <w:p w14:paraId="2CCE9230">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Merge w:val="restart"/>
            <w:vAlign w:val="center"/>
          </w:tcPr>
          <w:p w14:paraId="6A863248">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《微型计算机能效限定值及能效 等级》(GB28380)</w:t>
            </w:r>
          </w:p>
        </w:tc>
      </w:tr>
      <w:tr w14:paraId="32CB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64" w:type="pct"/>
            <w:vMerge w:val="continue"/>
            <w:vAlign w:val="center"/>
          </w:tcPr>
          <w:p w14:paraId="34C812FE">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2C2130E9">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Merge w:val="continue"/>
            <w:vAlign w:val="center"/>
          </w:tcPr>
          <w:p w14:paraId="14DEF89D">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Merge w:val="continue"/>
            <w:vAlign w:val="center"/>
          </w:tcPr>
          <w:p w14:paraId="39095CD3">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Merge w:val="continue"/>
            <w:vAlign w:val="center"/>
          </w:tcPr>
          <w:p w14:paraId="60BA4BB9">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r>
      <w:tr w14:paraId="6F45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64" w:type="pct"/>
            <w:vMerge w:val="continue"/>
            <w:vAlign w:val="center"/>
          </w:tcPr>
          <w:p w14:paraId="3E5C484B">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39BFB017">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Merge w:val="restart"/>
            <w:vAlign w:val="center"/>
          </w:tcPr>
          <w:p w14:paraId="39F1D6CA">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★A02010105 便携式计算机</w:t>
            </w:r>
          </w:p>
        </w:tc>
        <w:tc>
          <w:tcPr>
            <w:tcW w:w="1054" w:type="pct"/>
            <w:vMerge w:val="restart"/>
            <w:vAlign w:val="center"/>
          </w:tcPr>
          <w:p w14:paraId="2E15943F">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Merge w:val="restart"/>
            <w:vAlign w:val="center"/>
          </w:tcPr>
          <w:p w14:paraId="1FEDA4EB">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《微型计算机能效限定值及能效 等级》(GB28380)</w:t>
            </w:r>
          </w:p>
        </w:tc>
      </w:tr>
      <w:tr w14:paraId="30A8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64" w:type="pct"/>
            <w:vMerge w:val="continue"/>
            <w:vAlign w:val="center"/>
          </w:tcPr>
          <w:p w14:paraId="7181E3F9">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3DD4CB12">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Merge w:val="continue"/>
            <w:vAlign w:val="center"/>
          </w:tcPr>
          <w:p w14:paraId="44B6BEAA">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Merge w:val="continue"/>
            <w:vAlign w:val="center"/>
          </w:tcPr>
          <w:p w14:paraId="3D7A486C">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Merge w:val="continue"/>
            <w:vAlign w:val="center"/>
          </w:tcPr>
          <w:p w14:paraId="2E54D70F">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r>
      <w:tr w14:paraId="4EBC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64" w:type="pct"/>
            <w:vMerge w:val="continue"/>
            <w:vAlign w:val="center"/>
          </w:tcPr>
          <w:p w14:paraId="645906AA">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431E7CD6">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Merge w:val="restart"/>
            <w:vAlign w:val="center"/>
          </w:tcPr>
          <w:p w14:paraId="62CA49CA">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★A02010107 平板式微型计算机</w:t>
            </w:r>
          </w:p>
        </w:tc>
        <w:tc>
          <w:tcPr>
            <w:tcW w:w="1054" w:type="pct"/>
            <w:vMerge w:val="restart"/>
            <w:vAlign w:val="center"/>
          </w:tcPr>
          <w:p w14:paraId="3F16C980">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Merge w:val="restart"/>
            <w:vAlign w:val="center"/>
          </w:tcPr>
          <w:p w14:paraId="580BFB23">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《微型计算机能效限定值及能效 等级》(GB28380)</w:t>
            </w:r>
          </w:p>
        </w:tc>
      </w:tr>
      <w:tr w14:paraId="4791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64" w:type="pct"/>
            <w:vMerge w:val="continue"/>
            <w:vAlign w:val="center"/>
          </w:tcPr>
          <w:p w14:paraId="729FA145">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353501D3">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Merge w:val="continue"/>
            <w:vAlign w:val="center"/>
          </w:tcPr>
          <w:p w14:paraId="2B04AEC2">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Merge w:val="continue"/>
            <w:vAlign w:val="center"/>
          </w:tcPr>
          <w:p w14:paraId="58EF834F">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Merge w:val="continue"/>
            <w:vAlign w:val="center"/>
          </w:tcPr>
          <w:p w14:paraId="18B87731">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r>
      <w:tr w14:paraId="7BD2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64" w:type="pct"/>
            <w:vMerge w:val="restart"/>
            <w:vAlign w:val="center"/>
          </w:tcPr>
          <w:p w14:paraId="10543BEF">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2</w:t>
            </w:r>
          </w:p>
        </w:tc>
        <w:tc>
          <w:tcPr>
            <w:tcW w:w="780" w:type="pct"/>
            <w:vMerge w:val="restart"/>
            <w:vAlign w:val="center"/>
          </w:tcPr>
          <w:p w14:paraId="1C269A80">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A020106输入输出设备</w:t>
            </w:r>
          </w:p>
        </w:tc>
        <w:tc>
          <w:tcPr>
            <w:tcW w:w="986" w:type="pct"/>
            <w:vMerge w:val="restart"/>
            <w:vAlign w:val="center"/>
          </w:tcPr>
          <w:p w14:paraId="422B6FD4">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A02010601打印设备</w:t>
            </w:r>
          </w:p>
        </w:tc>
        <w:tc>
          <w:tcPr>
            <w:tcW w:w="1054" w:type="pct"/>
            <w:vAlign w:val="center"/>
          </w:tcPr>
          <w:p w14:paraId="4A115107">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A0201060101喷墨打印机</w:t>
            </w:r>
          </w:p>
        </w:tc>
        <w:tc>
          <w:tcPr>
            <w:tcW w:w="1714" w:type="pct"/>
            <w:vAlign w:val="center"/>
          </w:tcPr>
          <w:p w14:paraId="32A2963E">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《复印机、打印机和传真机能效限 定值及能效等级》(GB21521)</w:t>
            </w:r>
          </w:p>
        </w:tc>
      </w:tr>
      <w:tr w14:paraId="6B96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64" w:type="pct"/>
            <w:vMerge w:val="continue"/>
            <w:vAlign w:val="center"/>
          </w:tcPr>
          <w:p w14:paraId="02724949">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6A95DACE">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Merge w:val="continue"/>
            <w:vAlign w:val="center"/>
          </w:tcPr>
          <w:p w14:paraId="141B3934">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Align w:val="center"/>
          </w:tcPr>
          <w:p w14:paraId="2BEE0676">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★A0201060102激光打印机</w:t>
            </w:r>
          </w:p>
        </w:tc>
        <w:tc>
          <w:tcPr>
            <w:tcW w:w="1714" w:type="pct"/>
            <w:vAlign w:val="center"/>
          </w:tcPr>
          <w:p w14:paraId="1E3A821F">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《复印机、打印机和传真机能效限 定值及能效等级》(GB21521)</w:t>
            </w:r>
          </w:p>
        </w:tc>
      </w:tr>
      <w:tr w14:paraId="7EEF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64" w:type="pct"/>
            <w:vMerge w:val="continue"/>
            <w:vAlign w:val="center"/>
          </w:tcPr>
          <w:p w14:paraId="1DC019F8">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5AA4BEF8">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Merge w:val="continue"/>
            <w:vAlign w:val="center"/>
          </w:tcPr>
          <w:p w14:paraId="594653CC">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Align w:val="center"/>
          </w:tcPr>
          <w:p w14:paraId="43C8E266">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★A0201060104针式打印机</w:t>
            </w:r>
          </w:p>
        </w:tc>
        <w:tc>
          <w:tcPr>
            <w:tcW w:w="1714" w:type="pct"/>
            <w:vAlign w:val="center"/>
          </w:tcPr>
          <w:p w14:paraId="003CB1FE">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《复印机、打印机和传真机能效限 定值及能效等级》(GB21521)</w:t>
            </w:r>
          </w:p>
        </w:tc>
      </w:tr>
      <w:tr w14:paraId="144E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64" w:type="pct"/>
            <w:vMerge w:val="continue"/>
            <w:vAlign w:val="center"/>
          </w:tcPr>
          <w:p w14:paraId="7B76A2CF">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2CA6E55C">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Align w:val="center"/>
          </w:tcPr>
          <w:p w14:paraId="1A704966">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A02010604 显示设备</w:t>
            </w:r>
          </w:p>
        </w:tc>
        <w:tc>
          <w:tcPr>
            <w:tcW w:w="1054" w:type="pct"/>
            <w:vAlign w:val="center"/>
          </w:tcPr>
          <w:p w14:paraId="5CB60DBF">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★A0201060401液晶显示器</w:t>
            </w:r>
          </w:p>
        </w:tc>
        <w:tc>
          <w:tcPr>
            <w:tcW w:w="1714" w:type="pct"/>
            <w:vAlign w:val="center"/>
          </w:tcPr>
          <w:p w14:paraId="7CA2826E">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《计算机显示器能效限定值及能 效等级》(GB21520)</w:t>
            </w:r>
          </w:p>
        </w:tc>
      </w:tr>
      <w:tr w14:paraId="1540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464" w:type="pct"/>
            <w:vMerge w:val="continue"/>
            <w:vAlign w:val="center"/>
          </w:tcPr>
          <w:p w14:paraId="2C1F494B">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760E3452">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Align w:val="center"/>
          </w:tcPr>
          <w:p w14:paraId="51D57D13">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A02010609图形图像输入设备</w:t>
            </w:r>
          </w:p>
        </w:tc>
        <w:tc>
          <w:tcPr>
            <w:tcW w:w="1054" w:type="pct"/>
            <w:vAlign w:val="center"/>
          </w:tcPr>
          <w:p w14:paraId="21847590">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A0201060901扫描仪</w:t>
            </w:r>
          </w:p>
        </w:tc>
        <w:tc>
          <w:tcPr>
            <w:tcW w:w="1714" w:type="pct"/>
            <w:vAlign w:val="center"/>
          </w:tcPr>
          <w:p w14:paraId="681D7F26">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参照《复印机、打印机和传真机能 效限定值及能效等级》(GB21521) 中打印速度为15页/分的针式打印机相关要求</w:t>
            </w:r>
          </w:p>
        </w:tc>
      </w:tr>
      <w:tr w14:paraId="7B95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64" w:type="pct"/>
            <w:vAlign w:val="center"/>
          </w:tcPr>
          <w:p w14:paraId="468C0135">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3</w:t>
            </w:r>
          </w:p>
        </w:tc>
        <w:tc>
          <w:tcPr>
            <w:tcW w:w="780" w:type="pct"/>
            <w:vAlign w:val="center"/>
          </w:tcPr>
          <w:p w14:paraId="0D269F95">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A020202投影仪</w:t>
            </w:r>
          </w:p>
        </w:tc>
        <w:tc>
          <w:tcPr>
            <w:tcW w:w="986" w:type="pct"/>
            <w:vAlign w:val="center"/>
          </w:tcPr>
          <w:p w14:paraId="0F21026C">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Align w:val="center"/>
          </w:tcPr>
          <w:p w14:paraId="33C48D0D">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22A2F55C">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《投影机能效限定值及能效等级》 (GB32028)</w:t>
            </w:r>
          </w:p>
        </w:tc>
      </w:tr>
      <w:tr w14:paraId="42C8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64" w:type="pct"/>
            <w:vAlign w:val="center"/>
          </w:tcPr>
          <w:p w14:paraId="7DF6C080">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4</w:t>
            </w:r>
          </w:p>
        </w:tc>
        <w:tc>
          <w:tcPr>
            <w:tcW w:w="780" w:type="pct"/>
            <w:vAlign w:val="center"/>
          </w:tcPr>
          <w:p w14:paraId="306A6EA2">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A020204多功能一体机</w:t>
            </w:r>
          </w:p>
        </w:tc>
        <w:tc>
          <w:tcPr>
            <w:tcW w:w="986" w:type="pct"/>
            <w:vAlign w:val="center"/>
          </w:tcPr>
          <w:p w14:paraId="411BA7FF">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Align w:val="center"/>
          </w:tcPr>
          <w:p w14:paraId="554DB9AC">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1FF336AA">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《复印机、打印机和传真机能效限 定值及能效等级》(GB21521)</w:t>
            </w:r>
          </w:p>
        </w:tc>
      </w:tr>
      <w:tr w14:paraId="29D4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64" w:type="pct"/>
            <w:vAlign w:val="center"/>
          </w:tcPr>
          <w:p w14:paraId="566A0816">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5</w:t>
            </w:r>
          </w:p>
        </w:tc>
        <w:tc>
          <w:tcPr>
            <w:tcW w:w="780" w:type="pct"/>
            <w:vAlign w:val="center"/>
          </w:tcPr>
          <w:p w14:paraId="5C4F6B30">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A020519泵</w:t>
            </w:r>
          </w:p>
        </w:tc>
        <w:tc>
          <w:tcPr>
            <w:tcW w:w="986" w:type="pct"/>
            <w:vAlign w:val="center"/>
          </w:tcPr>
          <w:p w14:paraId="1F8B4EB3">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A02051901离心泵</w:t>
            </w:r>
          </w:p>
        </w:tc>
        <w:tc>
          <w:tcPr>
            <w:tcW w:w="1054" w:type="pct"/>
            <w:vAlign w:val="center"/>
          </w:tcPr>
          <w:p w14:paraId="320BD5C1">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6DCA008B">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《清水离心泵能效限定值及节能 评价值》(GB19762)</w:t>
            </w:r>
          </w:p>
        </w:tc>
      </w:tr>
      <w:tr w14:paraId="7329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464" w:type="pct"/>
            <w:vMerge w:val="restart"/>
            <w:vAlign w:val="center"/>
          </w:tcPr>
          <w:p w14:paraId="69301150">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6</w:t>
            </w:r>
          </w:p>
        </w:tc>
        <w:tc>
          <w:tcPr>
            <w:tcW w:w="780" w:type="pct"/>
            <w:vMerge w:val="restart"/>
            <w:vAlign w:val="center"/>
          </w:tcPr>
          <w:p w14:paraId="2DE7F174">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A020523制冷空调设备</w:t>
            </w:r>
          </w:p>
        </w:tc>
        <w:tc>
          <w:tcPr>
            <w:tcW w:w="986" w:type="pct"/>
            <w:vMerge w:val="restart"/>
            <w:vAlign w:val="center"/>
          </w:tcPr>
          <w:p w14:paraId="7BC7B3E3">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★A02052301制冷压缩机</w:t>
            </w:r>
          </w:p>
        </w:tc>
        <w:tc>
          <w:tcPr>
            <w:tcW w:w="1054" w:type="pct"/>
            <w:vAlign w:val="center"/>
          </w:tcPr>
          <w:p w14:paraId="3229E245">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冷水机组</w:t>
            </w:r>
          </w:p>
        </w:tc>
        <w:tc>
          <w:tcPr>
            <w:tcW w:w="1714" w:type="pct"/>
            <w:vAlign w:val="center"/>
          </w:tcPr>
          <w:p w14:paraId="7C14A6B8">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《冷水机组能效限定值及能效等 级》(GB19577)，《低环境温度空气源热泵(冷水)机组能效限定值及能效等级》(GB37480)</w:t>
            </w:r>
          </w:p>
        </w:tc>
      </w:tr>
      <w:tr w14:paraId="2BED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64" w:type="pct"/>
            <w:vMerge w:val="continue"/>
            <w:vAlign w:val="center"/>
          </w:tcPr>
          <w:p w14:paraId="751F0D11">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25840C6D">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Merge w:val="continue"/>
            <w:vAlign w:val="center"/>
          </w:tcPr>
          <w:p w14:paraId="08B5A7D9">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Align w:val="center"/>
          </w:tcPr>
          <w:p w14:paraId="4B367D0B">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水源热泵机组</w:t>
            </w:r>
          </w:p>
        </w:tc>
        <w:tc>
          <w:tcPr>
            <w:tcW w:w="1714" w:type="pct"/>
            <w:vAlign w:val="center"/>
          </w:tcPr>
          <w:p w14:paraId="7FEBC9E9">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《水(地)源热泵机组能效限定值 及能效等级》(GB30721)</w:t>
            </w:r>
          </w:p>
        </w:tc>
      </w:tr>
      <w:tr w14:paraId="1CCA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64" w:type="pct"/>
            <w:vMerge w:val="continue"/>
            <w:vAlign w:val="center"/>
          </w:tcPr>
          <w:p w14:paraId="218D8CAE">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05F61766">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Merge w:val="continue"/>
            <w:vAlign w:val="center"/>
          </w:tcPr>
          <w:p w14:paraId="7A40AF67">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Align w:val="center"/>
          </w:tcPr>
          <w:p w14:paraId="6A2903FA">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溴化锂吸收式冷水机组</w:t>
            </w:r>
          </w:p>
        </w:tc>
        <w:tc>
          <w:tcPr>
            <w:tcW w:w="1714" w:type="pct"/>
            <w:vAlign w:val="center"/>
          </w:tcPr>
          <w:p w14:paraId="3F1E77DB">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《溴化锂吸收式冷水机组能效限 定值及能效等级》(GB29540)</w:t>
            </w:r>
          </w:p>
        </w:tc>
      </w:tr>
      <w:tr w14:paraId="6C3E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464" w:type="pct"/>
            <w:vMerge w:val="continue"/>
            <w:vAlign w:val="center"/>
          </w:tcPr>
          <w:p w14:paraId="54A97FEC">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restart"/>
            <w:vAlign w:val="center"/>
          </w:tcPr>
          <w:p w14:paraId="0D9A0D88">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★A02052305 空调机组</w:t>
            </w:r>
          </w:p>
        </w:tc>
        <w:tc>
          <w:tcPr>
            <w:tcW w:w="986" w:type="pct"/>
            <w:vAlign w:val="center"/>
          </w:tcPr>
          <w:p w14:paraId="3D80F524">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多联式空调(热泵)机组(制冷量&gt;14000W)</w:t>
            </w:r>
          </w:p>
        </w:tc>
        <w:tc>
          <w:tcPr>
            <w:tcW w:w="1054" w:type="pct"/>
            <w:vAlign w:val="center"/>
          </w:tcPr>
          <w:p w14:paraId="3F3FE3F1">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《多联式空调 (热泵) 机组能效限 定值及能源效率等级》(GB 21454)</w:t>
            </w:r>
          </w:p>
        </w:tc>
        <w:tc>
          <w:tcPr>
            <w:tcW w:w="1714" w:type="pct"/>
            <w:vMerge w:val="restart"/>
            <w:vAlign w:val="center"/>
          </w:tcPr>
          <w:p w14:paraId="5AB0A7E0">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★A02052305空调机组</w:t>
            </w:r>
          </w:p>
        </w:tc>
      </w:tr>
      <w:tr w14:paraId="7146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464" w:type="pct"/>
            <w:vMerge w:val="continue"/>
            <w:vAlign w:val="center"/>
          </w:tcPr>
          <w:p w14:paraId="4C33CEC7">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291DD010">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Align w:val="center"/>
          </w:tcPr>
          <w:p w14:paraId="3F32EA95">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单元式空气调节机(制冷量&gt;14000W)</w:t>
            </w:r>
          </w:p>
        </w:tc>
        <w:tc>
          <w:tcPr>
            <w:tcW w:w="1054" w:type="pct"/>
            <w:vAlign w:val="center"/>
          </w:tcPr>
          <w:p w14:paraId="3E0B95F8">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《单元式空气调节机能效限定值 及能效等级》(GB 19576)  《风管 送风式空调机组能效限定值及能 效等级》(GB 37479)</w:t>
            </w:r>
          </w:p>
        </w:tc>
        <w:tc>
          <w:tcPr>
            <w:tcW w:w="1714" w:type="pct"/>
            <w:vMerge w:val="continue"/>
            <w:vAlign w:val="center"/>
          </w:tcPr>
          <w:p w14:paraId="5B326D12">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r>
      <w:tr w14:paraId="5F54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464" w:type="pct"/>
            <w:vMerge w:val="continue"/>
            <w:vAlign w:val="center"/>
          </w:tcPr>
          <w:p w14:paraId="123A2CB1">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Align w:val="center"/>
          </w:tcPr>
          <w:p w14:paraId="4C01A6C0">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★A02052309 专用制冷、空调设备</w:t>
            </w:r>
          </w:p>
        </w:tc>
        <w:tc>
          <w:tcPr>
            <w:tcW w:w="986" w:type="pct"/>
            <w:vAlign w:val="center"/>
          </w:tcPr>
          <w:p w14:paraId="786E4F8B">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机房空调</w:t>
            </w:r>
          </w:p>
        </w:tc>
        <w:tc>
          <w:tcPr>
            <w:tcW w:w="1054" w:type="pct"/>
            <w:vAlign w:val="center"/>
          </w:tcPr>
          <w:p w14:paraId="01AB0468">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《单元式空气调节机能效限定值 及能效等级》(GB 19576)</w:t>
            </w:r>
          </w:p>
        </w:tc>
        <w:tc>
          <w:tcPr>
            <w:tcW w:w="1714" w:type="pct"/>
            <w:vAlign w:val="center"/>
          </w:tcPr>
          <w:p w14:paraId="6D034266">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★A02052309专用制冷、空调设备</w:t>
            </w:r>
          </w:p>
        </w:tc>
      </w:tr>
      <w:tr w14:paraId="0C0B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464" w:type="pct"/>
            <w:vMerge w:val="continue"/>
            <w:vAlign w:val="center"/>
          </w:tcPr>
          <w:p w14:paraId="435EDEC3">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Align w:val="center"/>
          </w:tcPr>
          <w:p w14:paraId="21D8852A">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A02052399 其他制冷空调设备</w:t>
            </w:r>
          </w:p>
        </w:tc>
        <w:tc>
          <w:tcPr>
            <w:tcW w:w="986" w:type="pct"/>
            <w:vAlign w:val="center"/>
          </w:tcPr>
          <w:p w14:paraId="0F44F2C1">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冷却塔</w:t>
            </w:r>
          </w:p>
        </w:tc>
        <w:tc>
          <w:tcPr>
            <w:tcW w:w="1054" w:type="pct"/>
            <w:vAlign w:val="center"/>
          </w:tcPr>
          <w:p w14:paraId="2B168AE8">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《机械通风冷却塔 第1部分：中小型开式冷却塔》(GB/T7190.1)；《机械通风冷却塔第2部分：大型开式冷却塔》(GB /T7190.2)</w:t>
            </w:r>
          </w:p>
        </w:tc>
        <w:tc>
          <w:tcPr>
            <w:tcW w:w="1714" w:type="pct"/>
            <w:vAlign w:val="center"/>
          </w:tcPr>
          <w:p w14:paraId="6EA88868">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A02052399其他制冷空调设备</w:t>
            </w:r>
          </w:p>
        </w:tc>
      </w:tr>
      <w:tr w14:paraId="42C9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64" w:type="pct"/>
            <w:vAlign w:val="center"/>
          </w:tcPr>
          <w:p w14:paraId="6D851953">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7</w:t>
            </w:r>
          </w:p>
        </w:tc>
        <w:tc>
          <w:tcPr>
            <w:tcW w:w="780" w:type="pct"/>
            <w:vAlign w:val="center"/>
          </w:tcPr>
          <w:p w14:paraId="7A44A5D2">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A020601电机</w:t>
            </w:r>
          </w:p>
        </w:tc>
        <w:tc>
          <w:tcPr>
            <w:tcW w:w="986" w:type="pct"/>
            <w:vAlign w:val="center"/>
          </w:tcPr>
          <w:p w14:paraId="46FD7770">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Align w:val="center"/>
          </w:tcPr>
          <w:p w14:paraId="14CE74B7">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445DF552">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《中小型三相异步电动机能效限定值及能效等级》(GB18613)</w:t>
            </w:r>
          </w:p>
        </w:tc>
      </w:tr>
      <w:tr w14:paraId="0F21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64" w:type="pct"/>
            <w:vAlign w:val="center"/>
          </w:tcPr>
          <w:p w14:paraId="73017EB5">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8</w:t>
            </w:r>
          </w:p>
        </w:tc>
        <w:tc>
          <w:tcPr>
            <w:tcW w:w="780" w:type="pct"/>
            <w:vAlign w:val="center"/>
          </w:tcPr>
          <w:p w14:paraId="1A3EE498">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A020602变压器</w:t>
            </w:r>
          </w:p>
        </w:tc>
        <w:tc>
          <w:tcPr>
            <w:tcW w:w="986" w:type="pct"/>
            <w:vAlign w:val="center"/>
          </w:tcPr>
          <w:p w14:paraId="74E1673E">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配电变压器</w:t>
            </w:r>
          </w:p>
        </w:tc>
        <w:tc>
          <w:tcPr>
            <w:tcW w:w="1054" w:type="pct"/>
            <w:vAlign w:val="center"/>
          </w:tcPr>
          <w:p w14:paraId="383C2616">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53BC0758">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《三相配电变压器能效限定值及能效等级》(GB20052)</w:t>
            </w:r>
          </w:p>
        </w:tc>
      </w:tr>
      <w:tr w14:paraId="5601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64" w:type="pct"/>
            <w:vAlign w:val="center"/>
          </w:tcPr>
          <w:p w14:paraId="17807148">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9</w:t>
            </w:r>
          </w:p>
        </w:tc>
        <w:tc>
          <w:tcPr>
            <w:tcW w:w="780" w:type="pct"/>
            <w:vAlign w:val="center"/>
          </w:tcPr>
          <w:p w14:paraId="3B6406CB">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★A020609 镇流器</w:t>
            </w:r>
          </w:p>
        </w:tc>
        <w:tc>
          <w:tcPr>
            <w:tcW w:w="986" w:type="pct"/>
            <w:vAlign w:val="center"/>
          </w:tcPr>
          <w:p w14:paraId="29ECE727">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管型荧光灯镇流器</w:t>
            </w:r>
          </w:p>
        </w:tc>
        <w:tc>
          <w:tcPr>
            <w:tcW w:w="1054" w:type="pct"/>
            <w:vAlign w:val="center"/>
          </w:tcPr>
          <w:p w14:paraId="6E2F23B9">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0B2A54B1">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《管形荧光灯镇流器能效限定值 及能效等级》(GB17896)</w:t>
            </w:r>
          </w:p>
        </w:tc>
      </w:tr>
      <w:tr w14:paraId="4A90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464" w:type="pct"/>
            <w:vMerge w:val="restart"/>
            <w:vAlign w:val="center"/>
          </w:tcPr>
          <w:p w14:paraId="3F8B043A">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10</w:t>
            </w:r>
          </w:p>
        </w:tc>
        <w:tc>
          <w:tcPr>
            <w:tcW w:w="780" w:type="pct"/>
            <w:vMerge w:val="restart"/>
            <w:vAlign w:val="center"/>
          </w:tcPr>
          <w:p w14:paraId="2654FDB7">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A0206180101电冰箱★A0206180203空调机</w:t>
            </w:r>
          </w:p>
        </w:tc>
        <w:tc>
          <w:tcPr>
            <w:tcW w:w="986" w:type="pct"/>
            <w:vAlign w:val="center"/>
          </w:tcPr>
          <w:p w14:paraId="7CC216F9">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A0206180101电冰箱</w:t>
            </w:r>
          </w:p>
        </w:tc>
        <w:tc>
          <w:tcPr>
            <w:tcW w:w="1054" w:type="pct"/>
            <w:vAlign w:val="center"/>
          </w:tcPr>
          <w:p w14:paraId="279F8AF2">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19C8F31E">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《家用电冰箱耗电量限定值及能效等级》(G12021.2)(GB21455-2019) 实施</w:t>
            </w:r>
          </w:p>
        </w:tc>
      </w:tr>
      <w:tr w14:paraId="0DED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464" w:type="pct"/>
            <w:vMerge w:val="continue"/>
            <w:vAlign w:val="center"/>
          </w:tcPr>
          <w:p w14:paraId="362A8B49">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4443ACD2">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Merge w:val="restart"/>
            <w:vAlign w:val="center"/>
          </w:tcPr>
          <w:p w14:paraId="1935DA30">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★A0206180203 空调机</w:t>
            </w:r>
          </w:p>
        </w:tc>
        <w:tc>
          <w:tcPr>
            <w:tcW w:w="1054" w:type="pct"/>
            <w:vAlign w:val="center"/>
          </w:tcPr>
          <w:p w14:paraId="7C67F23A">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房间空气调节器</w:t>
            </w:r>
          </w:p>
        </w:tc>
        <w:tc>
          <w:tcPr>
            <w:tcW w:w="1714" w:type="pct"/>
            <w:vAlign w:val="center"/>
          </w:tcPr>
          <w:p w14:paraId="303652FA">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《转速可控型房间空气调节器能 效限定值及能效等级》( GB21455-2013) ，待2019年修订发布后，按《房间空气调节器能效限定值及能效等级》(GB21455-2019)实施。</w:t>
            </w:r>
          </w:p>
        </w:tc>
      </w:tr>
      <w:tr w14:paraId="2521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64" w:type="pct"/>
            <w:vMerge w:val="continue"/>
            <w:vAlign w:val="center"/>
          </w:tcPr>
          <w:p w14:paraId="427EF615">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521D7E3D">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Merge w:val="continue"/>
            <w:vAlign w:val="center"/>
          </w:tcPr>
          <w:p w14:paraId="2288C171">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Align w:val="center"/>
          </w:tcPr>
          <w:p w14:paraId="3F12F1D4">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多联式空(热泵)机组(制冷量≤14000W)</w:t>
            </w:r>
          </w:p>
        </w:tc>
        <w:tc>
          <w:tcPr>
            <w:tcW w:w="1714" w:type="pct"/>
            <w:vAlign w:val="center"/>
          </w:tcPr>
          <w:p w14:paraId="78F5D553">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《多联式空调(热泵)机组能效限定值及能源效率等级》(GB 21454)</w:t>
            </w:r>
          </w:p>
        </w:tc>
      </w:tr>
      <w:tr w14:paraId="7CF2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464" w:type="pct"/>
            <w:vMerge w:val="continue"/>
            <w:vAlign w:val="center"/>
          </w:tcPr>
          <w:p w14:paraId="424A7BF8">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128D15D6">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Merge w:val="continue"/>
            <w:vAlign w:val="center"/>
          </w:tcPr>
          <w:p w14:paraId="195D6466">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Align w:val="center"/>
          </w:tcPr>
          <w:p w14:paraId="4AE4F598">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单元式空气调节机(制冷量≤14000W)</w:t>
            </w:r>
          </w:p>
        </w:tc>
        <w:tc>
          <w:tcPr>
            <w:tcW w:w="1714" w:type="pct"/>
            <w:vAlign w:val="center"/>
          </w:tcPr>
          <w:p w14:paraId="3037AE20">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《单元式空气调节机能效限定值 及能源效率等级》(GB19576)《风 管送风式空调机组能效限定值及 能效等级》(GB37479)</w:t>
            </w:r>
          </w:p>
        </w:tc>
      </w:tr>
      <w:tr w14:paraId="4D6F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64" w:type="pct"/>
            <w:vMerge w:val="continue"/>
            <w:vAlign w:val="center"/>
          </w:tcPr>
          <w:p w14:paraId="327027E9">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23E2851F">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Align w:val="center"/>
          </w:tcPr>
          <w:p w14:paraId="50622B23">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A0206180301洗衣机</w:t>
            </w:r>
          </w:p>
        </w:tc>
        <w:tc>
          <w:tcPr>
            <w:tcW w:w="1054" w:type="pct"/>
            <w:vAlign w:val="center"/>
          </w:tcPr>
          <w:p w14:paraId="01794FF3">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1D88B3BA">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《电动洗衣机能效水效限定值及等级》(GB12021.4)</w:t>
            </w:r>
          </w:p>
        </w:tc>
      </w:tr>
      <w:tr w14:paraId="7E48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64" w:type="pct"/>
            <w:vMerge w:val="continue"/>
            <w:vAlign w:val="center"/>
          </w:tcPr>
          <w:p w14:paraId="3A353B27">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3A7B5418">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Merge w:val="restart"/>
            <w:vAlign w:val="center"/>
          </w:tcPr>
          <w:p w14:paraId="08D7F131">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A02061808热水器</w:t>
            </w:r>
          </w:p>
        </w:tc>
        <w:tc>
          <w:tcPr>
            <w:tcW w:w="1054" w:type="pct"/>
            <w:vAlign w:val="center"/>
          </w:tcPr>
          <w:p w14:paraId="66A1CBB9">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★电热水器</w:t>
            </w:r>
          </w:p>
        </w:tc>
        <w:tc>
          <w:tcPr>
            <w:tcW w:w="1714" w:type="pct"/>
            <w:vAlign w:val="center"/>
          </w:tcPr>
          <w:p w14:paraId="0A109065">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《储水式电热水器能效限定值及能效等级》(GB21519)</w:t>
            </w:r>
          </w:p>
        </w:tc>
      </w:tr>
      <w:tr w14:paraId="7D40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64" w:type="pct"/>
            <w:vMerge w:val="continue"/>
            <w:vAlign w:val="center"/>
          </w:tcPr>
          <w:p w14:paraId="08253890">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24C6A1DF">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Merge w:val="continue"/>
            <w:vAlign w:val="center"/>
          </w:tcPr>
          <w:p w14:paraId="64FC646D">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Align w:val="center"/>
          </w:tcPr>
          <w:p w14:paraId="6080F6BB">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燃气热水器</w:t>
            </w:r>
          </w:p>
        </w:tc>
        <w:tc>
          <w:tcPr>
            <w:tcW w:w="1714" w:type="pct"/>
            <w:vAlign w:val="center"/>
          </w:tcPr>
          <w:p w14:paraId="20FC21A5">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《家用燃气快速热水器和燃气采暖热水炉能效限定值及能效等级》 (GB20665)</w:t>
            </w:r>
          </w:p>
        </w:tc>
      </w:tr>
      <w:tr w14:paraId="63C6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64" w:type="pct"/>
            <w:vMerge w:val="continue"/>
            <w:vAlign w:val="center"/>
          </w:tcPr>
          <w:p w14:paraId="16C47EE3">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25855609">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Merge w:val="continue"/>
            <w:vAlign w:val="center"/>
          </w:tcPr>
          <w:p w14:paraId="46756688">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Align w:val="center"/>
          </w:tcPr>
          <w:p w14:paraId="2E517E13">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热泵热水器</w:t>
            </w:r>
          </w:p>
        </w:tc>
        <w:tc>
          <w:tcPr>
            <w:tcW w:w="1714" w:type="pct"/>
            <w:vAlign w:val="center"/>
          </w:tcPr>
          <w:p w14:paraId="4D3ECE54">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《热泵热水机 (器) 能效限定值及 能效等级》(GB29541)</w:t>
            </w:r>
          </w:p>
        </w:tc>
      </w:tr>
      <w:tr w14:paraId="2BEE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64" w:type="pct"/>
            <w:vMerge w:val="continue"/>
            <w:vAlign w:val="center"/>
          </w:tcPr>
          <w:p w14:paraId="60BCB9B0">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692BB13E">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Merge w:val="continue"/>
            <w:vAlign w:val="center"/>
          </w:tcPr>
          <w:p w14:paraId="583FE6FC">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Align w:val="center"/>
          </w:tcPr>
          <w:p w14:paraId="02F55ED5">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太阳能热水系统</w:t>
            </w:r>
          </w:p>
        </w:tc>
        <w:tc>
          <w:tcPr>
            <w:tcW w:w="1714" w:type="pct"/>
            <w:vAlign w:val="center"/>
          </w:tcPr>
          <w:p w14:paraId="69AD3678">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《家用太阳能热水系统能效限定 值及能效等级》(GB26969)</w:t>
            </w:r>
          </w:p>
        </w:tc>
      </w:tr>
      <w:tr w14:paraId="1A36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64" w:type="pct"/>
            <w:vMerge w:val="restart"/>
            <w:vAlign w:val="center"/>
          </w:tcPr>
          <w:p w14:paraId="4E4F7768">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11</w:t>
            </w:r>
          </w:p>
        </w:tc>
        <w:tc>
          <w:tcPr>
            <w:tcW w:w="780" w:type="pct"/>
            <w:vMerge w:val="restart"/>
            <w:vAlign w:val="center"/>
          </w:tcPr>
          <w:p w14:paraId="382C1A4B">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p w14:paraId="29FFEA83">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p w14:paraId="0E1F5975">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p w14:paraId="495C6FB6">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p w14:paraId="2D792893">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p w14:paraId="2CB3421D">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p w14:paraId="435D4334">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A020619照明设备</w:t>
            </w:r>
          </w:p>
        </w:tc>
        <w:tc>
          <w:tcPr>
            <w:tcW w:w="986" w:type="pct"/>
            <w:vAlign w:val="center"/>
          </w:tcPr>
          <w:p w14:paraId="20AC4DEE">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 普通照明用双端荧光灯</w:t>
            </w:r>
          </w:p>
        </w:tc>
        <w:tc>
          <w:tcPr>
            <w:tcW w:w="1054" w:type="pct"/>
            <w:vAlign w:val="center"/>
          </w:tcPr>
          <w:p w14:paraId="67232A7D">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4C4FABC1">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《普通照明用双端荧光灯能效限 定值及能效等级》(GB19043)</w:t>
            </w:r>
          </w:p>
        </w:tc>
      </w:tr>
      <w:tr w14:paraId="1359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64" w:type="pct"/>
            <w:vMerge w:val="continue"/>
            <w:vAlign w:val="center"/>
          </w:tcPr>
          <w:p w14:paraId="5EF1F997">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1D9558B1">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Align w:val="center"/>
          </w:tcPr>
          <w:p w14:paraId="757CCA97">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LED道路/隧道照明产品</w:t>
            </w:r>
          </w:p>
        </w:tc>
        <w:tc>
          <w:tcPr>
            <w:tcW w:w="1054" w:type="pct"/>
            <w:vAlign w:val="center"/>
          </w:tcPr>
          <w:p w14:paraId="2ECEE6AE">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254EABB9">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《道路和隧道照明用 LED 灯具能 效限定值及能效等级》(GB37478)</w:t>
            </w:r>
          </w:p>
        </w:tc>
      </w:tr>
      <w:tr w14:paraId="2B27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64" w:type="pct"/>
            <w:vMerge w:val="continue"/>
            <w:vAlign w:val="center"/>
          </w:tcPr>
          <w:p w14:paraId="52B22738">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61A3CB87">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Align w:val="center"/>
          </w:tcPr>
          <w:p w14:paraId="086C597A">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LED筒灯</w:t>
            </w:r>
          </w:p>
        </w:tc>
        <w:tc>
          <w:tcPr>
            <w:tcW w:w="1054" w:type="pct"/>
            <w:vAlign w:val="center"/>
          </w:tcPr>
          <w:p w14:paraId="2F40B931">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50E7E6C9">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《室内照明用 LED 产品能效限定 值及能效等级》(GB 30255)</w:t>
            </w:r>
          </w:p>
        </w:tc>
      </w:tr>
      <w:tr w14:paraId="5747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64" w:type="pct"/>
            <w:vMerge w:val="continue"/>
            <w:vAlign w:val="center"/>
          </w:tcPr>
          <w:p w14:paraId="6C6B8E2D">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65D9A5D2">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Align w:val="center"/>
          </w:tcPr>
          <w:p w14:paraId="505B3847">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普通照明用非定向自镇流LED灯</w:t>
            </w:r>
          </w:p>
        </w:tc>
        <w:tc>
          <w:tcPr>
            <w:tcW w:w="1054" w:type="pct"/>
            <w:vAlign w:val="center"/>
          </w:tcPr>
          <w:p w14:paraId="3BA4913E">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6A3D29BE">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《室内照明用 LED 产品能效限定 值及能效等级》(GB30255)</w:t>
            </w:r>
          </w:p>
        </w:tc>
      </w:tr>
      <w:tr w14:paraId="0B12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64" w:type="pct"/>
            <w:vAlign w:val="center"/>
          </w:tcPr>
          <w:p w14:paraId="3871E668">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12</w:t>
            </w:r>
          </w:p>
        </w:tc>
        <w:tc>
          <w:tcPr>
            <w:tcW w:w="780" w:type="pct"/>
            <w:vAlign w:val="center"/>
          </w:tcPr>
          <w:p w14:paraId="0307D840">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★A020910 电视设备</w:t>
            </w:r>
          </w:p>
        </w:tc>
        <w:tc>
          <w:tcPr>
            <w:tcW w:w="986" w:type="pct"/>
            <w:vAlign w:val="center"/>
          </w:tcPr>
          <w:p w14:paraId="14A976D2">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A02091001普通电视设备(电视机)</w:t>
            </w:r>
          </w:p>
        </w:tc>
        <w:tc>
          <w:tcPr>
            <w:tcW w:w="1054" w:type="pct"/>
            <w:vAlign w:val="center"/>
          </w:tcPr>
          <w:p w14:paraId="70088C79">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69B1673A">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《平板电视能效限定值及能效等 级》(GB24850)</w:t>
            </w:r>
          </w:p>
        </w:tc>
      </w:tr>
      <w:tr w14:paraId="2715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464" w:type="pct"/>
            <w:vAlign w:val="center"/>
          </w:tcPr>
          <w:p w14:paraId="2FCBC16C">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13</w:t>
            </w:r>
          </w:p>
        </w:tc>
        <w:tc>
          <w:tcPr>
            <w:tcW w:w="780" w:type="pct"/>
            <w:vAlign w:val="center"/>
          </w:tcPr>
          <w:p w14:paraId="1F110D24">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★A020911 视频设备</w:t>
            </w:r>
          </w:p>
        </w:tc>
        <w:tc>
          <w:tcPr>
            <w:tcW w:w="986" w:type="pct"/>
            <w:vAlign w:val="center"/>
          </w:tcPr>
          <w:p w14:paraId="098EC2BE">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A02091107 视频监控设备</w:t>
            </w:r>
          </w:p>
        </w:tc>
        <w:tc>
          <w:tcPr>
            <w:tcW w:w="1054" w:type="pct"/>
            <w:vAlign w:val="center"/>
          </w:tcPr>
          <w:p w14:paraId="621092F2">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监视器</w:t>
            </w:r>
          </w:p>
        </w:tc>
        <w:tc>
          <w:tcPr>
            <w:tcW w:w="1714" w:type="pct"/>
            <w:vAlign w:val="center"/>
          </w:tcPr>
          <w:p w14:paraId="7D997C63">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以射频信号为主要信号输入的监 视器应符合《平板电视能效限定值 及能效等级》(GB 24850) ，</w:t>
            </w:r>
          </w:p>
          <w:p w14:paraId="0B78FE39">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以数字信号为主要信号输入的监 视器应符合《计算机显示器能效限 定值及能效等级》(GB21520)</w:t>
            </w:r>
          </w:p>
        </w:tc>
      </w:tr>
      <w:tr w14:paraId="67D7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64" w:type="pct"/>
            <w:vAlign w:val="center"/>
          </w:tcPr>
          <w:p w14:paraId="412E4794">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14</w:t>
            </w:r>
          </w:p>
        </w:tc>
        <w:tc>
          <w:tcPr>
            <w:tcW w:w="780" w:type="pct"/>
            <w:vAlign w:val="center"/>
          </w:tcPr>
          <w:p w14:paraId="56715A34">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A031210饮食炊事机械</w:t>
            </w:r>
          </w:p>
        </w:tc>
        <w:tc>
          <w:tcPr>
            <w:tcW w:w="986" w:type="pct"/>
            <w:vAlign w:val="center"/>
          </w:tcPr>
          <w:p w14:paraId="287E0A27">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商用燃气灶具</w:t>
            </w:r>
          </w:p>
        </w:tc>
        <w:tc>
          <w:tcPr>
            <w:tcW w:w="1054" w:type="pct"/>
            <w:vAlign w:val="center"/>
          </w:tcPr>
          <w:p w14:paraId="35AC3BC6">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3E30419C">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《商用燃气灶具能效限定值及能 效等级》(GB 30531)</w:t>
            </w:r>
          </w:p>
        </w:tc>
      </w:tr>
      <w:tr w14:paraId="610F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64" w:type="pct"/>
            <w:vMerge w:val="restart"/>
            <w:vAlign w:val="center"/>
          </w:tcPr>
          <w:p w14:paraId="34EAF2EC">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15</w:t>
            </w:r>
          </w:p>
        </w:tc>
        <w:tc>
          <w:tcPr>
            <w:tcW w:w="780" w:type="pct"/>
            <w:vMerge w:val="restart"/>
            <w:vAlign w:val="center"/>
          </w:tcPr>
          <w:p w14:paraId="3A0E7D53">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★A060805 便器</w:t>
            </w:r>
          </w:p>
        </w:tc>
        <w:tc>
          <w:tcPr>
            <w:tcW w:w="986" w:type="pct"/>
            <w:vAlign w:val="center"/>
          </w:tcPr>
          <w:p w14:paraId="7F0B3623">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p w14:paraId="7B38250A">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坐便器</w:t>
            </w:r>
          </w:p>
        </w:tc>
        <w:tc>
          <w:tcPr>
            <w:tcW w:w="1054" w:type="pct"/>
            <w:vAlign w:val="center"/>
          </w:tcPr>
          <w:p w14:paraId="3DC0598E">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529BB29E">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《坐便器水效限定值及水效等级》 (GB25502)</w:t>
            </w:r>
          </w:p>
        </w:tc>
      </w:tr>
      <w:tr w14:paraId="35F2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64" w:type="pct"/>
            <w:vMerge w:val="continue"/>
            <w:vAlign w:val="center"/>
          </w:tcPr>
          <w:p w14:paraId="1ECE484C">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512156B7">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Align w:val="center"/>
          </w:tcPr>
          <w:p w14:paraId="59A7EB7B">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p w14:paraId="57254415">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蹲便器</w:t>
            </w:r>
          </w:p>
        </w:tc>
        <w:tc>
          <w:tcPr>
            <w:tcW w:w="1054" w:type="pct"/>
            <w:vAlign w:val="center"/>
          </w:tcPr>
          <w:p w14:paraId="025F2B0A">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45D3D522">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《蹲便器用水效率限定值及用水 效率等级》(GB30717)</w:t>
            </w:r>
          </w:p>
        </w:tc>
      </w:tr>
      <w:tr w14:paraId="5053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64" w:type="pct"/>
            <w:vMerge w:val="continue"/>
            <w:vAlign w:val="center"/>
          </w:tcPr>
          <w:p w14:paraId="7742F4C3">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p>
        </w:tc>
        <w:tc>
          <w:tcPr>
            <w:tcW w:w="780" w:type="pct"/>
            <w:vMerge w:val="continue"/>
            <w:vAlign w:val="center"/>
          </w:tcPr>
          <w:p w14:paraId="64F740F1">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986" w:type="pct"/>
            <w:vAlign w:val="center"/>
          </w:tcPr>
          <w:p w14:paraId="377D07C0">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p w14:paraId="23928BAD">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小便器</w:t>
            </w:r>
          </w:p>
        </w:tc>
        <w:tc>
          <w:tcPr>
            <w:tcW w:w="1054" w:type="pct"/>
            <w:vAlign w:val="center"/>
          </w:tcPr>
          <w:p w14:paraId="6462D008">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0CEDEAFC">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《小便器用水效率限定值及用水 效率等级》(GB28377)</w:t>
            </w:r>
          </w:p>
        </w:tc>
      </w:tr>
      <w:tr w14:paraId="1475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64" w:type="pct"/>
            <w:vAlign w:val="center"/>
          </w:tcPr>
          <w:p w14:paraId="659670C3">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16</w:t>
            </w:r>
          </w:p>
        </w:tc>
        <w:tc>
          <w:tcPr>
            <w:tcW w:w="780" w:type="pct"/>
            <w:vAlign w:val="center"/>
          </w:tcPr>
          <w:p w14:paraId="349AE352">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★A060806 水嘴</w:t>
            </w:r>
          </w:p>
        </w:tc>
        <w:tc>
          <w:tcPr>
            <w:tcW w:w="986" w:type="pct"/>
            <w:vAlign w:val="center"/>
          </w:tcPr>
          <w:p w14:paraId="3C466E1F">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Align w:val="center"/>
          </w:tcPr>
          <w:p w14:paraId="3D8F2EEC">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17055485">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《水嘴用水效率限定值及用水效 率等级》(GB25501)</w:t>
            </w:r>
          </w:p>
        </w:tc>
      </w:tr>
      <w:tr w14:paraId="682A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64" w:type="pct"/>
            <w:vAlign w:val="center"/>
          </w:tcPr>
          <w:p w14:paraId="3D526B4E">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17</w:t>
            </w:r>
          </w:p>
        </w:tc>
        <w:tc>
          <w:tcPr>
            <w:tcW w:w="780" w:type="pct"/>
            <w:vAlign w:val="center"/>
          </w:tcPr>
          <w:p w14:paraId="3C249802">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A060807便器冲洗阀</w:t>
            </w:r>
          </w:p>
        </w:tc>
        <w:tc>
          <w:tcPr>
            <w:tcW w:w="986" w:type="pct"/>
            <w:vAlign w:val="center"/>
          </w:tcPr>
          <w:p w14:paraId="70D26C44">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Align w:val="center"/>
          </w:tcPr>
          <w:p w14:paraId="0306FE08">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04BC9068">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《便器冲洗阀用水效率限定值及 用水效率等级》(GB28379)</w:t>
            </w:r>
          </w:p>
        </w:tc>
      </w:tr>
      <w:tr w14:paraId="1890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64" w:type="pct"/>
            <w:vAlign w:val="center"/>
          </w:tcPr>
          <w:p w14:paraId="3AEA9BC6">
            <w:pPr>
              <w:kinsoku w:val="0"/>
              <w:autoSpaceDE w:val="0"/>
              <w:autoSpaceDN w:val="0"/>
              <w:adjustRightInd w:val="0"/>
              <w:snapToGrid w:val="0"/>
              <w:spacing w:before="95"/>
              <w:jc w:val="center"/>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18</w:t>
            </w:r>
          </w:p>
        </w:tc>
        <w:tc>
          <w:tcPr>
            <w:tcW w:w="780" w:type="pct"/>
            <w:vAlign w:val="center"/>
          </w:tcPr>
          <w:p w14:paraId="15C16761">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A060810淋浴器</w:t>
            </w:r>
          </w:p>
        </w:tc>
        <w:tc>
          <w:tcPr>
            <w:tcW w:w="986" w:type="pct"/>
            <w:vAlign w:val="center"/>
          </w:tcPr>
          <w:p w14:paraId="2A3BFC4D">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054" w:type="pct"/>
            <w:vAlign w:val="center"/>
          </w:tcPr>
          <w:p w14:paraId="77A5A265">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p>
        </w:tc>
        <w:tc>
          <w:tcPr>
            <w:tcW w:w="1714" w:type="pct"/>
            <w:vAlign w:val="center"/>
          </w:tcPr>
          <w:p w14:paraId="5A5F804B">
            <w:pPr>
              <w:kinsoku w:val="0"/>
              <w:autoSpaceDE w:val="0"/>
              <w:autoSpaceDN w:val="0"/>
              <w:adjustRightInd w:val="0"/>
              <w:snapToGrid w:val="0"/>
              <w:spacing w:before="95"/>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《淋浴器用水效率限定值及用水 效率等级》(GB28378)</w:t>
            </w:r>
          </w:p>
        </w:tc>
      </w:tr>
    </w:tbl>
    <w:p w14:paraId="3293AE37">
      <w:pPr>
        <w:kinsoku w:val="0"/>
        <w:autoSpaceDE w:val="0"/>
        <w:autoSpaceDN w:val="0"/>
        <w:adjustRightInd w:val="0"/>
        <w:snapToGrid w:val="0"/>
        <w:spacing w:before="95" w:line="360" w:lineRule="auto"/>
        <w:jc w:val="left"/>
        <w:textAlignment w:val="baseline"/>
        <w:rPr>
          <w:rFonts w:hint="eastAsia" w:asciiTheme="minorEastAsia" w:hAnsiTheme="minorEastAsia" w:eastAsiaTheme="minorEastAsia" w:cstheme="minorEastAsia"/>
          <w:color w:val="333333"/>
          <w:spacing w:val="-2"/>
          <w:sz w:val="24"/>
          <w:szCs w:val="24"/>
          <w:highlight w:val="none"/>
        </w:rPr>
      </w:pPr>
    </w:p>
    <w:p w14:paraId="29A179DA">
      <w:pPr>
        <w:kinsoku w:val="0"/>
        <w:autoSpaceDE w:val="0"/>
        <w:autoSpaceDN w:val="0"/>
        <w:adjustRightInd w:val="0"/>
        <w:snapToGrid w:val="0"/>
        <w:spacing w:before="95" w:line="360" w:lineRule="auto"/>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注：</w:t>
      </w:r>
    </w:p>
    <w:p w14:paraId="4D698F55">
      <w:pPr>
        <w:kinsoku w:val="0"/>
        <w:autoSpaceDE w:val="0"/>
        <w:autoSpaceDN w:val="0"/>
        <w:adjustRightInd w:val="0"/>
        <w:snapToGrid w:val="0"/>
        <w:spacing w:before="95" w:line="360" w:lineRule="auto"/>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1.节能产品认证应依据相关国家标准的最新版本，依据国家标准中二级能效 (水效)指标。</w:t>
      </w:r>
    </w:p>
    <w:p w14:paraId="659BFD4A">
      <w:pPr>
        <w:kinsoku w:val="0"/>
        <w:autoSpaceDE w:val="0"/>
        <w:autoSpaceDN w:val="0"/>
        <w:adjustRightInd w:val="0"/>
        <w:snapToGrid w:val="0"/>
        <w:spacing w:before="95" w:line="360" w:lineRule="auto"/>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2.上述产品中认证标准发生变更的，依据原认证标准获得的、仍在有效期内的认证证书可使用至2019年6月1日。</w:t>
      </w:r>
    </w:p>
    <w:p w14:paraId="136083A4">
      <w:pPr>
        <w:kinsoku w:val="0"/>
        <w:autoSpaceDE w:val="0"/>
        <w:autoSpaceDN w:val="0"/>
        <w:adjustRightInd w:val="0"/>
        <w:snapToGrid w:val="0"/>
        <w:spacing w:before="95" w:line="360" w:lineRule="auto"/>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3.以“★”标注的为政府强制采购产品。</w:t>
      </w:r>
    </w:p>
    <w:p w14:paraId="0126A011">
      <w:pPr>
        <w:kinsoku w:val="0"/>
        <w:autoSpaceDE w:val="0"/>
        <w:autoSpaceDN w:val="0"/>
        <w:adjustRightInd w:val="0"/>
        <w:snapToGrid w:val="0"/>
        <w:spacing w:before="95" w:line="360" w:lineRule="auto"/>
        <w:jc w:val="left"/>
        <w:textAlignment w:val="baseline"/>
        <w:rPr>
          <w:rFonts w:hint="eastAsia" w:asciiTheme="minorEastAsia" w:hAnsiTheme="minorEastAsia" w:eastAsiaTheme="minorEastAsia" w:cstheme="minorEastAsia"/>
          <w:color w:val="333333"/>
          <w:spacing w:val="-2"/>
          <w:sz w:val="24"/>
          <w:szCs w:val="24"/>
          <w:highlight w:val="none"/>
        </w:rPr>
      </w:pPr>
      <w:r>
        <w:rPr>
          <w:rFonts w:hint="eastAsia" w:asciiTheme="minorEastAsia" w:hAnsiTheme="minorEastAsia" w:eastAsiaTheme="minorEastAsia" w:cstheme="minorEastAsia"/>
          <w:color w:val="333333"/>
          <w:spacing w:val="-2"/>
          <w:sz w:val="24"/>
          <w:szCs w:val="24"/>
          <w:highlight w:val="none"/>
        </w:rPr>
        <w:t>4.属于政府强制采购的节能产品：计算机设备、打印设备（激光打印机、针式打印机）、液晶显示器、制冷空调设备（制冷压缩机、空调机组、专用制冷、空调设备）、镇流器、生活用电器（空调机、电热水器）、普通照明用双端荧光灯、电视设备、视频设备、便器、水嘴。</w:t>
      </w:r>
    </w:p>
    <w:p w14:paraId="7AD81B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Theme="minorEastAsia" w:hAnsiTheme="minorEastAsia" w:eastAsiaTheme="minorEastAsia" w:cstheme="minorEastAsia"/>
          <w:color w:val="333333"/>
          <w:spacing w:val="-2"/>
          <w:sz w:val="24"/>
          <w:szCs w:val="24"/>
          <w:highlight w:val="none"/>
        </w:rPr>
        <w:t>5.上述产品必须提供认证证书扫描件或网页截图，否则视为</w:t>
      </w:r>
      <w:r>
        <w:rPr>
          <w:rFonts w:hint="eastAsia" w:asciiTheme="minorEastAsia" w:hAnsiTheme="minorEastAsia" w:eastAsiaTheme="minorEastAsia" w:cstheme="minorEastAsia"/>
          <w:b/>
          <w:bCs/>
          <w:color w:val="333333"/>
          <w:spacing w:val="-2"/>
          <w:sz w:val="24"/>
          <w:szCs w:val="24"/>
          <w:highlight w:val="none"/>
        </w:rPr>
        <w:t>无效投标</w:t>
      </w:r>
      <w:r>
        <w:rPr>
          <w:rFonts w:hint="eastAsia" w:asciiTheme="minorEastAsia" w:hAnsiTheme="minorEastAsia" w:eastAsiaTheme="minorEastAsia" w:cstheme="minorEastAsia"/>
          <w:color w:val="333333"/>
          <w:spacing w:val="-2"/>
          <w:sz w:val="24"/>
          <w:szCs w:val="24"/>
          <w:highlight w:val="none"/>
        </w:rPr>
        <w:t>。</w:t>
      </w:r>
    </w:p>
    <w:p w14:paraId="72A15B8B">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2432FC23">
      <w:pPr>
        <w:pStyle w:val="7"/>
        <w:bidi w:val="0"/>
        <w:jc w:val="center"/>
        <w:rPr>
          <w:rFonts w:hint="default"/>
          <w:lang w:val="en-US" w:eastAsia="zh-CN"/>
        </w:rPr>
      </w:pPr>
      <w:bookmarkStart w:id="235" w:name="_Toc8530"/>
      <w:bookmarkStart w:id="236" w:name="_Toc31809"/>
      <w:r>
        <w:rPr>
          <w:rFonts w:hint="eastAsia" w:ascii="宋体" w:hAnsi="宋体" w:eastAsia="宋体" w:cs="宋体"/>
          <w:sz w:val="28"/>
          <w:szCs w:val="28"/>
          <w:lang w:val="en-US" w:eastAsia="zh-CN"/>
        </w:rPr>
        <w:t>11、技术文件</w:t>
      </w:r>
      <w:bookmarkEnd w:id="235"/>
      <w:bookmarkEnd w:id="236"/>
    </w:p>
    <w:p w14:paraId="0759F4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内容包括（供应商视需要自行编写）：</w:t>
      </w:r>
    </w:p>
    <w:p w14:paraId="42C988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1、货物的技术规格与功能的详细说明和产品样本</w:t>
      </w:r>
    </w:p>
    <w:p w14:paraId="0EDE49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2、主要外购件、配套件的型号规格和制造商分项报价表</w:t>
      </w:r>
    </w:p>
    <w:p w14:paraId="2210C7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3、标准附件、备品备件和专用工具等</w:t>
      </w:r>
    </w:p>
    <w:p w14:paraId="3B994D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4、供应商认为需要说明的其他内容</w:t>
      </w:r>
    </w:p>
    <w:p w14:paraId="54BEE5D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B11EEA3">
      <w:pPr>
        <w:pStyle w:val="7"/>
        <w:bidi w:val="0"/>
        <w:jc w:val="center"/>
        <w:rPr>
          <w:rFonts w:hint="eastAsia" w:ascii="宋体" w:hAnsi="宋体" w:eastAsia="宋体" w:cs="宋体"/>
          <w:szCs w:val="24"/>
          <w:lang w:val="en-US" w:eastAsia="zh-CN"/>
        </w:rPr>
      </w:pPr>
      <w:bookmarkStart w:id="237" w:name="_Toc25082"/>
      <w:bookmarkStart w:id="238" w:name="_Toc27170"/>
      <w:bookmarkStart w:id="239" w:name="_Toc339545659"/>
      <w:bookmarkStart w:id="240" w:name="_Toc5077"/>
      <w:bookmarkStart w:id="241" w:name="_Toc3904"/>
      <w:bookmarkStart w:id="242" w:name="_Toc332035392"/>
      <w:bookmarkStart w:id="243" w:name="_Toc25413"/>
      <w:bookmarkStart w:id="244" w:name="_Toc475970899"/>
      <w:bookmarkStart w:id="245" w:name="_Toc286760785"/>
      <w:r>
        <w:rPr>
          <w:rFonts w:hint="eastAsia" w:ascii="宋体" w:hAnsi="宋体" w:eastAsia="宋体" w:cs="宋体"/>
          <w:sz w:val="28"/>
          <w:szCs w:val="28"/>
          <w:lang w:val="en-US" w:eastAsia="zh-CN"/>
        </w:rPr>
        <w:t>12、资格证明文件</w:t>
      </w:r>
      <w:bookmarkEnd w:id="237"/>
      <w:bookmarkEnd w:id="238"/>
      <w:bookmarkEnd w:id="239"/>
      <w:bookmarkEnd w:id="240"/>
      <w:bookmarkEnd w:id="241"/>
      <w:bookmarkEnd w:id="242"/>
      <w:bookmarkEnd w:id="243"/>
      <w:bookmarkEnd w:id="244"/>
      <w:bookmarkEnd w:id="245"/>
    </w:p>
    <w:p w14:paraId="41AB14AF">
      <w:pPr>
        <w:bidi w:val="0"/>
        <w:spacing w:line="360" w:lineRule="auto"/>
        <w:rPr>
          <w:rFonts w:hint="eastAsia" w:ascii="宋体" w:hAnsi="宋体" w:eastAsia="宋体" w:cs="宋体"/>
          <w:sz w:val="24"/>
          <w:szCs w:val="24"/>
          <w:lang w:val="en-US" w:eastAsia="zh-CN"/>
        </w:rPr>
      </w:pPr>
    </w:p>
    <w:p w14:paraId="1E9764F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lang w:eastAsia="zh-CN"/>
        </w:rPr>
      </w:pPr>
      <w:r>
        <w:rPr>
          <w:rFonts w:hint="eastAsia" w:asciiTheme="minorEastAsia" w:hAnsiTheme="minorEastAsia" w:eastAsiaTheme="minorEastAsia" w:cstheme="minorEastAsia"/>
          <w:b/>
          <w:bCs/>
          <w:color w:val="auto"/>
          <w:sz w:val="24"/>
        </w:rPr>
        <w:t>填写须知</w:t>
      </w:r>
      <w:r>
        <w:rPr>
          <w:rFonts w:hint="eastAsia" w:asciiTheme="minorEastAsia" w:hAnsiTheme="minorEastAsia" w:eastAsiaTheme="minorEastAsia" w:cstheme="minorEastAsia"/>
          <w:b/>
          <w:bCs/>
          <w:color w:val="auto"/>
          <w:sz w:val="24"/>
          <w:lang w:eastAsia="zh-CN"/>
        </w:rPr>
        <w:t>：</w:t>
      </w:r>
    </w:p>
    <w:p w14:paraId="4ED2C3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供应商应填写和提交下述规定的资格证明文件。复印件均须加盖公章；</w:t>
      </w:r>
    </w:p>
    <w:p w14:paraId="37C16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所附格式中要求填写的全部内容都必须如实填写；</w:t>
      </w:r>
    </w:p>
    <w:p w14:paraId="24D270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本资格声明的签字人应保证全部声明和填写的内容是真实的和正确的；</w:t>
      </w:r>
    </w:p>
    <w:p w14:paraId="44B8A6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cstheme="minorEastAsia"/>
          <w:color w:val="auto"/>
          <w:sz w:val="24"/>
          <w:lang w:eastAsia="zh-CN"/>
        </w:rPr>
        <w:t>询价</w:t>
      </w:r>
      <w:r>
        <w:rPr>
          <w:rFonts w:hint="eastAsia" w:asciiTheme="minorEastAsia" w:hAnsiTheme="minorEastAsia" w:eastAsiaTheme="minorEastAsia" w:cstheme="minorEastAsia"/>
          <w:color w:val="auto"/>
          <w:sz w:val="24"/>
        </w:rPr>
        <w:t>小组将应用供应商提交的资料，根据自己的判断和考虑决定供应商履行合同的合格性及能力。</w:t>
      </w:r>
    </w:p>
    <w:p w14:paraId="484D4B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lang w:val="en-US" w:eastAsia="zh-CN"/>
        </w:rPr>
        <w:t>12.</w:t>
      </w: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bCs/>
          <w:color w:val="auto"/>
          <w:sz w:val="24"/>
          <w:highlight w:val="none"/>
        </w:rPr>
        <w:t>具有独立承担民事责任的能力的资格证明文件</w:t>
      </w:r>
    </w:p>
    <w:p w14:paraId="3D462A1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12.2</w:t>
      </w:r>
      <w:r>
        <w:rPr>
          <w:rFonts w:hint="eastAsia" w:asciiTheme="minorEastAsia" w:hAnsiTheme="minorEastAsia" w:eastAsiaTheme="minorEastAsia" w:cstheme="minorEastAsia"/>
          <w:b/>
          <w:color w:val="auto"/>
          <w:sz w:val="24"/>
          <w:szCs w:val="24"/>
          <w:highlight w:val="none"/>
        </w:rPr>
        <w:t>具有良好的商业信誉和健全的财务会计制度的证明文件</w:t>
      </w:r>
    </w:p>
    <w:p w14:paraId="13C794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12.3</w:t>
      </w:r>
      <w:r>
        <w:rPr>
          <w:rFonts w:hint="eastAsia" w:asciiTheme="minorEastAsia" w:hAnsiTheme="minorEastAsia" w:eastAsiaTheme="minorEastAsia" w:cstheme="minorEastAsia"/>
          <w:b/>
          <w:color w:val="auto"/>
          <w:sz w:val="24"/>
          <w:szCs w:val="24"/>
          <w:highlight w:val="none"/>
        </w:rPr>
        <w:t>具有履行合同</w:t>
      </w:r>
      <w:r>
        <w:rPr>
          <w:rFonts w:hint="eastAsia" w:asciiTheme="minorEastAsia" w:hAnsiTheme="minorEastAsia" w:eastAsiaTheme="minorEastAsia" w:cstheme="minorEastAsia"/>
          <w:b/>
          <w:color w:val="auto"/>
          <w:sz w:val="24"/>
          <w:szCs w:val="24"/>
          <w:highlight w:val="none"/>
          <w:lang w:eastAsia="zh-CN"/>
        </w:rPr>
        <w:t>所必需的</w:t>
      </w:r>
      <w:r>
        <w:rPr>
          <w:rFonts w:hint="eastAsia" w:asciiTheme="minorEastAsia" w:hAnsiTheme="minorEastAsia" w:eastAsiaTheme="minorEastAsia" w:cstheme="minorEastAsia"/>
          <w:b/>
          <w:color w:val="auto"/>
          <w:sz w:val="24"/>
          <w:szCs w:val="24"/>
          <w:highlight w:val="none"/>
        </w:rPr>
        <w:t>设备和专业技术能力的证明文件</w:t>
      </w:r>
    </w:p>
    <w:p w14:paraId="7023307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12.4</w:t>
      </w:r>
      <w:r>
        <w:rPr>
          <w:rFonts w:hint="eastAsia" w:asciiTheme="minorEastAsia" w:hAnsiTheme="minorEastAsia" w:eastAsiaTheme="minorEastAsia" w:cstheme="minorEastAsia"/>
          <w:b/>
          <w:color w:val="auto"/>
          <w:sz w:val="24"/>
          <w:szCs w:val="24"/>
          <w:highlight w:val="none"/>
        </w:rPr>
        <w:t>有依法缴纳税收和社会保障资金的良好记录的证明文件</w:t>
      </w:r>
    </w:p>
    <w:p w14:paraId="2E8751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12.5</w:t>
      </w:r>
      <w:r>
        <w:rPr>
          <w:rFonts w:hint="eastAsia" w:asciiTheme="minorEastAsia" w:hAnsiTheme="minorEastAsia" w:eastAsiaTheme="minorEastAsia" w:cstheme="minorEastAsia"/>
          <w:b/>
          <w:color w:val="auto"/>
          <w:sz w:val="24"/>
          <w:szCs w:val="24"/>
          <w:highlight w:val="none"/>
        </w:rPr>
        <w:t>参加采购前三年内</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在经营活动中没有重大违法记录的证明文件</w:t>
      </w:r>
    </w:p>
    <w:p w14:paraId="6C907A1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12.6</w:t>
      </w:r>
      <w:r>
        <w:rPr>
          <w:rFonts w:hint="eastAsia" w:asciiTheme="minorEastAsia" w:hAnsiTheme="minorEastAsia" w:eastAsiaTheme="minorEastAsia" w:cstheme="minorEastAsia"/>
          <w:b/>
          <w:color w:val="auto"/>
          <w:sz w:val="24"/>
          <w:szCs w:val="24"/>
          <w:highlight w:val="none"/>
        </w:rPr>
        <w:t>其他法律要求</w:t>
      </w:r>
    </w:p>
    <w:p w14:paraId="3D21BD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（提供</w:t>
      </w:r>
      <w:r>
        <w:rPr>
          <w:rFonts w:hint="eastAsia" w:asciiTheme="minorEastAsia" w:hAnsiTheme="minorEastAsia" w:eastAsiaTheme="minorEastAsia" w:cstheme="minorEastAsia"/>
          <w:b/>
          <w:color w:val="auto"/>
          <w:sz w:val="24"/>
          <w:szCs w:val="24"/>
          <w:highlight w:val="none"/>
          <w:lang w:eastAsia="zh-CN"/>
        </w:rPr>
        <w:t>江西省政府采购供应商资格信用承诺函</w:t>
      </w:r>
      <w:r>
        <w:rPr>
          <w:rFonts w:hint="eastAsia" w:asciiTheme="minorEastAsia" w:hAnsiTheme="minorEastAsia" w:eastAsiaTheme="minorEastAsia" w:cstheme="minorEastAsia"/>
          <w:b/>
          <w:color w:val="auto"/>
          <w:sz w:val="24"/>
          <w:szCs w:val="24"/>
          <w:highlight w:val="none"/>
          <w:lang w:val="en-US" w:eastAsia="zh-CN"/>
        </w:rPr>
        <w:t xml:space="preserve"> 详见格式12-1）</w:t>
      </w:r>
    </w:p>
    <w:p w14:paraId="578E40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6、其他资格证明材料</w:t>
      </w:r>
      <w:r>
        <w:rPr>
          <w:rFonts w:hint="eastAsia" w:asciiTheme="minorEastAsia" w:hAnsiTheme="minorEastAsia" w:eastAsiaTheme="minorEastAsia" w:cstheme="minorEastAsia"/>
          <w:color w:val="auto"/>
          <w:sz w:val="24"/>
          <w:szCs w:val="24"/>
          <w:highlight w:val="none"/>
        </w:rPr>
        <w:t xml:space="preserve">； </w:t>
      </w:r>
    </w:p>
    <w:p w14:paraId="0B475A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法定代表人（或经营者）授权书（见格式）</w:t>
      </w:r>
    </w:p>
    <w:p w14:paraId="71AA63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br w:type="page"/>
      </w:r>
      <w:r>
        <w:rPr>
          <w:rFonts w:hint="eastAsia" w:asciiTheme="minorEastAsia" w:hAnsiTheme="minorEastAsia" w:eastAsiaTheme="minorEastAsia" w:cstheme="minorEastAsia"/>
          <w:b/>
          <w:bCs/>
          <w:color w:val="auto"/>
          <w:sz w:val="24"/>
          <w:szCs w:val="24"/>
          <w:lang w:val="en-US" w:eastAsia="zh-CN"/>
        </w:rPr>
        <w:t>12-1.江西省政府采购供应商资格信用承诺函</w:t>
      </w:r>
    </w:p>
    <w:p w14:paraId="57613C16">
      <w:pPr>
        <w:bidi w:val="0"/>
        <w:spacing w:line="480" w:lineRule="auto"/>
        <w:rPr>
          <w:rFonts w:hint="eastAsia" w:asciiTheme="minorEastAsia" w:hAnsiTheme="minorEastAsia" w:eastAsiaTheme="minorEastAsia" w:cstheme="minorEastAsia"/>
          <w:color w:val="auto"/>
          <w:sz w:val="24"/>
          <w:szCs w:val="24"/>
          <w:lang w:val="en-US" w:eastAsia="zh-CN"/>
        </w:rPr>
      </w:pPr>
    </w:p>
    <w:p w14:paraId="1D0E51E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致（采购人或政府采购代理机构）：</w:t>
      </w:r>
    </w:p>
    <w:p w14:paraId="7FEE42D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单位名称（自然人姓名）：</w:t>
      </w:r>
    </w:p>
    <w:p w14:paraId="591EEAB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统一社会信用代码（身份证号码）：</w:t>
      </w:r>
    </w:p>
    <w:p w14:paraId="483200D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法定代表人（负责人）：</w:t>
      </w:r>
    </w:p>
    <w:p w14:paraId="1ADA156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联系地址和电话：</w:t>
      </w:r>
    </w:p>
    <w:p w14:paraId="729C859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我单位（本人）自愿参加本次政府采购活动，严格遵守《中华人民共和国政府采购法》及相关法律法规，坚守公开、公平、公正和诚实信用等原则，依法诚信经营，并郑重承诺：</w:t>
      </w:r>
    </w:p>
    <w:p w14:paraId="5122772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（一）我单位（本人）符合采购文件要求以及《中华人民共和国政府采购法》第二十二条规定的条件：</w:t>
      </w:r>
    </w:p>
    <w:p w14:paraId="4E083B7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1.具有独立承担民事责任的能力；</w:t>
      </w:r>
    </w:p>
    <w:p w14:paraId="0E8180D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2.具有良好的商业信誉和健全的财务会计制度；</w:t>
      </w:r>
    </w:p>
    <w:p w14:paraId="3C321B2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3.具有履行合同所必需的设备和专业技术能力；</w:t>
      </w:r>
    </w:p>
    <w:p w14:paraId="10FAF14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4.有依法缴纳税收和社会保障资金的良好记录；</w:t>
      </w:r>
    </w:p>
    <w:p w14:paraId="076C566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5.参加政府采购活动前三年内，在经营活动中没有重大违法记录；</w:t>
      </w:r>
    </w:p>
    <w:p w14:paraId="4271E58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6.符合法律、行政法规规定的其他条件。</w:t>
      </w:r>
    </w:p>
    <w:p w14:paraId="77FE81C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（二）我单位（本人）未被列入严重失信主体名单、失信被执行人、税收违法黑名单、政府采购严重违法失信行为记录名单。</w:t>
      </w:r>
    </w:p>
    <w:p w14:paraId="014A249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7AF5202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p>
    <w:p w14:paraId="19A1CAB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供应商名称（单位公章）：</w:t>
      </w:r>
    </w:p>
    <w:p w14:paraId="0043D8A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自然人（签字）：</w:t>
      </w:r>
    </w:p>
    <w:p w14:paraId="134ABCA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年   月   日</w:t>
      </w:r>
    </w:p>
    <w:p w14:paraId="212CDBB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p>
    <w:p w14:paraId="4F24910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p>
    <w:p w14:paraId="53E4EC5A">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注：1.我单位（本人）专指参加政府采购活动的供应商（含自然人）</w:t>
      </w:r>
    </w:p>
    <w:p w14:paraId="1C4CAA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2.供应商须在投标（响应）文件中按此模板提供承诺函，否则，视为未实质性响应</w:t>
      </w:r>
      <w:r>
        <w:rPr>
          <w:rFonts w:hint="eastAsia" w:asciiTheme="minorEastAsia" w:hAnsiTheme="minorEastAsia" w:cstheme="minorEastAsia"/>
          <w:b/>
          <w:bCs/>
          <w:color w:val="auto"/>
          <w:sz w:val="24"/>
          <w:szCs w:val="24"/>
          <w:lang w:val="en-US" w:eastAsia="zh-CN"/>
        </w:rPr>
        <w:t>询价</w:t>
      </w:r>
      <w:r>
        <w:rPr>
          <w:rFonts w:hint="eastAsia" w:asciiTheme="minorEastAsia" w:hAnsiTheme="minorEastAsia" w:eastAsiaTheme="minorEastAsia" w:cstheme="minorEastAsia"/>
          <w:b/>
          <w:bCs/>
          <w:color w:val="auto"/>
          <w:sz w:val="24"/>
          <w:szCs w:val="24"/>
          <w:lang w:val="en-US" w:eastAsia="zh-CN"/>
        </w:rPr>
        <w:t>文件要求，按无效投标（响应）处理。</w:t>
      </w:r>
    </w:p>
    <w:p w14:paraId="79146120">
      <w:pP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br w:type="page"/>
      </w:r>
    </w:p>
    <w:p w14:paraId="36F5EC3B">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b/>
          <w:bCs/>
          <w:sz w:val="24"/>
          <w:szCs w:val="32"/>
          <w:lang w:eastAsia="zh-CN"/>
        </w:rPr>
        <w:t>说明：如供应商提供了《江西省政府采购供应商资格信用承诺函》的，视同提供了满足“《中华人民共和国政府采购法》第二十二条规定”的证明文件，未提供《江西省政府采购供应商资格信用承诺函》的，须提供下列项证明文件，证明其满足“《中华人民共和国政府采购法》第二十二条规定”。</w:t>
      </w:r>
    </w:p>
    <w:p w14:paraId="16AE4836">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Theme="minorEastAsia" w:hAnsiTheme="minorEastAsia" w:eastAsiaTheme="minorEastAsia" w:cstheme="minorEastAsia"/>
          <w:b/>
          <w:bCs/>
          <w:sz w:val="24"/>
          <w:szCs w:val="32"/>
          <w:lang w:eastAsia="zh-CN"/>
        </w:rPr>
      </w:pPr>
      <w:r>
        <w:rPr>
          <w:rFonts w:hint="eastAsia" w:asciiTheme="minorEastAsia" w:hAnsiTheme="minorEastAsia" w:eastAsiaTheme="minorEastAsia" w:cstheme="minorEastAsia"/>
          <w:b/>
          <w:bCs/>
          <w:sz w:val="24"/>
          <w:szCs w:val="32"/>
          <w:lang w:eastAsia="zh-CN"/>
        </w:rPr>
        <w:t>1</w:t>
      </w:r>
      <w:r>
        <w:rPr>
          <w:rFonts w:hint="eastAsia" w:asciiTheme="minorEastAsia" w:hAnsiTheme="minorEastAsia" w:eastAsiaTheme="minorEastAsia" w:cstheme="minorEastAsia"/>
          <w:b/>
          <w:bCs/>
          <w:sz w:val="24"/>
          <w:szCs w:val="32"/>
          <w:lang w:val="en-US" w:eastAsia="zh-CN"/>
        </w:rPr>
        <w:t>.</w:t>
      </w:r>
      <w:r>
        <w:rPr>
          <w:rFonts w:hint="eastAsia" w:asciiTheme="minorEastAsia" w:hAnsiTheme="minorEastAsia" w:eastAsiaTheme="minorEastAsia" w:cstheme="minorEastAsia"/>
          <w:b/>
          <w:bCs/>
          <w:sz w:val="24"/>
          <w:szCs w:val="32"/>
          <w:lang w:eastAsia="zh-CN"/>
        </w:rPr>
        <w:t>具有独立承担民事责任的能力的资格证明文件</w:t>
      </w:r>
    </w:p>
    <w:p w14:paraId="6334BD5C">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lang w:eastAsia="zh-CN"/>
        </w:rPr>
        <w:t>如投标人是企业的（包括合伙企业）应提供有效的“企业法人营业执照”或“营业执照”；如投标人是事业单位的应提供“事业单位法人证书”；如投标人是非企业专业服务机构的应提供执业许可证等证明文件；投标人是个体工商户的应提供有效的“个体工商户营业执照”、组织机构代码证证明文件（实行“统一社会信用代码”的不需单独提供组织机构代码证）；如投标人是自然人的，应提供有效的自然人的身份证明(中国公民)。</w:t>
      </w:r>
    </w:p>
    <w:p w14:paraId="0E6E74EB">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Theme="minorEastAsia" w:hAnsiTheme="minorEastAsia" w:eastAsiaTheme="minorEastAsia" w:cstheme="minorEastAsia"/>
          <w:b/>
          <w:bCs/>
          <w:sz w:val="24"/>
          <w:szCs w:val="32"/>
          <w:lang w:eastAsia="zh-CN"/>
        </w:rPr>
      </w:pPr>
      <w:r>
        <w:rPr>
          <w:rFonts w:hint="eastAsia" w:asciiTheme="minorEastAsia" w:hAnsiTheme="minorEastAsia" w:eastAsiaTheme="minorEastAsia" w:cstheme="minorEastAsia"/>
          <w:b/>
          <w:bCs/>
          <w:sz w:val="24"/>
          <w:szCs w:val="32"/>
          <w:lang w:eastAsia="zh-CN"/>
        </w:rPr>
        <w:t>2</w:t>
      </w:r>
      <w:r>
        <w:rPr>
          <w:rFonts w:hint="eastAsia" w:asciiTheme="minorEastAsia" w:hAnsiTheme="minorEastAsia" w:eastAsiaTheme="minorEastAsia" w:cstheme="minorEastAsia"/>
          <w:b/>
          <w:bCs/>
          <w:sz w:val="24"/>
          <w:szCs w:val="32"/>
          <w:lang w:val="en-US" w:eastAsia="zh-CN"/>
        </w:rPr>
        <w:t>.</w:t>
      </w:r>
      <w:r>
        <w:rPr>
          <w:rFonts w:hint="eastAsia" w:asciiTheme="minorEastAsia" w:hAnsiTheme="minorEastAsia" w:eastAsiaTheme="minorEastAsia" w:cstheme="minorEastAsia"/>
          <w:b/>
          <w:bCs/>
          <w:sz w:val="24"/>
          <w:szCs w:val="32"/>
          <w:lang w:eastAsia="zh-CN"/>
        </w:rPr>
        <w:t>具有良好的商业信誉和健全的财务会计制度的证明文件</w:t>
      </w:r>
    </w:p>
    <w:p w14:paraId="3728F419">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lang w:eastAsia="zh-CN"/>
        </w:rPr>
        <w:t>投标人是法人的，提供开标前二个年度内任一年度经审计的财务状况报告</w:t>
      </w:r>
      <w:r>
        <w:rPr>
          <w:rFonts w:hint="eastAsia" w:asciiTheme="minorEastAsia" w:hAnsiTheme="minorEastAsia" w:eastAsiaTheme="minorEastAsia" w:cstheme="minorEastAsia"/>
          <w:b/>
          <w:bCs/>
          <w:sz w:val="24"/>
          <w:szCs w:val="32"/>
          <w:lang w:eastAsia="zh-CN"/>
        </w:rPr>
        <w:t>（至少含有资质的中介机构的营业执照、执业证书、两个签字注册会计师个人执业资格证书；资产负债表、损益表或利润表、现金流量表及简要报表附注；以上材料缺一不可）</w:t>
      </w:r>
      <w:r>
        <w:rPr>
          <w:rFonts w:hint="eastAsia" w:asciiTheme="minorEastAsia" w:hAnsiTheme="minorEastAsia" w:eastAsiaTheme="minorEastAsia" w:cstheme="minorEastAsia"/>
          <w:sz w:val="24"/>
          <w:szCs w:val="32"/>
          <w:lang w:eastAsia="zh-CN"/>
        </w:rPr>
        <w:t>或开标前六个月内任意一个月的财务报表</w:t>
      </w:r>
      <w:r>
        <w:rPr>
          <w:rFonts w:hint="eastAsia" w:asciiTheme="minorEastAsia" w:hAnsiTheme="minorEastAsia" w:eastAsiaTheme="minorEastAsia" w:cstheme="minorEastAsia"/>
          <w:b/>
          <w:bCs/>
          <w:sz w:val="24"/>
          <w:szCs w:val="32"/>
          <w:lang w:eastAsia="zh-CN"/>
        </w:rPr>
        <w:t>（至少含资产负债表、利润表或损益表、现金流量表）</w:t>
      </w:r>
      <w:r>
        <w:rPr>
          <w:rFonts w:hint="eastAsia" w:asciiTheme="minorEastAsia" w:hAnsiTheme="minorEastAsia" w:eastAsiaTheme="minorEastAsia" w:cstheme="minorEastAsia"/>
          <w:sz w:val="24"/>
          <w:szCs w:val="32"/>
          <w:lang w:eastAsia="zh-CN"/>
        </w:rPr>
        <w:t>，或在开标前三个月内其基本开户银行出具的资信证明；其他组织和自然人，没有经审计的财务报告，可以提供在开标前三个月内银行出具的资信证明；个体工商户提供开标前三个月中国人民银行征信中心开具个人信用报告。</w:t>
      </w:r>
    </w:p>
    <w:p w14:paraId="07A69EB6">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b/>
          <w:bCs/>
          <w:sz w:val="24"/>
          <w:szCs w:val="32"/>
          <w:lang w:eastAsia="zh-CN"/>
        </w:rPr>
        <w:t>3</w:t>
      </w:r>
      <w:r>
        <w:rPr>
          <w:rFonts w:hint="eastAsia" w:asciiTheme="minorEastAsia" w:hAnsiTheme="minorEastAsia" w:eastAsiaTheme="minorEastAsia" w:cstheme="minorEastAsia"/>
          <w:b/>
          <w:bCs/>
          <w:sz w:val="24"/>
          <w:szCs w:val="32"/>
          <w:lang w:val="en-US" w:eastAsia="zh-CN"/>
        </w:rPr>
        <w:t>.</w:t>
      </w:r>
      <w:r>
        <w:rPr>
          <w:rFonts w:hint="eastAsia" w:asciiTheme="minorEastAsia" w:hAnsiTheme="minorEastAsia" w:eastAsiaTheme="minorEastAsia" w:cstheme="minorEastAsia"/>
          <w:b/>
          <w:bCs/>
          <w:sz w:val="24"/>
          <w:szCs w:val="32"/>
          <w:lang w:eastAsia="zh-CN"/>
        </w:rPr>
        <w:t>具有履行合同所必需的设备和专业技术能力的证明文件</w:t>
      </w:r>
    </w:p>
    <w:p w14:paraId="6714AF79">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lang w:eastAsia="zh-CN"/>
        </w:rPr>
        <w:t>投标人提供具有履行合同所必需的设备和专业技术能力的承诺函。</w:t>
      </w:r>
    </w:p>
    <w:p w14:paraId="2276EFEC">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b/>
          <w:bCs/>
          <w:sz w:val="24"/>
          <w:szCs w:val="32"/>
          <w:lang w:eastAsia="zh-CN"/>
        </w:rPr>
        <w:t>4</w:t>
      </w:r>
      <w:r>
        <w:rPr>
          <w:rFonts w:hint="eastAsia" w:asciiTheme="minorEastAsia" w:hAnsiTheme="minorEastAsia" w:eastAsiaTheme="minorEastAsia" w:cstheme="minorEastAsia"/>
          <w:b/>
          <w:bCs/>
          <w:sz w:val="24"/>
          <w:szCs w:val="32"/>
          <w:lang w:val="en-US" w:eastAsia="zh-CN"/>
        </w:rPr>
        <w:t>.</w:t>
      </w:r>
      <w:r>
        <w:rPr>
          <w:rFonts w:hint="eastAsia" w:asciiTheme="minorEastAsia" w:hAnsiTheme="minorEastAsia" w:eastAsiaTheme="minorEastAsia" w:cstheme="minorEastAsia"/>
          <w:b/>
          <w:bCs/>
          <w:sz w:val="24"/>
          <w:szCs w:val="32"/>
          <w:lang w:eastAsia="zh-CN"/>
        </w:rPr>
        <w:t>有依法缴纳税收和社会保障资金的良好记录的证明文件</w:t>
      </w:r>
    </w:p>
    <w:p w14:paraId="5D6AFB1B">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lang w:eastAsia="zh-CN"/>
        </w:rPr>
        <w:t>税务登记证（实行“统一社会信用代码”的不需单独提供）和开标前六个月内任意一个月的企业缴税凭证或证明；</w:t>
      </w:r>
      <w:r>
        <w:rPr>
          <w:rFonts w:hint="eastAsia" w:asciiTheme="minorEastAsia" w:hAnsiTheme="minorEastAsia" w:eastAsiaTheme="minorEastAsia" w:cstheme="minorEastAsia"/>
          <w:b/>
          <w:bCs/>
          <w:sz w:val="24"/>
          <w:szCs w:val="32"/>
          <w:lang w:eastAsia="zh-CN"/>
        </w:rPr>
        <w:t>（提供完税证明、涉税保密信息自查证明或其他有效证明，以上任意一种均可）</w:t>
      </w:r>
    </w:p>
    <w:p w14:paraId="3BBB0124">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lang w:eastAsia="zh-CN"/>
        </w:rPr>
        <w:t>开标前六个月内任意一个月的缴纳社会保障资金的凭证或当地社会保障局出具的缴纳明细。依法免税或不需要缴纳社会保障资金的投标人，应当提供相关文件证明其依法免税或不需要缴纳社会保障资金。</w:t>
      </w:r>
      <w:r>
        <w:rPr>
          <w:rFonts w:hint="eastAsia" w:asciiTheme="minorEastAsia" w:hAnsiTheme="minorEastAsia" w:eastAsiaTheme="minorEastAsia" w:cstheme="minorEastAsia"/>
          <w:b/>
          <w:bCs/>
          <w:sz w:val="24"/>
          <w:szCs w:val="32"/>
          <w:lang w:eastAsia="zh-CN"/>
        </w:rPr>
        <w:t>（提供单位职工缴费信息、个人对账单、社保局开具的收据或其他有效证明，以上任意一种均可）</w:t>
      </w:r>
    </w:p>
    <w:p w14:paraId="14CD27DE">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b/>
          <w:bCs/>
          <w:sz w:val="24"/>
          <w:szCs w:val="32"/>
          <w:lang w:eastAsia="zh-CN"/>
        </w:rPr>
        <w:t>5</w:t>
      </w:r>
      <w:r>
        <w:rPr>
          <w:rFonts w:hint="eastAsia" w:asciiTheme="minorEastAsia" w:hAnsiTheme="minorEastAsia" w:eastAsiaTheme="minorEastAsia" w:cstheme="minorEastAsia"/>
          <w:b/>
          <w:bCs/>
          <w:sz w:val="24"/>
          <w:szCs w:val="32"/>
          <w:lang w:val="en-US" w:eastAsia="zh-CN"/>
        </w:rPr>
        <w:t>.</w:t>
      </w:r>
      <w:r>
        <w:rPr>
          <w:rFonts w:hint="eastAsia" w:asciiTheme="minorEastAsia" w:hAnsiTheme="minorEastAsia" w:eastAsiaTheme="minorEastAsia" w:cstheme="minorEastAsia"/>
          <w:b/>
          <w:bCs/>
          <w:sz w:val="24"/>
          <w:szCs w:val="32"/>
          <w:lang w:eastAsia="zh-CN"/>
        </w:rPr>
        <w:t>参加政府采购活动前三年内，在经营活动中没有重大违法记录的证明文件</w:t>
      </w:r>
    </w:p>
    <w:p w14:paraId="202BA98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lang w:eastAsia="zh-CN"/>
        </w:rPr>
        <w:t>参加政府采购前三年内,在经营活动中没有重大违法记录承诺函；重大违法记录，是指投标人因违法经营受到刑事处罚或者责令停产停业、吊销许可证或者执照、较大罚款等行政处罚。</w:t>
      </w:r>
    </w:p>
    <w:p w14:paraId="774B75D7">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b/>
          <w:bCs/>
          <w:sz w:val="24"/>
          <w:szCs w:val="32"/>
          <w:lang w:eastAsia="zh-CN"/>
        </w:rPr>
        <w:t>6</w:t>
      </w:r>
      <w:r>
        <w:rPr>
          <w:rFonts w:hint="eastAsia" w:asciiTheme="minorEastAsia" w:hAnsiTheme="minorEastAsia" w:eastAsiaTheme="minorEastAsia" w:cstheme="minorEastAsia"/>
          <w:b/>
          <w:bCs/>
          <w:sz w:val="24"/>
          <w:szCs w:val="32"/>
          <w:lang w:val="en-US" w:eastAsia="zh-CN"/>
        </w:rPr>
        <w:t>.</w:t>
      </w:r>
      <w:r>
        <w:rPr>
          <w:rFonts w:hint="eastAsia" w:asciiTheme="minorEastAsia" w:hAnsiTheme="minorEastAsia" w:eastAsiaTheme="minorEastAsia" w:cstheme="minorEastAsia"/>
          <w:b/>
          <w:bCs/>
          <w:sz w:val="24"/>
          <w:szCs w:val="32"/>
          <w:lang w:eastAsia="zh-CN"/>
        </w:rPr>
        <w:t>法律、行政法规规定的其他条件的证明文件</w:t>
      </w:r>
    </w:p>
    <w:p w14:paraId="70392990">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lang w:eastAsia="zh-CN"/>
        </w:rPr>
        <w:t>提供材料说明：提供满足法律、行政法规规定的其他条件的承诺函（格式自拟）。</w:t>
      </w:r>
    </w:p>
    <w:p w14:paraId="26110BC1">
      <w:pPr>
        <w:pStyle w:val="16"/>
        <w:keepNext w:val="0"/>
        <w:keepLines w:val="0"/>
        <w:pageBreakBefore w:val="0"/>
        <w:kinsoku/>
        <w:wordWrap/>
        <w:overflowPunct/>
        <w:topLinePunct w:val="0"/>
        <w:autoSpaceDE/>
        <w:autoSpaceDN/>
        <w:bidi w:val="0"/>
        <w:adjustRightInd/>
        <w:snapToGrid/>
        <w:ind w:firstLine="482" w:firstLineChars="200"/>
        <w:textAlignment w:val="auto"/>
        <w:rPr>
          <w:rFonts w:hint="eastAsia"/>
          <w:lang w:val="en-US" w:eastAsia="zh-CN"/>
        </w:rPr>
      </w:pPr>
      <w:r>
        <w:rPr>
          <w:rFonts w:hint="eastAsia" w:asciiTheme="minorEastAsia" w:hAnsiTheme="minorEastAsia" w:eastAsiaTheme="minorEastAsia" w:cstheme="minorEastAsia"/>
          <w:b/>
          <w:bCs/>
          <w:sz w:val="24"/>
          <w:szCs w:val="32"/>
          <w:lang w:eastAsia="zh-CN"/>
        </w:rPr>
        <w:t>备注：本项目对特定资格要求有规定并需要提供证明材料的，从其规定，与本条款不冲突。</w:t>
      </w:r>
    </w:p>
    <w:p w14:paraId="2D972904">
      <w:pPr>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br w:type="page"/>
      </w:r>
    </w:p>
    <w:p w14:paraId="687D8554">
      <w:pPr>
        <w:bidi w:val="0"/>
        <w:jc w:val="center"/>
        <w:rPr>
          <w:rFonts w:hint="default"/>
          <w:lang w:val="en-US" w:eastAsia="zh-CN"/>
        </w:rPr>
      </w:pPr>
      <w:r>
        <w:rPr>
          <w:rFonts w:hint="eastAsia" w:ascii="宋体" w:hAnsi="宋体" w:eastAsia="宋体" w:cs="宋体"/>
          <w:b/>
          <w:bCs/>
          <w:sz w:val="24"/>
          <w:szCs w:val="24"/>
          <w:lang w:val="en-US" w:eastAsia="zh-CN"/>
        </w:rPr>
        <w:t>12-2. 法定代表人（或经营者）授权书</w:t>
      </w:r>
    </w:p>
    <w:p w14:paraId="09E1BA4D">
      <w:pPr>
        <w:bidi w:val="0"/>
        <w:spacing w:line="360" w:lineRule="auto"/>
        <w:rPr>
          <w:rFonts w:hint="eastAsia" w:ascii="宋体" w:hAnsi="宋体" w:eastAsia="宋体" w:cs="宋体"/>
          <w:sz w:val="24"/>
          <w:szCs w:val="24"/>
          <w:lang w:val="en-US" w:eastAsia="zh-CN"/>
        </w:rPr>
      </w:pPr>
    </w:p>
    <w:p w14:paraId="2ED5D08F">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（注：自然人必须本人参与询价活动，本项目关于授权参与询价活动的均不适用）</w:t>
      </w:r>
    </w:p>
    <w:p w14:paraId="6B947AA7">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致：江西企恒企业管理有限公司</w:t>
      </w:r>
    </w:p>
    <w:p w14:paraId="00454088">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（供应商全称）法定代表人（或经营者）</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授权（全权代表姓名）为全权代表,参加贵方组织的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（项目编号）项目询价采购活动，全权代表我方处理询价采购活动中的一切事宜。</w:t>
      </w:r>
    </w:p>
    <w:p w14:paraId="29552A7B">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p>
    <w:p w14:paraId="6F77466C">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法定代表人（或经营者）签字或盖章：</w:t>
      </w:r>
      <w:r>
        <w:rPr>
          <w:rFonts w:hint="eastAsia" w:ascii="宋体" w:hAnsi="宋体" w:eastAsia="宋体" w:cs="宋体"/>
          <w:sz w:val="24"/>
          <w:szCs w:val="24"/>
          <w:u w:val="single"/>
          <w:lang w:val="en-US" w:eastAsia="zh-CN"/>
        </w:rPr>
        <w:t xml:space="preserve">                      </w:t>
      </w:r>
    </w:p>
    <w:p w14:paraId="51115D14">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p>
    <w:p w14:paraId="6F85285B">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供应商全称（公章）：</w:t>
      </w:r>
      <w:r>
        <w:rPr>
          <w:rFonts w:hint="eastAsia" w:ascii="宋体" w:hAnsi="宋体" w:eastAsia="宋体" w:cs="宋体"/>
          <w:sz w:val="24"/>
          <w:szCs w:val="24"/>
          <w:u w:val="single"/>
          <w:lang w:val="en-US" w:eastAsia="zh-CN"/>
        </w:rPr>
        <w:t xml:space="preserve">                   </w:t>
      </w:r>
    </w:p>
    <w:p w14:paraId="71B52D57">
      <w:pPr>
        <w:pStyle w:val="18"/>
        <w:keepNext w:val="0"/>
        <w:keepLines w:val="0"/>
        <w:pageBreakBefore w:val="0"/>
        <w:widowControl w:val="0"/>
        <w:kinsoku/>
        <w:wordWrap/>
        <w:overflowPunct/>
        <w:topLinePunct w:val="0"/>
        <w:bidi w:val="0"/>
        <w:snapToGrid/>
        <w:ind w:firstLine="480" w:firstLineChars="200"/>
        <w:textAlignment w:val="auto"/>
        <w:rPr>
          <w:rFonts w:hint="eastAsia"/>
          <w:lang w:val="en-US" w:eastAsia="zh-CN"/>
        </w:rPr>
      </w:pPr>
    </w:p>
    <w:p w14:paraId="3893E850">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日  期：</w:t>
      </w:r>
      <w:r>
        <w:rPr>
          <w:rFonts w:hint="eastAsia" w:ascii="宋体" w:hAnsi="宋体" w:eastAsia="宋体" w:cs="宋体"/>
          <w:sz w:val="24"/>
          <w:szCs w:val="24"/>
          <w:u w:val="single"/>
          <w:lang w:val="en-US" w:eastAsia="zh-CN"/>
        </w:rPr>
        <w:t xml:space="preserve">                     </w:t>
      </w:r>
    </w:p>
    <w:p w14:paraId="774885E9">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w:t>
      </w:r>
    </w:p>
    <w:p w14:paraId="6F1256DF">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全权代表姓名：</w:t>
      </w:r>
      <w:r>
        <w:rPr>
          <w:rFonts w:hint="eastAsia" w:ascii="宋体" w:hAnsi="宋体" w:eastAsia="宋体" w:cs="宋体"/>
          <w:sz w:val="24"/>
          <w:szCs w:val="24"/>
          <w:u w:val="single"/>
          <w:lang w:val="en-US" w:eastAsia="zh-CN"/>
        </w:rPr>
        <w:t xml:space="preserve">            </w:t>
      </w:r>
    </w:p>
    <w:p w14:paraId="209108D3">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职        务：</w:t>
      </w:r>
      <w:r>
        <w:rPr>
          <w:rFonts w:hint="eastAsia" w:ascii="宋体" w:hAnsi="宋体" w:eastAsia="宋体" w:cs="宋体"/>
          <w:sz w:val="24"/>
          <w:szCs w:val="24"/>
          <w:u w:val="single"/>
          <w:lang w:val="en-US" w:eastAsia="zh-CN"/>
        </w:rPr>
        <w:t xml:space="preserve">            </w:t>
      </w:r>
    </w:p>
    <w:p w14:paraId="4C2DBB17">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31FD51F8">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详细通讯地址：</w:t>
      </w:r>
      <w:r>
        <w:rPr>
          <w:rFonts w:hint="eastAsia" w:ascii="宋体" w:hAnsi="宋体" w:eastAsia="宋体" w:cs="宋体"/>
          <w:sz w:val="24"/>
          <w:szCs w:val="24"/>
          <w:u w:val="single"/>
          <w:lang w:val="en-US" w:eastAsia="zh-CN"/>
        </w:rPr>
        <w:t xml:space="preserve">            </w:t>
      </w:r>
    </w:p>
    <w:p w14:paraId="7D69F115">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邮 政 编 码 ：</w:t>
      </w:r>
      <w:r>
        <w:rPr>
          <w:rFonts w:hint="eastAsia" w:ascii="宋体" w:hAnsi="宋体" w:eastAsia="宋体" w:cs="宋体"/>
          <w:sz w:val="24"/>
          <w:szCs w:val="24"/>
          <w:u w:val="single"/>
          <w:lang w:val="en-US" w:eastAsia="zh-CN"/>
        </w:rPr>
        <w:t xml:space="preserve">            </w:t>
      </w:r>
    </w:p>
    <w:p w14:paraId="601D06E9">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p>
    <w:p w14:paraId="2B465730">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附：全权代表身份证复印件正反面</w:t>
      </w:r>
      <w:r>
        <w:rPr>
          <w:rFonts w:hint="eastAsia" w:ascii="宋体" w:hAnsi="宋体" w:eastAsia="宋体" w:cs="宋体"/>
          <w:b w:val="0"/>
          <w:bCs w:val="0"/>
          <w:sz w:val="24"/>
          <w:szCs w:val="24"/>
          <w:lang w:val="en-US" w:eastAsia="zh-CN"/>
        </w:rPr>
        <w:t>【法定代表人（或经营者）参加采购，不用提</w:t>
      </w:r>
      <w:r>
        <w:rPr>
          <w:rFonts w:hint="eastAsia" w:ascii="宋体" w:hAnsi="宋体" w:eastAsia="宋体" w:cs="宋体"/>
          <w:sz w:val="24"/>
          <w:szCs w:val="24"/>
          <w:lang w:val="en-US" w:eastAsia="zh-CN"/>
        </w:rPr>
        <w:t>供授权书】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642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rPr>
        <w:tc>
          <w:tcPr>
            <w:tcW w:w="8522" w:type="dxa"/>
          </w:tcPr>
          <w:p w14:paraId="029A9571">
            <w:pPr>
              <w:bidi w:val="0"/>
              <w:rPr>
                <w:rFonts w:hint="default"/>
                <w:vertAlign w:val="baseline"/>
                <w:lang w:val="en-US" w:eastAsia="zh-CN"/>
              </w:rPr>
            </w:pPr>
          </w:p>
        </w:tc>
      </w:tr>
    </w:tbl>
    <w:p w14:paraId="0C49E5BE">
      <w:pPr>
        <w:rPr>
          <w:rFonts w:hint="default"/>
          <w:lang w:val="en-US" w:eastAsia="zh-CN"/>
        </w:rPr>
      </w:pPr>
      <w:r>
        <w:rPr>
          <w:rFonts w:hint="default"/>
          <w:lang w:val="en-US" w:eastAsia="zh-CN"/>
        </w:rPr>
        <w:br w:type="page"/>
      </w:r>
    </w:p>
    <w:p w14:paraId="40FACB69">
      <w:pPr>
        <w:pStyle w:val="6"/>
        <w:bidi w:val="0"/>
        <w:jc w:val="center"/>
        <w:rPr>
          <w:rFonts w:hint="eastAsia"/>
          <w:lang w:val="en-US" w:eastAsia="zh-CN"/>
        </w:rPr>
      </w:pPr>
      <w:bookmarkStart w:id="246" w:name="_Toc15283"/>
      <w:bookmarkStart w:id="247" w:name="_Toc2432"/>
      <w:r>
        <w:rPr>
          <w:rFonts w:hint="eastAsia" w:ascii="宋体" w:hAnsi="宋体" w:eastAsia="宋体" w:cs="宋体"/>
          <w:sz w:val="32"/>
          <w:szCs w:val="32"/>
          <w:lang w:val="en-US" w:eastAsia="zh-CN"/>
        </w:rPr>
        <w:t>第五章　采购需求一览表及采购要求</w:t>
      </w:r>
      <w:bookmarkEnd w:id="246"/>
      <w:bookmarkEnd w:id="247"/>
    </w:p>
    <w:p w14:paraId="1E9FCD6D">
      <w:pPr>
        <w:bidi w:val="0"/>
        <w:jc w:val="center"/>
        <w:rPr>
          <w:rFonts w:hint="eastAsia" w:ascii="宋体" w:hAnsi="宋体" w:eastAsia="宋体" w:cs="宋体"/>
          <w:b/>
          <w:bCs/>
          <w:sz w:val="28"/>
          <w:szCs w:val="28"/>
          <w:lang w:val="en-US" w:eastAsia="zh-CN"/>
        </w:rPr>
      </w:pPr>
      <w:bookmarkStart w:id="248" w:name="_Toc26046"/>
      <w:bookmarkStart w:id="249" w:name="_Toc28429"/>
      <w:bookmarkStart w:id="250" w:name="_Toc23362"/>
      <w:bookmarkStart w:id="251" w:name="_Toc475970901"/>
    </w:p>
    <w:p w14:paraId="741B6E80">
      <w:pPr>
        <w:pStyle w:val="7"/>
        <w:bidi w:val="0"/>
        <w:jc w:val="center"/>
        <w:rPr>
          <w:rFonts w:hint="eastAsia" w:ascii="宋体" w:hAnsi="宋体" w:eastAsia="宋体" w:cs="宋体"/>
          <w:b/>
          <w:bCs/>
          <w:szCs w:val="28"/>
          <w:lang w:val="en-US" w:eastAsia="zh-CN"/>
        </w:rPr>
      </w:pPr>
      <w:bookmarkStart w:id="252" w:name="_Toc31207"/>
      <w:bookmarkStart w:id="253" w:name="_Toc29014"/>
      <w:r>
        <w:rPr>
          <w:rFonts w:hint="eastAsia" w:ascii="宋体" w:hAnsi="宋体" w:eastAsia="宋体" w:cs="宋体"/>
          <w:sz w:val="30"/>
          <w:szCs w:val="30"/>
          <w:lang w:val="en-US" w:eastAsia="zh-CN"/>
        </w:rPr>
        <w:t>一、采购需求一览表</w:t>
      </w:r>
      <w:bookmarkEnd w:id="248"/>
      <w:bookmarkEnd w:id="249"/>
      <w:bookmarkEnd w:id="250"/>
      <w:bookmarkEnd w:id="251"/>
      <w:bookmarkEnd w:id="252"/>
      <w:bookmarkEnd w:id="253"/>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5780"/>
      </w:tblGrid>
      <w:tr w14:paraId="6669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2742" w:type="dxa"/>
            <mc:AlternateContent>
              <mc:Choice Requires="wpsCustomData">
                <wpsCustomData:diagonals>
                  <wpsCustomData:diagonal from="10000" to="30000">
                    <wpsCustomData:border w:val="single" w:color="auto" w:sz="4" w:space="0"/>
                  </wpsCustomData:diagonal>
                </wpsCustomData:diagonals>
              </mc:Choice>
            </mc:AlternateContent>
          </w:tcPr>
          <w:p w14:paraId="6015478E">
            <w:pPr>
              <w:bidi w:val="0"/>
              <w:snapToGrid w:val="0"/>
              <w:spacing w:line="240" w:lineRule="auto"/>
              <w:jc w:val="left"/>
              <w:rPr>
                <w:rFonts w:hint="eastAsia" w:ascii="宋体" w:hAnsi="宋体" w:eastAsia="宋体" w:cs="宋体"/>
                <w:sz w:val="24"/>
                <w:szCs w:val="24"/>
                <w:vertAlign w:val="baseline"/>
                <w:lang w:val="en-US" w:eastAsia="zh-CN"/>
              </w:rPr>
            </w:pPr>
          </w:p>
          <w:p w14:paraId="2C6E03E9">
            <w:pPr>
              <w:bidi w:val="0"/>
              <w:snapToGrid w:val="0"/>
              <w:spacing w:line="240" w:lineRule="auto"/>
              <w:jc w:val="left"/>
              <w:rPr>
                <w:rFonts w:hint="eastAsia" w:ascii="宋体" w:hAnsi="宋体" w:eastAsia="宋体" w:cs="宋体"/>
                <w:sz w:val="24"/>
                <w:szCs w:val="24"/>
                <w:vertAlign w:val="baseline"/>
                <w:lang w:val="en-US" w:eastAsia="zh-CN"/>
              </w:rPr>
            </w:pPr>
          </w:p>
          <w:p w14:paraId="48E3F866">
            <w:pPr>
              <w:bidi w:val="0"/>
              <w:snapToGrid w:val="0"/>
              <w:spacing w:line="240" w:lineRule="auto"/>
              <w:jc w:val="left"/>
              <w:rPr>
                <w:rFonts w:hint="eastAsia" w:ascii="宋体" w:hAnsi="宋体" w:eastAsia="宋体" w:cs="宋体"/>
                <w:sz w:val="24"/>
                <w:szCs w:val="24"/>
                <w:vertAlign w:val="baseline"/>
                <w:lang w:val="en-US" w:eastAsia="zh-CN"/>
              </w:rPr>
            </w:pPr>
          </w:p>
          <w:p w14:paraId="68810BCB">
            <w:pPr>
              <w:bidi w:val="0"/>
              <w:snapToGrid w:val="0"/>
              <w:spacing w:line="240" w:lineRule="auto"/>
              <w:ind w:firstLine="240" w:firstLineChars="10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内</w:t>
            </w:r>
          </w:p>
          <w:p w14:paraId="284409AE">
            <w:pPr>
              <w:bidi w:val="0"/>
              <w:snapToGrid w:val="0"/>
              <w:spacing w:line="240" w:lineRule="auto"/>
              <w:ind w:firstLine="720" w:firstLineChars="300"/>
              <w:jc w:val="left"/>
              <w:rPr>
                <w:rFonts w:hint="eastAsia" w:ascii="宋体" w:hAnsi="宋体" w:eastAsia="宋体" w:cs="宋体"/>
                <w:sz w:val="24"/>
                <w:szCs w:val="24"/>
                <w:vertAlign w:val="baseline"/>
                <w:lang w:val="en-US" w:eastAsia="zh-CN"/>
              </w:rPr>
            </w:pPr>
          </w:p>
          <w:p w14:paraId="54031B7F">
            <w:pPr>
              <w:bidi w:val="0"/>
              <w:snapToGrid w:val="0"/>
              <w:spacing w:line="240" w:lineRule="auto"/>
              <w:ind w:firstLine="960" w:firstLineChars="400"/>
              <w:jc w:val="left"/>
              <mc:AlternateContent>
                <mc:Choice Requires="wpsCustomData">
                  <wpsCustomData:diagonalParaType/>
                </mc:Choice>
              </mc:AlternateConten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容</w:t>
            </w:r>
          </w:p>
          <w:p w14:paraId="263F067C">
            <w:pPr>
              <w:bidi w:val="0"/>
              <w:ind w:firstLine="480" w:firstLineChars="200"/>
              <w:rPr>
                <w:rFonts w:hint="eastAsia" w:ascii="宋体" w:hAnsi="宋体" w:eastAsia="宋体" w:cs="宋体"/>
                <w:sz w:val="24"/>
                <w:szCs w:val="24"/>
                <w:vertAlign w:val="baseline"/>
                <w:lang w:val="en-US" w:eastAsia="zh-CN"/>
              </w:rPr>
            </w:pPr>
          </w:p>
          <w:p w14:paraId="4425F2A9">
            <w:pPr>
              <w:bidi w:val="0"/>
              <w:ind w:firstLine="480" w:firstLineChars="20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货</w:t>
            </w:r>
          </w:p>
          <w:p w14:paraId="707E300D">
            <w:pPr>
              <w:bidi w:val="0"/>
              <w:ind w:firstLine="480" w:firstLineChars="20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物</w:t>
            </w:r>
          </w:p>
          <w:p w14:paraId="4C313D5D">
            <w:pPr>
              <w:bidi w:val="0"/>
              <w:ind w:firstLine="480" w:firstLineChars="20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w:t>
            </w:r>
          </w:p>
          <w:p w14:paraId="51F9B4ED">
            <w:pPr>
              <w:bidi w:val="0"/>
              <w:ind w:firstLine="480" w:firstLineChars="20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称</w:t>
            </w:r>
          </w:p>
        </w:tc>
        <w:tc>
          <w:tcPr>
            <w:tcW w:w="5780" w:type="dxa"/>
            <w:vAlign w:val="center"/>
          </w:tcPr>
          <w:p w14:paraId="1BC02AAD">
            <w:pPr>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吉安职业技术学院校园限速设备采购</w:t>
            </w:r>
          </w:p>
        </w:tc>
      </w:tr>
      <w:tr w14:paraId="6E34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742" w:type="dxa"/>
            <w:vAlign w:val="center"/>
          </w:tcPr>
          <w:p w14:paraId="69DFBB0F">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数 量</w:t>
            </w:r>
          </w:p>
        </w:tc>
        <w:tc>
          <w:tcPr>
            <w:tcW w:w="5780" w:type="dxa"/>
            <w:vAlign w:val="center"/>
          </w:tcPr>
          <w:p w14:paraId="76B74E69">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1批</w:t>
            </w:r>
          </w:p>
        </w:tc>
      </w:tr>
      <w:tr w14:paraId="6144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742" w:type="dxa"/>
            <w:vAlign w:val="center"/>
          </w:tcPr>
          <w:p w14:paraId="6038821E">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交货期</w:t>
            </w:r>
          </w:p>
        </w:tc>
        <w:tc>
          <w:tcPr>
            <w:tcW w:w="5780" w:type="dxa"/>
            <w:vAlign w:val="center"/>
          </w:tcPr>
          <w:p w14:paraId="54B25627">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FF0000"/>
                <w:sz w:val="24"/>
                <w:szCs w:val="24"/>
                <w:lang w:val="en-US" w:eastAsia="zh-CN"/>
              </w:rPr>
              <w:t>签订合同后30天内完成全部供货，货物送达指定地点，安装调试合格。</w:t>
            </w:r>
          </w:p>
        </w:tc>
      </w:tr>
      <w:tr w14:paraId="4070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742" w:type="dxa"/>
            <w:vAlign w:val="center"/>
          </w:tcPr>
          <w:p w14:paraId="342AC117">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交货地点</w:t>
            </w:r>
          </w:p>
        </w:tc>
        <w:tc>
          <w:tcPr>
            <w:tcW w:w="5780" w:type="dxa"/>
            <w:vAlign w:val="center"/>
          </w:tcPr>
          <w:p w14:paraId="44693EA5">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采购人指定地点</w:t>
            </w:r>
          </w:p>
        </w:tc>
      </w:tr>
      <w:tr w14:paraId="4C84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2742" w:type="dxa"/>
            <w:vAlign w:val="center"/>
          </w:tcPr>
          <w:p w14:paraId="698FA406">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备注</w:t>
            </w:r>
          </w:p>
        </w:tc>
        <w:tc>
          <w:tcPr>
            <w:tcW w:w="5780" w:type="dxa"/>
            <w:vAlign w:val="center"/>
          </w:tcPr>
          <w:p w14:paraId="4ED1F423">
            <w:pPr>
              <w:bidi w:val="0"/>
              <w:jc w:val="center"/>
              <w:rPr>
                <w:rFonts w:hint="eastAsia" w:ascii="宋体" w:hAnsi="宋体" w:eastAsia="宋体" w:cs="宋体"/>
                <w:sz w:val="24"/>
                <w:szCs w:val="24"/>
                <w:lang w:val="en-US" w:eastAsia="zh-CN"/>
              </w:rPr>
            </w:pPr>
          </w:p>
        </w:tc>
      </w:tr>
    </w:tbl>
    <w:p w14:paraId="454255FF">
      <w:pPr>
        <w:rPr>
          <w:rFonts w:hint="eastAsia"/>
          <w:lang w:val="en-US" w:eastAsia="zh-CN"/>
        </w:rPr>
      </w:pPr>
      <w:r>
        <w:rPr>
          <w:rFonts w:hint="eastAsia"/>
          <w:lang w:val="en-US" w:eastAsia="zh-CN"/>
        </w:rPr>
        <w:br w:type="page"/>
      </w:r>
    </w:p>
    <w:p w14:paraId="320E35A9">
      <w:pPr>
        <w:pStyle w:val="7"/>
        <w:bidi w:val="0"/>
        <w:jc w:val="center"/>
        <w:rPr>
          <w:rFonts w:hint="eastAsia"/>
          <w:lang w:val="en-US" w:eastAsia="zh-CN"/>
        </w:rPr>
      </w:pPr>
      <w:bookmarkStart w:id="254" w:name="_Toc21524"/>
      <w:bookmarkStart w:id="255" w:name="_Toc475970902"/>
      <w:bookmarkStart w:id="256" w:name="_Toc3589"/>
      <w:bookmarkStart w:id="257" w:name="_Toc24065"/>
      <w:bookmarkStart w:id="258" w:name="_Toc22786"/>
      <w:bookmarkStart w:id="259" w:name="_Toc16650"/>
      <w:r>
        <w:rPr>
          <w:rFonts w:hint="eastAsia" w:ascii="宋体" w:hAnsi="宋体" w:eastAsia="宋体" w:cs="宋体"/>
          <w:sz w:val="30"/>
          <w:szCs w:val="30"/>
          <w:lang w:val="en-US" w:eastAsia="zh-CN"/>
        </w:rPr>
        <w:t>二、采购要求</w:t>
      </w:r>
      <w:bookmarkEnd w:id="254"/>
      <w:bookmarkEnd w:id="255"/>
      <w:bookmarkEnd w:id="256"/>
      <w:bookmarkEnd w:id="257"/>
      <w:bookmarkEnd w:id="258"/>
      <w:bookmarkEnd w:id="259"/>
    </w:p>
    <w:p w14:paraId="6052511D">
      <w:pPr>
        <w:bidi w:val="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（一）采购清单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445"/>
        <w:gridCol w:w="4910"/>
        <w:gridCol w:w="722"/>
        <w:gridCol w:w="737"/>
      </w:tblGrid>
      <w:tr w14:paraId="4155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47360A5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445" w:type="dxa"/>
            <w:vAlign w:val="center"/>
          </w:tcPr>
          <w:p w14:paraId="701CE388">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产品类别</w:t>
            </w:r>
          </w:p>
        </w:tc>
        <w:tc>
          <w:tcPr>
            <w:tcW w:w="4910" w:type="dxa"/>
            <w:vAlign w:val="center"/>
          </w:tcPr>
          <w:p w14:paraId="0FA0FA1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w:t>
            </w:r>
          </w:p>
        </w:tc>
        <w:tc>
          <w:tcPr>
            <w:tcW w:w="722" w:type="dxa"/>
            <w:vAlign w:val="center"/>
          </w:tcPr>
          <w:p w14:paraId="7279280B">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737" w:type="dxa"/>
            <w:vAlign w:val="center"/>
          </w:tcPr>
          <w:p w14:paraId="32A57CD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r>
      <w:tr w14:paraId="3378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3B4DED4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c>
          <w:tcPr>
            <w:tcW w:w="1445" w:type="dxa"/>
            <w:vAlign w:val="center"/>
          </w:tcPr>
          <w:p w14:paraId="34ED86C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雷视测速仪</w:t>
            </w:r>
          </w:p>
        </w:tc>
        <w:tc>
          <w:tcPr>
            <w:tcW w:w="4910" w:type="dxa"/>
            <w:vAlign w:val="center"/>
          </w:tcPr>
          <w:p w14:paraId="58CA1E58">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支持机动车测速，卡口图片抓拍。</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支持联动屏幕，实时显示车牌号、车速值。</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测速距离最大≥100米，车牌识别距离最大≥22米。</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支持基于视频的车牌、车辆特征识别，包括：车型、车辆主品牌、子品牌、车身颜色。</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传感器类型：1/1.8"CMOS</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ICR类型：红外</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测速范围：-250km/h~250km/h</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扫频带宽：136.5MHz</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调制波形：FMCW</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水平角：-15°~ +15°</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俯仰角：-3°~ +3°</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作用距离：20m ~100m</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★支持对≥400个交通目标进行检测，可对交通目标进行轨迹跟踪监测</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★支持区分距离≤0.5m的相邻交通目标</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b/>
                <w:bCs/>
                <w:color w:val="FF0000"/>
                <w:sz w:val="24"/>
                <w:szCs w:val="24"/>
                <w:highlight w:val="none"/>
                <w:lang w:val="en-US" w:eastAsia="zh-CN"/>
              </w:rPr>
              <w:t>注：1、标★项（</w:t>
            </w:r>
            <w:r>
              <w:rPr>
                <w:rFonts w:hint="eastAsia" w:asciiTheme="minorEastAsia" w:hAnsiTheme="minorEastAsia" w:cstheme="minorEastAsia"/>
                <w:b/>
                <w:bCs/>
                <w:color w:val="FF0000"/>
                <w:sz w:val="24"/>
                <w:szCs w:val="24"/>
                <w:highlight w:val="none"/>
                <w:lang w:val="en-US" w:eastAsia="zh-CN"/>
              </w:rPr>
              <w:t>需</w:t>
            </w:r>
            <w:r>
              <w:rPr>
                <w:rFonts w:hint="eastAsia" w:asciiTheme="minorEastAsia" w:hAnsiTheme="minorEastAsia" w:eastAsiaTheme="minorEastAsia" w:cstheme="minorEastAsia"/>
                <w:b/>
                <w:bCs/>
                <w:color w:val="FF0000"/>
                <w:sz w:val="24"/>
                <w:szCs w:val="24"/>
                <w:highlight w:val="none"/>
                <w:lang w:val="en-US" w:eastAsia="zh-CN"/>
              </w:rPr>
              <w:t>提供有资质的第三方</w:t>
            </w:r>
            <w:r>
              <w:rPr>
                <w:rFonts w:hint="eastAsia" w:asciiTheme="minorEastAsia" w:hAnsiTheme="minorEastAsia" w:cstheme="minorEastAsia"/>
                <w:b/>
                <w:bCs/>
                <w:color w:val="FF0000"/>
                <w:sz w:val="24"/>
                <w:szCs w:val="24"/>
                <w:highlight w:val="none"/>
                <w:lang w:val="en-US" w:eastAsia="zh-CN"/>
              </w:rPr>
              <w:t>检测</w:t>
            </w:r>
            <w:r>
              <w:rPr>
                <w:rFonts w:hint="eastAsia" w:asciiTheme="minorEastAsia" w:hAnsiTheme="minorEastAsia" w:eastAsiaTheme="minorEastAsia" w:cstheme="minorEastAsia"/>
                <w:b/>
                <w:bCs/>
                <w:color w:val="FF0000"/>
                <w:sz w:val="24"/>
                <w:szCs w:val="24"/>
                <w:highlight w:val="none"/>
                <w:lang w:val="en-US" w:eastAsia="zh-CN"/>
              </w:rPr>
              <w:t>机构出具的带</w:t>
            </w:r>
            <w:r>
              <w:rPr>
                <w:rFonts w:hint="eastAsia" w:asciiTheme="minorEastAsia" w:hAnsiTheme="minorEastAsia" w:cstheme="minorEastAsia"/>
                <w:b/>
                <w:bCs/>
                <w:color w:val="FF0000"/>
                <w:sz w:val="24"/>
                <w:szCs w:val="24"/>
                <w:highlight w:val="none"/>
                <w:lang w:val="en-US" w:eastAsia="zh-CN"/>
              </w:rPr>
              <w:t>CMA</w:t>
            </w:r>
            <w:r>
              <w:rPr>
                <w:rFonts w:hint="eastAsia" w:asciiTheme="minorEastAsia" w:hAnsiTheme="minorEastAsia" w:eastAsiaTheme="minorEastAsia" w:cstheme="minorEastAsia"/>
                <w:b/>
                <w:bCs/>
                <w:color w:val="FF0000"/>
                <w:sz w:val="24"/>
                <w:szCs w:val="24"/>
                <w:highlight w:val="none"/>
                <w:lang w:val="en-US" w:eastAsia="zh-CN"/>
              </w:rPr>
              <w:t>标志的检</w:t>
            </w:r>
            <w:r>
              <w:rPr>
                <w:rFonts w:hint="eastAsia" w:asciiTheme="minorEastAsia" w:hAnsiTheme="minorEastAsia" w:cstheme="minorEastAsia"/>
                <w:b/>
                <w:bCs/>
                <w:color w:val="FF0000"/>
                <w:sz w:val="24"/>
                <w:szCs w:val="24"/>
                <w:highlight w:val="none"/>
                <w:lang w:val="en-US" w:eastAsia="zh-CN"/>
              </w:rPr>
              <w:t>测</w:t>
            </w:r>
            <w:r>
              <w:rPr>
                <w:rFonts w:hint="eastAsia" w:asciiTheme="minorEastAsia" w:hAnsiTheme="minorEastAsia" w:eastAsiaTheme="minorEastAsia" w:cstheme="minorEastAsia"/>
                <w:b/>
                <w:bCs/>
                <w:color w:val="FF0000"/>
                <w:sz w:val="24"/>
                <w:szCs w:val="24"/>
                <w:highlight w:val="none"/>
                <w:lang w:val="en-US" w:eastAsia="zh-CN"/>
              </w:rPr>
              <w:t>报告复印件并加盖供应商公章佐证）</w:t>
            </w:r>
          </w:p>
        </w:tc>
        <w:tc>
          <w:tcPr>
            <w:tcW w:w="722" w:type="dxa"/>
            <w:vAlign w:val="center"/>
          </w:tcPr>
          <w:p w14:paraId="1148E885">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台</w:t>
            </w:r>
          </w:p>
        </w:tc>
        <w:tc>
          <w:tcPr>
            <w:tcW w:w="737" w:type="dxa"/>
            <w:vAlign w:val="center"/>
          </w:tcPr>
          <w:p w14:paraId="0F79BC7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p>
        </w:tc>
      </w:tr>
      <w:tr w14:paraId="073C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2711527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p>
        </w:tc>
        <w:tc>
          <w:tcPr>
            <w:tcW w:w="1445" w:type="dxa"/>
            <w:vAlign w:val="center"/>
          </w:tcPr>
          <w:p w14:paraId="160DA40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环境补光灯</w:t>
            </w:r>
          </w:p>
        </w:tc>
        <w:tc>
          <w:tcPr>
            <w:tcW w:w="4910" w:type="dxa"/>
            <w:vAlign w:val="center"/>
          </w:tcPr>
          <w:p w14:paraId="12F0A941">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常亮补光灯采用内置自动光控设计，环境低照度下自动开启</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可通过控制线实现远程强制开启补光灯，可选配补光灯故障检测信号输出</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结构采用IP66设计，可靠防水、防尘</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不含有害金属铅、汞，绿色环保</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一般规范</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工作温度：温度-30℃~70℃</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电源：220VAC±10%</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工作湿度：湿度5%~95%，无凝结</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功耗：60W MAX</w:t>
            </w:r>
          </w:p>
        </w:tc>
        <w:tc>
          <w:tcPr>
            <w:tcW w:w="722" w:type="dxa"/>
            <w:vAlign w:val="center"/>
          </w:tcPr>
          <w:p w14:paraId="4B2DA9F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台</w:t>
            </w:r>
          </w:p>
        </w:tc>
        <w:tc>
          <w:tcPr>
            <w:tcW w:w="737" w:type="dxa"/>
            <w:vAlign w:val="center"/>
          </w:tcPr>
          <w:p w14:paraId="7878F254">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p>
        </w:tc>
      </w:tr>
      <w:tr w14:paraId="0DCB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7C75877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p>
        </w:tc>
        <w:tc>
          <w:tcPr>
            <w:tcW w:w="1445" w:type="dxa"/>
            <w:vAlign w:val="center"/>
          </w:tcPr>
          <w:p w14:paraId="3C485F9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终端服务器</w:t>
            </w:r>
          </w:p>
        </w:tc>
        <w:tc>
          <w:tcPr>
            <w:tcW w:w="4910" w:type="dxa"/>
            <w:vAlign w:val="center"/>
          </w:tcPr>
          <w:p w14:paraId="3AE70CD7">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嵌入式操作系统，内置1块2T硬盘；</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双网卡，具备4个100M以太网接口及2个1000M以太网接口、2个1000M SFP光纤接口；</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坚固紧凑无风扇设计，体积小巧，适合在路边机柜及抱杆机柜使用，单面接口设计，更便于施工操作；</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最大支持2TB硬盘存储，图片与录像可设置配额；</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支持对通行车辆的信息（记录和图片、录像）存储；</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可配置多种字符叠加、图片合成模式；</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支持区间测速功能；</w:t>
            </w:r>
          </w:p>
          <w:p w14:paraId="0D3E255B">
            <w:pPr>
              <w:pStyle w:val="2"/>
              <w:rPr>
                <w:rFonts w:hint="default"/>
                <w:lang w:val="en-US"/>
              </w:rPr>
            </w:pPr>
            <w:r>
              <w:rPr>
                <w:rFonts w:hint="eastAsia" w:asciiTheme="minorEastAsia" w:hAnsiTheme="minorEastAsia" w:cstheme="minorEastAsia"/>
                <w:b/>
                <w:bCs/>
                <w:sz w:val="24"/>
                <w:szCs w:val="24"/>
                <w:highlight w:val="none"/>
                <w:lang w:val="en-US" w:eastAsia="zh-CN"/>
              </w:rPr>
              <w:t>注：终端服务器为本项目核心产品。</w:t>
            </w:r>
          </w:p>
        </w:tc>
        <w:tc>
          <w:tcPr>
            <w:tcW w:w="722" w:type="dxa"/>
            <w:vAlign w:val="center"/>
          </w:tcPr>
          <w:p w14:paraId="00D8DAD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台</w:t>
            </w:r>
          </w:p>
        </w:tc>
        <w:tc>
          <w:tcPr>
            <w:tcW w:w="737" w:type="dxa"/>
            <w:vAlign w:val="center"/>
          </w:tcPr>
          <w:p w14:paraId="06EB53A5">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p>
        </w:tc>
      </w:tr>
      <w:tr w14:paraId="745A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1C18827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p>
        </w:tc>
        <w:tc>
          <w:tcPr>
            <w:tcW w:w="1445" w:type="dxa"/>
            <w:vAlign w:val="center"/>
          </w:tcPr>
          <w:p w14:paraId="15C32495">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交换机</w:t>
            </w:r>
          </w:p>
        </w:tc>
        <w:tc>
          <w:tcPr>
            <w:tcW w:w="4910" w:type="dxa"/>
            <w:vAlign w:val="center"/>
          </w:tcPr>
          <w:p w14:paraId="6096B9DB">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功能特性</w:t>
            </w:r>
          </w:p>
          <w:p w14:paraId="07544269">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端口规格：≥8个千兆电口</w:t>
            </w:r>
          </w:p>
          <w:p w14:paraId="32D16477">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交换方式：存储转发</w:t>
            </w:r>
          </w:p>
          <w:p w14:paraId="02119E83">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性能参数</w:t>
            </w:r>
          </w:p>
          <w:p w14:paraId="3DFA0FDC">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交换容量：≥16 Gbps</w:t>
            </w:r>
          </w:p>
          <w:p w14:paraId="4CE0B685">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包转发率：≥11.90 Mpps</w:t>
            </w:r>
          </w:p>
          <w:p w14:paraId="10EAA847">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MAC地址容量：≥8 K</w:t>
            </w:r>
          </w:p>
          <w:p w14:paraId="33142BCA">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缓存：≥4 Mbits</w:t>
            </w:r>
          </w:p>
          <w:p w14:paraId="7B3960FE">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通用参数</w:t>
            </w:r>
          </w:p>
          <w:p w14:paraId="3A217DDB">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工作温度：0 °C ~ 40 °C</w:t>
            </w:r>
          </w:p>
          <w:p w14:paraId="045DF4F8">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工作湿度：5%～95%（无凝露）</w:t>
            </w:r>
          </w:p>
          <w:p w14:paraId="2D3A2DD4">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存储温度：-40 °C ~ 85 °C</w:t>
            </w:r>
          </w:p>
          <w:p w14:paraId="69E15B18">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存储湿度：5%～95%（无凝露）</w:t>
            </w:r>
          </w:p>
          <w:p w14:paraId="52CE866C">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安装方式：桌面式可壁挂</w:t>
            </w:r>
          </w:p>
          <w:p w14:paraId="24106B85">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供电方式：5VDC, 0.6 A</w:t>
            </w:r>
          </w:p>
          <w:p w14:paraId="0B842C92">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风扇：无风扇</w:t>
            </w:r>
          </w:p>
          <w:p w14:paraId="537FA30C">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整机功耗：3 W</w:t>
            </w:r>
          </w:p>
          <w:p w14:paraId="192A0EBC">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浪涌防护：网口6 kV</w:t>
            </w:r>
          </w:p>
        </w:tc>
        <w:tc>
          <w:tcPr>
            <w:tcW w:w="722" w:type="dxa"/>
            <w:vAlign w:val="center"/>
          </w:tcPr>
          <w:p w14:paraId="42CE6C8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台</w:t>
            </w:r>
          </w:p>
        </w:tc>
        <w:tc>
          <w:tcPr>
            <w:tcW w:w="737" w:type="dxa"/>
            <w:vAlign w:val="center"/>
          </w:tcPr>
          <w:p w14:paraId="66737D6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p>
        </w:tc>
      </w:tr>
      <w:tr w14:paraId="363C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6BE3347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p>
        </w:tc>
        <w:tc>
          <w:tcPr>
            <w:tcW w:w="1445" w:type="dxa"/>
            <w:vAlign w:val="center"/>
          </w:tcPr>
          <w:p w14:paraId="425276C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校园</w:t>
            </w:r>
            <w:r>
              <w:rPr>
                <w:rFonts w:hint="eastAsia" w:asciiTheme="minorEastAsia" w:hAnsiTheme="minorEastAsia" w:eastAsiaTheme="minorEastAsia" w:cstheme="minorEastAsia"/>
                <w:sz w:val="24"/>
                <w:szCs w:val="24"/>
                <w:highlight w:val="none"/>
                <w:lang w:val="en-US" w:eastAsia="zh-CN"/>
              </w:rPr>
              <w:t>测速平台</w:t>
            </w:r>
          </w:p>
        </w:tc>
        <w:tc>
          <w:tcPr>
            <w:tcW w:w="4910" w:type="dxa"/>
            <w:vAlign w:val="center"/>
          </w:tcPr>
          <w:p w14:paraId="31B812AA">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highlight w:val="none"/>
              </w:rPr>
            </w:pPr>
            <w:r>
              <w:rPr>
                <w:rFonts w:hint="eastAsia" w:asciiTheme="minorEastAsia" w:hAnsiTheme="minorEastAsia" w:cstheme="minorEastAsia"/>
                <w:sz w:val="24"/>
                <w:szCs w:val="24"/>
                <w:highlight w:val="none"/>
                <w:lang w:val="en-US" w:eastAsia="zh-CN"/>
              </w:rPr>
              <w:t>校园测速平台</w:t>
            </w:r>
            <w:r>
              <w:rPr>
                <w:rFonts w:hint="eastAsia" w:asciiTheme="minorEastAsia" w:hAnsiTheme="minorEastAsia" w:eastAsiaTheme="minorEastAsia" w:cstheme="minorEastAsia"/>
                <w:sz w:val="24"/>
                <w:szCs w:val="24"/>
                <w:highlight w:val="none"/>
                <w:lang w:val="en-US" w:eastAsia="zh-CN"/>
              </w:rPr>
              <w:t>提供园区内道路上行驶车辆的抓拍识别，包含车牌号码、车牌类型、车牌颜色、车辆类型、车辆颜色、车辆品牌等属性识别，并提供车辆管控能力和车辆行驶运行轨迹信息。支持车辆超速、逆行、压线、违停等违规行为检测抓拍和违规数据统计。当车辆违规后，将违规信息发布至LED屏，违规次数超过阈值后在园区停车场出入口禁止通行</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一、卡口管理</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1、支持卡口设备、终端服务器、违停球设备的接入；2、支持卡口车道管理，包含车道名称、车道方向、车道号</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二、车辆抓拍</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1、支持园区道路车辆抓拍识别，包含车牌号码、车牌类型、车牌颜色、车辆类型、车辆颜色、车辆品牌等；2、支持园区道路车辆违规检测，包含点位测速、区间测速、违停、逆行、压线；3、支持按车牌颜色、车牌号进行黑名单管控；4、支持车辆白名单管理；5、支持在中心客户端实时查看卡口抓拍车辆信息，包含车牌号码、车牌类型、车牌颜色、车辆类型、车辆颜色、车辆品牌、车主姓名、车主手机号、速度、通过时间等；6、支持卡口设备的视频预览和回放</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三、运行轨迹信息</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1、支持按车牌号、车牌颜色查询运行轨迹信息，并支持车辆经过各卡口点位的运行轨迹回放</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四、违规信息发布：支持将违章车辆信息推送到LED上进行展示</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五、违规车辆禁止通行</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1、支持配置车辆违规超次的阈值；2、车辆违规超过阈值后，自动将车辆设置为黑名单，联动停车场出入口限制放行</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六、查询统计</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 xml:space="preserve">1、支持抓拍记录查询和违规记录查询；2、支持车流量统计；3、支持违章事件的统计 </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b/>
                <w:bCs/>
                <w:color w:val="FF0000"/>
                <w:sz w:val="24"/>
                <w:szCs w:val="24"/>
                <w:highlight w:val="none"/>
                <w:lang w:val="en-US" w:eastAsia="zh-CN"/>
              </w:rPr>
              <w:t>注：投标</w:t>
            </w:r>
            <w:r>
              <w:rPr>
                <w:rFonts w:hint="eastAsia" w:asciiTheme="minorEastAsia" w:hAnsiTheme="minorEastAsia" w:cstheme="minorEastAsia"/>
                <w:b/>
                <w:bCs/>
                <w:color w:val="FF0000"/>
                <w:sz w:val="24"/>
                <w:szCs w:val="24"/>
                <w:highlight w:val="none"/>
                <w:lang w:val="en-US" w:eastAsia="zh-CN"/>
              </w:rPr>
              <w:t>文</w:t>
            </w:r>
            <w:r>
              <w:rPr>
                <w:rFonts w:hint="eastAsia" w:asciiTheme="minorEastAsia" w:hAnsiTheme="minorEastAsia" w:eastAsiaTheme="minorEastAsia" w:cstheme="minorEastAsia"/>
                <w:b/>
                <w:bCs/>
                <w:color w:val="FF0000"/>
                <w:sz w:val="24"/>
                <w:szCs w:val="24"/>
                <w:highlight w:val="none"/>
                <w:lang w:val="en-US" w:eastAsia="zh-CN"/>
              </w:rPr>
              <w:t>件中提供以上参数确认函及原</w:t>
            </w:r>
            <w:r>
              <w:rPr>
                <w:rFonts w:hint="eastAsia" w:asciiTheme="minorEastAsia" w:hAnsiTheme="minorEastAsia" w:cstheme="minorEastAsia"/>
                <w:b/>
                <w:bCs/>
                <w:color w:val="FF0000"/>
                <w:sz w:val="24"/>
                <w:szCs w:val="24"/>
                <w:highlight w:val="none"/>
                <w:lang w:val="en-US" w:eastAsia="zh-CN"/>
              </w:rPr>
              <w:t>厂</w:t>
            </w:r>
            <w:r>
              <w:rPr>
                <w:rFonts w:hint="eastAsia" w:asciiTheme="minorEastAsia" w:hAnsiTheme="minorEastAsia" w:eastAsiaTheme="minorEastAsia" w:cstheme="minorEastAsia"/>
                <w:b/>
                <w:bCs/>
                <w:color w:val="FF0000"/>
                <w:sz w:val="24"/>
                <w:szCs w:val="24"/>
                <w:highlight w:val="none"/>
                <w:lang w:val="en-US" w:eastAsia="zh-CN"/>
              </w:rPr>
              <w:t>售后服务承诺函(格式自拟)，并加盖供应商公章。</w:t>
            </w:r>
          </w:p>
        </w:tc>
        <w:tc>
          <w:tcPr>
            <w:tcW w:w="722" w:type="dxa"/>
            <w:vAlign w:val="center"/>
          </w:tcPr>
          <w:p w14:paraId="05ACE2F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套</w:t>
            </w:r>
          </w:p>
        </w:tc>
        <w:tc>
          <w:tcPr>
            <w:tcW w:w="737" w:type="dxa"/>
            <w:vAlign w:val="center"/>
          </w:tcPr>
          <w:p w14:paraId="48C45584">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r>
      <w:tr w14:paraId="01EE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4AABCB8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p>
        </w:tc>
        <w:tc>
          <w:tcPr>
            <w:tcW w:w="1445" w:type="dxa"/>
            <w:vAlign w:val="center"/>
          </w:tcPr>
          <w:p w14:paraId="08204AAB">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超五类网线</w:t>
            </w:r>
          </w:p>
        </w:tc>
        <w:tc>
          <w:tcPr>
            <w:tcW w:w="4910" w:type="dxa"/>
            <w:vAlign w:val="center"/>
          </w:tcPr>
          <w:p w14:paraId="5B64FB6B">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超五类网线</w:t>
            </w:r>
          </w:p>
        </w:tc>
        <w:tc>
          <w:tcPr>
            <w:tcW w:w="722" w:type="dxa"/>
            <w:vAlign w:val="center"/>
          </w:tcPr>
          <w:p w14:paraId="0FF193F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米</w:t>
            </w:r>
          </w:p>
        </w:tc>
        <w:tc>
          <w:tcPr>
            <w:tcW w:w="737" w:type="dxa"/>
            <w:vAlign w:val="center"/>
          </w:tcPr>
          <w:p w14:paraId="51BD40B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240</w:t>
            </w:r>
          </w:p>
        </w:tc>
      </w:tr>
      <w:tr w14:paraId="3438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60CBDECB">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p>
        </w:tc>
        <w:tc>
          <w:tcPr>
            <w:tcW w:w="1445" w:type="dxa"/>
            <w:vAlign w:val="center"/>
          </w:tcPr>
          <w:p w14:paraId="57215DA4">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电源线</w:t>
            </w:r>
          </w:p>
        </w:tc>
        <w:tc>
          <w:tcPr>
            <w:tcW w:w="4910" w:type="dxa"/>
            <w:vAlign w:val="center"/>
          </w:tcPr>
          <w:p w14:paraId="5C0CCEA2">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RVV3×1.5电源线</w:t>
            </w:r>
          </w:p>
        </w:tc>
        <w:tc>
          <w:tcPr>
            <w:tcW w:w="722" w:type="dxa"/>
            <w:vAlign w:val="center"/>
          </w:tcPr>
          <w:p w14:paraId="7EB5066E">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米</w:t>
            </w:r>
          </w:p>
        </w:tc>
        <w:tc>
          <w:tcPr>
            <w:tcW w:w="737" w:type="dxa"/>
            <w:vAlign w:val="center"/>
          </w:tcPr>
          <w:p w14:paraId="6579995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240</w:t>
            </w:r>
          </w:p>
        </w:tc>
      </w:tr>
      <w:tr w14:paraId="10C7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5D62364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p>
        </w:tc>
        <w:tc>
          <w:tcPr>
            <w:tcW w:w="1445" w:type="dxa"/>
            <w:vAlign w:val="center"/>
          </w:tcPr>
          <w:p w14:paraId="727436A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电源线</w:t>
            </w:r>
          </w:p>
        </w:tc>
        <w:tc>
          <w:tcPr>
            <w:tcW w:w="4910" w:type="dxa"/>
            <w:vAlign w:val="center"/>
          </w:tcPr>
          <w:p w14:paraId="42875BDB">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RVV2×1.0电源线国标全铜</w:t>
            </w:r>
          </w:p>
        </w:tc>
        <w:tc>
          <w:tcPr>
            <w:tcW w:w="722" w:type="dxa"/>
            <w:vAlign w:val="center"/>
          </w:tcPr>
          <w:p w14:paraId="1813178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米</w:t>
            </w:r>
          </w:p>
        </w:tc>
        <w:tc>
          <w:tcPr>
            <w:tcW w:w="737" w:type="dxa"/>
            <w:vAlign w:val="center"/>
          </w:tcPr>
          <w:p w14:paraId="73C501C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240</w:t>
            </w:r>
          </w:p>
        </w:tc>
      </w:tr>
      <w:tr w14:paraId="63A8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788A7A3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9</w:t>
            </w:r>
          </w:p>
        </w:tc>
        <w:tc>
          <w:tcPr>
            <w:tcW w:w="1445" w:type="dxa"/>
            <w:vAlign w:val="center"/>
          </w:tcPr>
          <w:p w14:paraId="176B469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485信号线</w:t>
            </w:r>
          </w:p>
        </w:tc>
        <w:tc>
          <w:tcPr>
            <w:tcW w:w="4910" w:type="dxa"/>
            <w:vAlign w:val="center"/>
          </w:tcPr>
          <w:p w14:paraId="23600654">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RVSP2×1.0</w:t>
            </w:r>
          </w:p>
        </w:tc>
        <w:tc>
          <w:tcPr>
            <w:tcW w:w="722" w:type="dxa"/>
            <w:vAlign w:val="center"/>
          </w:tcPr>
          <w:p w14:paraId="25AB300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米</w:t>
            </w:r>
          </w:p>
        </w:tc>
        <w:tc>
          <w:tcPr>
            <w:tcW w:w="737" w:type="dxa"/>
            <w:vAlign w:val="center"/>
          </w:tcPr>
          <w:p w14:paraId="7E1B1E6E">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240</w:t>
            </w:r>
          </w:p>
        </w:tc>
      </w:tr>
      <w:tr w14:paraId="63F2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5E8AC33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0</w:t>
            </w:r>
          </w:p>
        </w:tc>
        <w:tc>
          <w:tcPr>
            <w:tcW w:w="1445" w:type="dxa"/>
            <w:vAlign w:val="center"/>
          </w:tcPr>
          <w:p w14:paraId="74A8EDF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配件</w:t>
            </w:r>
          </w:p>
        </w:tc>
        <w:tc>
          <w:tcPr>
            <w:tcW w:w="4910" w:type="dxa"/>
            <w:vAlign w:val="center"/>
          </w:tcPr>
          <w:p w14:paraId="4F99DF27">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水晶头、终端盒、尾纤、光纤热塑管等</w:t>
            </w:r>
          </w:p>
        </w:tc>
        <w:tc>
          <w:tcPr>
            <w:tcW w:w="722" w:type="dxa"/>
            <w:vAlign w:val="center"/>
          </w:tcPr>
          <w:p w14:paraId="6E1FC6D5">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批</w:t>
            </w:r>
          </w:p>
        </w:tc>
        <w:tc>
          <w:tcPr>
            <w:tcW w:w="737" w:type="dxa"/>
            <w:vAlign w:val="center"/>
          </w:tcPr>
          <w:p w14:paraId="59F7639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r>
      <w:tr w14:paraId="26E6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4D48463E">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1</w:t>
            </w:r>
          </w:p>
        </w:tc>
        <w:tc>
          <w:tcPr>
            <w:tcW w:w="1445" w:type="dxa"/>
            <w:vAlign w:val="center"/>
          </w:tcPr>
          <w:p w14:paraId="5B8D57C8">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安装调试</w:t>
            </w:r>
          </w:p>
        </w:tc>
        <w:tc>
          <w:tcPr>
            <w:tcW w:w="4910" w:type="dxa"/>
            <w:vAlign w:val="center"/>
          </w:tcPr>
          <w:p w14:paraId="59C6BD26">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含吊车台班费、升降平台台班费，设备安装、缆线布放、 接线通电调试，系统调测。</w:t>
            </w:r>
          </w:p>
        </w:tc>
        <w:tc>
          <w:tcPr>
            <w:tcW w:w="722" w:type="dxa"/>
            <w:vAlign w:val="center"/>
          </w:tcPr>
          <w:p w14:paraId="5B81CC5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w:t>
            </w:r>
          </w:p>
        </w:tc>
        <w:tc>
          <w:tcPr>
            <w:tcW w:w="737" w:type="dxa"/>
            <w:vAlign w:val="center"/>
          </w:tcPr>
          <w:p w14:paraId="2D4E7E4E">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r>
    </w:tbl>
    <w:p w14:paraId="7622A920">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备注：投标人出具的佐证材料需真实有效。在结果公示期前两个工作日内，预中标单位需提交相关材料原件供采购人审核，同时采购人有权要求预中标单位对其所投产品中涉及的软硬件提供样品查验或软件功能演示，以核验所投产品性能及技术指标是否与招标文件要求相符，对于专业性较强的内容，采购人可向有资质的第三方检测机构或权威机构/部门查证真实性，如确认存在弄虚作假的情形，取消中标资格，并按照法律法规，追究投标人相关法律责任。</w:t>
      </w:r>
    </w:p>
    <w:p w14:paraId="6660B5B6">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322DE23B">
      <w:pPr>
        <w:bidi w:val="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（二）商务条件</w:t>
      </w:r>
    </w:p>
    <w:p w14:paraId="3DFB1844">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本次采购的所有产品均为全新的,未经使用的，技术先进的产品，并且产品质量和各项性能指标必须满足国家和相关行业现行标准；不得用假冒及伪劣产品替代，如出现质量问题使用单位有权退货；如造成损失的，使用单位可要求成交人给予赔偿。</w:t>
      </w:r>
    </w:p>
    <w:p w14:paraId="6085A236">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2.响应货物的安装、检测、验收等，应执行现行的国家标准、部颁标准、行业标准或通用国际标准。</w:t>
      </w:r>
    </w:p>
    <w:p w14:paraId="7DDCF61D">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val="en-US" w:eastAsia="zh-CN" w:bidi="ar-SA"/>
        </w:rPr>
        <w:t>.验收：</w:t>
      </w:r>
    </w:p>
    <w:p w14:paraId="50889F05">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（1）交付验收标准：依次序对照适用标准为：</w:t>
      </w:r>
    </w:p>
    <w:p w14:paraId="66D9A52A">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①符合中华人民共和国国家安全质量标准、环保标准或行业标准；</w:t>
      </w:r>
    </w:p>
    <w:p w14:paraId="130313EC">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②符合采购文件和响应承诺中采购人认可的合理最佳配置、参数及各项要求</w:t>
      </w:r>
    </w:p>
    <w:p w14:paraId="2C8A5FF9">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③货物来源国家官方标准。</w:t>
      </w:r>
    </w:p>
    <w:p w14:paraId="748C83DC">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（2）成交供应商须为验收提供必需的设备、工具及其他便利条件。</w:t>
      </w:r>
    </w:p>
    <w:p w14:paraId="766B48F0">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（3）在验收过程中发现数量不足或有质量、技术等问题，成交供应商应负责按照采购人的要求采取补足、更换或退货等措施妥善处理，并承担由此发生的一切费用和损失。</w:t>
      </w:r>
    </w:p>
    <w:p w14:paraId="178A881C">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（4）外形尺寸参数要求偏差值不超过±5%，属于厚度的为最低值，不得有公差。</w:t>
      </w:r>
    </w:p>
    <w:p w14:paraId="6B70ED7F">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（5）相关检验检测和验收费用全部由成交供应商承担。</w:t>
      </w:r>
    </w:p>
    <w:p w14:paraId="2FEF61EB">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（6）本项目为交钥匙工程，由成交供应商负责运输、施工等一切费用，成交供应商负责制定具体的施工的进度计划，双方共同协商制定时间表。</w:t>
      </w:r>
    </w:p>
    <w:p w14:paraId="44A3ADA9">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.成交人应根据采购人的要求派出技术全面、经验丰富的技术人员在安装现场进行安装和有关安装指导。</w:t>
      </w:r>
    </w:p>
    <w:p w14:paraId="4482782E">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.技术培训对象及培训目标、要求：</w:t>
      </w:r>
    </w:p>
    <w:p w14:paraId="410D3E59">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.1培训对象由采购人指定。</w:t>
      </w:r>
    </w:p>
    <w:p w14:paraId="295055DC">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.2培训目标：根据货物特点及技术要求，成交人应对采购人的安装人员、维护技术人员、管理人员进行培训直至熟练掌握为止。</w:t>
      </w:r>
    </w:p>
    <w:p w14:paraId="164910F1">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.3现场培训应在交货时完成，正式培训要在验收之前完成，涉及教材均为中文资料。</w:t>
      </w:r>
    </w:p>
    <w:p w14:paraId="5A46B48D">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.4培训教师应精通所有货物操作技术，且有丰富的经验。</w:t>
      </w:r>
    </w:p>
    <w:p w14:paraId="5608B7D6">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.如遇厂方兼并或代理商不再代理该产品，须与采购人做好移交手续。本合同、协议继续有效。</w:t>
      </w:r>
    </w:p>
    <w:p w14:paraId="265174CF">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7</w:t>
      </w:r>
      <w:r>
        <w:rPr>
          <w:rFonts w:hint="eastAsia" w:asciiTheme="minorEastAsia" w:hAnsiTheme="minorEastAsia" w:eastAsiaTheme="minorEastAsia" w:cstheme="minorEastAsia"/>
          <w:kern w:val="2"/>
          <w:sz w:val="24"/>
          <w:szCs w:val="24"/>
          <w:lang w:val="en-US" w:eastAsia="zh-CN" w:bidi="ar-SA"/>
        </w:rPr>
        <w:t>.售后服务：</w:t>
      </w:r>
    </w:p>
    <w:p w14:paraId="3695FD81">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成交人提供的货物应按照国家三包标准执行，质保期不低于12个月，（国家或企业另有约定高于12个月的从其约定），自合同货物最终验收合格之日算起，保修方式为上门服务，质量保证期内发生的一切费用由中标人承担。在质量保证期内，出现故障接采购人或使用单位通知后4小时内必须响应，12小时到达现场，24小时解决。如超过24小时仍不能排除故障，成交人应无偿提供备用品或零件供用户使用直至故障排除后正常使用。</w:t>
      </w:r>
    </w:p>
    <w:p w14:paraId="1358D124">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8</w:t>
      </w:r>
      <w:r>
        <w:rPr>
          <w:rFonts w:hint="eastAsia" w:asciiTheme="minorEastAsia" w:hAnsiTheme="minorEastAsia" w:eastAsiaTheme="minorEastAsia" w:cstheme="minorEastAsia"/>
          <w:kern w:val="2"/>
          <w:sz w:val="24"/>
          <w:szCs w:val="24"/>
          <w:lang w:val="en-US" w:eastAsia="zh-CN" w:bidi="ar-SA"/>
        </w:rPr>
        <w:t>.1 质量保证期期满后，成交人继续为采购人提供专业维修服务，由此发生的相关服务和备品备件费用由采购人承担。成交人在签订合同时应提供质保期满后相关维修服务和常用备件、备品价目表。</w:t>
      </w:r>
    </w:p>
    <w:p w14:paraId="7D97C86A">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8</w:t>
      </w:r>
      <w:r>
        <w:rPr>
          <w:rFonts w:hint="eastAsia" w:asciiTheme="minorEastAsia" w:hAnsiTheme="minorEastAsia" w:eastAsiaTheme="minorEastAsia" w:cstheme="minorEastAsia"/>
          <w:kern w:val="2"/>
          <w:sz w:val="24"/>
          <w:szCs w:val="24"/>
          <w:lang w:val="en-US" w:eastAsia="zh-CN" w:bidi="ar-SA"/>
        </w:rPr>
        <w:t>.2巡回检修保养售后服务：质保期内，成交人需派出专业维修技术人员不定期对现有设备进行检修保养，提前预防设备故障，及时排除故障，防范于未然，发现问题及时处理。一年内不少于2次免费巡回检修保养。</w:t>
      </w:r>
    </w:p>
    <w:p w14:paraId="672B2B42">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9</w:t>
      </w:r>
      <w:r>
        <w:rPr>
          <w:rFonts w:hint="eastAsia" w:asciiTheme="minorEastAsia" w:hAnsiTheme="minorEastAsia" w:eastAsiaTheme="minorEastAsia" w:cstheme="minorEastAsia"/>
          <w:kern w:val="2"/>
          <w:sz w:val="24"/>
          <w:szCs w:val="24"/>
          <w:lang w:val="en-US" w:eastAsia="zh-CN" w:bidi="ar-SA"/>
        </w:rPr>
        <w:t>.采购合同的签订：成交人应在成交结果公告发出后5个工作日内与采购单位签订采购合同。</w:t>
      </w:r>
    </w:p>
    <w:p w14:paraId="37F0577C">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cstheme="minorEastAsia"/>
          <w:kern w:val="2"/>
          <w:sz w:val="24"/>
          <w:szCs w:val="24"/>
          <w:lang w:val="en-US" w:eastAsia="zh-CN" w:bidi="ar-SA"/>
        </w:rPr>
        <w:t>0</w:t>
      </w:r>
      <w:r>
        <w:rPr>
          <w:rFonts w:hint="eastAsia" w:asciiTheme="minorEastAsia" w:hAnsiTheme="minorEastAsia" w:eastAsiaTheme="minorEastAsia" w:cstheme="minorEastAsia"/>
          <w:kern w:val="2"/>
          <w:sz w:val="24"/>
          <w:szCs w:val="24"/>
          <w:lang w:val="en-US" w:eastAsia="zh-CN" w:bidi="ar-SA"/>
        </w:rPr>
        <w:t>.交货地点、时间：</w:t>
      </w:r>
    </w:p>
    <w:p w14:paraId="4E2DF7A4">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cstheme="minorEastAsia"/>
          <w:kern w:val="2"/>
          <w:sz w:val="24"/>
          <w:szCs w:val="24"/>
          <w:lang w:val="en-US" w:eastAsia="zh-CN" w:bidi="ar-SA"/>
        </w:rPr>
        <w:t>0</w:t>
      </w:r>
      <w:r>
        <w:rPr>
          <w:rFonts w:hint="eastAsia" w:asciiTheme="minorEastAsia" w:hAnsiTheme="minorEastAsia" w:eastAsiaTheme="minorEastAsia" w:cstheme="minorEastAsia"/>
          <w:kern w:val="2"/>
          <w:sz w:val="24"/>
          <w:szCs w:val="24"/>
          <w:lang w:val="en-US" w:eastAsia="zh-CN" w:bidi="ar-SA"/>
        </w:rPr>
        <w:t>.1交货地点：采购人指定地点。</w:t>
      </w:r>
    </w:p>
    <w:p w14:paraId="0ED102A9">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cstheme="minorEastAsia"/>
          <w:kern w:val="2"/>
          <w:sz w:val="24"/>
          <w:szCs w:val="24"/>
          <w:lang w:val="en-US" w:eastAsia="zh-CN" w:bidi="ar-SA"/>
        </w:rPr>
        <w:t>0</w:t>
      </w:r>
      <w:r>
        <w:rPr>
          <w:rFonts w:hint="eastAsia" w:asciiTheme="minorEastAsia" w:hAnsiTheme="minorEastAsia" w:eastAsiaTheme="minorEastAsia" w:cstheme="minorEastAsia"/>
          <w:kern w:val="2"/>
          <w:sz w:val="24"/>
          <w:szCs w:val="24"/>
          <w:lang w:val="en-US" w:eastAsia="zh-CN" w:bidi="ar-SA"/>
        </w:rPr>
        <w:t>.2交货时间：</w:t>
      </w:r>
      <w:r>
        <w:rPr>
          <w:rFonts w:hint="eastAsia" w:asciiTheme="minorEastAsia" w:hAnsiTheme="minorEastAsia" w:cstheme="minorEastAsia"/>
          <w:b/>
          <w:bCs/>
          <w:color w:val="FF0000"/>
          <w:kern w:val="2"/>
          <w:sz w:val="24"/>
          <w:szCs w:val="24"/>
          <w:lang w:val="en-US" w:eastAsia="zh-CN" w:bidi="ar-SA"/>
        </w:rPr>
        <w:t>签订合同后30天内完成全部供货，货物送达指定地点，安装调试合格。</w:t>
      </w:r>
    </w:p>
    <w:p w14:paraId="245AC5F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.付款方式：</w:t>
      </w:r>
      <w:r>
        <w:rPr>
          <w:rFonts w:hint="eastAsia" w:asciiTheme="minorEastAsia" w:hAnsiTheme="minorEastAsia" w:eastAsiaTheme="minorEastAsia" w:cstheme="minorEastAsia"/>
          <w:b/>
          <w:bCs/>
          <w:color w:val="FF0000"/>
          <w:kern w:val="2"/>
          <w:sz w:val="24"/>
          <w:szCs w:val="24"/>
          <w:lang w:val="en-US" w:eastAsia="zh-CN" w:bidi="ar-SA"/>
        </w:rPr>
        <w:t>项目交付验收合格后一次性支付合同价款的95%，余款在质保期结束后一次性支付。</w:t>
      </w:r>
    </w:p>
    <w:p w14:paraId="3A2D69A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.响应人应保证，采购人在中华人民共和国使用响应人所提供的货物或货物的任何一部分时，免受第三方提出的侵犯其专利权、商标权或工业设计权的起诉。</w:t>
      </w:r>
    </w:p>
    <w:p w14:paraId="1931725C">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2" w:firstLineChars="200"/>
        <w:jc w:val="both"/>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b/>
          <w:bCs/>
          <w:color w:val="auto"/>
          <w:kern w:val="2"/>
          <w:sz w:val="24"/>
          <w:szCs w:val="24"/>
          <w:lang w:val="en-US" w:eastAsia="zh-CN" w:bidi="ar-SA"/>
        </w:rPr>
        <w:t>13.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b/>
          <w:bCs/>
          <w:color w:val="auto"/>
          <w:kern w:val="2"/>
          <w:sz w:val="24"/>
          <w:szCs w:val="24"/>
          <w:lang w:val="en-US" w:eastAsia="zh-CN" w:bidi="ar-SA"/>
        </w:rPr>
        <w:t>响应供应商承诺采购清单所有设备、配件支持无缝接入吉安职业技术学院安防监控平台（需提供供应商无缝对接承诺函；格式自拟）</w:t>
      </w:r>
    </w:p>
    <w:p w14:paraId="76B6A8C8">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.特别说明</w:t>
      </w:r>
    </w:p>
    <w:p w14:paraId="35D3FDD2">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.1成交人在项目实施或服务过程中发生的重大人员、产品质量事故，或因成交人管理不善等原因造成的人员伤亡等责任事故均由成交人负责，采购人不承担任何法律及经济责任。</w:t>
      </w:r>
    </w:p>
    <w:p w14:paraId="55A8C479">
      <w:pPr>
        <w:spacing w:line="360" w:lineRule="auto"/>
        <w:ind w:firstLine="480" w:firstLineChars="200"/>
        <w:rPr>
          <w:rFonts w:hint="eastAsia" w:ascii="宋体" w:hAnsi="宋体" w:eastAsia="宋体" w:cs="宋体"/>
          <w:sz w:val="28"/>
          <w:szCs w:val="28"/>
          <w:lang w:val="en-US" w:eastAsia="zh-CN"/>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.未尽事宜，请与采购人联系。</w:t>
      </w:r>
      <w:r>
        <w:rPr>
          <w:rFonts w:hint="eastAsia" w:ascii="宋体" w:hAnsi="宋体" w:eastAsia="宋体" w:cs="宋体"/>
          <w:sz w:val="28"/>
          <w:szCs w:val="28"/>
          <w:lang w:val="en-US" w:eastAsia="zh-CN"/>
        </w:rPr>
        <w:br w:type="page"/>
      </w:r>
    </w:p>
    <w:p w14:paraId="17812C90">
      <w:pPr>
        <w:bidi w:val="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赣企恒招〔2025〕-25号询价公告及文件审批意见</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7171"/>
      </w:tblGrid>
      <w:tr w14:paraId="556B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2" w:hRule="atLeast"/>
        </w:trPr>
        <w:tc>
          <w:tcPr>
            <w:tcW w:w="1351" w:type="dxa"/>
            <w:vAlign w:val="center"/>
          </w:tcPr>
          <w:p w14:paraId="61FA6C8D">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w:t>
            </w:r>
          </w:p>
          <w:p w14:paraId="12EC2CF1">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购</w:t>
            </w:r>
          </w:p>
          <w:p w14:paraId="6CC5B967">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w:t>
            </w:r>
          </w:p>
          <w:p w14:paraId="33966AF1">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理</w:t>
            </w:r>
          </w:p>
          <w:p w14:paraId="1404714A">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w:t>
            </w:r>
          </w:p>
          <w:p w14:paraId="4F706495">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w:t>
            </w:r>
          </w:p>
        </w:tc>
        <w:tc>
          <w:tcPr>
            <w:tcW w:w="7171" w:type="dxa"/>
            <w:vAlign w:val="center"/>
          </w:tcPr>
          <w:p w14:paraId="3872CFDF">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询价通知书已编制完毕，报请采购单位审核</w:t>
            </w:r>
          </w:p>
          <w:p w14:paraId="42A0BB3D">
            <w:pPr>
              <w:bidi w:val="0"/>
              <w:rPr>
                <w:rFonts w:hint="eastAsia" w:ascii="宋体" w:hAnsi="宋体" w:eastAsia="宋体" w:cs="宋体"/>
                <w:sz w:val="24"/>
                <w:szCs w:val="24"/>
                <w:lang w:val="en-US" w:eastAsia="zh-CN"/>
              </w:rPr>
            </w:pPr>
          </w:p>
          <w:p w14:paraId="6F8D3291">
            <w:pPr>
              <w:bidi w:val="0"/>
              <w:rPr>
                <w:rFonts w:hint="eastAsia" w:ascii="宋体" w:hAnsi="宋体" w:eastAsia="宋体" w:cs="宋体"/>
                <w:sz w:val="24"/>
                <w:szCs w:val="24"/>
                <w:lang w:val="en-US" w:eastAsia="zh-CN"/>
              </w:rPr>
            </w:pPr>
          </w:p>
          <w:p w14:paraId="469B9BFE">
            <w:pPr>
              <w:bidi w:val="0"/>
              <w:ind w:firstLine="4080" w:firstLineChars="17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   月   日</w:t>
            </w:r>
          </w:p>
          <w:p w14:paraId="6716A1A2">
            <w:pPr>
              <w:bidi w:val="0"/>
              <w:rPr>
                <w:rFonts w:hint="eastAsia" w:ascii="宋体" w:hAnsi="宋体" w:eastAsia="宋体" w:cs="宋体"/>
                <w:sz w:val="24"/>
                <w:szCs w:val="24"/>
                <w:lang w:val="en-US" w:eastAsia="zh-CN"/>
              </w:rPr>
            </w:pPr>
          </w:p>
        </w:tc>
      </w:tr>
      <w:tr w14:paraId="6542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1351" w:type="dxa"/>
            <w:vAlign w:val="center"/>
          </w:tcPr>
          <w:p w14:paraId="4BB2B12D">
            <w:pPr>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w:t>
            </w:r>
          </w:p>
          <w:p w14:paraId="2C823897">
            <w:pPr>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购</w:t>
            </w:r>
          </w:p>
          <w:p w14:paraId="763B5AA6">
            <w:pPr>
              <w:bidi w:val="0"/>
              <w:jc w:val="center"/>
              <w:rPr>
                <w:rFonts w:hint="eastAsia" w:ascii="宋体" w:hAnsi="宋体" w:eastAsia="宋体" w:cs="宋体"/>
                <w:sz w:val="24"/>
                <w:szCs w:val="24"/>
              </w:rPr>
            </w:pPr>
            <w:r>
              <w:rPr>
                <w:rFonts w:hint="eastAsia" w:ascii="宋体" w:hAnsi="宋体" w:eastAsia="宋体" w:cs="宋体"/>
                <w:sz w:val="24"/>
                <w:szCs w:val="24"/>
              </w:rPr>
              <w:t>单</w:t>
            </w:r>
          </w:p>
          <w:p w14:paraId="2487E45C">
            <w:pPr>
              <w:bidi w:val="0"/>
              <w:jc w:val="center"/>
              <w:rPr>
                <w:rFonts w:hint="eastAsia" w:ascii="宋体" w:hAnsi="宋体" w:eastAsia="宋体" w:cs="宋体"/>
                <w:sz w:val="24"/>
                <w:szCs w:val="24"/>
              </w:rPr>
            </w:pPr>
            <w:r>
              <w:rPr>
                <w:rFonts w:hint="eastAsia" w:ascii="宋体" w:hAnsi="宋体" w:eastAsia="宋体" w:cs="宋体"/>
                <w:sz w:val="24"/>
                <w:szCs w:val="24"/>
              </w:rPr>
              <w:t>位</w:t>
            </w:r>
          </w:p>
          <w:p w14:paraId="078D8C0C">
            <w:pPr>
              <w:bidi w:val="0"/>
              <w:jc w:val="center"/>
              <w:rPr>
                <w:rFonts w:hint="eastAsia" w:ascii="宋体" w:hAnsi="宋体" w:eastAsia="宋体" w:cs="宋体"/>
                <w:sz w:val="24"/>
                <w:szCs w:val="24"/>
                <w:lang w:val="en-US" w:eastAsia="zh-CN"/>
              </w:rPr>
            </w:pPr>
          </w:p>
        </w:tc>
        <w:tc>
          <w:tcPr>
            <w:tcW w:w="7171" w:type="dxa"/>
            <w:vAlign w:val="top"/>
          </w:tcPr>
          <w:p w14:paraId="4C7B085C">
            <w:pPr>
              <w:bidi w:val="0"/>
              <w:rPr>
                <w:rFonts w:hint="eastAsia" w:ascii="宋体" w:hAnsi="宋体" w:eastAsia="宋体" w:cs="宋体"/>
                <w:sz w:val="24"/>
                <w:szCs w:val="24"/>
                <w:lang w:eastAsia="zh-CN"/>
              </w:rPr>
            </w:pPr>
          </w:p>
          <w:p w14:paraId="2A93D3BA">
            <w:pPr>
              <w:bidi w:val="0"/>
              <w:rPr>
                <w:rFonts w:hint="eastAsia" w:ascii="宋体" w:hAnsi="宋体" w:eastAsia="宋体" w:cs="宋体"/>
                <w:sz w:val="24"/>
                <w:szCs w:val="24"/>
                <w:lang w:eastAsia="zh-CN"/>
              </w:rPr>
            </w:pPr>
          </w:p>
          <w:p w14:paraId="6BBBCB01">
            <w:pPr>
              <w:bidi w:val="0"/>
              <w:rPr>
                <w:rFonts w:hint="eastAsia" w:ascii="宋体" w:hAnsi="宋体" w:eastAsia="宋体" w:cs="宋体"/>
                <w:sz w:val="24"/>
                <w:szCs w:val="24"/>
                <w:lang w:eastAsia="zh-CN"/>
              </w:rPr>
            </w:pPr>
          </w:p>
          <w:p w14:paraId="0CA64FED">
            <w:pPr>
              <w:bidi w:val="0"/>
              <w:rPr>
                <w:rFonts w:hint="eastAsia" w:ascii="宋体" w:hAnsi="宋体" w:eastAsia="宋体" w:cs="宋体"/>
                <w:sz w:val="24"/>
                <w:szCs w:val="24"/>
                <w:lang w:val="en-US" w:eastAsia="zh-CN"/>
              </w:rPr>
            </w:pPr>
            <w:r>
              <w:rPr>
                <w:rFonts w:hint="eastAsia" w:ascii="宋体" w:hAnsi="宋体" w:eastAsia="宋体" w:cs="宋体"/>
                <w:sz w:val="24"/>
                <w:szCs w:val="24"/>
                <w:lang w:eastAsia="zh-CN"/>
              </w:rPr>
              <w:t>采购</w:t>
            </w:r>
            <w:r>
              <w:rPr>
                <w:rFonts w:hint="eastAsia" w:ascii="宋体" w:hAnsi="宋体" w:eastAsia="宋体" w:cs="宋体"/>
                <w:sz w:val="24"/>
                <w:szCs w:val="24"/>
              </w:rPr>
              <w:t>单位意见（</w:t>
            </w:r>
            <w:r>
              <w:rPr>
                <w:rFonts w:hint="eastAsia" w:ascii="宋体" w:hAnsi="宋体" w:eastAsia="宋体" w:cs="宋体"/>
                <w:sz w:val="24"/>
                <w:szCs w:val="24"/>
                <w:lang w:val="en-US" w:eastAsia="zh-CN"/>
              </w:rPr>
              <w:t>盖</w:t>
            </w:r>
            <w:r>
              <w:rPr>
                <w:rFonts w:hint="eastAsia" w:ascii="宋体" w:hAnsi="宋体" w:eastAsia="宋体" w:cs="宋体"/>
                <w:sz w:val="24"/>
                <w:szCs w:val="24"/>
              </w:rPr>
              <w:t>章）：</w:t>
            </w:r>
          </w:p>
          <w:p w14:paraId="2DA517CB">
            <w:pPr>
              <w:bidi w:val="0"/>
              <w:rPr>
                <w:rFonts w:hint="eastAsia" w:ascii="宋体" w:hAnsi="宋体" w:eastAsia="宋体" w:cs="宋体"/>
                <w:sz w:val="24"/>
                <w:szCs w:val="24"/>
                <w:lang w:eastAsia="zh-CN"/>
              </w:rPr>
            </w:pPr>
          </w:p>
          <w:p w14:paraId="04AAD540">
            <w:pPr>
              <w:bidi w:val="0"/>
              <w:rPr>
                <w:rFonts w:hint="eastAsia" w:ascii="宋体" w:hAnsi="宋体" w:eastAsia="宋体" w:cs="宋体"/>
                <w:sz w:val="24"/>
                <w:szCs w:val="24"/>
                <w:lang w:eastAsia="zh-CN"/>
              </w:rPr>
            </w:pPr>
          </w:p>
          <w:p w14:paraId="05FA8E52">
            <w:pPr>
              <w:bidi w:val="0"/>
              <w:rPr>
                <w:rFonts w:hint="eastAsia" w:ascii="宋体" w:hAnsi="宋体" w:eastAsia="宋体" w:cs="宋体"/>
                <w:sz w:val="24"/>
                <w:szCs w:val="24"/>
                <w:lang w:eastAsia="zh-CN"/>
              </w:rPr>
            </w:pPr>
          </w:p>
          <w:p w14:paraId="585190D7">
            <w:pPr>
              <w:bidi w:val="0"/>
              <w:rPr>
                <w:rFonts w:hint="eastAsia" w:ascii="宋体" w:hAnsi="宋体" w:eastAsia="宋体" w:cs="宋体"/>
                <w:sz w:val="24"/>
                <w:szCs w:val="24"/>
                <w:lang w:eastAsia="zh-CN"/>
              </w:rPr>
            </w:pPr>
          </w:p>
          <w:p w14:paraId="1B47CE36">
            <w:pPr>
              <w:bidi w:val="0"/>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w:t>
            </w:r>
          </w:p>
          <w:p w14:paraId="44FAEDC0">
            <w:pPr>
              <w:bidi w:val="0"/>
              <w:rPr>
                <w:rFonts w:hint="eastAsia" w:ascii="宋体" w:hAnsi="宋体" w:eastAsia="宋体" w:cs="宋体"/>
                <w:sz w:val="24"/>
                <w:szCs w:val="24"/>
              </w:rPr>
            </w:pPr>
            <w:r>
              <w:rPr>
                <w:rFonts w:hint="eastAsia" w:ascii="宋体" w:hAnsi="宋体" w:eastAsia="宋体" w:cs="宋体"/>
                <w:sz w:val="24"/>
                <w:szCs w:val="24"/>
                <w:lang w:val="en-US" w:eastAsia="zh-CN"/>
              </w:rPr>
              <w:t>主要负责人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盖章或签字</w:t>
            </w:r>
            <w:r>
              <w:rPr>
                <w:rFonts w:hint="eastAsia" w:ascii="宋体" w:hAnsi="宋体" w:eastAsia="宋体" w:cs="宋体"/>
                <w:sz w:val="24"/>
                <w:szCs w:val="24"/>
                <w:lang w:eastAsia="zh-CN"/>
              </w:rPr>
              <w:t>）</w:t>
            </w:r>
            <w:r>
              <w:rPr>
                <w:rFonts w:hint="eastAsia" w:ascii="宋体" w:hAnsi="宋体" w:eastAsia="宋体" w:cs="宋体"/>
                <w:sz w:val="24"/>
                <w:szCs w:val="24"/>
              </w:rPr>
              <w:t>：</w:t>
            </w:r>
          </w:p>
          <w:p w14:paraId="1E1042E8">
            <w:pPr>
              <w:bidi w:val="0"/>
              <w:rPr>
                <w:rFonts w:hint="eastAsia" w:ascii="宋体" w:hAnsi="宋体" w:eastAsia="宋体" w:cs="宋体"/>
                <w:sz w:val="24"/>
                <w:szCs w:val="24"/>
              </w:rPr>
            </w:pPr>
          </w:p>
          <w:p w14:paraId="5AEA2614">
            <w:pPr>
              <w:bidi w:val="0"/>
              <w:rPr>
                <w:rFonts w:hint="eastAsia" w:ascii="宋体" w:hAnsi="宋体" w:eastAsia="宋体" w:cs="宋体"/>
                <w:sz w:val="24"/>
                <w:szCs w:val="24"/>
              </w:rPr>
            </w:pPr>
          </w:p>
          <w:p w14:paraId="490E94E2">
            <w:pPr>
              <w:bidi w:val="0"/>
              <w:ind w:firstLine="4080" w:firstLineChars="1700"/>
              <w:rPr>
                <w:rFonts w:hint="eastAsia" w:ascii="宋体" w:hAnsi="宋体" w:eastAsia="宋体" w:cs="宋体"/>
                <w:sz w:val="24"/>
                <w:szCs w:val="24"/>
              </w:rPr>
            </w:pPr>
            <w:r>
              <w:rPr>
                <w:rFonts w:hint="eastAsia" w:ascii="宋体" w:hAnsi="宋体" w:eastAsia="宋体" w:cs="宋体"/>
                <w:sz w:val="24"/>
                <w:szCs w:val="24"/>
              </w:rPr>
              <w:t>年   月   日</w:t>
            </w:r>
          </w:p>
          <w:p w14:paraId="22027330">
            <w:pPr>
              <w:bidi w:val="0"/>
              <w:rPr>
                <w:rFonts w:hint="eastAsia" w:ascii="宋体" w:hAnsi="宋体" w:eastAsia="宋体" w:cs="宋体"/>
                <w:sz w:val="24"/>
                <w:szCs w:val="24"/>
                <w:lang w:val="en-US" w:eastAsia="zh-CN"/>
              </w:rPr>
            </w:pPr>
          </w:p>
        </w:tc>
      </w:tr>
    </w:tbl>
    <w:p w14:paraId="2908C6C1">
      <w:pPr>
        <w:rPr>
          <w:rFonts w:hint="default"/>
          <w:lang w:val="en-US" w:eastAsia="zh-CN"/>
        </w:rPr>
      </w:pPr>
    </w:p>
    <w:sectPr>
      <w:pgSz w:w="11906" w:h="16838"/>
      <w:pgMar w:top="1440" w:right="1800" w:bottom="1440" w:left="180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55AB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053CE">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0053CE">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MDc1MjliZDA3Y2I3ZWM4NzMzZDcxNzhkZDE1NjYifQ=="/>
  </w:docVars>
  <w:rsids>
    <w:rsidRoot w:val="65455931"/>
    <w:rsid w:val="006B6B9A"/>
    <w:rsid w:val="014063B9"/>
    <w:rsid w:val="034D529D"/>
    <w:rsid w:val="04A628D7"/>
    <w:rsid w:val="057D1E38"/>
    <w:rsid w:val="09903C9B"/>
    <w:rsid w:val="0A1B263A"/>
    <w:rsid w:val="0BD0037E"/>
    <w:rsid w:val="11150BD7"/>
    <w:rsid w:val="111F4200"/>
    <w:rsid w:val="13B55464"/>
    <w:rsid w:val="16F66259"/>
    <w:rsid w:val="1888270D"/>
    <w:rsid w:val="1A3E355A"/>
    <w:rsid w:val="1C626920"/>
    <w:rsid w:val="1C885EDE"/>
    <w:rsid w:val="1D3C2ABE"/>
    <w:rsid w:val="1FEE778E"/>
    <w:rsid w:val="20550CDD"/>
    <w:rsid w:val="21186CA9"/>
    <w:rsid w:val="22FB7F7F"/>
    <w:rsid w:val="2C1856FE"/>
    <w:rsid w:val="322A246F"/>
    <w:rsid w:val="33371696"/>
    <w:rsid w:val="33E9429E"/>
    <w:rsid w:val="358F6692"/>
    <w:rsid w:val="3BA12DE9"/>
    <w:rsid w:val="3DBB2248"/>
    <w:rsid w:val="43114BF9"/>
    <w:rsid w:val="432B4701"/>
    <w:rsid w:val="463827CD"/>
    <w:rsid w:val="475C77BE"/>
    <w:rsid w:val="47DC3644"/>
    <w:rsid w:val="4B4C32F5"/>
    <w:rsid w:val="4E034240"/>
    <w:rsid w:val="4F954E50"/>
    <w:rsid w:val="56272910"/>
    <w:rsid w:val="56346FCF"/>
    <w:rsid w:val="579E79C6"/>
    <w:rsid w:val="59102FD6"/>
    <w:rsid w:val="59A968A9"/>
    <w:rsid w:val="5B4F1FDC"/>
    <w:rsid w:val="5CC76345"/>
    <w:rsid w:val="61316BE0"/>
    <w:rsid w:val="628663E8"/>
    <w:rsid w:val="65455931"/>
    <w:rsid w:val="670544F5"/>
    <w:rsid w:val="67310E46"/>
    <w:rsid w:val="67671676"/>
    <w:rsid w:val="67F11A89"/>
    <w:rsid w:val="724D0AFE"/>
    <w:rsid w:val="738844E4"/>
    <w:rsid w:val="76D753A1"/>
    <w:rsid w:val="772071D6"/>
    <w:rsid w:val="774E2D32"/>
    <w:rsid w:val="7C9B515B"/>
    <w:rsid w:val="7DC92B32"/>
    <w:rsid w:val="7F4A1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jc w:val="center"/>
      <w:outlineLvl w:val="0"/>
    </w:pPr>
    <w:rPr>
      <w:rFonts w:ascii="宋体" w:hAnsi="宋体" w:eastAsia="宋体"/>
      <w:b/>
      <w:sz w:val="28"/>
    </w:rPr>
  </w:style>
  <w:style w:type="paragraph" w:styleId="7">
    <w:name w:val="heading 2"/>
    <w:basedOn w:val="1"/>
    <w:next w:val="1"/>
    <w:qFormat/>
    <w:uiPriority w:val="0"/>
    <w:pPr>
      <w:keepNext/>
      <w:keepLines/>
      <w:snapToGrid w:val="0"/>
      <w:spacing w:before="20" w:after="20" w:line="240"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正文1"/>
    <w:basedOn w:val="3"/>
    <w:autoRedefine/>
    <w:qFormat/>
    <w:uiPriority w:val="0"/>
    <w:pPr>
      <w:tabs>
        <w:tab w:val="left" w:pos="2160"/>
      </w:tabs>
      <w:topLinePunct/>
      <w:spacing w:line="400" w:lineRule="exact"/>
    </w:pPr>
    <w:rPr>
      <w:rFonts w:cs="Times New Roman"/>
      <w:color w:val="EE0000"/>
      <w:lang w:eastAsia="zh-CN"/>
    </w:rPr>
  </w:style>
  <w:style w:type="paragraph" w:styleId="3">
    <w:name w:val="Body Text First Indent"/>
    <w:basedOn w:val="4"/>
    <w:qFormat/>
    <w:uiPriority w:val="0"/>
    <w:pPr>
      <w:ind w:firstLine="420" w:firstLineChars="100"/>
    </w:pPr>
    <w:rPr>
      <w:sz w:val="21"/>
    </w:rPr>
  </w:style>
  <w:style w:type="paragraph" w:styleId="4">
    <w:name w:val="Body Text"/>
    <w:basedOn w:val="1"/>
    <w:next w:val="5"/>
    <w:qFormat/>
    <w:uiPriority w:val="0"/>
    <w:pPr>
      <w:spacing w:after="120"/>
    </w:pPr>
  </w:style>
  <w:style w:type="paragraph" w:customStyle="1" w:styleId="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9">
    <w:name w:val="Body Text Indent"/>
    <w:basedOn w:val="1"/>
    <w:next w:val="10"/>
    <w:qFormat/>
    <w:uiPriority w:val="0"/>
    <w:pPr>
      <w:autoSpaceDE w:val="0"/>
      <w:autoSpaceDN w:val="0"/>
      <w:adjustRightInd w:val="0"/>
      <w:spacing w:line="360" w:lineRule="auto"/>
      <w:ind w:firstLine="480"/>
      <w:jc w:val="left"/>
    </w:pPr>
    <w:rPr>
      <w:rFonts w:ascii="宋体" w:hAnsi="宋体"/>
      <w:kern w:val="0"/>
      <w:sz w:val="24"/>
    </w:rPr>
  </w:style>
  <w:style w:type="paragraph" w:styleId="10">
    <w:name w:val="envelope return"/>
    <w:basedOn w:val="1"/>
    <w:qFormat/>
    <w:uiPriority w:val="0"/>
    <w:pPr>
      <w:snapToGrid w:val="0"/>
    </w:pPr>
    <w:rPr>
      <w:rFonts w:ascii="Arial" w:hAnsi="Arial"/>
    </w:rPr>
  </w:style>
  <w:style w:type="paragraph" w:styleId="11">
    <w:name w:val="Date"/>
    <w:basedOn w:val="1"/>
    <w:next w:val="1"/>
    <w:qFormat/>
    <w:uiPriority w:val="0"/>
    <w:rPr>
      <w:sz w:val="2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9"/>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paragraph" w:customStyle="1" w:styleId="23">
    <w:name w:val="List Paragraph"/>
    <w:basedOn w:val="1"/>
    <w:qFormat/>
    <w:uiPriority w:val="34"/>
    <w:pPr>
      <w:ind w:firstLine="420" w:firstLineChars="200"/>
    </w:pPr>
    <w:rPr>
      <w:szCs w:val="24"/>
    </w:rPr>
  </w:style>
  <w:style w:type="paragraph" w:customStyle="1" w:styleId="24">
    <w:name w:val="列出段落1"/>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1954</Words>
  <Characters>2147</Characters>
  <Lines>0</Lines>
  <Paragraphs>0</Paragraphs>
  <TotalTime>4</TotalTime>
  <ScaleCrop>false</ScaleCrop>
  <LinksUpToDate>false</LinksUpToDate>
  <CharactersWithSpaces>2365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2022-06-18T08:10:00Z</dcterms:created>
  <dc:creator>远方.</dc:creator>
  <cp:lastModifiedBy>Administrator</cp:lastModifiedBy>
  <dcterms:modified xsi:type="dcterms:W3CDTF">2025-11-12T06:17:26Z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FBADF5937EFA4F50A50DBCA6108D7542_13</vt:lpwstr>
  </property>
  <property fmtid="{D5CDD505-2E9C-101B-9397-08002B2CF9AE}" pid="4" name="KSOTemplateDocerSaveRecord">
    <vt:lpwstr>eyJoZGlkIjoiYjg5OTg4YmEyYzAzMzQzY2MyYzViZWY5ZTUxYzVmNTkiLCJ1c2VySWQiOiIxMjA1OTg1NDc1In0=</vt:lpwstr>
  </property>
</Properties>
</file>