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4FD59">
      <w:pPr>
        <w:pStyle w:val="6"/>
        <w:ind w:left="0" w:leftChars="0" w:firstLine="0" w:firstLineChars="0"/>
        <w:rPr>
          <w:rFonts w:hint="eastAsia" w:ascii="仿宋" w:hAnsi="仿宋" w:eastAsia="仿宋" w:cs="仿宋"/>
          <w:b/>
          <w:bCs/>
          <w:sz w:val="32"/>
          <w:szCs w:val="32"/>
          <w:lang w:val="en-US" w:eastAsia="zh-CN"/>
        </w:rPr>
      </w:pPr>
    </w:p>
    <w:p w14:paraId="2413D689">
      <w:pPr>
        <w:snapToGrid w:val="0"/>
        <w:spacing w:line="300" w:lineRule="atLeast"/>
        <w:rPr>
          <w:rStyle w:val="30"/>
          <w:rFonts w:ascii="Arial" w:hAnsi="Arial" w:cs="Arial"/>
          <w:b/>
          <w:bCs/>
          <w:kern w:val="0"/>
          <w:sz w:val="72"/>
          <w:szCs w:val="72"/>
        </w:rPr>
      </w:pPr>
    </w:p>
    <w:p w14:paraId="4709ECC1">
      <w:pPr>
        <w:pStyle w:val="14"/>
        <w:rPr>
          <w:rStyle w:val="30"/>
          <w:rFonts w:ascii="Arial" w:hAnsi="Arial" w:cs="Arial"/>
          <w:b/>
          <w:bCs/>
          <w:kern w:val="0"/>
          <w:sz w:val="72"/>
          <w:szCs w:val="72"/>
        </w:rPr>
      </w:pPr>
    </w:p>
    <w:p w14:paraId="24284910">
      <w:pPr>
        <w:pStyle w:val="14"/>
        <w:rPr>
          <w:rStyle w:val="30"/>
          <w:rFonts w:ascii="Arial" w:hAnsi="Arial" w:cs="Arial"/>
          <w:b/>
          <w:bCs/>
          <w:kern w:val="0"/>
          <w:sz w:val="72"/>
          <w:szCs w:val="72"/>
        </w:rPr>
      </w:pPr>
    </w:p>
    <w:p w14:paraId="0FA39E49">
      <w:pPr>
        <w:pStyle w:val="14"/>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30"/>
          <w:rFonts w:hint="eastAsia" w:ascii="Arial" w:hAnsi="Arial" w:eastAsia="黑体" w:cs="Arial"/>
          <w:color w:val="00007F"/>
          <w:w w:val="80"/>
          <w:sz w:val="72"/>
          <w:szCs w:val="20"/>
          <w:lang w:eastAsia="zh-CN"/>
        </w:rPr>
      </w:pPr>
      <w:r>
        <w:rPr>
          <w:rStyle w:val="30"/>
          <w:rFonts w:hint="eastAsia" w:ascii="Arial" w:hAnsi="Arial" w:eastAsia="黑体" w:cs="Arial"/>
          <w:color w:val="00007F"/>
          <w:w w:val="80"/>
          <w:sz w:val="72"/>
          <w:szCs w:val="20"/>
          <w:lang w:eastAsia="zh-CN"/>
        </w:rPr>
        <w:t>鹰潭一八四医院便携式电子鼻咽喉镜</w:t>
      </w:r>
    </w:p>
    <w:p w14:paraId="511BCA5F">
      <w:pPr>
        <w:pStyle w:val="14"/>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30"/>
          <w:rFonts w:ascii="Arial" w:hAnsi="Arial" w:cs="Arial"/>
          <w:b/>
          <w:bCs/>
          <w:color w:val="00007F"/>
          <w:kern w:val="0"/>
          <w:sz w:val="72"/>
          <w:szCs w:val="72"/>
        </w:rPr>
      </w:pPr>
      <w:r>
        <w:rPr>
          <w:rStyle w:val="30"/>
          <w:rFonts w:hint="eastAsia" w:ascii="Arial" w:hAnsi="Arial" w:eastAsia="黑体" w:cs="Arial"/>
          <w:color w:val="00007F"/>
          <w:w w:val="80"/>
          <w:sz w:val="72"/>
          <w:szCs w:val="20"/>
          <w:lang w:eastAsia="zh-CN"/>
        </w:rPr>
        <w:t>项目</w:t>
      </w:r>
      <w:r>
        <w:rPr>
          <w:rStyle w:val="30"/>
          <w:rFonts w:hint="eastAsia" w:ascii="Arial" w:hAnsi="Arial" w:eastAsia="黑体" w:cs="Arial"/>
          <w:color w:val="00007F"/>
          <w:w w:val="80"/>
          <w:sz w:val="72"/>
          <w:szCs w:val="20"/>
          <w:lang w:val="en-US" w:eastAsia="zh-CN"/>
        </w:rPr>
        <w:t>公开比质比价</w:t>
      </w:r>
      <w:r>
        <w:rPr>
          <w:rStyle w:val="30"/>
          <w:rFonts w:ascii="Arial" w:hAnsi="Arial" w:eastAsia="黑体" w:cs="Arial"/>
          <w:color w:val="00007F"/>
          <w:w w:val="80"/>
          <w:sz w:val="72"/>
          <w:szCs w:val="20"/>
        </w:rPr>
        <w:t>文件</w:t>
      </w:r>
    </w:p>
    <w:p w14:paraId="627437C1">
      <w:pPr>
        <w:snapToGrid w:val="0"/>
        <w:rPr>
          <w:rStyle w:val="30"/>
          <w:rFonts w:ascii="Arial" w:hAnsi="Arial" w:cs="Arial"/>
          <w:kern w:val="0"/>
          <w:sz w:val="30"/>
          <w:szCs w:val="30"/>
        </w:rPr>
      </w:pPr>
    </w:p>
    <w:p w14:paraId="5E8556AD">
      <w:pPr>
        <w:pStyle w:val="8"/>
        <w:rPr>
          <w:rStyle w:val="30"/>
          <w:rFonts w:ascii="Arial" w:hAnsi="Arial" w:cs="Arial"/>
          <w:kern w:val="0"/>
          <w:sz w:val="30"/>
          <w:szCs w:val="30"/>
        </w:rPr>
      </w:pPr>
    </w:p>
    <w:p w14:paraId="61504047">
      <w:pPr>
        <w:ind w:left="0" w:leftChars="0" w:firstLine="0" w:firstLineChars="0"/>
      </w:pPr>
    </w:p>
    <w:p w14:paraId="1071098A">
      <w:pPr>
        <w:rPr>
          <w:rStyle w:val="30"/>
          <w:rFonts w:ascii="Arial" w:hAnsi="Arial" w:cs="Arial"/>
          <w:kern w:val="0"/>
          <w:sz w:val="30"/>
          <w:szCs w:val="30"/>
        </w:rPr>
      </w:pPr>
    </w:p>
    <w:p w14:paraId="5F4DD616">
      <w:pPr>
        <w:pStyle w:val="8"/>
      </w:pPr>
    </w:p>
    <w:p w14:paraId="7DEFA09B">
      <w:pPr>
        <w:snapToGrid w:val="0"/>
        <w:rPr>
          <w:rStyle w:val="30"/>
          <w:rFonts w:ascii="Arial" w:hAnsi="Arial" w:cs="Arial"/>
          <w:kern w:val="0"/>
          <w:sz w:val="30"/>
          <w:szCs w:val="30"/>
        </w:rPr>
      </w:pPr>
    </w:p>
    <w:p w14:paraId="46DE58D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Style w:val="30"/>
          <w:rFonts w:ascii="Arial" w:hAnsi="Arial" w:eastAsia="黑体" w:cs="Arial"/>
          <w:color w:val="000080"/>
          <w:kern w:val="0"/>
          <w:szCs w:val="20"/>
        </w:rPr>
      </w:pPr>
      <w:r>
        <w:rPr>
          <w:rStyle w:val="30"/>
          <w:rFonts w:ascii="Arial" w:hAnsi="Arial" w:eastAsia="黑体" w:cs="Arial"/>
          <w:color w:val="000080"/>
          <w:kern w:val="0"/>
          <w:sz w:val="30"/>
          <w:szCs w:val="20"/>
        </w:rPr>
        <w:t>采购方式：</w:t>
      </w:r>
      <w:r>
        <w:rPr>
          <w:rStyle w:val="30"/>
          <w:rFonts w:hint="eastAsia" w:ascii="Arial" w:hAnsi="Arial" w:eastAsia="黑体" w:cs="Arial"/>
          <w:color w:val="000080"/>
          <w:kern w:val="0"/>
          <w:sz w:val="30"/>
          <w:szCs w:val="20"/>
          <w:lang w:val="en-US" w:eastAsia="zh-CN"/>
        </w:rPr>
        <w:t>公开比质比价</w:t>
      </w:r>
    </w:p>
    <w:p w14:paraId="0CA4B98A">
      <w:pPr>
        <w:keepNext w:val="0"/>
        <w:keepLines w:val="0"/>
        <w:pageBreakBefore w:val="0"/>
        <w:widowControl/>
        <w:kinsoku/>
        <w:wordWrap/>
        <w:overflowPunct/>
        <w:topLinePunct w:val="0"/>
        <w:autoSpaceDE/>
        <w:autoSpaceDN/>
        <w:bidi w:val="0"/>
        <w:adjustRightInd/>
        <w:snapToGrid w:val="0"/>
        <w:spacing w:line="300" w:lineRule="auto"/>
        <w:ind w:firstLine="0" w:firstLineChars="0"/>
        <w:jc w:val="center"/>
        <w:textAlignment w:val="baseline"/>
        <w:rPr>
          <w:rStyle w:val="30"/>
          <w:rFonts w:hint="default" w:ascii="Arial" w:hAnsi="Arial" w:eastAsia="黑体" w:cs="Arial"/>
          <w:color w:val="000080"/>
          <w:kern w:val="0"/>
          <w:sz w:val="30"/>
          <w:szCs w:val="20"/>
          <w:lang w:val="en-US" w:eastAsia="zh-CN"/>
        </w:rPr>
      </w:pPr>
      <w:r>
        <w:rPr>
          <w:rStyle w:val="30"/>
          <w:rFonts w:ascii="Arial" w:hAnsi="Arial" w:eastAsia="黑体" w:cs="Arial"/>
          <w:color w:val="000080"/>
          <w:kern w:val="0"/>
          <w:sz w:val="30"/>
          <w:szCs w:val="20"/>
        </w:rPr>
        <w:t>项目编号：</w:t>
      </w:r>
      <w:r>
        <w:rPr>
          <w:rStyle w:val="30"/>
          <w:rFonts w:hint="eastAsia" w:ascii="Arial" w:hAnsi="Arial" w:eastAsia="黑体" w:cs="Arial"/>
          <w:color w:val="000080"/>
          <w:kern w:val="0"/>
          <w:sz w:val="30"/>
          <w:szCs w:val="20"/>
        </w:rPr>
        <w:t>gkbz2025111300040</w:t>
      </w:r>
    </w:p>
    <w:p w14:paraId="017F54CB">
      <w:pPr>
        <w:keepNext w:val="0"/>
        <w:keepLines w:val="0"/>
        <w:pageBreakBefore w:val="0"/>
        <w:widowControl/>
        <w:kinsoku/>
        <w:wordWrap/>
        <w:overflowPunct/>
        <w:topLinePunct w:val="0"/>
        <w:autoSpaceDE/>
        <w:autoSpaceDN/>
        <w:bidi w:val="0"/>
        <w:adjustRightInd/>
        <w:snapToGrid w:val="0"/>
        <w:spacing w:line="360" w:lineRule="auto"/>
        <w:ind w:firstLine="0" w:firstLineChars="0"/>
        <w:textAlignment w:val="baseline"/>
        <w:rPr>
          <w:rStyle w:val="30"/>
          <w:rFonts w:ascii="Arial" w:hAnsi="Arial" w:cs="Arial"/>
          <w:kern w:val="0"/>
          <w:sz w:val="30"/>
          <w:szCs w:val="30"/>
        </w:rPr>
      </w:pPr>
    </w:p>
    <w:p w14:paraId="3FEB598A">
      <w:pPr>
        <w:keepNext w:val="0"/>
        <w:keepLines w:val="0"/>
        <w:pageBreakBefore w:val="0"/>
        <w:widowControl/>
        <w:kinsoku/>
        <w:wordWrap/>
        <w:overflowPunct/>
        <w:topLinePunct w:val="0"/>
        <w:autoSpaceDE/>
        <w:autoSpaceDN/>
        <w:bidi w:val="0"/>
        <w:adjustRightInd/>
        <w:snapToGrid w:val="0"/>
        <w:spacing w:line="360" w:lineRule="auto"/>
        <w:ind w:firstLine="0" w:firstLineChars="0"/>
        <w:textAlignment w:val="baseline"/>
        <w:rPr>
          <w:rStyle w:val="30"/>
          <w:rFonts w:ascii="Arial" w:hAnsi="Arial" w:cs="Arial"/>
          <w:kern w:val="0"/>
          <w:sz w:val="30"/>
          <w:szCs w:val="30"/>
        </w:rPr>
      </w:pPr>
    </w:p>
    <w:p w14:paraId="3B94536C">
      <w:pPr>
        <w:keepNext w:val="0"/>
        <w:keepLines w:val="0"/>
        <w:pageBreakBefore w:val="0"/>
        <w:widowControl/>
        <w:kinsoku/>
        <w:wordWrap/>
        <w:overflowPunct/>
        <w:topLinePunct w:val="0"/>
        <w:autoSpaceDE/>
        <w:autoSpaceDN/>
        <w:bidi w:val="0"/>
        <w:adjustRightInd/>
        <w:snapToGrid w:val="0"/>
        <w:spacing w:line="360" w:lineRule="auto"/>
        <w:ind w:firstLine="0" w:firstLineChars="0"/>
        <w:textAlignment w:val="baseline"/>
        <w:rPr>
          <w:rStyle w:val="30"/>
          <w:rFonts w:ascii="Arial" w:hAnsi="Arial" w:cs="Arial"/>
          <w:kern w:val="0"/>
          <w:sz w:val="30"/>
          <w:szCs w:val="30"/>
        </w:rPr>
      </w:pPr>
    </w:p>
    <w:p w14:paraId="3C9065E5">
      <w:pPr>
        <w:keepNext w:val="0"/>
        <w:keepLines w:val="0"/>
        <w:pageBreakBefore w:val="0"/>
        <w:widowControl/>
        <w:kinsoku/>
        <w:wordWrap/>
        <w:overflowPunct/>
        <w:topLinePunct w:val="0"/>
        <w:autoSpaceDE/>
        <w:autoSpaceDN/>
        <w:bidi w:val="0"/>
        <w:adjustRightInd/>
        <w:snapToGrid w:val="0"/>
        <w:spacing w:line="300" w:lineRule="auto"/>
        <w:ind w:firstLine="0" w:firstLineChars="0"/>
        <w:jc w:val="center"/>
        <w:textAlignment w:val="baseline"/>
        <w:rPr>
          <w:rStyle w:val="30"/>
          <w:rFonts w:hint="eastAsia" w:ascii="Arial" w:hAnsi="Arial" w:eastAsia="黑体" w:cs="Arial"/>
          <w:color w:val="000080"/>
          <w:kern w:val="0"/>
          <w:sz w:val="30"/>
          <w:szCs w:val="20"/>
          <w:lang w:eastAsia="zh-CN"/>
        </w:rPr>
      </w:pPr>
      <w:r>
        <w:rPr>
          <w:rStyle w:val="30"/>
          <w:rFonts w:ascii="Arial" w:hAnsi="Arial" w:eastAsia="黑体" w:cs="Arial"/>
          <w:color w:val="000080"/>
          <w:kern w:val="0"/>
          <w:sz w:val="30"/>
          <w:szCs w:val="20"/>
        </w:rPr>
        <w:t>采购人：</w:t>
      </w:r>
      <w:r>
        <w:rPr>
          <w:rStyle w:val="30"/>
          <w:rFonts w:hint="eastAsia" w:ascii="Arial" w:hAnsi="Arial" w:eastAsia="黑体" w:cs="Arial"/>
          <w:color w:val="000080"/>
          <w:kern w:val="0"/>
          <w:sz w:val="30"/>
          <w:szCs w:val="20"/>
          <w:lang w:eastAsia="zh-CN"/>
        </w:rPr>
        <w:t>鹰潭一八四医院</w:t>
      </w:r>
    </w:p>
    <w:p w14:paraId="0789D65F">
      <w:pPr>
        <w:keepNext w:val="0"/>
        <w:keepLines w:val="0"/>
        <w:pageBreakBefore w:val="0"/>
        <w:widowControl/>
        <w:kinsoku/>
        <w:wordWrap/>
        <w:overflowPunct/>
        <w:topLinePunct w:val="0"/>
        <w:autoSpaceDE/>
        <w:autoSpaceDN/>
        <w:bidi w:val="0"/>
        <w:adjustRightInd/>
        <w:snapToGrid w:val="0"/>
        <w:spacing w:line="300" w:lineRule="auto"/>
        <w:ind w:firstLine="0" w:firstLineChars="0"/>
        <w:jc w:val="center"/>
        <w:textAlignment w:val="baseline"/>
        <w:rPr>
          <w:rStyle w:val="30"/>
          <w:rFonts w:ascii="Arial" w:hAnsi="Arial" w:eastAsia="黑体" w:cs="Arial"/>
          <w:color w:val="000080"/>
          <w:kern w:val="0"/>
          <w:sz w:val="30"/>
          <w:szCs w:val="20"/>
        </w:rPr>
        <w:sectPr>
          <w:headerReference r:id="rId6" w:type="first"/>
          <w:footerReference r:id="rId9" w:type="first"/>
          <w:footerReference r:id="rId7" w:type="default"/>
          <w:headerReference r:id="rId5" w:type="even"/>
          <w:footerReference r:id="rId8" w:type="even"/>
          <w:pgSz w:w="12240" w:h="15840"/>
          <w:pgMar w:top="1440" w:right="1080" w:bottom="1440" w:left="1080" w:header="720" w:footer="720" w:gutter="0"/>
          <w:pgNumType w:fmt="decimal" w:start="0"/>
          <w:cols w:space="425" w:num="1"/>
          <w:titlePg/>
          <w:docGrid w:linePitch="286" w:charSpace="0"/>
        </w:sectPr>
      </w:pPr>
      <w:r>
        <w:rPr>
          <w:rStyle w:val="30"/>
          <w:rFonts w:hint="eastAsia" w:ascii="Arial" w:hAnsi="Arial" w:eastAsia="黑体" w:cs="Arial"/>
          <w:color w:val="000080"/>
          <w:kern w:val="0"/>
          <w:sz w:val="30"/>
          <w:szCs w:val="20"/>
        </w:rPr>
        <w:t>2025</w:t>
      </w:r>
      <w:r>
        <w:rPr>
          <w:rStyle w:val="30"/>
          <w:rFonts w:ascii="Arial" w:hAnsi="Arial" w:eastAsia="黑体" w:cs="Arial"/>
          <w:color w:val="000080"/>
          <w:kern w:val="0"/>
          <w:sz w:val="30"/>
          <w:szCs w:val="20"/>
        </w:rPr>
        <w:t>年</w:t>
      </w:r>
      <w:r>
        <w:rPr>
          <w:rStyle w:val="30"/>
          <w:rFonts w:hint="eastAsia" w:ascii="Arial" w:hAnsi="Arial" w:eastAsia="黑体" w:cs="Arial"/>
          <w:color w:val="000080"/>
          <w:kern w:val="0"/>
          <w:sz w:val="30"/>
          <w:szCs w:val="20"/>
          <w:lang w:val="en-US" w:eastAsia="zh-CN"/>
        </w:rPr>
        <w:t>11</w:t>
      </w:r>
      <w:r>
        <w:rPr>
          <w:rStyle w:val="30"/>
          <w:rFonts w:ascii="Arial" w:hAnsi="Arial" w:eastAsia="黑体" w:cs="Arial"/>
          <w:color w:val="000080"/>
          <w:kern w:val="0"/>
          <w:sz w:val="30"/>
          <w:szCs w:val="20"/>
        </w:rPr>
        <w:t>月</w:t>
      </w:r>
    </w:p>
    <w:sdt>
      <w:sdtPr>
        <w:rPr>
          <w:rFonts w:ascii="宋体" w:hAnsi="宋体" w:eastAsia="宋体" w:cstheme="minorBidi"/>
          <w:kern w:val="2"/>
          <w:sz w:val="21"/>
          <w:szCs w:val="21"/>
          <w:lang w:val="en-US" w:eastAsia="zh-CN" w:bidi="ar-SA"/>
        </w:rPr>
        <w:id w:val="147481948"/>
        <w15:color w:val="DBDBDB"/>
        <w:docPartObj>
          <w:docPartGallery w:val="Table of Contents"/>
          <w:docPartUnique/>
        </w:docPartObj>
      </w:sdtPr>
      <w:sdtEndPr>
        <w:rPr>
          <w:rFonts w:ascii="Arial" w:hAnsi="Arial" w:eastAsia="仿宋_GB2312" w:cs="Arial"/>
          <w:kern w:val="0"/>
          <w:sz w:val="28"/>
          <w:szCs w:val="36"/>
          <w:lang w:val="zh-CN" w:eastAsia="zh-CN" w:bidi="ar-SA"/>
        </w:rPr>
      </w:sdtEndPr>
      <w:sdtContent>
        <w:p w14:paraId="18B48ACF">
          <w:pPr>
            <w:keepNext w:val="0"/>
            <w:keepLines w:val="0"/>
            <w:pageBreakBefore w:val="0"/>
            <w:widowControl/>
            <w:kinsoku/>
            <w:wordWrap/>
            <w:overflowPunct/>
            <w:topLinePunct w:val="0"/>
            <w:autoSpaceDE/>
            <w:autoSpaceDN/>
            <w:bidi w:val="0"/>
            <w:adjustRightInd/>
            <w:snapToGrid/>
            <w:spacing w:before="0" w:after="0" w:line="579" w:lineRule="exact"/>
            <w:ind w:left="0" w:leftChars="0" w:right="0" w:rightChars="0" w:firstLine="0" w:firstLineChars="0"/>
            <w:jc w:val="center"/>
            <w:textAlignment w:val="baseline"/>
            <w:rPr>
              <w:rFonts w:hint="eastAsia"/>
            </w:rPr>
          </w:pPr>
          <w:r>
            <w:rPr>
              <w:rStyle w:val="120"/>
              <w:rFonts w:hint="eastAsia"/>
            </w:rPr>
            <w:t>目录</w:t>
          </w:r>
        </w:p>
        <w:p w14:paraId="110F968F">
          <w:pPr>
            <w:pStyle w:val="17"/>
            <w:tabs>
              <w:tab w:val="right" w:leader="dot" w:pos="10080"/>
            </w:tabs>
            <w:ind w:left="0" w:leftChars="0" w:firstLine="720" w:firstLineChars="200"/>
          </w:pPr>
          <w:r>
            <w:rPr>
              <w:rStyle w:val="30"/>
              <w:rFonts w:ascii="Arial" w:hAnsi="Arial" w:cs="Arial"/>
              <w:kern w:val="0"/>
              <w:sz w:val="36"/>
              <w:szCs w:val="36"/>
              <w:lang w:val="zh-CN"/>
            </w:rPr>
            <w:fldChar w:fldCharType="begin"/>
          </w:r>
          <w:r>
            <w:rPr>
              <w:rStyle w:val="30"/>
              <w:rFonts w:ascii="Arial" w:hAnsi="Arial" w:cs="Arial"/>
              <w:kern w:val="0"/>
              <w:sz w:val="36"/>
              <w:szCs w:val="36"/>
              <w:lang w:val="zh-CN"/>
            </w:rPr>
            <w:instrText xml:space="preserve">TOC \o "1-1" \h \u </w:instrText>
          </w:r>
          <w:r>
            <w:rPr>
              <w:rStyle w:val="30"/>
              <w:rFonts w:ascii="Arial" w:hAnsi="Arial" w:cs="Arial"/>
              <w:kern w:val="0"/>
              <w:sz w:val="36"/>
              <w:szCs w:val="36"/>
              <w:lang w:val="zh-CN"/>
            </w:rPr>
            <w:fldChar w:fldCharType="separate"/>
          </w:r>
          <w:r>
            <w:rPr>
              <w:rFonts w:ascii="Arial" w:hAnsi="Arial" w:cs="Arial"/>
              <w:kern w:val="0"/>
              <w:szCs w:val="36"/>
              <w:lang w:val="zh-CN"/>
            </w:rPr>
            <w:fldChar w:fldCharType="begin"/>
          </w:r>
          <w:r>
            <w:rPr>
              <w:rFonts w:ascii="Arial" w:hAnsi="Arial" w:cs="Arial"/>
              <w:kern w:val="0"/>
              <w:szCs w:val="36"/>
              <w:lang w:val="zh-CN"/>
            </w:rPr>
            <w:instrText xml:space="preserve"> HYPERLINK \l _Toc29596 </w:instrText>
          </w:r>
          <w:r>
            <w:rPr>
              <w:rFonts w:ascii="Arial" w:hAnsi="Arial" w:cs="Arial"/>
              <w:kern w:val="0"/>
              <w:szCs w:val="36"/>
              <w:lang w:val="zh-CN"/>
            </w:rPr>
            <w:fldChar w:fldCharType="separate"/>
          </w:r>
          <w:r>
            <w:rPr>
              <w:lang w:val="zh-CN"/>
            </w:rPr>
            <w:t>第一章</w:t>
          </w:r>
          <w:r>
            <w:rPr>
              <w:rFonts w:hint="eastAsia"/>
              <w:lang w:val="en-US" w:eastAsia="zh-CN"/>
            </w:rPr>
            <w:t xml:space="preserve"> </w:t>
          </w:r>
          <w:r>
            <w:rPr>
              <w:rFonts w:hint="eastAsia"/>
              <w:lang w:val="zh-CN"/>
            </w:rPr>
            <w:t>比质比价</w:t>
          </w:r>
          <w:r>
            <w:rPr>
              <w:lang w:val="zh-CN"/>
            </w:rPr>
            <w:t>公告</w:t>
          </w:r>
          <w:r>
            <w:tab/>
          </w:r>
          <w:r>
            <w:fldChar w:fldCharType="begin"/>
          </w:r>
          <w:r>
            <w:instrText xml:space="preserve"> PAGEREF _Toc29596 \h </w:instrText>
          </w:r>
          <w:r>
            <w:fldChar w:fldCharType="separate"/>
          </w:r>
          <w:r>
            <w:t>1</w:t>
          </w:r>
          <w:r>
            <w:fldChar w:fldCharType="end"/>
          </w:r>
          <w:r>
            <w:rPr>
              <w:rFonts w:ascii="Arial" w:hAnsi="Arial" w:cs="Arial"/>
              <w:kern w:val="0"/>
              <w:szCs w:val="36"/>
              <w:lang w:val="zh-CN"/>
            </w:rPr>
            <w:fldChar w:fldCharType="end"/>
          </w:r>
        </w:p>
        <w:p w14:paraId="4A08CD91">
          <w:pPr>
            <w:pStyle w:val="17"/>
            <w:tabs>
              <w:tab w:val="right" w:leader="dot" w:pos="10080"/>
            </w:tabs>
          </w:pPr>
          <w:r>
            <w:rPr>
              <w:rFonts w:ascii="Arial" w:hAnsi="Arial" w:cs="Arial"/>
              <w:kern w:val="0"/>
              <w:szCs w:val="36"/>
              <w:lang w:val="zh-CN"/>
            </w:rPr>
            <w:fldChar w:fldCharType="begin"/>
          </w:r>
          <w:r>
            <w:rPr>
              <w:rFonts w:ascii="Arial" w:hAnsi="Arial" w:cs="Arial"/>
              <w:kern w:val="0"/>
              <w:szCs w:val="36"/>
              <w:lang w:val="zh-CN"/>
            </w:rPr>
            <w:instrText xml:space="preserve"> HYPERLINK \l _Toc24586 </w:instrText>
          </w:r>
          <w:r>
            <w:rPr>
              <w:rFonts w:ascii="Arial" w:hAnsi="Arial" w:cs="Arial"/>
              <w:kern w:val="0"/>
              <w:szCs w:val="36"/>
              <w:lang w:val="zh-CN"/>
            </w:rPr>
            <w:fldChar w:fldCharType="separate"/>
          </w:r>
          <w:r>
            <w:rPr>
              <w:lang w:val="zh-CN"/>
            </w:rPr>
            <w:t>第二章</w:t>
          </w:r>
          <w:r>
            <w:rPr>
              <w:rFonts w:hint="eastAsia"/>
              <w:lang w:val="en-US" w:eastAsia="zh-CN"/>
            </w:rPr>
            <w:t xml:space="preserve"> </w:t>
          </w:r>
          <w:r>
            <w:rPr>
              <w:rFonts w:hint="eastAsia"/>
              <w:lang w:val="zh-CN"/>
            </w:rPr>
            <w:t>比质比价</w:t>
          </w:r>
          <w:r>
            <w:rPr>
              <w:lang w:val="zh-CN"/>
            </w:rPr>
            <w:t>资料表和供应商须知</w:t>
          </w:r>
          <w:r>
            <w:tab/>
          </w:r>
          <w:r>
            <w:fldChar w:fldCharType="begin"/>
          </w:r>
          <w:r>
            <w:instrText xml:space="preserve"> PAGEREF _Toc24586 \h </w:instrText>
          </w:r>
          <w:r>
            <w:fldChar w:fldCharType="separate"/>
          </w:r>
          <w:r>
            <w:t>5</w:t>
          </w:r>
          <w:r>
            <w:fldChar w:fldCharType="end"/>
          </w:r>
          <w:r>
            <w:rPr>
              <w:rFonts w:ascii="Arial" w:hAnsi="Arial" w:cs="Arial"/>
              <w:kern w:val="0"/>
              <w:szCs w:val="36"/>
              <w:lang w:val="zh-CN"/>
            </w:rPr>
            <w:fldChar w:fldCharType="end"/>
          </w:r>
        </w:p>
        <w:p w14:paraId="14F3815D">
          <w:pPr>
            <w:pStyle w:val="17"/>
            <w:tabs>
              <w:tab w:val="right" w:leader="dot" w:pos="10080"/>
            </w:tabs>
          </w:pPr>
          <w:r>
            <w:rPr>
              <w:rFonts w:ascii="Arial" w:hAnsi="Arial" w:cs="Arial"/>
              <w:kern w:val="0"/>
              <w:szCs w:val="36"/>
              <w:lang w:val="zh-CN"/>
            </w:rPr>
            <w:fldChar w:fldCharType="begin"/>
          </w:r>
          <w:r>
            <w:rPr>
              <w:rFonts w:ascii="Arial" w:hAnsi="Arial" w:cs="Arial"/>
              <w:kern w:val="0"/>
              <w:szCs w:val="36"/>
              <w:lang w:val="zh-CN"/>
            </w:rPr>
            <w:instrText xml:space="preserve"> HYPERLINK \l _Toc7859 </w:instrText>
          </w:r>
          <w:r>
            <w:rPr>
              <w:rFonts w:ascii="Arial" w:hAnsi="Arial" w:cs="Arial"/>
              <w:kern w:val="0"/>
              <w:szCs w:val="36"/>
              <w:lang w:val="zh-CN"/>
            </w:rPr>
            <w:fldChar w:fldCharType="separate"/>
          </w:r>
          <w:r>
            <w:rPr>
              <w:lang w:val="zh-CN"/>
            </w:rPr>
            <w:t>第三章</w:t>
          </w:r>
          <w:r>
            <w:rPr>
              <w:rFonts w:hint="eastAsia"/>
              <w:lang w:val="en-US" w:eastAsia="zh-CN"/>
            </w:rPr>
            <w:t xml:space="preserve"> </w:t>
          </w:r>
          <w:r>
            <w:rPr>
              <w:lang w:val="zh-CN"/>
            </w:rPr>
            <w:t>评定成交标准</w:t>
          </w:r>
          <w:r>
            <w:tab/>
          </w:r>
          <w:r>
            <w:fldChar w:fldCharType="begin"/>
          </w:r>
          <w:r>
            <w:instrText xml:space="preserve"> PAGEREF _Toc7859 \h </w:instrText>
          </w:r>
          <w:r>
            <w:fldChar w:fldCharType="separate"/>
          </w:r>
          <w:r>
            <w:t>18</w:t>
          </w:r>
          <w:r>
            <w:fldChar w:fldCharType="end"/>
          </w:r>
          <w:r>
            <w:rPr>
              <w:rFonts w:ascii="Arial" w:hAnsi="Arial" w:cs="Arial"/>
              <w:kern w:val="0"/>
              <w:szCs w:val="36"/>
              <w:lang w:val="zh-CN"/>
            </w:rPr>
            <w:fldChar w:fldCharType="end"/>
          </w:r>
        </w:p>
        <w:p w14:paraId="31EAD975">
          <w:pPr>
            <w:pStyle w:val="17"/>
            <w:tabs>
              <w:tab w:val="right" w:leader="dot" w:pos="10080"/>
            </w:tabs>
          </w:pPr>
          <w:r>
            <w:rPr>
              <w:rFonts w:ascii="Arial" w:hAnsi="Arial" w:cs="Arial"/>
              <w:kern w:val="0"/>
              <w:szCs w:val="36"/>
              <w:lang w:val="zh-CN"/>
            </w:rPr>
            <w:fldChar w:fldCharType="begin"/>
          </w:r>
          <w:r>
            <w:rPr>
              <w:rFonts w:ascii="Arial" w:hAnsi="Arial" w:cs="Arial"/>
              <w:kern w:val="0"/>
              <w:szCs w:val="36"/>
              <w:lang w:val="zh-CN"/>
            </w:rPr>
            <w:instrText xml:space="preserve"> HYPERLINK \l _Toc32655 </w:instrText>
          </w:r>
          <w:r>
            <w:rPr>
              <w:rFonts w:ascii="Arial" w:hAnsi="Arial" w:cs="Arial"/>
              <w:kern w:val="0"/>
              <w:szCs w:val="36"/>
              <w:lang w:val="zh-CN"/>
            </w:rPr>
            <w:fldChar w:fldCharType="separate"/>
          </w:r>
          <w:r>
            <w:rPr>
              <w:rFonts w:hint="eastAsia"/>
              <w:lang w:val="zh-CN"/>
            </w:rPr>
            <w:t>第四章</w:t>
          </w:r>
          <w:r>
            <w:rPr>
              <w:rFonts w:hint="eastAsia"/>
              <w:lang w:val="en-US" w:eastAsia="zh-CN"/>
            </w:rPr>
            <w:t xml:space="preserve"> 商务技术</w:t>
          </w:r>
          <w:r>
            <w:rPr>
              <w:rFonts w:hint="eastAsia"/>
              <w:lang w:eastAsia="zh-CN"/>
            </w:rPr>
            <w:t>要求</w:t>
          </w:r>
          <w:r>
            <w:tab/>
          </w:r>
          <w:r>
            <w:fldChar w:fldCharType="begin"/>
          </w:r>
          <w:r>
            <w:instrText xml:space="preserve"> PAGEREF _Toc32655 \h </w:instrText>
          </w:r>
          <w:r>
            <w:fldChar w:fldCharType="separate"/>
          </w:r>
          <w:r>
            <w:t>19</w:t>
          </w:r>
          <w:r>
            <w:fldChar w:fldCharType="end"/>
          </w:r>
          <w:r>
            <w:rPr>
              <w:rFonts w:ascii="Arial" w:hAnsi="Arial" w:cs="Arial"/>
              <w:kern w:val="0"/>
              <w:szCs w:val="36"/>
              <w:lang w:val="zh-CN"/>
            </w:rPr>
            <w:fldChar w:fldCharType="end"/>
          </w:r>
        </w:p>
        <w:p w14:paraId="7F09E220">
          <w:pPr>
            <w:pStyle w:val="17"/>
            <w:tabs>
              <w:tab w:val="right" w:leader="dot" w:pos="10080"/>
            </w:tabs>
          </w:pPr>
          <w:r>
            <w:rPr>
              <w:rFonts w:ascii="Arial" w:hAnsi="Arial" w:cs="Arial"/>
              <w:kern w:val="0"/>
              <w:szCs w:val="36"/>
              <w:lang w:val="zh-CN"/>
            </w:rPr>
            <w:fldChar w:fldCharType="begin"/>
          </w:r>
          <w:r>
            <w:rPr>
              <w:rFonts w:ascii="Arial" w:hAnsi="Arial" w:cs="Arial"/>
              <w:kern w:val="0"/>
              <w:szCs w:val="36"/>
              <w:lang w:val="zh-CN"/>
            </w:rPr>
            <w:instrText xml:space="preserve"> HYPERLINK \l _Toc19553 </w:instrText>
          </w:r>
          <w:r>
            <w:rPr>
              <w:rFonts w:ascii="Arial" w:hAnsi="Arial" w:cs="Arial"/>
              <w:kern w:val="0"/>
              <w:szCs w:val="36"/>
              <w:lang w:val="zh-CN"/>
            </w:rPr>
            <w:fldChar w:fldCharType="separate"/>
          </w:r>
          <w:r>
            <w:rPr>
              <w:rFonts w:hint="eastAsia"/>
            </w:rPr>
            <w:t>第五章</w:t>
          </w:r>
          <w:r>
            <w:rPr>
              <w:rFonts w:hint="eastAsia"/>
              <w:lang w:val="en-US" w:eastAsia="zh-CN"/>
            </w:rPr>
            <w:t xml:space="preserve"> </w:t>
          </w:r>
          <w:r>
            <w:rPr>
              <w:rFonts w:hint="eastAsia"/>
            </w:rPr>
            <w:t>合同主要条款及格式</w:t>
          </w:r>
          <w:r>
            <w:tab/>
          </w:r>
          <w:r>
            <w:fldChar w:fldCharType="begin"/>
          </w:r>
          <w:r>
            <w:instrText xml:space="preserve"> PAGEREF _Toc19553 \h </w:instrText>
          </w:r>
          <w:r>
            <w:fldChar w:fldCharType="separate"/>
          </w:r>
          <w:r>
            <w:t>1</w:t>
          </w:r>
          <w:r>
            <w:fldChar w:fldCharType="end"/>
          </w:r>
          <w:r>
            <w:rPr>
              <w:rFonts w:ascii="Arial" w:hAnsi="Arial" w:cs="Arial"/>
              <w:kern w:val="0"/>
              <w:szCs w:val="36"/>
              <w:lang w:val="zh-CN"/>
            </w:rPr>
            <w:fldChar w:fldCharType="end"/>
          </w:r>
        </w:p>
        <w:p w14:paraId="74B2B016">
          <w:pPr>
            <w:keepNext w:val="0"/>
            <w:keepLines w:val="0"/>
            <w:pageBreakBefore w:val="0"/>
            <w:widowControl/>
            <w:kinsoku/>
            <w:wordWrap/>
            <w:overflowPunct/>
            <w:topLinePunct w:val="0"/>
            <w:autoSpaceDE/>
            <w:autoSpaceDN/>
            <w:bidi w:val="0"/>
            <w:adjustRightInd/>
            <w:snapToGrid w:val="0"/>
            <w:spacing w:line="579" w:lineRule="exact"/>
            <w:ind w:left="0" w:leftChars="0" w:firstLine="0" w:firstLineChars="0"/>
            <w:jc w:val="both"/>
            <w:textAlignment w:val="baseline"/>
            <w:rPr>
              <w:rFonts w:ascii="Arial" w:hAnsi="Arial" w:eastAsia="仿宋_GB2312" w:cs="Arial"/>
              <w:kern w:val="0"/>
              <w:sz w:val="28"/>
              <w:szCs w:val="36"/>
              <w:lang w:val="zh-CN" w:eastAsia="zh-CN" w:bidi="ar-SA"/>
            </w:rPr>
          </w:pPr>
          <w:r>
            <w:rPr>
              <w:rFonts w:ascii="Arial" w:hAnsi="Arial" w:cs="Arial"/>
              <w:kern w:val="0"/>
              <w:szCs w:val="36"/>
              <w:lang w:val="zh-CN"/>
            </w:rPr>
            <w:fldChar w:fldCharType="end"/>
          </w:r>
        </w:p>
      </w:sdtContent>
    </w:sdt>
    <w:p w14:paraId="03977F26">
      <w:pPr>
        <w:snapToGrid w:val="0"/>
        <w:spacing w:line="480" w:lineRule="auto"/>
        <w:rPr>
          <w:rStyle w:val="30"/>
          <w:rFonts w:ascii="Arial" w:hAnsi="Arial" w:cs="Arial"/>
          <w:b/>
          <w:kern w:val="0"/>
          <w:sz w:val="24"/>
          <w:szCs w:val="24"/>
        </w:rPr>
      </w:pPr>
    </w:p>
    <w:p w14:paraId="15E65BC6">
      <w:pPr>
        <w:bidi w:val="0"/>
        <w:rPr>
          <w:rStyle w:val="30"/>
          <w:rFonts w:ascii="Arial" w:hAnsi="Arial" w:cs="Arial"/>
          <w:kern w:val="0"/>
          <w:lang w:val="zh-CN"/>
        </w:rPr>
        <w:sectPr>
          <w:pgSz w:w="12240" w:h="15840"/>
          <w:pgMar w:top="1440" w:right="1080" w:bottom="1440" w:left="1080" w:header="720" w:footer="720" w:gutter="0"/>
          <w:pgNumType w:fmt="decimal"/>
          <w:cols w:space="425" w:num="1"/>
          <w:docGrid w:linePitch="286" w:charSpace="0"/>
        </w:sectPr>
      </w:pPr>
    </w:p>
    <w:p w14:paraId="2D3CE887">
      <w:pPr>
        <w:pStyle w:val="2"/>
        <w:bidi w:val="0"/>
      </w:pPr>
      <w:bookmarkStart w:id="0" w:name="_Toc29596"/>
      <w:r>
        <w:rPr>
          <w:lang w:val="zh-CN"/>
        </w:rPr>
        <w:t>第一章</w:t>
      </w:r>
      <w:r>
        <w:rPr>
          <w:rFonts w:hint="eastAsia"/>
          <w:lang w:val="en-US" w:eastAsia="zh-CN"/>
        </w:rPr>
        <w:t xml:space="preserve"> </w:t>
      </w:r>
      <w:r>
        <w:rPr>
          <w:rFonts w:hint="eastAsia"/>
          <w:lang w:val="zh-CN"/>
        </w:rPr>
        <w:t>比质比价</w:t>
      </w:r>
      <w:r>
        <w:rPr>
          <w:lang w:val="zh-CN"/>
        </w:rPr>
        <w:t>公告</w:t>
      </w:r>
      <w:bookmarkEnd w:id="0"/>
    </w:p>
    <w:p w14:paraId="61267D7C">
      <w:pPr>
        <w:bidi w:val="0"/>
      </w:pPr>
      <w:r>
        <w:rPr>
          <w:rFonts w:hint="eastAsia"/>
          <w:lang w:val="zh-CN"/>
        </w:rPr>
        <w:t>鹰潭一八四医院</w:t>
      </w:r>
      <w:r>
        <w:rPr>
          <w:lang w:val="zh-CN"/>
        </w:rPr>
        <w:t>就如下项目采用</w:t>
      </w:r>
      <w:r>
        <w:rPr>
          <w:rFonts w:hint="eastAsia"/>
          <w:lang w:val="en-US" w:eastAsia="zh-CN"/>
        </w:rPr>
        <w:t>公开比质比价</w:t>
      </w:r>
      <w:r>
        <w:rPr>
          <w:lang w:val="zh-CN"/>
        </w:rPr>
        <w:t>方式进行采购，请合格的供应商提交密封的响应文件。</w:t>
      </w:r>
    </w:p>
    <w:p w14:paraId="02F391D9">
      <w:pPr>
        <w:bidi w:val="0"/>
        <w:rPr>
          <w:lang w:val="zh-CN"/>
        </w:rPr>
      </w:pPr>
      <w:r>
        <w:rPr>
          <w:lang w:val="zh-CN" w:eastAsia="zh-CN"/>
        </w:rPr>
        <w:t>1.</w:t>
      </w:r>
      <w:r>
        <w:rPr>
          <w:lang w:val="zh-CN"/>
        </w:rPr>
        <w:t>项目名称：</w:t>
      </w:r>
      <w:r>
        <w:rPr>
          <w:rFonts w:hint="eastAsia"/>
          <w:lang w:val="en-US" w:eastAsia="zh-CN"/>
        </w:rPr>
        <w:t>鹰潭一八四医院便携式电子鼻咽喉镜项目</w:t>
      </w:r>
    </w:p>
    <w:p w14:paraId="0FFD2EFB">
      <w:pPr>
        <w:bidi w:val="0"/>
        <w:rPr>
          <w:rStyle w:val="30"/>
          <w:rFonts w:hint="eastAsia" w:ascii="Arial" w:hAnsi="Arial" w:eastAsia="黑体" w:cs="Arial"/>
          <w:color w:val="000080"/>
          <w:kern w:val="0"/>
          <w:sz w:val="30"/>
          <w:szCs w:val="20"/>
          <w:lang w:val="en-US" w:eastAsia="zh-CN"/>
        </w:rPr>
      </w:pPr>
      <w:r>
        <w:rPr>
          <w:lang w:val="zh-CN" w:eastAsia="zh-CN"/>
        </w:rPr>
        <w:t>2.</w:t>
      </w:r>
      <w:r>
        <w:rPr>
          <w:lang w:val="zh-CN"/>
        </w:rPr>
        <w:t>项目编</w:t>
      </w:r>
      <w:r>
        <w:rPr>
          <w:rFonts w:ascii="Times New Roman" w:hAnsi="Times New Roman"/>
          <w:lang w:val="zh-CN"/>
        </w:rPr>
        <w:t>号：</w:t>
      </w:r>
      <w:r>
        <w:rPr>
          <w:rFonts w:hint="eastAsia"/>
          <w:highlight w:val="none"/>
          <w:lang w:val="en-US" w:eastAsia="zh-CN"/>
        </w:rPr>
        <w:t>gkbz2025111300040</w:t>
      </w:r>
    </w:p>
    <w:p w14:paraId="3D692741">
      <w:pPr>
        <w:bidi w:val="0"/>
        <w:rPr>
          <w:lang w:val="zh-CN"/>
        </w:rPr>
      </w:pPr>
      <w:r>
        <w:rPr>
          <w:lang w:val="zh-CN" w:eastAsia="zh-CN"/>
        </w:rPr>
        <w:t>3.</w:t>
      </w:r>
      <w:r>
        <w:rPr>
          <w:lang w:val="zh-CN"/>
        </w:rPr>
        <w:t>采购人名称：</w:t>
      </w:r>
      <w:r>
        <w:rPr>
          <w:rFonts w:hint="eastAsia"/>
          <w:lang w:val="zh-CN"/>
        </w:rPr>
        <w:t>鹰潭一八四医院</w:t>
      </w:r>
    </w:p>
    <w:p w14:paraId="72A5833D">
      <w:pPr>
        <w:bidi w:val="0"/>
      </w:pPr>
      <w:r>
        <w:rPr>
          <w:lang w:val="en-US" w:eastAsia="zh-CN"/>
        </w:rPr>
        <w:t>4.</w:t>
      </w:r>
      <w:r>
        <w:rPr>
          <w:lang w:val="zh-CN"/>
        </w:rPr>
        <w:t>采购人地址：</w:t>
      </w:r>
      <w:r>
        <w:rPr>
          <w:rFonts w:hint="eastAsia"/>
          <w:lang w:val="en-US" w:eastAsia="zh-CN"/>
        </w:rPr>
        <w:t>江西省鹰潭市月湖区湖东路4号</w:t>
      </w:r>
      <w:r>
        <w:rPr>
          <w:rFonts w:hint="eastAsia"/>
          <w:lang w:val="zh-CN"/>
        </w:rPr>
        <w:t>鹰潭一八四医院</w:t>
      </w:r>
    </w:p>
    <w:p w14:paraId="5D2EF7E8">
      <w:pPr>
        <w:bidi w:val="0"/>
        <w:rPr>
          <w:rFonts w:hint="default"/>
          <w:lang w:val="en-US"/>
        </w:rPr>
      </w:pPr>
      <w:r>
        <w:rPr>
          <w:rFonts w:hint="default"/>
          <w:lang w:val="en-US" w:eastAsia="zh-CN"/>
        </w:rPr>
        <w:t>5.</w:t>
      </w:r>
      <w:r>
        <w:rPr>
          <w:rFonts w:hint="eastAsia"/>
          <w:lang w:val="zh-CN"/>
        </w:rPr>
        <w:t>预算金额</w:t>
      </w:r>
      <w:r>
        <w:rPr>
          <w:rFonts w:hint="eastAsia"/>
          <w:lang w:val="en-US" w:eastAsia="zh-CN"/>
        </w:rPr>
        <w:t>：150000元</w:t>
      </w:r>
    </w:p>
    <w:p w14:paraId="3E9DCE25">
      <w:pPr>
        <w:bidi w:val="0"/>
      </w:pPr>
      <w:r>
        <w:rPr>
          <w:lang w:val="en-US" w:eastAsia="zh-CN"/>
        </w:rPr>
        <w:t>6.</w:t>
      </w:r>
      <w:r>
        <w:rPr>
          <w:rFonts w:hint="eastAsia"/>
          <w:lang w:val="zh-CN"/>
        </w:rPr>
        <w:t>本</w:t>
      </w:r>
      <w:r>
        <w:rPr>
          <w:lang w:val="zh-CN"/>
        </w:rPr>
        <w:t>项目资金来源：</w:t>
      </w:r>
      <w:r>
        <w:rPr>
          <w:rFonts w:hint="eastAsia"/>
          <w:lang w:val="zh-CN"/>
        </w:rPr>
        <w:t>自筹资金</w:t>
      </w:r>
    </w:p>
    <w:p w14:paraId="3679E3D9">
      <w:pPr>
        <w:bidi w:val="0"/>
      </w:pPr>
      <w:r>
        <w:rPr>
          <w:lang w:val="en-US" w:eastAsia="zh-CN"/>
        </w:rPr>
        <w:t>7.</w:t>
      </w:r>
      <w:r>
        <w:t>采购内容：</w:t>
      </w:r>
      <w:r>
        <w:rPr>
          <w:rFonts w:hint="eastAsia"/>
          <w:lang w:eastAsia="zh-CN"/>
        </w:rPr>
        <w:t>见具体要求</w:t>
      </w:r>
    </w:p>
    <w:p w14:paraId="3B5DAC2D">
      <w:pPr>
        <w:bidi w:val="0"/>
      </w:pPr>
      <w:r>
        <w:rPr>
          <w:lang w:val="en-US" w:eastAsia="zh-CN"/>
        </w:rPr>
        <w:t>8.</w:t>
      </w:r>
      <w:r>
        <w:t>合格供应商的资格要求：</w:t>
      </w:r>
    </w:p>
    <w:p w14:paraId="0285E103">
      <w:pPr>
        <w:bidi w:val="0"/>
        <w:rPr>
          <w:rFonts w:hint="eastAsia"/>
        </w:rPr>
      </w:pPr>
      <w:r>
        <w:rPr>
          <w:rFonts w:hint="eastAsia"/>
          <w:lang w:val="en-US" w:eastAsia="zh-CN"/>
        </w:rPr>
        <w:t>8</w:t>
      </w:r>
      <w:r>
        <w:rPr>
          <w:rFonts w:hint="eastAsia"/>
        </w:rPr>
        <w:t>.1 满足法律法规的要求，包括：</w:t>
      </w:r>
    </w:p>
    <w:p w14:paraId="02E2FCA2">
      <w:pPr>
        <w:bidi w:val="0"/>
        <w:rPr>
          <w:rFonts w:hint="eastAsia"/>
          <w:highlight w:val="none"/>
        </w:rPr>
      </w:pPr>
      <w:r>
        <w:rPr>
          <w:rFonts w:hint="eastAsia"/>
          <w:highlight w:val="none"/>
        </w:rPr>
        <w:t>（1）在中华人民共和国注册并合法经营【提供营业执照】，具有独立承担民事责任的能力【提供承诺】；</w:t>
      </w:r>
    </w:p>
    <w:p w14:paraId="13F370DB">
      <w:pPr>
        <w:bidi w:val="0"/>
        <w:rPr>
          <w:rFonts w:hint="eastAsia"/>
          <w:highlight w:val="none"/>
        </w:rPr>
      </w:pPr>
      <w:r>
        <w:rPr>
          <w:rFonts w:hint="eastAsia"/>
          <w:highlight w:val="none"/>
        </w:rPr>
        <w:t>（2）具有良好的商业信誉和健全的财务会计制度【提供上一年度经会计师事务所或第三方审计机构审计的财务审计报告或至投标截止时间前近半年内开具的银行资信证明，军队单位或事业单位无法提供审计报告的，可由上级管理部门批复的决算或内部会计报表代替】；</w:t>
      </w:r>
    </w:p>
    <w:p w14:paraId="029969B0">
      <w:pPr>
        <w:bidi w:val="0"/>
        <w:rPr>
          <w:rFonts w:hint="eastAsia"/>
          <w:highlight w:val="none"/>
        </w:rPr>
      </w:pPr>
      <w:r>
        <w:rPr>
          <w:rFonts w:hint="eastAsia"/>
          <w:highlight w:val="none"/>
        </w:rPr>
        <w:t>（3）具有依法缴纳税收和社会保障资金的良好记录【提供近半年内任意3个月连续缴纳税收及社会保障资金的证明文件复印件加盖公章（依法不需要缴纳税收或社会保障资金的应提供相应文件说明）】；</w:t>
      </w:r>
    </w:p>
    <w:p w14:paraId="558AFC9A">
      <w:pPr>
        <w:bidi w:val="0"/>
        <w:rPr>
          <w:rFonts w:hint="eastAsia"/>
          <w:highlight w:val="none"/>
        </w:rPr>
      </w:pPr>
      <w:r>
        <w:rPr>
          <w:rFonts w:hint="eastAsia"/>
          <w:highlight w:val="none"/>
        </w:rPr>
        <w:t>（4）具有履行合同所必须的设备和专业技术能力【提供承诺】；</w:t>
      </w:r>
    </w:p>
    <w:p w14:paraId="14732C20">
      <w:pPr>
        <w:bidi w:val="0"/>
        <w:rPr>
          <w:rFonts w:hint="eastAsia"/>
          <w:highlight w:val="none"/>
        </w:rPr>
      </w:pPr>
      <w:r>
        <w:rPr>
          <w:rFonts w:hint="eastAsia"/>
          <w:highlight w:val="none"/>
        </w:rPr>
        <w:t>（5）参加此采购活动前三年内，在经营活动中没有重大违法记录【提供声明】；</w:t>
      </w:r>
    </w:p>
    <w:p w14:paraId="264832D9">
      <w:pPr>
        <w:bidi w:val="0"/>
        <w:rPr>
          <w:rFonts w:hint="eastAsia"/>
          <w:highlight w:val="none"/>
        </w:rPr>
      </w:pPr>
      <w:r>
        <w:rPr>
          <w:rFonts w:hint="eastAsia"/>
          <w:highlight w:val="none"/>
        </w:rPr>
        <w:t>（6）符合法律、法规规定的其他条件。</w:t>
      </w:r>
    </w:p>
    <w:p w14:paraId="63A68C03">
      <w:pPr>
        <w:bidi w:val="0"/>
        <w:rPr>
          <w:rFonts w:hint="eastAsia"/>
          <w:highlight w:val="none"/>
        </w:rPr>
      </w:pPr>
      <w:r>
        <w:rPr>
          <w:rFonts w:hint="eastAsia"/>
          <w:highlight w:val="none"/>
          <w:lang w:val="en-US" w:eastAsia="zh-CN"/>
        </w:rPr>
        <w:t>8</w:t>
      </w:r>
      <w:r>
        <w:rPr>
          <w:rFonts w:hint="eastAsia"/>
          <w:highlight w:val="none"/>
        </w:rPr>
        <w:t>.2 供应商无不良信用记录【</w:t>
      </w:r>
      <w:r>
        <w:rPr>
          <w:rFonts w:hint="eastAsia"/>
          <w:color w:val="auto"/>
          <w:highlight w:val="none"/>
        </w:rPr>
        <w:t>供应商至应答截止时间前未被中国政府采购网（www.ccgp.gov.cn）列入政府采购严重违法失信行为记录名单，未在军队采购网（www.plap.mil.cn）军队采购暂停名单处罚范围内或军队采购失信名单禁入处罚期和处罚范围内，未被“信用中国”（www.creditchina.gov.cn）列入严重失信主体名单或国家企业信用信息公示系统（www.gsxt.gov.cn）列入严重违法失信名单（处罚期内）</w:t>
      </w:r>
      <w:r>
        <w:rPr>
          <w:rFonts w:hint="eastAsia"/>
          <w:color w:val="auto"/>
          <w:highlight w:val="none"/>
          <w:lang w:eastAsia="zh-CN"/>
        </w:rPr>
        <w:t>。</w:t>
      </w:r>
      <w:r>
        <w:rPr>
          <w:rFonts w:hint="eastAsia"/>
          <w:color w:val="auto"/>
          <w:highlight w:val="none"/>
        </w:rPr>
        <w:t>提供投标截止前7天内的网站截图</w:t>
      </w:r>
      <w:r>
        <w:rPr>
          <w:rFonts w:hint="eastAsia"/>
          <w:highlight w:val="none"/>
        </w:rPr>
        <w:t>】。</w:t>
      </w:r>
    </w:p>
    <w:p w14:paraId="399DCEAB">
      <w:pPr>
        <w:bidi w:val="0"/>
        <w:rPr>
          <w:rFonts w:hint="eastAsia" w:eastAsia="仿宋_GB2312"/>
          <w:color w:val="auto"/>
          <w:highlight w:val="none"/>
          <w:lang w:eastAsia="zh-CN"/>
        </w:rPr>
      </w:pPr>
      <w:r>
        <w:rPr>
          <w:rFonts w:hint="eastAsia"/>
          <w:color w:val="auto"/>
          <w:highlight w:val="none"/>
          <w:lang w:val="en-US" w:eastAsia="zh-CN"/>
        </w:rPr>
        <w:t>8.3</w:t>
      </w:r>
      <w:r>
        <w:rPr>
          <w:rFonts w:hint="eastAsia"/>
          <w:color w:val="auto"/>
          <w:highlight w:val="none"/>
        </w:rPr>
        <w:t>单位法定代表人/负责人为同一人或存在控股、管理关系的不同单位，不得参加同一标段应答或者未划分标段的同一项目应答</w:t>
      </w:r>
      <w:r>
        <w:rPr>
          <w:rFonts w:hint="eastAsia"/>
          <w:color w:val="auto"/>
          <w:highlight w:val="none"/>
          <w:lang w:eastAsia="zh-CN"/>
        </w:rPr>
        <w:t>。</w:t>
      </w:r>
    </w:p>
    <w:p w14:paraId="5225B318">
      <w:pPr>
        <w:bidi w:val="0"/>
        <w:rPr>
          <w:rFonts w:hint="eastAsia"/>
          <w:highlight w:val="none"/>
        </w:rPr>
      </w:pPr>
      <w:r>
        <w:rPr>
          <w:rFonts w:hint="eastAsia"/>
          <w:highlight w:val="none"/>
          <w:lang w:val="en-US" w:eastAsia="zh-CN"/>
        </w:rPr>
        <w:t>8</w:t>
      </w:r>
      <w:r>
        <w:rPr>
          <w:rFonts w:hint="eastAsia"/>
          <w:highlight w:val="none"/>
        </w:rPr>
        <w:t>.</w:t>
      </w:r>
      <w:r>
        <w:rPr>
          <w:rFonts w:hint="eastAsia"/>
          <w:highlight w:val="none"/>
          <w:lang w:val="en-US" w:eastAsia="zh-CN"/>
        </w:rPr>
        <w:t>4</w:t>
      </w:r>
      <w:r>
        <w:rPr>
          <w:rFonts w:hint="eastAsia"/>
          <w:highlight w:val="none"/>
        </w:rPr>
        <w:t xml:space="preserve"> 供应商不得存在下列情形之一【提供承诺】：</w:t>
      </w:r>
    </w:p>
    <w:p w14:paraId="0A57F71C">
      <w:pPr>
        <w:bidi w:val="0"/>
        <w:rPr>
          <w:rFonts w:hint="eastAsia"/>
          <w:highlight w:val="none"/>
        </w:rPr>
      </w:pPr>
      <w:r>
        <w:rPr>
          <w:rFonts w:hint="eastAsia"/>
          <w:highlight w:val="none"/>
        </w:rPr>
        <w:t>（1）与本项目其他供应商的单位负责人为同一人；</w:t>
      </w:r>
    </w:p>
    <w:p w14:paraId="10774862">
      <w:pPr>
        <w:bidi w:val="0"/>
        <w:rPr>
          <w:rFonts w:hint="eastAsia"/>
          <w:highlight w:val="none"/>
        </w:rPr>
      </w:pPr>
      <w:r>
        <w:rPr>
          <w:rFonts w:hint="eastAsia"/>
          <w:highlight w:val="none"/>
        </w:rPr>
        <w:t>（2）与本项目其他供应商存在直接控股或管理关系；</w:t>
      </w:r>
    </w:p>
    <w:p w14:paraId="6931D180">
      <w:pPr>
        <w:bidi w:val="0"/>
        <w:rPr>
          <w:rFonts w:hint="eastAsia"/>
          <w:highlight w:val="none"/>
        </w:rPr>
      </w:pPr>
      <w:r>
        <w:rPr>
          <w:rFonts w:hint="eastAsia"/>
          <w:highlight w:val="none"/>
        </w:rPr>
        <w:t>（3）近三年内在经营活动中存在以下严重不良情形：</w:t>
      </w:r>
    </w:p>
    <w:p w14:paraId="5A3A1C11">
      <w:pPr>
        <w:bidi w:val="0"/>
        <w:rPr>
          <w:rFonts w:hint="eastAsia"/>
          <w:highlight w:val="none"/>
        </w:rPr>
      </w:pPr>
      <w:r>
        <w:rPr>
          <w:rFonts w:hint="eastAsia"/>
          <w:highlight w:val="none"/>
        </w:rPr>
        <w:t>①被本项目所在地省级以上行业主管部门依法暂停、取消投标成绩并禁止参加采购活动的；</w:t>
      </w:r>
    </w:p>
    <w:p w14:paraId="17EA9BB6">
      <w:pPr>
        <w:bidi w:val="0"/>
        <w:rPr>
          <w:rFonts w:hint="eastAsia"/>
          <w:highlight w:val="none"/>
        </w:rPr>
      </w:pPr>
      <w:r>
        <w:rPr>
          <w:rFonts w:hint="eastAsia"/>
          <w:highlight w:val="none"/>
        </w:rPr>
        <w:t>②处于被责令停产停业、暂扣或者吊销执照、暂扣或者吊销许可证、吊销资质证书状态；</w:t>
      </w:r>
    </w:p>
    <w:p w14:paraId="1D0A7F5D">
      <w:pPr>
        <w:bidi w:val="0"/>
        <w:rPr>
          <w:rFonts w:hint="eastAsia"/>
          <w:highlight w:val="none"/>
        </w:rPr>
      </w:pPr>
      <w:r>
        <w:rPr>
          <w:rFonts w:hint="eastAsia"/>
          <w:highlight w:val="none"/>
        </w:rPr>
        <w:t>③进入清算程序，或被宣告破产，或其他丧失履约能力情形的；</w:t>
      </w:r>
    </w:p>
    <w:p w14:paraId="3E28555A">
      <w:pPr>
        <w:bidi w:val="0"/>
        <w:rPr>
          <w:rFonts w:hint="eastAsia"/>
          <w:highlight w:val="none"/>
        </w:rPr>
      </w:pPr>
      <w:r>
        <w:rPr>
          <w:rFonts w:hint="eastAsia"/>
          <w:highlight w:val="none"/>
        </w:rPr>
        <w:t>④根据公司供应商管理要求，被禁止参与采购活动且处于有效期内的；</w:t>
      </w:r>
    </w:p>
    <w:p w14:paraId="04EAA52B">
      <w:pPr>
        <w:bidi w:val="0"/>
        <w:rPr>
          <w:rFonts w:hint="eastAsia"/>
          <w:highlight w:val="none"/>
        </w:rPr>
      </w:pPr>
      <w:r>
        <w:rPr>
          <w:rFonts w:hint="eastAsia"/>
          <w:highlight w:val="none"/>
        </w:rPr>
        <w:t>⑤被列入中国融通资产管理集团有限公司商业活动“黑名单”。</w:t>
      </w:r>
    </w:p>
    <w:p w14:paraId="55DBAF7F">
      <w:pPr>
        <w:bidi w:val="0"/>
        <w:rPr>
          <w:rFonts w:hint="eastAsia" w:eastAsia="仿宋_GB2312"/>
          <w:color w:val="auto"/>
          <w:highlight w:val="none"/>
          <w:lang w:eastAsia="zh-CN"/>
        </w:rPr>
      </w:pPr>
      <w:r>
        <w:rPr>
          <w:rFonts w:hint="eastAsia"/>
          <w:color w:val="auto"/>
          <w:highlight w:val="none"/>
        </w:rPr>
        <w:t>⑥在国务院国有资产监督管理委员会发布的</w:t>
      </w:r>
      <w:r>
        <w:rPr>
          <w:rFonts w:hint="eastAsia"/>
          <w:color w:val="auto"/>
          <w:highlight w:val="none"/>
          <w:lang w:eastAsia="zh-CN"/>
        </w:rPr>
        <w:t>“</w:t>
      </w:r>
      <w:r>
        <w:rPr>
          <w:rFonts w:hint="eastAsia"/>
          <w:color w:val="auto"/>
          <w:highlight w:val="none"/>
        </w:rPr>
        <w:t>假冒中央企业名单</w:t>
      </w:r>
      <w:r>
        <w:rPr>
          <w:rFonts w:hint="eastAsia"/>
          <w:color w:val="auto"/>
          <w:highlight w:val="none"/>
          <w:lang w:eastAsia="zh-CN"/>
        </w:rPr>
        <w:t>”</w:t>
      </w:r>
      <w:r>
        <w:rPr>
          <w:rFonts w:hint="eastAsia"/>
          <w:color w:val="auto"/>
          <w:highlight w:val="none"/>
        </w:rPr>
        <w:t>内的</w:t>
      </w:r>
      <w:r>
        <w:rPr>
          <w:rFonts w:hint="eastAsia"/>
          <w:color w:val="auto"/>
          <w:highlight w:val="none"/>
          <w:lang w:eastAsia="zh-CN"/>
        </w:rPr>
        <w:t>。</w:t>
      </w:r>
    </w:p>
    <w:p w14:paraId="5C6E6DF9">
      <w:pPr>
        <w:bidi w:val="0"/>
        <w:rPr>
          <w:rFonts w:hint="eastAsia"/>
          <w:color w:val="auto"/>
          <w:highlight w:val="yellow"/>
        </w:rPr>
      </w:pPr>
      <w:r>
        <w:rPr>
          <w:rFonts w:hint="eastAsia"/>
          <w:color w:val="auto"/>
          <w:highlight w:val="none"/>
          <w:lang w:val="en-US" w:eastAsia="zh-CN"/>
        </w:rPr>
        <w:t>8</w:t>
      </w:r>
      <w:r>
        <w:rPr>
          <w:rFonts w:hint="eastAsia"/>
          <w:color w:val="auto"/>
          <w:highlight w:val="none"/>
        </w:rPr>
        <w:t>.</w:t>
      </w:r>
      <w:r>
        <w:rPr>
          <w:rFonts w:hint="eastAsia"/>
          <w:color w:val="auto"/>
          <w:highlight w:val="none"/>
          <w:lang w:val="en-US" w:eastAsia="zh-CN"/>
        </w:rPr>
        <w:t>5</w:t>
      </w:r>
      <w:r>
        <w:rPr>
          <w:rFonts w:hint="eastAsia"/>
          <w:color w:val="auto"/>
          <w:highlight w:val="none"/>
        </w:rPr>
        <w:t>本项目不接受联合体参加采购活动。</w:t>
      </w:r>
    </w:p>
    <w:p w14:paraId="051D2C6B">
      <w:pPr>
        <w:bidi w:val="0"/>
        <w:rPr>
          <w:color w:val="auto"/>
          <w:lang w:val="zh-CN"/>
        </w:rPr>
      </w:pPr>
      <w:r>
        <w:rPr>
          <w:color w:val="auto"/>
          <w:lang w:val="zh-CN" w:eastAsia="zh-CN"/>
        </w:rPr>
        <w:t>9.</w:t>
      </w:r>
      <w:r>
        <w:rPr>
          <w:color w:val="auto"/>
          <w:lang w:val="zh-CN"/>
        </w:rPr>
        <w:t>《</w:t>
      </w:r>
      <w:r>
        <w:rPr>
          <w:rFonts w:hint="eastAsia"/>
          <w:color w:val="auto"/>
          <w:lang w:val="zh-CN"/>
        </w:rPr>
        <w:t>比质比价</w:t>
      </w:r>
      <w:r>
        <w:rPr>
          <w:color w:val="auto"/>
          <w:lang w:val="zh-CN"/>
        </w:rPr>
        <w:t>文件》领取：</w:t>
      </w:r>
    </w:p>
    <w:p w14:paraId="4C207D6D">
      <w:pPr>
        <w:bidi w:val="0"/>
        <w:rPr>
          <w:color w:val="auto"/>
          <w:lang w:val="zh-CN"/>
        </w:rPr>
      </w:pPr>
      <w:r>
        <w:rPr>
          <w:color w:val="auto"/>
          <w:lang w:val="zh-CN"/>
        </w:rPr>
        <w:t>文件购买：本项目实行网上发售电子版</w:t>
      </w:r>
      <w:r>
        <w:rPr>
          <w:rFonts w:hint="eastAsia"/>
          <w:color w:val="auto"/>
          <w:lang w:val="zh-CN"/>
        </w:rPr>
        <w:t>比质比价</w:t>
      </w:r>
      <w:r>
        <w:rPr>
          <w:color w:val="auto"/>
          <w:lang w:val="zh-CN"/>
        </w:rPr>
        <w:t>文件，不再出售纸质</w:t>
      </w:r>
      <w:r>
        <w:rPr>
          <w:rFonts w:hint="eastAsia"/>
          <w:color w:val="auto"/>
          <w:lang w:val="zh-CN"/>
        </w:rPr>
        <w:t>比质比价</w:t>
      </w:r>
      <w:r>
        <w:rPr>
          <w:color w:val="auto"/>
          <w:lang w:val="zh-CN"/>
        </w:rPr>
        <w:t>文件，</w:t>
      </w:r>
      <w:r>
        <w:rPr>
          <w:rFonts w:hint="eastAsia"/>
          <w:color w:val="auto"/>
          <w:lang w:val="zh-CN"/>
        </w:rPr>
        <w:t>比质比价</w:t>
      </w:r>
      <w:r>
        <w:rPr>
          <w:color w:val="auto"/>
          <w:lang w:val="zh-CN"/>
        </w:rPr>
        <w:t>文件售卖时间为</w:t>
      </w:r>
      <w:r>
        <w:rPr>
          <w:rFonts w:hint="eastAsia"/>
          <w:b/>
          <w:bCs/>
          <w:color w:val="auto"/>
          <w:highlight w:val="none"/>
          <w:lang w:val="zh-CN"/>
        </w:rPr>
        <w:t>2025</w:t>
      </w:r>
      <w:r>
        <w:rPr>
          <w:b/>
          <w:bCs/>
          <w:color w:val="auto"/>
          <w:highlight w:val="none"/>
          <w:lang w:val="zh-CN"/>
        </w:rPr>
        <w:t>年</w:t>
      </w:r>
      <w:r>
        <w:rPr>
          <w:rFonts w:hint="eastAsia"/>
          <w:b/>
          <w:bCs/>
          <w:color w:val="auto"/>
          <w:highlight w:val="none"/>
          <w:lang w:val="en-US" w:eastAsia="zh-CN"/>
        </w:rPr>
        <w:t>11</w:t>
      </w:r>
      <w:r>
        <w:rPr>
          <w:b/>
          <w:bCs/>
          <w:color w:val="auto"/>
          <w:highlight w:val="none"/>
          <w:lang w:val="zh-CN"/>
        </w:rPr>
        <w:t>月</w:t>
      </w:r>
      <w:r>
        <w:rPr>
          <w:rFonts w:hint="eastAsia"/>
          <w:b/>
          <w:bCs/>
          <w:color w:val="auto"/>
          <w:highlight w:val="none"/>
          <w:lang w:val="en-US" w:eastAsia="zh-CN"/>
        </w:rPr>
        <w:t>14</w:t>
      </w:r>
      <w:r>
        <w:rPr>
          <w:b/>
          <w:bCs/>
          <w:color w:val="auto"/>
          <w:highlight w:val="none"/>
          <w:lang w:val="zh-CN"/>
        </w:rPr>
        <w:t>日</w:t>
      </w:r>
      <w:r>
        <w:rPr>
          <w:rFonts w:hint="eastAsia"/>
          <w:b/>
          <w:bCs/>
          <w:color w:val="auto"/>
          <w:highlight w:val="none"/>
          <w:lang w:val="en-US" w:eastAsia="zh-CN"/>
        </w:rPr>
        <w:t>15</w:t>
      </w:r>
      <w:r>
        <w:rPr>
          <w:b/>
          <w:bCs/>
          <w:color w:val="auto"/>
          <w:highlight w:val="none"/>
          <w:lang w:val="zh-CN"/>
        </w:rPr>
        <w:t>时00分至</w:t>
      </w:r>
      <w:r>
        <w:rPr>
          <w:rFonts w:hint="eastAsia"/>
          <w:b/>
          <w:bCs/>
          <w:color w:val="auto"/>
          <w:highlight w:val="none"/>
          <w:lang w:val="zh-CN"/>
        </w:rPr>
        <w:t>2025</w:t>
      </w:r>
      <w:r>
        <w:rPr>
          <w:b/>
          <w:bCs/>
          <w:color w:val="auto"/>
          <w:highlight w:val="none"/>
          <w:lang w:val="zh-CN"/>
        </w:rPr>
        <w:t>年</w:t>
      </w:r>
      <w:r>
        <w:rPr>
          <w:rFonts w:hint="eastAsia"/>
          <w:b/>
          <w:bCs/>
          <w:color w:val="auto"/>
          <w:highlight w:val="none"/>
          <w:lang w:val="en-US" w:eastAsia="zh-CN"/>
        </w:rPr>
        <w:t>11</w:t>
      </w:r>
      <w:r>
        <w:rPr>
          <w:b/>
          <w:bCs/>
          <w:color w:val="auto"/>
          <w:highlight w:val="none"/>
          <w:lang w:val="zh-CN"/>
        </w:rPr>
        <w:t>月</w:t>
      </w:r>
      <w:r>
        <w:rPr>
          <w:rFonts w:hint="eastAsia"/>
          <w:b/>
          <w:bCs/>
          <w:color w:val="auto"/>
          <w:highlight w:val="none"/>
          <w:lang w:val="en-US" w:eastAsia="zh-CN"/>
        </w:rPr>
        <w:t>23</w:t>
      </w:r>
      <w:r>
        <w:rPr>
          <w:b/>
          <w:bCs/>
          <w:color w:val="auto"/>
          <w:highlight w:val="none"/>
          <w:lang w:val="zh-CN"/>
        </w:rPr>
        <w:t>日</w:t>
      </w:r>
      <w:r>
        <w:rPr>
          <w:rFonts w:hint="eastAsia"/>
          <w:b/>
          <w:bCs/>
          <w:color w:val="auto"/>
          <w:highlight w:val="none"/>
          <w:lang w:val="en-US" w:eastAsia="zh-CN"/>
        </w:rPr>
        <w:t>15</w:t>
      </w:r>
      <w:r>
        <w:rPr>
          <w:b/>
          <w:bCs/>
          <w:color w:val="auto"/>
          <w:highlight w:val="none"/>
          <w:lang w:val="zh-CN"/>
        </w:rPr>
        <w:t>时00分</w:t>
      </w:r>
      <w:r>
        <w:rPr>
          <w:color w:val="auto"/>
          <w:highlight w:val="none"/>
          <w:lang w:val="zh-CN"/>
        </w:rPr>
        <w:t>（北京时间，下同）</w:t>
      </w:r>
      <w:r>
        <w:rPr>
          <w:color w:val="auto"/>
          <w:lang w:val="zh-CN"/>
        </w:rPr>
        <w:t>，凡是有意参加的潜在供应商，请登录中国融通电子商务平台（https://www.ronghw.cn/）进行报名（已在该系统注册过的供应商可直接登录系统进行报名，购买</w:t>
      </w:r>
      <w:r>
        <w:rPr>
          <w:rFonts w:hint="eastAsia"/>
          <w:color w:val="auto"/>
          <w:lang w:val="zh-CN"/>
        </w:rPr>
        <w:t>比质比价</w:t>
      </w:r>
      <w:r>
        <w:rPr>
          <w:color w:val="auto"/>
          <w:lang w:val="zh-CN"/>
        </w:rPr>
        <w:t>文件后可通过报名审核，未在该系统注册的供应商请先进行系统注册后按照上述进行报名）</w:t>
      </w:r>
    </w:p>
    <w:p w14:paraId="456FB4E9">
      <w:pPr>
        <w:bidi w:val="0"/>
        <w:rPr>
          <w:color w:val="auto"/>
          <w:lang w:val="zh-CN"/>
        </w:rPr>
      </w:pPr>
      <w:r>
        <w:rPr>
          <w:rFonts w:hint="eastAsia"/>
          <w:color w:val="auto"/>
          <w:lang w:val="zh-CN"/>
        </w:rPr>
        <w:t>比质比价</w:t>
      </w:r>
      <w:r>
        <w:rPr>
          <w:color w:val="auto"/>
          <w:lang w:val="zh-CN"/>
        </w:rPr>
        <w:t>文件每套售价人民币</w:t>
      </w:r>
      <w:r>
        <w:rPr>
          <w:rFonts w:hint="eastAsia"/>
          <w:color w:val="auto"/>
          <w:lang w:val="en-US" w:eastAsia="zh-CN"/>
        </w:rPr>
        <w:t>0元。</w:t>
      </w:r>
    </w:p>
    <w:p w14:paraId="28A57F67">
      <w:pPr>
        <w:bidi w:val="0"/>
        <w:rPr>
          <w:color w:val="auto"/>
          <w:lang w:val="zh-CN"/>
        </w:rPr>
      </w:pPr>
      <w:r>
        <w:rPr>
          <w:color w:val="auto"/>
          <w:lang w:val="zh-CN"/>
        </w:rPr>
        <w:t>注意：无论</w:t>
      </w:r>
      <w:r>
        <w:rPr>
          <w:rFonts w:hint="eastAsia"/>
          <w:color w:val="auto"/>
          <w:lang w:val="zh-CN"/>
        </w:rPr>
        <w:t>比质比价</w:t>
      </w:r>
      <w:r>
        <w:rPr>
          <w:color w:val="auto"/>
          <w:lang w:val="zh-CN"/>
        </w:rPr>
        <w:t>文件是否收费，供应商请务必在</w:t>
      </w:r>
      <w:r>
        <w:rPr>
          <w:rFonts w:hint="eastAsia"/>
          <w:color w:val="auto"/>
          <w:lang w:val="zh-CN"/>
        </w:rPr>
        <w:t>比质比价</w:t>
      </w:r>
      <w:r>
        <w:rPr>
          <w:color w:val="auto"/>
          <w:lang w:val="zh-CN"/>
        </w:rPr>
        <w:t>文件售卖截止时间前登录中国融通电子商务平台，进入“采购平台”子系统，选择当前</w:t>
      </w:r>
      <w:r>
        <w:rPr>
          <w:rFonts w:hint="eastAsia"/>
          <w:color w:val="auto"/>
          <w:lang w:val="zh-CN"/>
        </w:rPr>
        <w:t>比质比价</w:t>
      </w:r>
      <w:r>
        <w:rPr>
          <w:color w:val="auto"/>
          <w:lang w:val="zh-CN"/>
        </w:rPr>
        <w:t>项目进行</w:t>
      </w:r>
      <w:r>
        <w:rPr>
          <w:rFonts w:hint="eastAsia"/>
          <w:color w:val="auto"/>
          <w:lang w:val="zh-CN"/>
        </w:rPr>
        <w:t>比质比价</w:t>
      </w:r>
      <w:r>
        <w:rPr>
          <w:color w:val="auto"/>
          <w:lang w:val="zh-CN"/>
        </w:rPr>
        <w:t>文件购买操作，否则将无法正常</w:t>
      </w:r>
      <w:r>
        <w:rPr>
          <w:rFonts w:hint="eastAsia"/>
          <w:color w:val="auto"/>
          <w:lang w:val="en-US" w:eastAsia="zh-CN"/>
        </w:rPr>
        <w:t>报名</w:t>
      </w:r>
      <w:r>
        <w:rPr>
          <w:color w:val="auto"/>
          <w:lang w:val="zh-CN"/>
        </w:rPr>
        <w:t>；</w:t>
      </w:r>
    </w:p>
    <w:p w14:paraId="36CDCE95">
      <w:pPr>
        <w:bidi w:val="0"/>
        <w:rPr>
          <w:color w:val="auto"/>
          <w:lang w:val="zh-CN"/>
        </w:rPr>
      </w:pPr>
      <w:r>
        <w:rPr>
          <w:color w:val="auto"/>
          <w:lang w:val="zh-CN"/>
        </w:rPr>
        <w:t>中国融通电子商务平台首页提供操作手册，供应商可以下载并根据操作手册提示进行信息注册、CA证书办理、下载投标工具，在参与项目后可直接进行</w:t>
      </w:r>
      <w:r>
        <w:rPr>
          <w:rFonts w:hint="eastAsia"/>
          <w:color w:val="auto"/>
          <w:lang w:val="zh-CN"/>
        </w:rPr>
        <w:t>比质比价</w:t>
      </w:r>
      <w:r>
        <w:rPr>
          <w:color w:val="auto"/>
          <w:lang w:val="zh-CN"/>
        </w:rPr>
        <w:t>文件的下载及</w:t>
      </w:r>
      <w:r>
        <w:rPr>
          <w:rFonts w:hint="eastAsia"/>
          <w:color w:val="auto"/>
          <w:lang w:val="en-US" w:eastAsia="zh-CN"/>
        </w:rPr>
        <w:t>报名</w:t>
      </w:r>
      <w:r>
        <w:rPr>
          <w:color w:val="auto"/>
          <w:lang w:val="zh-CN"/>
        </w:rPr>
        <w:t>；</w:t>
      </w:r>
    </w:p>
    <w:p w14:paraId="0F350D92">
      <w:pPr>
        <w:bidi w:val="0"/>
        <w:rPr>
          <w:color w:val="auto"/>
          <w:lang w:val="zh-CN"/>
        </w:rPr>
      </w:pPr>
      <w:r>
        <w:rPr>
          <w:color w:val="auto"/>
          <w:lang w:val="zh-CN"/>
        </w:rPr>
        <w:t>供应商针对系统操作的咨询，可拨打中国融通电子商务平台技术服务热线（400-</w:t>
      </w:r>
      <w:r>
        <w:rPr>
          <w:rFonts w:hint="eastAsia"/>
          <w:color w:val="auto"/>
          <w:lang w:val="en-US" w:eastAsia="zh-CN"/>
        </w:rPr>
        <w:t>189-8880</w:t>
      </w:r>
      <w:r>
        <w:rPr>
          <w:color w:val="auto"/>
          <w:lang w:val="zh-CN"/>
        </w:rPr>
        <w:t>）</w:t>
      </w:r>
    </w:p>
    <w:p w14:paraId="49DC65E1">
      <w:pPr>
        <w:bidi w:val="0"/>
        <w:rPr>
          <w:color w:val="auto"/>
          <w:lang w:val="zh-CN"/>
        </w:rPr>
      </w:pPr>
      <w:r>
        <w:rPr>
          <w:color w:val="auto"/>
          <w:lang w:val="zh-CN"/>
        </w:rPr>
        <w:t>供应商必须在</w:t>
      </w:r>
      <w:r>
        <w:rPr>
          <w:rFonts w:hint="eastAsia"/>
          <w:color w:val="auto"/>
          <w:lang w:val="en-US" w:eastAsia="zh-CN"/>
        </w:rPr>
        <w:t>报名</w:t>
      </w:r>
      <w:r>
        <w:rPr>
          <w:color w:val="auto"/>
          <w:lang w:val="zh-CN"/>
        </w:rPr>
        <w:t>截止时间之前办理CA证书，并使用CA证书进行加密后才能</w:t>
      </w:r>
      <w:r>
        <w:rPr>
          <w:rFonts w:hint="eastAsia"/>
          <w:color w:val="auto"/>
          <w:lang w:val="en-US" w:eastAsia="zh-CN"/>
        </w:rPr>
        <w:t>报名</w:t>
      </w:r>
      <w:r>
        <w:rPr>
          <w:color w:val="auto"/>
          <w:lang w:val="zh-CN"/>
        </w:rPr>
        <w:t>，否则将无法</w:t>
      </w:r>
      <w:r>
        <w:rPr>
          <w:rFonts w:hint="eastAsia"/>
          <w:color w:val="auto"/>
          <w:lang w:val="en-US" w:eastAsia="zh-CN"/>
        </w:rPr>
        <w:t>报名</w:t>
      </w:r>
      <w:r>
        <w:rPr>
          <w:color w:val="auto"/>
          <w:lang w:val="zh-CN"/>
        </w:rPr>
        <w:t>，CA证书具体办理流程参见中国融通电子商务平台首页“服务中心-下载专区”；</w:t>
      </w:r>
    </w:p>
    <w:p w14:paraId="6CAC54D5">
      <w:pPr>
        <w:bidi w:val="0"/>
        <w:rPr>
          <w:color w:val="auto"/>
          <w:lang w:val="zh-CN"/>
        </w:rPr>
      </w:pPr>
      <w:r>
        <w:rPr>
          <w:color w:val="auto"/>
          <w:lang w:val="zh-CN" w:eastAsia="zh-CN"/>
        </w:rPr>
        <w:t>10.</w:t>
      </w:r>
      <w:r>
        <w:rPr>
          <w:color w:val="auto"/>
          <w:lang w:val="zh-CN"/>
        </w:rPr>
        <w:t>本项目支持电子响应文件加密递交（签章、加密）；同时供应商需准备纸质响应文件盖章密封；电子响应文件通过中国融通电子商务平台，递交截止</w:t>
      </w:r>
      <w:r>
        <w:rPr>
          <w:color w:val="auto"/>
          <w:highlight w:val="none"/>
          <w:lang w:val="zh-CN"/>
        </w:rPr>
        <w:t>时间：</w:t>
      </w:r>
      <w:r>
        <w:rPr>
          <w:rFonts w:hint="eastAsia"/>
          <w:b/>
          <w:bCs/>
          <w:color w:val="auto"/>
          <w:highlight w:val="none"/>
          <w:lang w:val="en-US" w:eastAsia="zh-CN"/>
        </w:rPr>
        <w:t>2025</w:t>
      </w:r>
      <w:r>
        <w:rPr>
          <w:b/>
          <w:bCs/>
          <w:color w:val="auto"/>
          <w:highlight w:val="none"/>
          <w:lang w:val="zh-CN"/>
        </w:rPr>
        <w:t>年</w:t>
      </w:r>
      <w:r>
        <w:rPr>
          <w:rFonts w:hint="eastAsia"/>
          <w:b/>
          <w:bCs/>
          <w:color w:val="auto"/>
          <w:highlight w:val="none"/>
          <w:lang w:val="en-US" w:eastAsia="zh-CN"/>
        </w:rPr>
        <w:t>11</w:t>
      </w:r>
      <w:r>
        <w:rPr>
          <w:b/>
          <w:bCs/>
          <w:color w:val="auto"/>
          <w:highlight w:val="none"/>
          <w:lang w:val="zh-CN"/>
        </w:rPr>
        <w:t>月</w:t>
      </w:r>
      <w:r>
        <w:rPr>
          <w:rFonts w:hint="eastAsia"/>
          <w:b/>
          <w:bCs/>
          <w:color w:val="auto"/>
          <w:highlight w:val="none"/>
          <w:lang w:val="en-US" w:eastAsia="zh-CN"/>
        </w:rPr>
        <w:t>28</w:t>
      </w:r>
      <w:r>
        <w:rPr>
          <w:b/>
          <w:bCs/>
          <w:color w:val="auto"/>
          <w:highlight w:val="none"/>
          <w:lang w:val="zh-CN"/>
        </w:rPr>
        <w:t>日</w:t>
      </w:r>
      <w:r>
        <w:rPr>
          <w:rFonts w:hint="eastAsia"/>
          <w:b/>
          <w:bCs/>
          <w:color w:val="auto"/>
          <w:highlight w:val="none"/>
          <w:lang w:val="en-US" w:eastAsia="zh-CN"/>
        </w:rPr>
        <w:t>15</w:t>
      </w:r>
      <w:r>
        <w:rPr>
          <w:b/>
          <w:bCs/>
          <w:color w:val="auto"/>
          <w:highlight w:val="none"/>
          <w:lang w:val="zh-CN"/>
        </w:rPr>
        <w:t>时</w:t>
      </w:r>
      <w:r>
        <w:rPr>
          <w:rFonts w:hint="eastAsia"/>
          <w:b/>
          <w:bCs/>
          <w:color w:val="auto"/>
          <w:highlight w:val="none"/>
          <w:lang w:val="en-US" w:eastAsia="zh-CN"/>
        </w:rPr>
        <w:t>00</w:t>
      </w:r>
      <w:r>
        <w:rPr>
          <w:b/>
          <w:bCs/>
          <w:color w:val="auto"/>
          <w:highlight w:val="none"/>
          <w:lang w:val="zh-CN"/>
        </w:rPr>
        <w:t>分</w:t>
      </w:r>
      <w:r>
        <w:rPr>
          <w:color w:val="auto"/>
          <w:highlight w:val="none"/>
          <w:lang w:val="zh-CN"/>
        </w:rPr>
        <w:t>，截止</w:t>
      </w:r>
      <w:r>
        <w:rPr>
          <w:color w:val="auto"/>
          <w:lang w:val="zh-CN"/>
        </w:rPr>
        <w:t>时间后</w:t>
      </w:r>
      <w:r>
        <w:rPr>
          <w:rFonts w:hint="eastAsia"/>
          <w:color w:val="auto"/>
          <w:lang w:val="zh-CN"/>
        </w:rPr>
        <w:t>如果平台无法获取、解密供应商上传的电子版响应文件，则认为此次投标无效，不再使用纸质版响应文件参与评审。上传成功的供应商</w:t>
      </w:r>
      <w:r>
        <w:rPr>
          <w:color w:val="auto"/>
          <w:lang w:val="zh-CN"/>
        </w:rPr>
        <w:t>纸质响应文件</w:t>
      </w:r>
      <w:r>
        <w:rPr>
          <w:rFonts w:hint="eastAsia"/>
          <w:color w:val="auto"/>
          <w:lang w:val="zh-CN"/>
        </w:rPr>
        <w:t>比质比价现场提交。</w:t>
      </w:r>
      <w:bookmarkStart w:id="20" w:name="_GoBack"/>
      <w:bookmarkEnd w:id="20"/>
    </w:p>
    <w:p w14:paraId="4EDD088B">
      <w:pPr>
        <w:bidi w:val="0"/>
        <w:rPr>
          <w:lang w:val="zh-CN"/>
        </w:rPr>
      </w:pPr>
      <w:r>
        <w:rPr>
          <w:color w:val="auto"/>
          <w:lang w:val="zh-CN" w:eastAsia="zh-CN"/>
        </w:rPr>
        <w:t>11.</w:t>
      </w:r>
      <w:r>
        <w:rPr>
          <w:color w:val="auto"/>
          <w:lang w:val="zh-CN"/>
        </w:rPr>
        <w:t>电子响应文件递交异常处理规则：供应商的电子响应文件出现递交异常时，采购人需</w:t>
      </w:r>
      <w:r>
        <w:rPr>
          <w:rFonts w:hint="eastAsia"/>
          <w:color w:val="auto"/>
          <w:lang w:val="zh-CN"/>
        </w:rPr>
        <w:t>与</w:t>
      </w:r>
      <w:r>
        <w:rPr>
          <w:color w:val="auto"/>
          <w:lang w:val="zh-CN"/>
        </w:rPr>
        <w:t>系统支撑团队确认，若为系统故障原因造成的，则应推迟该</w:t>
      </w:r>
      <w:r>
        <w:rPr>
          <w:lang w:val="zh-CN"/>
        </w:rPr>
        <w:t>项目的递交截止时间（具体时间另行通知）直至该供应商完成电子响应文件递交，若非系统故障原因造成的，由该供应商自行承担相应责任。</w:t>
      </w:r>
    </w:p>
    <w:p w14:paraId="1A15CD6B">
      <w:pPr>
        <w:bidi w:val="0"/>
      </w:pPr>
      <w:r>
        <w:rPr>
          <w:lang w:val="en-US" w:eastAsia="zh-CN"/>
        </w:rPr>
        <w:t>12.</w:t>
      </w:r>
      <w:r>
        <w:rPr>
          <w:lang w:val="zh-CN"/>
        </w:rPr>
        <w:t>纸质《响应文件》递交地点：</w:t>
      </w:r>
      <w:r>
        <w:rPr>
          <w:rFonts w:hint="eastAsia"/>
          <w:lang w:val="zh-CN"/>
        </w:rPr>
        <w:t>江西省鹰潭市月湖区湖东路4号鹰潭一八四医院</w:t>
      </w:r>
      <w:r>
        <w:rPr>
          <w:rFonts w:hint="eastAsia"/>
          <w:lang w:val="en-US" w:eastAsia="zh-CN"/>
        </w:rPr>
        <w:t>。</w:t>
      </w:r>
      <w:r>
        <w:rPr>
          <w:lang w:val="zh-CN"/>
        </w:rPr>
        <w:t>本次</w:t>
      </w:r>
      <w:r>
        <w:rPr>
          <w:rFonts w:hint="eastAsia"/>
          <w:lang w:val="zh-CN"/>
        </w:rPr>
        <w:t>比质比价</w:t>
      </w:r>
      <w:r>
        <w:rPr>
          <w:lang w:val="zh-CN"/>
        </w:rPr>
        <w:t>分如下步骤：</w:t>
      </w:r>
    </w:p>
    <w:p w14:paraId="21539C20">
      <w:pPr>
        <w:bidi w:val="0"/>
      </w:pPr>
      <w:r>
        <w:rPr>
          <w:lang w:val="zh-CN"/>
        </w:rPr>
        <w:t>所有购买了</w:t>
      </w:r>
      <w:r>
        <w:rPr>
          <w:rFonts w:hint="eastAsia"/>
          <w:lang w:val="zh-CN"/>
        </w:rPr>
        <w:t>比质比价</w:t>
      </w:r>
      <w:r>
        <w:rPr>
          <w:lang w:val="zh-CN"/>
        </w:rPr>
        <w:t>文件的供应商应于</w:t>
      </w:r>
      <w:r>
        <w:rPr>
          <w:rFonts w:hint="eastAsia"/>
          <w:color w:val="auto"/>
          <w:lang w:val="zh-CN"/>
        </w:rPr>
        <w:t>比质比价</w:t>
      </w:r>
      <w:r>
        <w:rPr>
          <w:color w:val="auto"/>
          <w:lang w:val="zh-CN"/>
        </w:rPr>
        <w:t>之</w:t>
      </w:r>
      <w:r>
        <w:rPr>
          <w:rFonts w:hint="eastAsia"/>
          <w:color w:val="auto"/>
          <w:lang w:val="zh-CN"/>
        </w:rPr>
        <w:t>日</w:t>
      </w:r>
      <w:r>
        <w:rPr>
          <w:rFonts w:hint="eastAsia"/>
          <w:b/>
          <w:bCs/>
          <w:color w:val="auto"/>
          <w:lang w:val="zh-CN"/>
        </w:rPr>
        <w:t>（</w:t>
      </w:r>
      <w:r>
        <w:rPr>
          <w:rFonts w:hint="eastAsia"/>
          <w:b/>
          <w:bCs/>
          <w:color w:val="auto"/>
          <w:lang w:val="en-US" w:eastAsia="zh-CN"/>
        </w:rPr>
        <w:t>评标</w:t>
      </w:r>
      <w:r>
        <w:rPr>
          <w:rFonts w:hint="eastAsia"/>
          <w:b/>
          <w:bCs/>
          <w:color w:val="auto"/>
          <w:lang w:val="zh-CN"/>
        </w:rPr>
        <w:t>时间另行通知，请忽略融通电子商务平台推送的</w:t>
      </w:r>
      <w:r>
        <w:rPr>
          <w:rFonts w:hint="eastAsia"/>
          <w:b/>
          <w:bCs/>
          <w:color w:val="auto"/>
          <w:lang w:val="en-US" w:eastAsia="zh-CN"/>
        </w:rPr>
        <w:t>开标</w:t>
      </w:r>
      <w:r>
        <w:rPr>
          <w:rFonts w:hint="eastAsia"/>
          <w:b/>
          <w:bCs/>
          <w:color w:val="auto"/>
          <w:lang w:val="zh-CN"/>
        </w:rPr>
        <w:t>时间。）</w:t>
      </w:r>
      <w:r>
        <w:rPr>
          <w:color w:val="auto"/>
          <w:lang w:val="zh-CN"/>
        </w:rPr>
        <w:t>将装订成册的《响应</w:t>
      </w:r>
      <w:r>
        <w:rPr>
          <w:color w:val="auto"/>
          <w:highlight w:val="none"/>
          <w:lang w:val="zh-CN"/>
        </w:rPr>
        <w:t>文件》（包括商务应答材料和报价）递交到</w:t>
      </w:r>
      <w:r>
        <w:rPr>
          <w:rFonts w:hint="eastAsia"/>
          <w:color w:val="auto"/>
          <w:highlight w:val="none"/>
          <w:lang w:val="zh-CN"/>
        </w:rPr>
        <w:t>鹰潭一八四医</w:t>
      </w:r>
      <w:r>
        <w:rPr>
          <w:rFonts w:hint="eastAsia"/>
          <w:highlight w:val="none"/>
          <w:lang w:val="zh-CN"/>
        </w:rPr>
        <w:t>院</w:t>
      </w:r>
      <w:r>
        <w:rPr>
          <w:highlight w:val="none"/>
          <w:lang w:val="zh-CN"/>
        </w:rPr>
        <w:t>。由</w:t>
      </w:r>
      <w:r>
        <w:rPr>
          <w:rFonts w:hint="eastAsia"/>
          <w:highlight w:val="none"/>
          <w:lang w:val="zh-CN"/>
        </w:rPr>
        <w:t>比质比价</w:t>
      </w:r>
      <w:r>
        <w:rPr>
          <w:highlight w:val="none"/>
          <w:lang w:val="zh-CN"/>
        </w:rPr>
        <w:t>小组对供应商的资质、商务、服务方案以</w:t>
      </w:r>
      <w:r>
        <w:rPr>
          <w:lang w:val="zh-CN"/>
        </w:rPr>
        <w:t>及报价进行</w:t>
      </w:r>
      <w:r>
        <w:rPr>
          <w:rFonts w:hint="eastAsia"/>
          <w:lang w:val="zh-CN"/>
        </w:rPr>
        <w:t>审核</w:t>
      </w:r>
      <w:r>
        <w:rPr>
          <w:lang w:val="zh-CN"/>
        </w:rPr>
        <w:t>。</w:t>
      </w:r>
    </w:p>
    <w:p w14:paraId="0CE0FDC4">
      <w:pPr>
        <w:bidi w:val="0"/>
        <w:rPr>
          <w:lang w:val="zh-CN"/>
        </w:rPr>
      </w:pPr>
      <w:r>
        <w:rPr>
          <w:lang w:val="zh-CN" w:eastAsia="zh-CN"/>
        </w:rPr>
        <w:t>13.</w:t>
      </w:r>
      <w:r>
        <w:rPr>
          <w:lang w:val="zh-CN"/>
        </w:rPr>
        <w:t>评定成交标准：</w:t>
      </w:r>
      <w:r>
        <w:rPr>
          <w:rFonts w:hint="eastAsia"/>
          <w:lang w:eastAsia="zh-CN"/>
        </w:rPr>
        <w:t>综合得分最高的为中选供应商</w:t>
      </w:r>
      <w:r>
        <w:t>。</w:t>
      </w:r>
    </w:p>
    <w:p w14:paraId="096FD79F">
      <w:pPr>
        <w:bidi w:val="0"/>
        <w:rPr>
          <w:lang w:val="zh-CN"/>
        </w:rPr>
      </w:pPr>
      <w:r>
        <w:rPr>
          <w:lang w:val="zh-CN" w:eastAsia="zh-CN"/>
        </w:rPr>
        <w:t>14.</w:t>
      </w:r>
      <w:r>
        <w:rPr>
          <w:lang w:val="zh-CN"/>
        </w:rPr>
        <w:t>发布公告的媒介：本次公告在</w:t>
      </w:r>
      <w:r>
        <w:rPr>
          <w:rFonts w:hint="eastAsia"/>
          <w:lang w:val="zh-CN"/>
        </w:rPr>
        <w:t>“中国融通电子商务平台（https://www.ronghw.cn/）”、“中国招标投标公共服务平台（http://bulletin.cebpubservice.com/）”、“鹰潭一八四医院医院官网（https://yingtan184.rtyljk.cn/）”、“江西省招标投标网（http://www.jxtb.org.cn/）”</w:t>
      </w:r>
      <w:r>
        <w:rPr>
          <w:lang w:val="zh-CN"/>
        </w:rPr>
        <w:t>发布，公告将明确对供应商资格要求，供应商</w:t>
      </w:r>
      <w:r>
        <w:rPr>
          <w:rFonts w:hint="eastAsia"/>
          <w:lang w:val="en-US" w:eastAsia="zh-CN"/>
        </w:rPr>
        <w:t>参加</w:t>
      </w:r>
      <w:r>
        <w:rPr>
          <w:lang w:val="zh-CN"/>
        </w:rPr>
        <w:t>的时间及相关事项。</w:t>
      </w:r>
    </w:p>
    <w:p w14:paraId="70778CCE">
      <w:pPr>
        <w:pStyle w:val="8"/>
        <w:rPr>
          <w:lang w:val="zh-CN"/>
        </w:rPr>
      </w:pPr>
    </w:p>
    <w:p w14:paraId="523D1A6F">
      <w:pPr>
        <w:bidi w:val="0"/>
        <w:rPr>
          <w:rFonts w:hint="eastAsia"/>
          <w:lang w:val="zh-CN"/>
        </w:rPr>
      </w:pPr>
      <w:r>
        <w:rPr>
          <w:rFonts w:hint="eastAsia"/>
          <w:lang w:val="zh-CN"/>
        </w:rPr>
        <w:t>采购人：鹰潭一八四医院</w:t>
      </w:r>
    </w:p>
    <w:p w14:paraId="49560DA1">
      <w:pPr>
        <w:bidi w:val="0"/>
        <w:rPr>
          <w:rFonts w:hint="eastAsia"/>
          <w:lang w:val="zh-CN"/>
        </w:rPr>
      </w:pPr>
      <w:r>
        <w:rPr>
          <w:rFonts w:hint="eastAsia"/>
          <w:lang w:val="zh-CN"/>
        </w:rPr>
        <w:t>地址：江西省鹰潭市月湖区湖东路4号鹰潭一八四医院</w:t>
      </w:r>
    </w:p>
    <w:p w14:paraId="48769C63">
      <w:pPr>
        <w:bidi w:val="0"/>
        <w:rPr>
          <w:rFonts w:hint="eastAsia"/>
          <w:lang w:val="zh-CN"/>
        </w:rPr>
      </w:pPr>
      <w:r>
        <w:rPr>
          <w:rFonts w:hint="eastAsia"/>
          <w:lang w:val="zh-CN"/>
        </w:rPr>
        <w:t>联系人：</w:t>
      </w:r>
      <w:r>
        <w:rPr>
          <w:rFonts w:hint="eastAsia"/>
          <w:lang w:val="en-US" w:eastAsia="zh-CN"/>
        </w:rPr>
        <w:t>吴</w:t>
      </w:r>
      <w:r>
        <w:rPr>
          <w:rFonts w:hint="eastAsia"/>
          <w:lang w:val="zh-CN"/>
        </w:rPr>
        <w:t>老师</w:t>
      </w:r>
    </w:p>
    <w:p w14:paraId="366A82B9">
      <w:pPr>
        <w:bidi w:val="0"/>
        <w:rPr>
          <w:rFonts w:hint="default" w:eastAsia="仿宋_GB2312"/>
          <w:highlight w:val="none"/>
          <w:lang w:val="en-US" w:eastAsia="zh-CN"/>
        </w:rPr>
      </w:pPr>
      <w:r>
        <w:rPr>
          <w:rFonts w:hint="eastAsia"/>
          <w:highlight w:val="none"/>
          <w:lang w:val="zh-CN"/>
        </w:rPr>
        <w:t>电话：</w:t>
      </w:r>
      <w:r>
        <w:rPr>
          <w:rFonts w:hint="eastAsia"/>
          <w:highlight w:val="none"/>
          <w:lang w:val="en-US" w:eastAsia="zh-CN"/>
        </w:rPr>
        <w:t>19007016515</w:t>
      </w:r>
    </w:p>
    <w:p w14:paraId="0336BCF1">
      <w:pPr>
        <w:bidi w:val="0"/>
        <w:rPr>
          <w:rFonts w:hint="eastAsia"/>
          <w:highlight w:val="none"/>
          <w:lang w:val="en-US" w:eastAsia="zh-CN"/>
        </w:rPr>
      </w:pPr>
      <w:r>
        <w:rPr>
          <w:rFonts w:hint="eastAsia"/>
          <w:highlight w:val="none"/>
          <w:lang w:val="en-US" w:eastAsia="zh-CN"/>
        </w:rPr>
        <w:t>医工科联系人：张老师</w:t>
      </w:r>
    </w:p>
    <w:p w14:paraId="640AA11E">
      <w:pPr>
        <w:bidi w:val="0"/>
        <w:rPr>
          <w:rFonts w:hint="default"/>
          <w:highlight w:val="none"/>
          <w:lang w:val="en-US" w:eastAsia="zh-CN"/>
        </w:rPr>
      </w:pPr>
      <w:r>
        <w:rPr>
          <w:rFonts w:hint="eastAsia"/>
          <w:highlight w:val="none"/>
          <w:lang w:val="en-US" w:eastAsia="zh-CN"/>
        </w:rPr>
        <w:t>电话：19007012723</w:t>
      </w:r>
    </w:p>
    <w:p w14:paraId="54D27705">
      <w:pPr>
        <w:bidi w:val="0"/>
        <w:rPr>
          <w:rFonts w:hint="eastAsia"/>
          <w:lang w:val="zh-CN"/>
        </w:rPr>
      </w:pPr>
    </w:p>
    <w:p w14:paraId="1B5C5A16">
      <w:pPr>
        <w:bidi w:val="0"/>
        <w:rPr>
          <w:rFonts w:hint="eastAsia"/>
          <w:lang w:val="zh-CN"/>
        </w:rPr>
      </w:pPr>
      <w:r>
        <w:rPr>
          <w:rFonts w:hint="eastAsia"/>
          <w:lang w:val="zh-CN"/>
        </w:rPr>
        <w:t>上级部门投诉监督:</w:t>
      </w:r>
    </w:p>
    <w:p w14:paraId="3D29BC18">
      <w:pPr>
        <w:bidi w:val="0"/>
        <w:rPr>
          <w:rFonts w:hint="eastAsia"/>
          <w:lang w:val="zh-CN"/>
        </w:rPr>
      </w:pPr>
      <w:r>
        <w:rPr>
          <w:rFonts w:hint="eastAsia"/>
          <w:lang w:val="zh-CN"/>
        </w:rPr>
        <w:t>电话028-86576325</w:t>
      </w:r>
    </w:p>
    <w:p w14:paraId="48E48A1F">
      <w:pPr>
        <w:bidi w:val="0"/>
        <w:rPr>
          <w:rFonts w:hint="eastAsia"/>
          <w:lang w:val="zh-CN"/>
        </w:rPr>
      </w:pPr>
      <w:r>
        <w:rPr>
          <w:rFonts w:hint="eastAsia"/>
          <w:lang w:val="zh-CN"/>
        </w:rPr>
        <w:t>邮箱rtylcaiguanban@126.com</w:t>
      </w:r>
    </w:p>
    <w:p w14:paraId="409496B1">
      <w:pPr>
        <w:bidi w:val="0"/>
        <w:rPr>
          <w:rFonts w:hint="eastAsia"/>
          <w:lang w:val="zh-CN"/>
        </w:rPr>
      </w:pPr>
    </w:p>
    <w:p w14:paraId="5CEDD8F4">
      <w:pPr>
        <w:bidi w:val="0"/>
        <w:rPr>
          <w:rFonts w:hint="eastAsia"/>
          <w:lang w:val="zh-CN"/>
        </w:rPr>
      </w:pPr>
      <w:r>
        <w:rPr>
          <w:rFonts w:hint="eastAsia"/>
          <w:lang w:val="zh-CN"/>
        </w:rPr>
        <w:t>上级部门信访举报:</w:t>
      </w:r>
    </w:p>
    <w:p w14:paraId="1DF58419">
      <w:pPr>
        <w:bidi w:val="0"/>
        <w:rPr>
          <w:rFonts w:hint="eastAsia"/>
          <w:lang w:val="zh-CN"/>
        </w:rPr>
      </w:pPr>
      <w:r>
        <w:rPr>
          <w:rFonts w:hint="eastAsia"/>
          <w:lang w:val="zh-CN"/>
        </w:rPr>
        <w:t>电话028-85373821</w:t>
      </w:r>
    </w:p>
    <w:p w14:paraId="197DFB70">
      <w:pPr>
        <w:bidi w:val="0"/>
        <w:rPr>
          <w:rFonts w:hint="eastAsia"/>
          <w:lang w:val="zh-CN"/>
        </w:rPr>
      </w:pPr>
      <w:r>
        <w:rPr>
          <w:rFonts w:hint="eastAsia"/>
          <w:lang w:val="zh-CN"/>
        </w:rPr>
        <w:t>邮箱rtyljjb@163.com</w:t>
      </w:r>
      <w:r>
        <w:rPr>
          <w:rFonts w:hint="eastAsia"/>
          <w:lang w:val="zh-CN"/>
        </w:rPr>
        <w:fldChar w:fldCharType="begin"/>
      </w:r>
      <w:r>
        <w:rPr>
          <w:rFonts w:hint="eastAsia"/>
          <w:lang w:val="zh-CN"/>
        </w:rPr>
        <w:instrText xml:space="preserve"> HYPERLINK "mailto:rtyljjb@163.com" </w:instrText>
      </w:r>
      <w:r>
        <w:rPr>
          <w:rFonts w:hint="eastAsia"/>
          <w:lang w:val="zh-CN"/>
        </w:rPr>
        <w:fldChar w:fldCharType="separate"/>
      </w:r>
      <w:r>
        <w:rPr>
          <w:rStyle w:val="28"/>
          <w:rFonts w:hint="eastAsia"/>
          <w:lang w:val="zh-CN"/>
        </w:rPr>
        <w:br w:type="page"/>
      </w:r>
      <w:r>
        <w:rPr>
          <w:rFonts w:hint="eastAsia"/>
          <w:lang w:val="zh-CN"/>
        </w:rPr>
        <w:fldChar w:fldCharType="end"/>
      </w:r>
    </w:p>
    <w:p w14:paraId="37AEB9CD">
      <w:pPr>
        <w:pStyle w:val="2"/>
        <w:bidi w:val="0"/>
        <w:rPr>
          <w:lang w:val="zh-CN"/>
        </w:rPr>
      </w:pPr>
      <w:bookmarkStart w:id="1" w:name="_Toc24586"/>
      <w:r>
        <w:rPr>
          <w:lang w:val="zh-CN"/>
        </w:rPr>
        <w:t>第二章</w:t>
      </w:r>
      <w:r>
        <w:rPr>
          <w:rFonts w:hint="eastAsia"/>
          <w:lang w:val="en-US" w:eastAsia="zh-CN"/>
        </w:rPr>
        <w:t xml:space="preserve"> </w:t>
      </w:r>
      <w:r>
        <w:rPr>
          <w:rFonts w:hint="eastAsia"/>
          <w:lang w:val="zh-CN"/>
        </w:rPr>
        <w:t>比质比价</w:t>
      </w:r>
      <w:r>
        <w:rPr>
          <w:lang w:val="zh-CN"/>
        </w:rPr>
        <w:t>资料表和供应商须知</w:t>
      </w:r>
      <w:bookmarkEnd w:id="1"/>
    </w:p>
    <w:p w14:paraId="18C2736C">
      <w:pPr>
        <w:keepNext w:val="0"/>
        <w:keepLines w:val="0"/>
        <w:pageBreakBefore w:val="0"/>
        <w:widowControl/>
        <w:kinsoku/>
        <w:wordWrap/>
        <w:overflowPunct/>
        <w:topLinePunct w:val="0"/>
        <w:autoSpaceDE/>
        <w:autoSpaceDN/>
        <w:bidi w:val="0"/>
        <w:adjustRightInd/>
        <w:snapToGrid/>
        <w:ind w:firstLine="0" w:firstLineChars="0"/>
        <w:jc w:val="center"/>
        <w:textAlignment w:val="baseline"/>
      </w:pPr>
      <w:r>
        <w:rPr>
          <w:rFonts w:hint="eastAsia" w:ascii="黑体" w:hAnsi="黑体" w:eastAsia="黑体" w:cs="黑体"/>
          <w:sz w:val="32"/>
          <w:szCs w:val="32"/>
          <w:lang w:val="zh-CN"/>
        </w:rPr>
        <w:t>比质比价资料表</w:t>
      </w:r>
    </w:p>
    <w:p w14:paraId="390AF6E8">
      <w:pPr>
        <w:bidi w:val="0"/>
      </w:pPr>
      <w:r>
        <w:rPr>
          <w:rFonts w:hint="eastAsia"/>
          <w:lang w:val="zh-CN"/>
        </w:rPr>
        <w:t>比质比价</w:t>
      </w:r>
      <w:r>
        <w:rPr>
          <w:lang w:val="zh-CN"/>
        </w:rPr>
        <w:t>资料表是对供应商须知的具体说明，表格中的对应条款号是对应供应商须知中的条款编号。</w:t>
      </w:r>
    </w:p>
    <w:tbl>
      <w:tblPr>
        <w:tblStyle w:val="23"/>
        <w:tblW w:w="9722" w:type="dxa"/>
        <w:jc w:val="center"/>
        <w:tblLayout w:type="fixed"/>
        <w:tblCellMar>
          <w:top w:w="0" w:type="dxa"/>
          <w:left w:w="0" w:type="dxa"/>
          <w:bottom w:w="0" w:type="dxa"/>
          <w:right w:w="0" w:type="dxa"/>
        </w:tblCellMar>
      </w:tblPr>
      <w:tblGrid>
        <w:gridCol w:w="683"/>
        <w:gridCol w:w="986"/>
        <w:gridCol w:w="990"/>
        <w:gridCol w:w="7063"/>
      </w:tblGrid>
      <w:tr w14:paraId="2664DDDC">
        <w:tblPrEx>
          <w:tblCellMar>
            <w:top w:w="0" w:type="dxa"/>
            <w:left w:w="0" w:type="dxa"/>
            <w:bottom w:w="0" w:type="dxa"/>
            <w:right w:w="0" w:type="dxa"/>
          </w:tblCellMar>
        </w:tblPrEx>
        <w:trPr>
          <w:trHeight w:val="20" w:hRule="atLeast"/>
          <w:jc w:val="center"/>
        </w:trPr>
        <w:tc>
          <w:tcPr>
            <w:tcW w:w="683" w:type="dxa"/>
            <w:tcBorders>
              <w:top w:val="single" w:color="000000" w:sz="8" w:space="0"/>
              <w:left w:val="single" w:color="000000" w:sz="8" w:space="0"/>
              <w:bottom w:val="single" w:color="000000" w:sz="8" w:space="0"/>
              <w:right w:val="single" w:color="000000" w:sz="8" w:space="0"/>
            </w:tcBorders>
            <w:vAlign w:val="center"/>
          </w:tcPr>
          <w:p w14:paraId="394CDBD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b/>
                <w:bCs/>
                <w:lang w:val="zh-CN"/>
              </w:rPr>
            </w:pPr>
            <w:r>
              <w:rPr>
                <w:b/>
                <w:bCs/>
                <w:lang w:val="zh-CN"/>
              </w:rPr>
              <w:t>序号</w:t>
            </w:r>
          </w:p>
        </w:tc>
        <w:tc>
          <w:tcPr>
            <w:tcW w:w="986" w:type="dxa"/>
            <w:tcBorders>
              <w:top w:val="single" w:color="000000" w:sz="8" w:space="0"/>
              <w:left w:val="single" w:color="000000" w:sz="8" w:space="0"/>
              <w:bottom w:val="single" w:color="000000" w:sz="8" w:space="0"/>
              <w:right w:val="single" w:color="000000" w:sz="8" w:space="0"/>
            </w:tcBorders>
            <w:vAlign w:val="center"/>
          </w:tcPr>
          <w:p w14:paraId="35B2F40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b/>
                <w:bCs/>
                <w:lang w:val="zh-CN"/>
              </w:rPr>
            </w:pPr>
            <w:r>
              <w:rPr>
                <w:b/>
                <w:bCs/>
                <w:lang w:val="zh-CN"/>
              </w:rPr>
              <w:t>内容</w:t>
            </w:r>
          </w:p>
        </w:tc>
        <w:tc>
          <w:tcPr>
            <w:tcW w:w="990" w:type="dxa"/>
            <w:tcBorders>
              <w:top w:val="single" w:color="000000" w:sz="8" w:space="0"/>
              <w:left w:val="single" w:color="000000" w:sz="8" w:space="0"/>
              <w:bottom w:val="single" w:color="000000" w:sz="8" w:space="0"/>
              <w:right w:val="single" w:color="000000" w:sz="8" w:space="0"/>
            </w:tcBorders>
            <w:vAlign w:val="center"/>
          </w:tcPr>
          <w:p w14:paraId="6C11BC9F">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b/>
                <w:bCs/>
                <w:lang w:val="zh-CN"/>
              </w:rPr>
            </w:pPr>
            <w:r>
              <w:rPr>
                <w:b/>
                <w:bCs/>
                <w:lang w:val="zh-CN"/>
              </w:rPr>
              <w:t>对应条款号</w:t>
            </w:r>
          </w:p>
        </w:tc>
        <w:tc>
          <w:tcPr>
            <w:tcW w:w="7063" w:type="dxa"/>
            <w:tcBorders>
              <w:top w:val="single" w:color="000000" w:sz="8" w:space="0"/>
              <w:left w:val="single" w:color="000000" w:sz="8" w:space="0"/>
              <w:bottom w:val="single" w:color="000000" w:sz="8" w:space="0"/>
              <w:right w:val="single" w:color="000000" w:sz="8" w:space="0"/>
            </w:tcBorders>
            <w:vAlign w:val="center"/>
          </w:tcPr>
          <w:p w14:paraId="6615B07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b/>
                <w:bCs/>
                <w:lang w:val="zh-CN"/>
              </w:rPr>
            </w:pPr>
            <w:r>
              <w:rPr>
                <w:b/>
                <w:bCs/>
                <w:lang w:val="zh-CN"/>
              </w:rPr>
              <w:t>说明与要求</w:t>
            </w:r>
          </w:p>
        </w:tc>
      </w:tr>
      <w:tr w14:paraId="46491EC6">
        <w:tblPrEx>
          <w:tblCellMar>
            <w:top w:w="0" w:type="dxa"/>
            <w:left w:w="0" w:type="dxa"/>
            <w:bottom w:w="0" w:type="dxa"/>
            <w:right w:w="0" w:type="dxa"/>
          </w:tblCellMar>
        </w:tblPrEx>
        <w:trPr>
          <w:trHeight w:val="20" w:hRule="atLeast"/>
          <w:jc w:val="center"/>
        </w:trPr>
        <w:tc>
          <w:tcPr>
            <w:tcW w:w="683" w:type="dxa"/>
            <w:tcBorders>
              <w:top w:val="single" w:color="000000" w:sz="8" w:space="0"/>
              <w:left w:val="single" w:color="000000" w:sz="8" w:space="0"/>
              <w:bottom w:val="single" w:color="000000" w:sz="8" w:space="0"/>
              <w:right w:val="single" w:color="000000" w:sz="8" w:space="0"/>
            </w:tcBorders>
            <w:vAlign w:val="center"/>
          </w:tcPr>
          <w:p w14:paraId="0D0E262F">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1</w:t>
            </w:r>
          </w:p>
        </w:tc>
        <w:tc>
          <w:tcPr>
            <w:tcW w:w="986" w:type="dxa"/>
            <w:tcBorders>
              <w:top w:val="single" w:color="000000" w:sz="8" w:space="0"/>
              <w:left w:val="single" w:color="000000" w:sz="8" w:space="0"/>
              <w:bottom w:val="single" w:color="000000" w:sz="8" w:space="0"/>
              <w:right w:val="single" w:color="000000" w:sz="8" w:space="0"/>
            </w:tcBorders>
            <w:vAlign w:val="center"/>
          </w:tcPr>
          <w:p w14:paraId="7A6E554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rPr>
                <w:lang w:val="zh-CN"/>
              </w:rPr>
              <w:t>项目概述</w:t>
            </w:r>
          </w:p>
        </w:tc>
        <w:tc>
          <w:tcPr>
            <w:tcW w:w="990" w:type="dxa"/>
            <w:tcBorders>
              <w:top w:val="single" w:color="000000" w:sz="8" w:space="0"/>
              <w:left w:val="single" w:color="000000" w:sz="8" w:space="0"/>
              <w:bottom w:val="single" w:color="000000" w:sz="8" w:space="0"/>
              <w:right w:val="single" w:color="000000" w:sz="8" w:space="0"/>
            </w:tcBorders>
            <w:vAlign w:val="center"/>
          </w:tcPr>
          <w:p w14:paraId="0AC11EEF">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1.1</w:t>
            </w:r>
          </w:p>
        </w:tc>
        <w:tc>
          <w:tcPr>
            <w:tcW w:w="7063" w:type="dxa"/>
            <w:tcBorders>
              <w:top w:val="single" w:color="000000" w:sz="8" w:space="0"/>
              <w:left w:val="single" w:color="000000" w:sz="8" w:space="0"/>
              <w:bottom w:val="single" w:color="000000" w:sz="8" w:space="0"/>
              <w:right w:val="single" w:color="000000" w:sz="8" w:space="0"/>
            </w:tcBorders>
            <w:vAlign w:val="center"/>
          </w:tcPr>
          <w:p w14:paraId="4B5F59B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lang w:val="zh-CN"/>
              </w:rPr>
              <w:t>采购人名称：</w:t>
            </w:r>
            <w:r>
              <w:rPr>
                <w:rFonts w:hint="eastAsia"/>
                <w:lang w:val="zh-CN"/>
              </w:rPr>
              <w:t>鹰潭一八四医院</w:t>
            </w:r>
          </w:p>
          <w:p w14:paraId="2EB215B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eastAsia="zh-CN"/>
              </w:rPr>
            </w:pPr>
            <w:r>
              <w:rPr>
                <w:lang w:val="zh-CN"/>
              </w:rPr>
              <w:t>项目名称：</w:t>
            </w:r>
            <w:r>
              <w:rPr>
                <w:rFonts w:hint="eastAsia"/>
                <w:lang w:eastAsia="zh-CN"/>
              </w:rPr>
              <w:t>鹰潭一八四医院</w:t>
            </w:r>
            <w:r>
              <w:rPr>
                <w:rFonts w:hint="eastAsia"/>
                <w:lang w:val="en-US" w:eastAsia="zh-CN"/>
              </w:rPr>
              <w:t>便携式电子鼻咽喉镜</w:t>
            </w:r>
            <w:r>
              <w:rPr>
                <w:rFonts w:hint="eastAsia"/>
                <w:lang w:eastAsia="zh-CN"/>
              </w:rPr>
              <w:t>项目</w:t>
            </w:r>
          </w:p>
          <w:p w14:paraId="5239EA2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en-US" w:eastAsia="zh-CN"/>
              </w:rPr>
            </w:pPr>
            <w:r>
              <w:rPr>
                <w:lang w:val="zh-CN"/>
              </w:rPr>
              <w:t>项目编号：</w:t>
            </w:r>
            <w:r>
              <w:rPr>
                <w:rFonts w:hint="eastAsia"/>
                <w:highlight w:val="none"/>
                <w:lang w:val="en-US" w:eastAsia="zh-CN"/>
              </w:rPr>
              <w:t>gkbz2025111300040</w:t>
            </w:r>
          </w:p>
          <w:p w14:paraId="6B70BCB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lang w:val="zh-CN"/>
              </w:rPr>
            </w:pPr>
            <w:r>
              <w:rPr>
                <w:lang w:val="zh-CN"/>
              </w:rPr>
              <w:t>采购内容：详见需求书。</w:t>
            </w:r>
          </w:p>
          <w:p w14:paraId="419E0F4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lang w:val="zh-CN"/>
              </w:rPr>
            </w:pPr>
            <w:r>
              <w:rPr>
                <w:rFonts w:hint="eastAsia"/>
                <w:lang w:val="zh-CN"/>
              </w:rPr>
              <w:t>采购人</w:t>
            </w:r>
            <w:r>
              <w:rPr>
                <w:lang w:val="zh-CN"/>
              </w:rPr>
              <w:t>地址：</w:t>
            </w:r>
            <w:r>
              <w:rPr>
                <w:rFonts w:hint="eastAsia"/>
                <w:lang w:val="zh-CN"/>
              </w:rPr>
              <w:t>江西省鹰潭市月湖区湖东路4号</w:t>
            </w:r>
          </w:p>
        </w:tc>
      </w:tr>
      <w:tr w14:paraId="7990A2BF">
        <w:tblPrEx>
          <w:tblCellMar>
            <w:top w:w="0" w:type="dxa"/>
            <w:left w:w="0" w:type="dxa"/>
            <w:bottom w:w="0" w:type="dxa"/>
            <w:right w:w="0" w:type="dxa"/>
          </w:tblCellMar>
        </w:tblPrEx>
        <w:trPr>
          <w:trHeight w:val="20" w:hRule="atLeast"/>
          <w:jc w:val="center"/>
        </w:trPr>
        <w:tc>
          <w:tcPr>
            <w:tcW w:w="683" w:type="dxa"/>
            <w:tcBorders>
              <w:top w:val="single" w:color="000000" w:sz="8" w:space="0"/>
              <w:left w:val="single" w:color="000000" w:sz="8" w:space="0"/>
              <w:bottom w:val="single" w:color="000000" w:sz="8" w:space="0"/>
              <w:right w:val="single" w:color="000000" w:sz="8" w:space="0"/>
            </w:tcBorders>
            <w:vAlign w:val="center"/>
          </w:tcPr>
          <w:p w14:paraId="47B7411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2</w:t>
            </w:r>
          </w:p>
        </w:tc>
        <w:tc>
          <w:tcPr>
            <w:tcW w:w="986" w:type="dxa"/>
            <w:tcBorders>
              <w:top w:val="single" w:color="000000" w:sz="8" w:space="0"/>
              <w:left w:val="single" w:color="000000" w:sz="8" w:space="0"/>
              <w:bottom w:val="single" w:color="000000" w:sz="8" w:space="0"/>
              <w:right w:val="single" w:color="000000" w:sz="8" w:space="0"/>
            </w:tcBorders>
            <w:vAlign w:val="center"/>
          </w:tcPr>
          <w:p w14:paraId="106975F3">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rPr>
                <w:lang w:val="zh-CN"/>
              </w:rPr>
              <w:t>供应商的资格要求</w:t>
            </w:r>
          </w:p>
        </w:tc>
        <w:tc>
          <w:tcPr>
            <w:tcW w:w="990" w:type="dxa"/>
            <w:tcBorders>
              <w:top w:val="single" w:color="000000" w:sz="8" w:space="0"/>
              <w:left w:val="single" w:color="000000" w:sz="8" w:space="0"/>
              <w:bottom w:val="single" w:color="000000" w:sz="8" w:space="0"/>
              <w:right w:val="single" w:color="000000" w:sz="8" w:space="0"/>
            </w:tcBorders>
            <w:vAlign w:val="center"/>
          </w:tcPr>
          <w:p w14:paraId="362B806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2.1</w:t>
            </w:r>
          </w:p>
        </w:tc>
        <w:tc>
          <w:tcPr>
            <w:tcW w:w="7063" w:type="dxa"/>
            <w:tcBorders>
              <w:top w:val="single" w:color="000000" w:sz="8" w:space="0"/>
              <w:left w:val="single" w:color="000000" w:sz="8" w:space="0"/>
              <w:bottom w:val="single" w:color="000000" w:sz="8" w:space="0"/>
              <w:right w:val="single" w:color="000000" w:sz="8" w:space="0"/>
            </w:tcBorders>
            <w:vAlign w:val="center"/>
          </w:tcPr>
          <w:p w14:paraId="5ADF7C2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1 满足法律法规的要求，包括：</w:t>
            </w:r>
          </w:p>
          <w:p w14:paraId="44258DE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（1）在中华人民共和国注册并合法经营，具有独立承担民事责任的能力，且无外资、港澳台背景；</w:t>
            </w:r>
          </w:p>
          <w:p w14:paraId="02C4C6C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（2）具有良好的商业信誉和健全的财务会计制度；</w:t>
            </w:r>
          </w:p>
          <w:p w14:paraId="72659E2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（3）具有依法缴纳税收和社会保障资金的良好记录；</w:t>
            </w:r>
          </w:p>
          <w:p w14:paraId="38769C5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（4）具有履行合同所必须的设备和专业技术能力；</w:t>
            </w:r>
          </w:p>
          <w:p w14:paraId="2E635D3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（5）参加此采购活动前三年内，在经营活动中没有重大违法记录；</w:t>
            </w:r>
          </w:p>
          <w:p w14:paraId="72C84D7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（6）符合法律、法规规定的其他条件。</w:t>
            </w:r>
          </w:p>
          <w:p w14:paraId="7995D01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2 供应商无不良信用记录。</w:t>
            </w:r>
          </w:p>
          <w:p w14:paraId="3FCB5522">
            <w:pPr>
              <w:pStyle w:val="12"/>
              <w:keepNext w:val="0"/>
              <w:keepLines w:val="0"/>
              <w:pageBreakBefore w:val="0"/>
              <w:kinsoku/>
              <w:wordWrap/>
              <w:overflowPunct/>
              <w:topLinePunct w:val="0"/>
              <w:autoSpaceDE/>
              <w:autoSpaceDN/>
              <w:bidi w:val="0"/>
              <w:adjustRightInd/>
              <w:snapToGrid/>
              <w:spacing w:line="440" w:lineRule="exact"/>
              <w:ind w:left="0" w:leftChars="0" w:firstLine="0" w:firstLineChars="0"/>
              <w:rPr>
                <w:rFonts w:hint="eastAsia" w:ascii="Times New Roman" w:hAnsi="Times New Roman" w:eastAsia="仿宋_GB2312" w:cstheme="minorBidi"/>
                <w:color w:val="auto"/>
                <w:kern w:val="2"/>
                <w:sz w:val="28"/>
                <w:szCs w:val="21"/>
                <w:lang w:val="zh-CN" w:eastAsia="zh-CN" w:bidi="ar-SA"/>
              </w:rPr>
            </w:pPr>
            <w:r>
              <w:rPr>
                <w:rFonts w:hint="eastAsia" w:ascii="Times New Roman" w:hAnsi="Times New Roman" w:eastAsia="仿宋_GB2312" w:cstheme="minorBidi"/>
                <w:color w:val="auto"/>
                <w:kern w:val="2"/>
                <w:sz w:val="28"/>
                <w:szCs w:val="21"/>
                <w:lang w:val="en-US" w:eastAsia="zh-CN" w:bidi="ar-SA"/>
              </w:rPr>
              <w:t xml:space="preserve">3 </w:t>
            </w:r>
            <w:r>
              <w:rPr>
                <w:rFonts w:hint="eastAsia" w:ascii="Times New Roman" w:hAnsi="Times New Roman" w:eastAsia="仿宋_GB2312" w:cstheme="minorBidi"/>
                <w:color w:val="auto"/>
                <w:kern w:val="2"/>
                <w:sz w:val="28"/>
                <w:szCs w:val="21"/>
                <w:lang w:val="zh-CN" w:eastAsia="zh-CN" w:bidi="ar-SA"/>
              </w:rPr>
              <w:t>单位法定代表人/负责人为同一人或存在控股、管理关系的不同单位，不得参加同一标段应答或者未划分标段的同一项目应答。</w:t>
            </w:r>
          </w:p>
          <w:p w14:paraId="4F53FFB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en-US" w:eastAsia="zh-CN"/>
              </w:rPr>
              <w:t>4</w:t>
            </w:r>
            <w:r>
              <w:rPr>
                <w:rFonts w:hint="eastAsia"/>
                <w:lang w:val="zh-CN"/>
              </w:rPr>
              <w:t xml:space="preserve"> 供应商不得存在下列情形之一：</w:t>
            </w:r>
          </w:p>
          <w:p w14:paraId="443C3E0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（1）与本项目其他供应商的单位负责人为同一人；</w:t>
            </w:r>
          </w:p>
          <w:p w14:paraId="706710C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（2）与本项目其他供应商存在直接控股或管理关系；</w:t>
            </w:r>
          </w:p>
          <w:p w14:paraId="11A7B3A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（3）近三年内在经营活动中存在以下严重不良情形：</w:t>
            </w:r>
          </w:p>
          <w:p w14:paraId="3827D2B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①被本项目所在地省级以上行业主管部门依法暂停、取消投标成绩并禁止参加采购活动的；</w:t>
            </w:r>
          </w:p>
          <w:p w14:paraId="28A4046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②处于被责令停产停业、暂扣或者吊销执照、暂扣或者吊销许可证、吊销资质证书状态；</w:t>
            </w:r>
          </w:p>
          <w:p w14:paraId="5E04CA3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③进入清算程序，或被宣告破产，或其他丧失履约能力情形的；</w:t>
            </w:r>
          </w:p>
          <w:p w14:paraId="70286F4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lang w:val="zh-CN"/>
              </w:rPr>
            </w:pPr>
            <w:r>
              <w:rPr>
                <w:rFonts w:hint="eastAsia"/>
                <w:lang w:val="zh-CN"/>
              </w:rPr>
              <w:t>④根据公司供应商管理要求，被禁止参与采购活动且处于有效期内的；</w:t>
            </w:r>
          </w:p>
          <w:p w14:paraId="7F61C071">
            <w:pPr>
              <w:keepNext w:val="0"/>
              <w:keepLines w:val="0"/>
              <w:pageBreakBefore w:val="0"/>
              <w:kinsoku/>
              <w:wordWrap/>
              <w:overflowPunct/>
              <w:topLinePunct w:val="0"/>
              <w:autoSpaceDE/>
              <w:autoSpaceDN/>
              <w:bidi w:val="0"/>
              <w:adjustRightInd/>
              <w:snapToGrid/>
              <w:spacing w:line="440" w:lineRule="exact"/>
              <w:ind w:left="0" w:leftChars="0" w:firstLine="0" w:firstLineChars="0"/>
              <w:rPr>
                <w:rFonts w:hint="eastAsia"/>
                <w:lang w:val="zh-CN"/>
              </w:rPr>
            </w:pPr>
            <w:r>
              <w:rPr>
                <w:rFonts w:hint="eastAsia"/>
                <w:lang w:val="zh-CN"/>
              </w:rPr>
              <w:t>⑤被列入中国融通资产管理集团有限公司商业活动“黑名单”。</w:t>
            </w:r>
          </w:p>
          <w:p w14:paraId="0300D385">
            <w:pPr>
              <w:keepNext w:val="0"/>
              <w:keepLines w:val="0"/>
              <w:pageBreakBefore w:val="0"/>
              <w:kinsoku/>
              <w:wordWrap/>
              <w:overflowPunct/>
              <w:topLinePunct w:val="0"/>
              <w:autoSpaceDE/>
              <w:autoSpaceDN/>
              <w:bidi w:val="0"/>
              <w:adjustRightInd/>
              <w:snapToGrid/>
              <w:spacing w:line="440" w:lineRule="exact"/>
              <w:ind w:left="0" w:leftChars="0" w:firstLine="0" w:firstLineChars="0"/>
              <w:rPr>
                <w:lang w:val="zh-CN"/>
              </w:rPr>
            </w:pPr>
            <w:r>
              <w:rPr>
                <w:rFonts w:hint="eastAsia"/>
                <w:color w:val="auto"/>
              </w:rPr>
              <w:t>⑥在国务院国有资产监督管理委员会发布的</w:t>
            </w:r>
            <w:r>
              <w:rPr>
                <w:rFonts w:hint="eastAsia"/>
                <w:color w:val="auto"/>
                <w:lang w:eastAsia="zh-CN"/>
              </w:rPr>
              <w:t>“</w:t>
            </w:r>
            <w:r>
              <w:rPr>
                <w:rFonts w:hint="eastAsia"/>
                <w:color w:val="auto"/>
              </w:rPr>
              <w:t>假冒中央企业名单</w:t>
            </w:r>
            <w:r>
              <w:rPr>
                <w:rFonts w:hint="eastAsia"/>
                <w:color w:val="auto"/>
                <w:lang w:eastAsia="zh-CN"/>
              </w:rPr>
              <w:t>”</w:t>
            </w:r>
            <w:r>
              <w:rPr>
                <w:rFonts w:hint="eastAsia"/>
                <w:color w:val="auto"/>
              </w:rPr>
              <w:t>内的</w:t>
            </w:r>
            <w:r>
              <w:rPr>
                <w:rFonts w:hint="eastAsia"/>
                <w:color w:val="auto"/>
                <w:lang w:eastAsia="zh-CN"/>
              </w:rPr>
              <w:t>。</w:t>
            </w:r>
          </w:p>
        </w:tc>
      </w:tr>
      <w:tr w14:paraId="5F0B5926">
        <w:tblPrEx>
          <w:tblCellMar>
            <w:top w:w="0" w:type="dxa"/>
            <w:left w:w="0" w:type="dxa"/>
            <w:bottom w:w="0" w:type="dxa"/>
            <w:right w:w="0" w:type="dxa"/>
          </w:tblCellMar>
        </w:tblPrEx>
        <w:trPr>
          <w:trHeight w:val="20" w:hRule="atLeast"/>
          <w:jc w:val="center"/>
        </w:trPr>
        <w:tc>
          <w:tcPr>
            <w:tcW w:w="683" w:type="dxa"/>
            <w:tcBorders>
              <w:top w:val="single" w:color="000000" w:sz="8" w:space="0"/>
              <w:left w:val="single" w:color="000000" w:sz="8" w:space="0"/>
              <w:bottom w:val="single" w:color="000000" w:sz="8" w:space="0"/>
              <w:right w:val="single" w:color="000000" w:sz="8" w:space="0"/>
            </w:tcBorders>
            <w:vAlign w:val="center"/>
          </w:tcPr>
          <w:p w14:paraId="43A2020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3</w:t>
            </w:r>
          </w:p>
        </w:tc>
        <w:tc>
          <w:tcPr>
            <w:tcW w:w="986" w:type="dxa"/>
            <w:tcBorders>
              <w:top w:val="single" w:color="000000" w:sz="8" w:space="0"/>
              <w:left w:val="single" w:color="000000" w:sz="8" w:space="0"/>
              <w:bottom w:val="single" w:color="000000" w:sz="8" w:space="0"/>
              <w:right w:val="single" w:color="000000" w:sz="8" w:space="0"/>
            </w:tcBorders>
            <w:vAlign w:val="center"/>
          </w:tcPr>
          <w:p w14:paraId="64263B1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rPr>
                <w:lang w:val="zh-CN"/>
              </w:rPr>
              <w:t>对联合体参与响应的要求</w:t>
            </w:r>
          </w:p>
        </w:tc>
        <w:tc>
          <w:tcPr>
            <w:tcW w:w="990" w:type="dxa"/>
            <w:tcBorders>
              <w:top w:val="single" w:color="000000" w:sz="8" w:space="0"/>
              <w:left w:val="single" w:color="000000" w:sz="8" w:space="0"/>
              <w:bottom w:val="single" w:color="000000" w:sz="8" w:space="0"/>
              <w:right w:val="single" w:color="000000" w:sz="8" w:space="0"/>
            </w:tcBorders>
            <w:vAlign w:val="center"/>
          </w:tcPr>
          <w:p w14:paraId="21BDC1D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2.2</w:t>
            </w:r>
          </w:p>
        </w:tc>
        <w:tc>
          <w:tcPr>
            <w:tcW w:w="7063" w:type="dxa"/>
            <w:tcBorders>
              <w:top w:val="single" w:color="000000" w:sz="8" w:space="0"/>
              <w:left w:val="single" w:color="000000" w:sz="8" w:space="0"/>
              <w:bottom w:val="single" w:color="000000" w:sz="8" w:space="0"/>
              <w:right w:val="single" w:color="000000" w:sz="8" w:space="0"/>
            </w:tcBorders>
            <w:vAlign w:val="center"/>
          </w:tcPr>
          <w:p w14:paraId="76B18F8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pPr>
            <w:r>
              <w:t>对联合体的要求：本项目不接受联合体。</w:t>
            </w:r>
          </w:p>
        </w:tc>
      </w:tr>
      <w:tr w14:paraId="5C5C6332">
        <w:tblPrEx>
          <w:tblCellMar>
            <w:top w:w="0" w:type="dxa"/>
            <w:left w:w="0" w:type="dxa"/>
            <w:bottom w:w="0" w:type="dxa"/>
            <w:right w:w="0" w:type="dxa"/>
          </w:tblCellMar>
        </w:tblPrEx>
        <w:trPr>
          <w:trHeight w:val="1119" w:hRule="atLeast"/>
          <w:jc w:val="center"/>
        </w:trPr>
        <w:tc>
          <w:tcPr>
            <w:tcW w:w="683" w:type="dxa"/>
            <w:tcBorders>
              <w:top w:val="single" w:color="000000" w:sz="8" w:space="0"/>
              <w:left w:val="single" w:color="000000" w:sz="8" w:space="0"/>
              <w:bottom w:val="single" w:color="000000" w:sz="8" w:space="0"/>
              <w:right w:val="single" w:color="000000" w:sz="8" w:space="0"/>
            </w:tcBorders>
            <w:vAlign w:val="center"/>
          </w:tcPr>
          <w:p w14:paraId="022AC7E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4</w:t>
            </w:r>
          </w:p>
        </w:tc>
        <w:tc>
          <w:tcPr>
            <w:tcW w:w="986" w:type="dxa"/>
            <w:tcBorders>
              <w:top w:val="single" w:color="000000" w:sz="8" w:space="0"/>
              <w:left w:val="single" w:color="000000" w:sz="8" w:space="0"/>
              <w:bottom w:val="single" w:color="000000" w:sz="8" w:space="0"/>
              <w:right w:val="single" w:color="000000" w:sz="8" w:space="0"/>
            </w:tcBorders>
            <w:vAlign w:val="center"/>
          </w:tcPr>
          <w:p w14:paraId="517FBEB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rPr>
                <w:lang w:val="zh-CN"/>
              </w:rPr>
              <w:t>现场踏勘</w:t>
            </w:r>
          </w:p>
        </w:tc>
        <w:tc>
          <w:tcPr>
            <w:tcW w:w="990" w:type="dxa"/>
            <w:tcBorders>
              <w:top w:val="single" w:color="000000" w:sz="8" w:space="0"/>
              <w:left w:val="single" w:color="000000" w:sz="8" w:space="0"/>
              <w:bottom w:val="single" w:color="000000" w:sz="8" w:space="0"/>
              <w:right w:val="single" w:color="000000" w:sz="8" w:space="0"/>
            </w:tcBorders>
            <w:vAlign w:val="center"/>
          </w:tcPr>
          <w:p w14:paraId="72EBB74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7.4</w:t>
            </w:r>
          </w:p>
        </w:tc>
        <w:tc>
          <w:tcPr>
            <w:tcW w:w="7063" w:type="dxa"/>
            <w:tcBorders>
              <w:top w:val="single" w:color="000000" w:sz="8" w:space="0"/>
              <w:left w:val="single" w:color="000000" w:sz="8" w:space="0"/>
              <w:bottom w:val="single" w:color="000000" w:sz="8" w:space="0"/>
              <w:right w:val="single" w:color="000000" w:sz="8" w:space="0"/>
            </w:tcBorders>
            <w:vAlign w:val="center"/>
          </w:tcPr>
          <w:p w14:paraId="3ECC734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default" w:eastAsia="仿宋_GB2312"/>
                <w:lang w:val="en-US" w:eastAsia="zh-CN"/>
              </w:rPr>
            </w:pPr>
            <w:r>
              <w:rPr>
                <w:highlight w:val="none"/>
                <w:lang w:val="zh-CN"/>
              </w:rPr>
              <w:t>现场踏勘安排：</w:t>
            </w:r>
            <w:r>
              <w:rPr>
                <w:rFonts w:hint="eastAsia"/>
                <w:highlight w:val="none"/>
                <w:lang w:eastAsia="zh-CN"/>
              </w:rPr>
              <w:t>无</w:t>
            </w:r>
          </w:p>
        </w:tc>
      </w:tr>
      <w:tr w14:paraId="2C944347">
        <w:tblPrEx>
          <w:tblCellMar>
            <w:top w:w="0" w:type="dxa"/>
            <w:left w:w="0" w:type="dxa"/>
            <w:bottom w:w="0" w:type="dxa"/>
            <w:right w:w="0" w:type="dxa"/>
          </w:tblCellMar>
        </w:tblPrEx>
        <w:trPr>
          <w:trHeight w:val="474" w:hRule="atLeast"/>
          <w:jc w:val="center"/>
        </w:trPr>
        <w:tc>
          <w:tcPr>
            <w:tcW w:w="683" w:type="dxa"/>
            <w:tcBorders>
              <w:top w:val="single" w:color="000000" w:sz="8" w:space="0"/>
              <w:left w:val="single" w:color="000000" w:sz="8" w:space="0"/>
              <w:bottom w:val="single" w:color="000000" w:sz="8" w:space="0"/>
              <w:right w:val="single" w:color="000000" w:sz="8" w:space="0"/>
            </w:tcBorders>
            <w:vAlign w:val="center"/>
          </w:tcPr>
          <w:p w14:paraId="059CA35F">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5</w:t>
            </w:r>
          </w:p>
        </w:tc>
        <w:tc>
          <w:tcPr>
            <w:tcW w:w="986" w:type="dxa"/>
            <w:tcBorders>
              <w:top w:val="single" w:color="000000" w:sz="8" w:space="0"/>
              <w:left w:val="single" w:color="000000" w:sz="8" w:space="0"/>
              <w:bottom w:val="single" w:color="000000" w:sz="8" w:space="0"/>
              <w:right w:val="single" w:color="000000" w:sz="8" w:space="0"/>
            </w:tcBorders>
            <w:vAlign w:val="center"/>
          </w:tcPr>
          <w:p w14:paraId="0C0DC0A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rPr>
                <w:lang w:val="zh-CN"/>
              </w:rPr>
              <w:t>答疑会</w:t>
            </w:r>
          </w:p>
        </w:tc>
        <w:tc>
          <w:tcPr>
            <w:tcW w:w="990" w:type="dxa"/>
            <w:tcBorders>
              <w:top w:val="single" w:color="000000" w:sz="8" w:space="0"/>
              <w:left w:val="single" w:color="000000" w:sz="8" w:space="0"/>
              <w:bottom w:val="single" w:color="000000" w:sz="8" w:space="0"/>
              <w:right w:val="single" w:color="000000" w:sz="8" w:space="0"/>
            </w:tcBorders>
            <w:vAlign w:val="center"/>
          </w:tcPr>
          <w:p w14:paraId="0E4F1487">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7.5</w:t>
            </w:r>
          </w:p>
        </w:tc>
        <w:tc>
          <w:tcPr>
            <w:tcW w:w="7063" w:type="dxa"/>
            <w:tcBorders>
              <w:top w:val="single" w:color="000000" w:sz="8" w:space="0"/>
              <w:left w:val="single" w:color="000000" w:sz="8" w:space="0"/>
              <w:bottom w:val="single" w:color="000000" w:sz="8" w:space="0"/>
              <w:right w:val="single" w:color="000000" w:sz="8" w:space="0"/>
            </w:tcBorders>
            <w:vAlign w:val="center"/>
          </w:tcPr>
          <w:p w14:paraId="4DB3FA8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lang w:val="zh-CN"/>
              </w:rPr>
            </w:pPr>
            <w:r>
              <w:rPr>
                <w:lang w:val="zh-CN"/>
              </w:rPr>
              <w:t>答疑会安排：</w:t>
            </w:r>
            <w:r>
              <w:t>无</w:t>
            </w:r>
          </w:p>
        </w:tc>
      </w:tr>
      <w:tr w14:paraId="003736E4">
        <w:tblPrEx>
          <w:tblCellMar>
            <w:top w:w="0" w:type="dxa"/>
            <w:left w:w="0" w:type="dxa"/>
            <w:bottom w:w="0" w:type="dxa"/>
            <w:right w:w="0" w:type="dxa"/>
          </w:tblCellMar>
        </w:tblPrEx>
        <w:trPr>
          <w:trHeight w:val="90" w:hRule="atLeast"/>
          <w:jc w:val="center"/>
        </w:trPr>
        <w:tc>
          <w:tcPr>
            <w:tcW w:w="683" w:type="dxa"/>
            <w:tcBorders>
              <w:top w:val="single" w:color="000000" w:sz="8" w:space="0"/>
              <w:left w:val="single" w:color="000000" w:sz="8" w:space="0"/>
              <w:right w:val="single" w:color="000000" w:sz="8" w:space="0"/>
            </w:tcBorders>
            <w:vAlign w:val="center"/>
          </w:tcPr>
          <w:p w14:paraId="5141307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color w:val="auto"/>
                <w:lang w:val="zh-CN"/>
              </w:rPr>
            </w:pPr>
            <w:r>
              <w:rPr>
                <w:color w:val="auto"/>
              </w:rPr>
              <w:t>6</w:t>
            </w:r>
          </w:p>
          <w:p w14:paraId="2590624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color w:val="auto"/>
                <w:lang w:val="zh-CN"/>
              </w:rPr>
            </w:pPr>
          </w:p>
        </w:tc>
        <w:tc>
          <w:tcPr>
            <w:tcW w:w="986" w:type="dxa"/>
            <w:tcBorders>
              <w:top w:val="single" w:color="000000" w:sz="8" w:space="0"/>
              <w:left w:val="single" w:color="000000" w:sz="8" w:space="0"/>
              <w:right w:val="single" w:color="000000" w:sz="8" w:space="0"/>
            </w:tcBorders>
            <w:vAlign w:val="center"/>
          </w:tcPr>
          <w:p w14:paraId="78B2DD2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color w:val="auto"/>
                <w:lang w:val="zh-CN"/>
              </w:rPr>
            </w:pPr>
            <w:r>
              <w:rPr>
                <w:color w:val="auto"/>
                <w:lang w:val="zh-CN"/>
              </w:rPr>
              <w:t>响应文件的构成</w:t>
            </w:r>
          </w:p>
          <w:p w14:paraId="12F491C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color w:val="auto"/>
                <w:lang w:val="zh-CN"/>
              </w:rPr>
            </w:pPr>
          </w:p>
        </w:tc>
        <w:tc>
          <w:tcPr>
            <w:tcW w:w="990" w:type="dxa"/>
            <w:tcBorders>
              <w:top w:val="single" w:color="000000" w:sz="8" w:space="0"/>
              <w:left w:val="single" w:color="000000" w:sz="8" w:space="0"/>
              <w:right w:val="single" w:color="000000" w:sz="8" w:space="0"/>
            </w:tcBorders>
            <w:vAlign w:val="center"/>
          </w:tcPr>
          <w:p w14:paraId="4C87367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color w:val="auto"/>
                <w:lang w:val="zh-CN"/>
              </w:rPr>
            </w:pPr>
            <w:r>
              <w:rPr>
                <w:color w:val="auto"/>
              </w:rPr>
              <w:t>9.1</w:t>
            </w:r>
          </w:p>
          <w:p w14:paraId="68493B2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color w:val="auto"/>
                <w:lang w:val="zh-CN"/>
              </w:rPr>
            </w:pPr>
          </w:p>
        </w:tc>
        <w:tc>
          <w:tcPr>
            <w:tcW w:w="7063" w:type="dxa"/>
            <w:tcBorders>
              <w:top w:val="single" w:color="000000" w:sz="8" w:space="0"/>
              <w:left w:val="single" w:color="000000" w:sz="8" w:space="0"/>
              <w:right w:val="single" w:color="000000" w:sz="8" w:space="0"/>
            </w:tcBorders>
            <w:vAlign w:val="center"/>
          </w:tcPr>
          <w:p w14:paraId="46398A6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b w:val="0"/>
                <w:bCs w:val="0"/>
                <w:color w:val="auto"/>
              </w:rPr>
            </w:pPr>
            <w:r>
              <w:rPr>
                <w:rFonts w:hint="eastAsia"/>
                <w:b w:val="0"/>
                <w:bCs w:val="0"/>
                <w:color w:val="auto"/>
                <w:lang w:val="en-US" w:eastAsia="zh-CN"/>
              </w:rPr>
              <w:t>1.</w:t>
            </w:r>
            <w:r>
              <w:rPr>
                <w:rFonts w:hint="eastAsia"/>
                <w:b w:val="0"/>
                <w:bCs w:val="0"/>
                <w:color w:val="auto"/>
              </w:rPr>
              <w:t>应答函（格式见附件</w:t>
            </w:r>
            <w:r>
              <w:rPr>
                <w:rFonts w:hint="eastAsia"/>
                <w:b w:val="0"/>
                <w:bCs w:val="0"/>
                <w:color w:val="auto"/>
                <w:lang w:val="en-US" w:eastAsia="zh-CN"/>
              </w:rPr>
              <w:t>1</w:t>
            </w:r>
            <w:r>
              <w:rPr>
                <w:rFonts w:hint="eastAsia"/>
                <w:b w:val="0"/>
                <w:bCs w:val="0"/>
                <w:color w:val="auto"/>
              </w:rPr>
              <w:t>）；</w:t>
            </w:r>
          </w:p>
          <w:p w14:paraId="2813DEE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b w:val="0"/>
                <w:bCs w:val="0"/>
                <w:color w:val="auto"/>
              </w:rPr>
            </w:pPr>
            <w:r>
              <w:rPr>
                <w:rFonts w:hint="eastAsia"/>
                <w:b w:val="0"/>
                <w:bCs w:val="0"/>
                <w:color w:val="auto"/>
                <w:lang w:val="en-US" w:eastAsia="zh-CN"/>
              </w:rPr>
              <w:t>2.</w:t>
            </w:r>
            <w:r>
              <w:rPr>
                <w:rFonts w:hint="eastAsia"/>
                <w:b w:val="0"/>
                <w:bCs w:val="0"/>
                <w:color w:val="auto"/>
              </w:rPr>
              <w:t>法定代表人授权书（授权代表为非法定代表人时提供，格式见附件</w:t>
            </w:r>
            <w:r>
              <w:rPr>
                <w:rFonts w:hint="eastAsia"/>
                <w:b w:val="0"/>
                <w:bCs w:val="0"/>
                <w:color w:val="auto"/>
                <w:lang w:val="en-US" w:eastAsia="zh-CN"/>
              </w:rPr>
              <w:t>2</w:t>
            </w:r>
            <w:r>
              <w:rPr>
                <w:rFonts w:hint="eastAsia"/>
                <w:b w:val="0"/>
                <w:bCs w:val="0"/>
                <w:color w:val="auto"/>
              </w:rPr>
              <w:t>）；</w:t>
            </w:r>
          </w:p>
          <w:p w14:paraId="6468381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b w:val="0"/>
                <w:bCs w:val="0"/>
                <w:color w:val="auto"/>
                <w:highlight w:val="none"/>
              </w:rPr>
            </w:pPr>
            <w:r>
              <w:rPr>
                <w:rFonts w:hint="eastAsia"/>
                <w:b w:val="0"/>
                <w:bCs w:val="0"/>
                <w:color w:val="auto"/>
                <w:lang w:val="en-US" w:eastAsia="zh-CN"/>
              </w:rPr>
              <w:t>3</w:t>
            </w:r>
            <w:r>
              <w:rPr>
                <w:rFonts w:hint="eastAsia"/>
                <w:b w:val="0"/>
                <w:bCs w:val="0"/>
                <w:color w:val="auto"/>
                <w:highlight w:val="none"/>
                <w:lang w:val="en-US" w:eastAsia="zh-CN"/>
              </w:rPr>
              <w:t>.</w:t>
            </w:r>
            <w:r>
              <w:rPr>
                <w:rFonts w:hint="eastAsia"/>
                <w:b w:val="0"/>
                <w:bCs w:val="0"/>
                <w:color w:val="auto"/>
                <w:highlight w:val="none"/>
              </w:rPr>
              <w:t>报价一览表（格式见附件</w:t>
            </w:r>
            <w:r>
              <w:rPr>
                <w:rFonts w:hint="eastAsia"/>
                <w:b w:val="0"/>
                <w:bCs w:val="0"/>
                <w:color w:val="auto"/>
                <w:highlight w:val="none"/>
                <w:lang w:val="en-US" w:eastAsia="zh-CN"/>
              </w:rPr>
              <w:t>3</w:t>
            </w:r>
            <w:r>
              <w:rPr>
                <w:rFonts w:hint="eastAsia"/>
                <w:b w:val="0"/>
                <w:bCs w:val="0"/>
                <w:color w:val="auto"/>
                <w:highlight w:val="none"/>
              </w:rPr>
              <w:t>）；</w:t>
            </w:r>
          </w:p>
          <w:p w14:paraId="085D863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b w:val="0"/>
                <w:bCs w:val="0"/>
                <w:color w:val="auto"/>
                <w:highlight w:val="none"/>
              </w:rPr>
            </w:pPr>
            <w:r>
              <w:rPr>
                <w:rFonts w:hint="eastAsia"/>
                <w:b w:val="0"/>
                <w:bCs w:val="0"/>
                <w:color w:val="auto"/>
                <w:highlight w:val="none"/>
                <w:lang w:val="en-US" w:eastAsia="zh-CN"/>
              </w:rPr>
              <w:t>4.</w:t>
            </w:r>
            <w:r>
              <w:rPr>
                <w:rFonts w:hint="eastAsia"/>
                <w:b w:val="0"/>
                <w:bCs w:val="0"/>
                <w:color w:val="auto"/>
                <w:highlight w:val="none"/>
              </w:rPr>
              <w:t>资格声明函（格式见附件</w:t>
            </w:r>
            <w:r>
              <w:rPr>
                <w:rFonts w:hint="eastAsia"/>
                <w:b w:val="0"/>
                <w:bCs w:val="0"/>
                <w:color w:val="auto"/>
                <w:highlight w:val="none"/>
                <w:lang w:val="en-US" w:eastAsia="zh-CN"/>
              </w:rPr>
              <w:t>4</w:t>
            </w:r>
            <w:r>
              <w:rPr>
                <w:rFonts w:hint="eastAsia"/>
                <w:b w:val="0"/>
                <w:bCs w:val="0"/>
                <w:color w:val="auto"/>
                <w:highlight w:val="none"/>
              </w:rPr>
              <w:t>）；</w:t>
            </w:r>
          </w:p>
          <w:p w14:paraId="28B105A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eastAsia="仿宋_GB2312"/>
                <w:highlight w:val="yellow"/>
                <w:lang w:eastAsia="zh-CN"/>
              </w:rPr>
            </w:pPr>
            <w:r>
              <w:rPr>
                <w:rFonts w:hint="eastAsia"/>
                <w:b w:val="0"/>
                <w:bCs w:val="0"/>
                <w:color w:val="auto"/>
                <w:highlight w:val="none"/>
                <w:lang w:val="en-US" w:eastAsia="zh-CN"/>
              </w:rPr>
              <w:t>5.</w:t>
            </w:r>
            <w:r>
              <w:rPr>
                <w:rFonts w:hint="eastAsia"/>
                <w:b w:val="0"/>
                <w:bCs w:val="0"/>
                <w:color w:val="auto"/>
                <w:highlight w:val="none"/>
              </w:rPr>
              <w:t>资格要求证明材料</w:t>
            </w:r>
            <w:r>
              <w:rPr>
                <w:rFonts w:hint="eastAsia"/>
                <w:b w:val="0"/>
                <w:bCs w:val="0"/>
                <w:color w:val="auto"/>
                <w:highlight w:val="none"/>
                <w:lang w:eastAsia="zh-CN"/>
              </w:rPr>
              <w:t>（格式见附件</w:t>
            </w:r>
            <w:r>
              <w:rPr>
                <w:rFonts w:hint="eastAsia"/>
                <w:b w:val="0"/>
                <w:bCs w:val="0"/>
                <w:color w:val="auto"/>
                <w:highlight w:val="none"/>
                <w:lang w:val="en-US" w:eastAsia="zh-CN"/>
              </w:rPr>
              <w:t>5）；</w:t>
            </w:r>
          </w:p>
          <w:p w14:paraId="6A9E0ED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b w:val="0"/>
                <w:bCs w:val="0"/>
                <w:color w:val="auto"/>
              </w:rPr>
            </w:pPr>
            <w:r>
              <w:rPr>
                <w:rFonts w:hint="eastAsia"/>
                <w:b w:val="0"/>
                <w:bCs w:val="0"/>
                <w:color w:val="auto"/>
                <w:lang w:val="en-US" w:eastAsia="zh-CN"/>
              </w:rPr>
              <w:t>6.商务条款偏离表</w:t>
            </w:r>
            <w:r>
              <w:rPr>
                <w:rFonts w:hint="eastAsia"/>
                <w:b w:val="0"/>
                <w:bCs w:val="0"/>
                <w:color w:val="auto"/>
              </w:rPr>
              <w:t>（格式见附件</w:t>
            </w:r>
            <w:r>
              <w:rPr>
                <w:rFonts w:hint="eastAsia"/>
                <w:b w:val="0"/>
                <w:bCs w:val="0"/>
                <w:color w:val="auto"/>
                <w:lang w:val="en-US" w:eastAsia="zh-CN"/>
              </w:rPr>
              <w:t>6</w:t>
            </w:r>
            <w:r>
              <w:rPr>
                <w:rFonts w:hint="eastAsia"/>
                <w:b w:val="0"/>
                <w:bCs w:val="0"/>
                <w:color w:val="auto"/>
              </w:rPr>
              <w:t>）；</w:t>
            </w:r>
          </w:p>
          <w:p w14:paraId="0CC0AE42">
            <w:pPr>
              <w:pStyle w:val="3"/>
              <w:keepNext w:val="0"/>
              <w:keepLines w:val="0"/>
              <w:pageBreakBefore w:val="0"/>
              <w:kinsoku/>
              <w:wordWrap/>
              <w:overflowPunct/>
              <w:topLinePunct w:val="0"/>
              <w:autoSpaceDE/>
              <w:autoSpaceDN/>
              <w:bidi w:val="0"/>
              <w:adjustRightInd/>
              <w:snapToGrid/>
              <w:spacing w:line="440" w:lineRule="exact"/>
              <w:jc w:val="both"/>
              <w:rPr>
                <w:rFonts w:hint="default" w:eastAsia="仿宋_GB2312"/>
                <w:b w:val="0"/>
                <w:bCs w:val="0"/>
                <w:color w:val="auto"/>
                <w:lang w:val="en-US" w:eastAsia="zh-CN"/>
              </w:rPr>
            </w:pPr>
            <w:r>
              <w:rPr>
                <w:rFonts w:hint="eastAsia"/>
                <w:b w:val="0"/>
                <w:bCs w:val="0"/>
                <w:color w:val="auto"/>
                <w:lang w:val="en-US" w:eastAsia="zh-CN"/>
              </w:rPr>
              <w:t>7.</w:t>
            </w:r>
            <w:r>
              <w:rPr>
                <w:rFonts w:hint="eastAsia"/>
                <w:b w:val="0"/>
                <w:bCs w:val="0"/>
                <w:color w:val="auto"/>
                <w:lang w:eastAsia="zh-CN"/>
              </w:rPr>
              <w:t>供应商情况表（</w:t>
            </w:r>
            <w:r>
              <w:rPr>
                <w:rFonts w:hint="eastAsia"/>
                <w:b w:val="0"/>
                <w:bCs w:val="0"/>
                <w:color w:val="auto"/>
              </w:rPr>
              <w:t>格式见</w:t>
            </w:r>
            <w:r>
              <w:rPr>
                <w:rFonts w:hint="eastAsia"/>
                <w:b w:val="0"/>
                <w:bCs w:val="0"/>
                <w:color w:val="auto"/>
                <w:lang w:eastAsia="zh-CN"/>
              </w:rPr>
              <w:t>附件</w:t>
            </w:r>
            <w:r>
              <w:rPr>
                <w:rFonts w:hint="eastAsia"/>
                <w:b w:val="0"/>
                <w:bCs w:val="0"/>
                <w:color w:val="auto"/>
                <w:lang w:val="en-US" w:eastAsia="zh-CN"/>
              </w:rPr>
              <w:t>7）；</w:t>
            </w:r>
          </w:p>
          <w:p w14:paraId="372FF182">
            <w:pPr>
              <w:pStyle w:val="3"/>
              <w:keepNext w:val="0"/>
              <w:keepLines w:val="0"/>
              <w:pageBreakBefore w:val="0"/>
              <w:kinsoku/>
              <w:wordWrap/>
              <w:overflowPunct/>
              <w:topLinePunct w:val="0"/>
              <w:autoSpaceDE/>
              <w:autoSpaceDN/>
              <w:bidi w:val="0"/>
              <w:adjustRightInd/>
              <w:snapToGrid/>
              <w:spacing w:line="440" w:lineRule="exact"/>
              <w:jc w:val="both"/>
              <w:rPr>
                <w:rFonts w:hint="eastAsia"/>
                <w:b w:val="0"/>
                <w:bCs w:val="0"/>
                <w:color w:val="auto"/>
                <w:lang w:val="en-US" w:eastAsia="zh-CN"/>
              </w:rPr>
            </w:pPr>
            <w:r>
              <w:rPr>
                <w:rFonts w:hint="eastAsia"/>
                <w:b w:val="0"/>
                <w:bCs w:val="0"/>
                <w:color w:val="auto"/>
                <w:lang w:val="en-US" w:eastAsia="zh-CN"/>
              </w:rPr>
              <w:t>8.保密承诺书</w:t>
            </w:r>
            <w:r>
              <w:rPr>
                <w:rFonts w:hint="eastAsia"/>
                <w:b w:val="0"/>
                <w:bCs w:val="0"/>
                <w:color w:val="auto"/>
                <w:lang w:eastAsia="zh-CN"/>
              </w:rPr>
              <w:t>（</w:t>
            </w:r>
            <w:r>
              <w:rPr>
                <w:rFonts w:hint="eastAsia"/>
                <w:b w:val="0"/>
                <w:bCs w:val="0"/>
                <w:color w:val="auto"/>
              </w:rPr>
              <w:t>格式见</w:t>
            </w:r>
            <w:r>
              <w:rPr>
                <w:rFonts w:hint="eastAsia"/>
                <w:b w:val="0"/>
                <w:bCs w:val="0"/>
                <w:color w:val="auto"/>
                <w:lang w:eastAsia="zh-CN"/>
              </w:rPr>
              <w:t>附件</w:t>
            </w:r>
            <w:r>
              <w:rPr>
                <w:rFonts w:hint="eastAsia"/>
                <w:b w:val="0"/>
                <w:bCs w:val="0"/>
                <w:color w:val="auto"/>
                <w:lang w:val="en-US" w:eastAsia="zh-CN"/>
              </w:rPr>
              <w:t>8）；</w:t>
            </w:r>
          </w:p>
          <w:p w14:paraId="6AE36AC1">
            <w:pPr>
              <w:pStyle w:val="3"/>
              <w:keepNext w:val="0"/>
              <w:keepLines w:val="0"/>
              <w:pageBreakBefore w:val="0"/>
              <w:kinsoku/>
              <w:wordWrap/>
              <w:overflowPunct/>
              <w:topLinePunct w:val="0"/>
              <w:autoSpaceDE/>
              <w:autoSpaceDN/>
              <w:bidi w:val="0"/>
              <w:adjustRightInd/>
              <w:snapToGrid/>
              <w:spacing w:line="440" w:lineRule="exact"/>
              <w:jc w:val="both"/>
              <w:rPr>
                <w:rFonts w:hint="eastAsia"/>
                <w:b w:val="0"/>
                <w:bCs w:val="0"/>
                <w:color w:val="auto"/>
                <w:lang w:val="en-US" w:eastAsia="zh-CN"/>
              </w:rPr>
            </w:pPr>
            <w:r>
              <w:rPr>
                <w:rFonts w:hint="eastAsia"/>
                <w:b w:val="0"/>
                <w:bCs w:val="0"/>
                <w:color w:val="auto"/>
                <w:lang w:val="en-US" w:eastAsia="zh-CN"/>
              </w:rPr>
              <w:t>9 廉政承诺书</w:t>
            </w:r>
            <w:r>
              <w:rPr>
                <w:rFonts w:hint="eastAsia"/>
                <w:b w:val="0"/>
                <w:bCs w:val="0"/>
                <w:color w:val="auto"/>
                <w:lang w:eastAsia="zh-CN"/>
              </w:rPr>
              <w:t>（</w:t>
            </w:r>
            <w:r>
              <w:rPr>
                <w:rFonts w:hint="eastAsia"/>
                <w:b w:val="0"/>
                <w:bCs w:val="0"/>
                <w:color w:val="auto"/>
              </w:rPr>
              <w:t>格式见</w:t>
            </w:r>
            <w:r>
              <w:rPr>
                <w:rFonts w:hint="eastAsia"/>
                <w:b w:val="0"/>
                <w:bCs w:val="0"/>
                <w:color w:val="auto"/>
                <w:lang w:eastAsia="zh-CN"/>
              </w:rPr>
              <w:t>附件</w:t>
            </w:r>
            <w:r>
              <w:rPr>
                <w:rFonts w:hint="eastAsia"/>
                <w:b w:val="0"/>
                <w:bCs w:val="0"/>
                <w:color w:val="auto"/>
                <w:lang w:val="en-US" w:eastAsia="zh-CN"/>
              </w:rPr>
              <w:t>9）；</w:t>
            </w:r>
          </w:p>
          <w:p w14:paraId="6CF6032A">
            <w:pPr>
              <w:pStyle w:val="3"/>
              <w:keepNext w:val="0"/>
              <w:keepLines w:val="0"/>
              <w:pageBreakBefore w:val="0"/>
              <w:kinsoku/>
              <w:wordWrap/>
              <w:overflowPunct/>
              <w:topLinePunct w:val="0"/>
              <w:autoSpaceDE/>
              <w:autoSpaceDN/>
              <w:bidi w:val="0"/>
              <w:adjustRightInd/>
              <w:snapToGrid/>
              <w:spacing w:line="440" w:lineRule="exact"/>
              <w:jc w:val="both"/>
              <w:rPr>
                <w:rFonts w:hint="eastAsia"/>
                <w:b w:val="0"/>
                <w:bCs w:val="0"/>
                <w:color w:val="auto"/>
                <w:lang w:val="en-US" w:eastAsia="zh-CN"/>
              </w:rPr>
            </w:pPr>
            <w:r>
              <w:rPr>
                <w:rFonts w:hint="eastAsia"/>
                <w:b w:val="0"/>
                <w:bCs w:val="0"/>
                <w:color w:val="auto"/>
                <w:lang w:val="en-US" w:eastAsia="zh-CN"/>
              </w:rPr>
              <w:t>10.比质比价文件中规定的其他文件</w:t>
            </w:r>
            <w:r>
              <w:rPr>
                <w:rFonts w:hint="eastAsia"/>
                <w:b w:val="0"/>
                <w:bCs w:val="0"/>
                <w:color w:val="auto"/>
                <w:lang w:eastAsia="zh-CN"/>
              </w:rPr>
              <w:t>（</w:t>
            </w:r>
            <w:r>
              <w:rPr>
                <w:rFonts w:hint="eastAsia"/>
                <w:b w:val="0"/>
                <w:bCs w:val="0"/>
                <w:color w:val="auto"/>
              </w:rPr>
              <w:t>格式见</w:t>
            </w:r>
            <w:r>
              <w:rPr>
                <w:rFonts w:hint="eastAsia"/>
                <w:b w:val="0"/>
                <w:bCs w:val="0"/>
                <w:color w:val="auto"/>
                <w:lang w:eastAsia="zh-CN"/>
              </w:rPr>
              <w:t>附件</w:t>
            </w:r>
            <w:r>
              <w:rPr>
                <w:rFonts w:hint="eastAsia"/>
                <w:b w:val="0"/>
                <w:bCs w:val="0"/>
                <w:color w:val="auto"/>
                <w:lang w:val="en-US" w:eastAsia="zh-CN"/>
              </w:rPr>
              <w:t>10）；</w:t>
            </w:r>
          </w:p>
          <w:p w14:paraId="5DAEE516">
            <w:pPr>
              <w:pStyle w:val="3"/>
              <w:keepNext w:val="0"/>
              <w:keepLines w:val="0"/>
              <w:pageBreakBefore w:val="0"/>
              <w:kinsoku/>
              <w:wordWrap/>
              <w:overflowPunct/>
              <w:topLinePunct w:val="0"/>
              <w:autoSpaceDE/>
              <w:autoSpaceDN/>
              <w:bidi w:val="0"/>
              <w:adjustRightInd/>
              <w:snapToGrid/>
              <w:spacing w:line="440" w:lineRule="exact"/>
              <w:jc w:val="both"/>
              <w:rPr>
                <w:rFonts w:hint="default" w:eastAsia="仿宋_GB2312"/>
                <w:lang w:val="en-US" w:eastAsia="zh-CN"/>
              </w:rPr>
            </w:pPr>
            <w:r>
              <w:rPr>
                <w:rFonts w:hint="eastAsia"/>
                <w:b w:val="0"/>
                <w:bCs w:val="0"/>
                <w:color w:val="auto"/>
                <w:lang w:val="en-US" w:eastAsia="zh-CN"/>
              </w:rPr>
              <w:t>11.供应商认为需要提供的其他资料</w:t>
            </w:r>
            <w:r>
              <w:rPr>
                <w:rFonts w:hint="eastAsia"/>
                <w:b w:val="0"/>
                <w:bCs w:val="0"/>
                <w:color w:val="auto"/>
                <w:lang w:eastAsia="zh-CN"/>
              </w:rPr>
              <w:t>（</w:t>
            </w:r>
            <w:r>
              <w:rPr>
                <w:rFonts w:hint="eastAsia"/>
                <w:b w:val="0"/>
                <w:bCs w:val="0"/>
                <w:color w:val="auto"/>
              </w:rPr>
              <w:t>格式见</w:t>
            </w:r>
            <w:r>
              <w:rPr>
                <w:rFonts w:hint="eastAsia"/>
                <w:b w:val="0"/>
                <w:bCs w:val="0"/>
                <w:color w:val="auto"/>
                <w:lang w:eastAsia="zh-CN"/>
              </w:rPr>
              <w:t>附件</w:t>
            </w:r>
            <w:r>
              <w:rPr>
                <w:rFonts w:hint="eastAsia"/>
                <w:b w:val="0"/>
                <w:bCs w:val="0"/>
                <w:color w:val="auto"/>
                <w:lang w:val="en-US" w:eastAsia="zh-CN"/>
              </w:rPr>
              <w:t>11）。</w:t>
            </w:r>
          </w:p>
        </w:tc>
      </w:tr>
      <w:tr w14:paraId="184FEC81">
        <w:tblPrEx>
          <w:tblCellMar>
            <w:top w:w="0" w:type="dxa"/>
            <w:left w:w="0" w:type="dxa"/>
            <w:bottom w:w="0" w:type="dxa"/>
            <w:right w:w="0" w:type="dxa"/>
          </w:tblCellMar>
        </w:tblPrEx>
        <w:trPr>
          <w:trHeight w:val="20" w:hRule="atLeast"/>
          <w:jc w:val="center"/>
        </w:trPr>
        <w:tc>
          <w:tcPr>
            <w:tcW w:w="683" w:type="dxa"/>
            <w:tcBorders>
              <w:top w:val="single" w:color="000000" w:sz="8" w:space="0"/>
              <w:left w:val="single" w:color="000000" w:sz="8" w:space="0"/>
              <w:bottom w:val="single" w:color="000000" w:sz="8" w:space="0"/>
              <w:right w:val="single" w:color="000000" w:sz="8" w:space="0"/>
            </w:tcBorders>
            <w:vAlign w:val="center"/>
          </w:tcPr>
          <w:p w14:paraId="6FB3F3D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pPr>
            <w:r>
              <w:t>7</w:t>
            </w:r>
          </w:p>
        </w:tc>
        <w:tc>
          <w:tcPr>
            <w:tcW w:w="986" w:type="dxa"/>
            <w:tcBorders>
              <w:top w:val="single" w:color="000000" w:sz="8" w:space="0"/>
              <w:left w:val="single" w:color="000000" w:sz="8" w:space="0"/>
              <w:bottom w:val="single" w:color="000000" w:sz="8" w:space="0"/>
              <w:right w:val="single" w:color="000000" w:sz="8" w:space="0"/>
            </w:tcBorders>
            <w:vAlign w:val="center"/>
          </w:tcPr>
          <w:p w14:paraId="63BFA1F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rPr>
                <w:lang w:val="zh-CN"/>
              </w:rPr>
              <w:t>响应文件份数</w:t>
            </w:r>
          </w:p>
        </w:tc>
        <w:tc>
          <w:tcPr>
            <w:tcW w:w="990" w:type="dxa"/>
            <w:tcBorders>
              <w:top w:val="single" w:color="000000" w:sz="8" w:space="0"/>
              <w:left w:val="single" w:color="000000" w:sz="8" w:space="0"/>
              <w:bottom w:val="single" w:color="000000" w:sz="8" w:space="0"/>
              <w:right w:val="single" w:color="000000" w:sz="8" w:space="0"/>
            </w:tcBorders>
            <w:vAlign w:val="center"/>
          </w:tcPr>
          <w:p w14:paraId="56784BD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pPr>
            <w:r>
              <w:t>10.5</w:t>
            </w:r>
          </w:p>
        </w:tc>
        <w:tc>
          <w:tcPr>
            <w:tcW w:w="7063" w:type="dxa"/>
            <w:tcBorders>
              <w:top w:val="single" w:color="000000" w:sz="8" w:space="0"/>
              <w:left w:val="single" w:color="000000" w:sz="8" w:space="0"/>
              <w:bottom w:val="single" w:color="000000" w:sz="8" w:space="0"/>
              <w:right w:val="single" w:color="000000" w:sz="8" w:space="0"/>
            </w:tcBorders>
            <w:vAlign w:val="center"/>
          </w:tcPr>
          <w:p w14:paraId="43C2DE1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lang w:val="zh-CN"/>
              </w:rPr>
            </w:pPr>
            <w:r>
              <w:rPr>
                <w:lang w:val="zh-CN"/>
              </w:rPr>
              <w:t>响应文件的份数：正本</w:t>
            </w:r>
            <w:r>
              <w:t>1</w:t>
            </w:r>
            <w:r>
              <w:rPr>
                <w:lang w:val="zh-CN"/>
              </w:rPr>
              <w:t>份，副本</w:t>
            </w:r>
            <w:r>
              <w:rPr>
                <w:rFonts w:hint="eastAsia"/>
                <w:lang w:val="en-US" w:eastAsia="zh-CN"/>
              </w:rPr>
              <w:t>4</w:t>
            </w:r>
            <w:r>
              <w:rPr>
                <w:lang w:val="zh-CN"/>
              </w:rPr>
              <w:t>份。</w:t>
            </w:r>
          </w:p>
        </w:tc>
      </w:tr>
      <w:tr w14:paraId="37A575C8">
        <w:tblPrEx>
          <w:tblCellMar>
            <w:top w:w="0" w:type="dxa"/>
            <w:left w:w="0" w:type="dxa"/>
            <w:bottom w:w="0" w:type="dxa"/>
            <w:right w:w="0" w:type="dxa"/>
          </w:tblCellMar>
        </w:tblPrEx>
        <w:trPr>
          <w:trHeight w:val="652" w:hRule="atLeast"/>
          <w:jc w:val="center"/>
        </w:trPr>
        <w:tc>
          <w:tcPr>
            <w:tcW w:w="683" w:type="dxa"/>
            <w:tcBorders>
              <w:top w:val="single" w:color="000000" w:sz="8" w:space="0"/>
              <w:left w:val="single" w:color="000000" w:sz="8" w:space="0"/>
              <w:bottom w:val="single" w:color="000000" w:sz="8" w:space="0"/>
              <w:right w:val="single" w:color="000000" w:sz="8" w:space="0"/>
            </w:tcBorders>
            <w:vAlign w:val="center"/>
          </w:tcPr>
          <w:p w14:paraId="461550E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8</w:t>
            </w:r>
          </w:p>
        </w:tc>
        <w:tc>
          <w:tcPr>
            <w:tcW w:w="986" w:type="dxa"/>
            <w:tcBorders>
              <w:top w:val="single" w:color="000000" w:sz="8" w:space="0"/>
              <w:left w:val="single" w:color="000000" w:sz="8" w:space="0"/>
              <w:bottom w:val="single" w:color="000000" w:sz="8" w:space="0"/>
              <w:right w:val="single" w:color="000000" w:sz="8" w:space="0"/>
            </w:tcBorders>
            <w:vAlign w:val="center"/>
          </w:tcPr>
          <w:p w14:paraId="3D38C667">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rPr>
                <w:lang w:val="zh-CN"/>
              </w:rPr>
              <w:t>报价要求</w:t>
            </w:r>
          </w:p>
        </w:tc>
        <w:tc>
          <w:tcPr>
            <w:tcW w:w="990" w:type="dxa"/>
            <w:tcBorders>
              <w:top w:val="single" w:color="000000" w:sz="8" w:space="0"/>
              <w:left w:val="single" w:color="000000" w:sz="8" w:space="0"/>
              <w:bottom w:val="single" w:color="000000" w:sz="8" w:space="0"/>
              <w:right w:val="single" w:color="000000" w:sz="8" w:space="0"/>
            </w:tcBorders>
            <w:vAlign w:val="center"/>
          </w:tcPr>
          <w:p w14:paraId="00126F2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11.1</w:t>
            </w:r>
          </w:p>
        </w:tc>
        <w:tc>
          <w:tcPr>
            <w:tcW w:w="7063" w:type="dxa"/>
            <w:tcBorders>
              <w:top w:val="single" w:color="000000" w:sz="8" w:space="0"/>
              <w:left w:val="single" w:color="000000" w:sz="8" w:space="0"/>
              <w:bottom w:val="single" w:color="000000" w:sz="8" w:space="0"/>
              <w:right w:val="single" w:color="000000" w:sz="8" w:space="0"/>
            </w:tcBorders>
            <w:vAlign w:val="center"/>
          </w:tcPr>
          <w:p w14:paraId="2CFD5BE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default"/>
                <w:lang w:val="en-US" w:eastAsia="zh-CN"/>
              </w:rPr>
            </w:pPr>
            <w:r>
              <w:rPr>
                <w:lang w:val="zh-CN"/>
              </w:rPr>
              <w:t>报价方式：含税总价。</w:t>
            </w:r>
          </w:p>
        </w:tc>
      </w:tr>
      <w:tr w14:paraId="4A3E9B96">
        <w:tblPrEx>
          <w:tblCellMar>
            <w:top w:w="0" w:type="dxa"/>
            <w:left w:w="0" w:type="dxa"/>
            <w:bottom w:w="0" w:type="dxa"/>
            <w:right w:w="0" w:type="dxa"/>
          </w:tblCellMar>
        </w:tblPrEx>
        <w:trPr>
          <w:trHeight w:val="20" w:hRule="atLeast"/>
          <w:jc w:val="center"/>
        </w:trPr>
        <w:tc>
          <w:tcPr>
            <w:tcW w:w="683" w:type="dxa"/>
            <w:tcBorders>
              <w:top w:val="single" w:color="000000" w:sz="8" w:space="0"/>
              <w:left w:val="single" w:color="000000" w:sz="8" w:space="0"/>
              <w:bottom w:val="single" w:color="000000" w:sz="8" w:space="0"/>
              <w:right w:val="single" w:color="000000" w:sz="8" w:space="0"/>
            </w:tcBorders>
            <w:vAlign w:val="center"/>
          </w:tcPr>
          <w:p w14:paraId="0C172F7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9</w:t>
            </w:r>
          </w:p>
        </w:tc>
        <w:tc>
          <w:tcPr>
            <w:tcW w:w="986" w:type="dxa"/>
            <w:tcBorders>
              <w:top w:val="single" w:color="000000" w:sz="8" w:space="0"/>
              <w:left w:val="single" w:color="000000" w:sz="8" w:space="0"/>
              <w:bottom w:val="single" w:color="000000" w:sz="8" w:space="0"/>
              <w:right w:val="single" w:color="000000" w:sz="8" w:space="0"/>
            </w:tcBorders>
            <w:vAlign w:val="center"/>
          </w:tcPr>
          <w:p w14:paraId="07E3254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rPr>
                <w:rFonts w:hint="eastAsia"/>
                <w:lang w:val="zh-CN"/>
              </w:rPr>
              <w:t>比质比价</w:t>
            </w:r>
            <w:r>
              <w:rPr>
                <w:lang w:val="zh-CN"/>
              </w:rPr>
              <w:t>保证金</w:t>
            </w:r>
          </w:p>
        </w:tc>
        <w:tc>
          <w:tcPr>
            <w:tcW w:w="990" w:type="dxa"/>
            <w:tcBorders>
              <w:top w:val="single" w:color="000000" w:sz="8" w:space="0"/>
              <w:left w:val="single" w:color="000000" w:sz="8" w:space="0"/>
              <w:bottom w:val="single" w:color="000000" w:sz="8" w:space="0"/>
              <w:right w:val="single" w:color="000000" w:sz="8" w:space="0"/>
            </w:tcBorders>
            <w:vAlign w:val="center"/>
          </w:tcPr>
          <w:p w14:paraId="69BFA5C3">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12.2</w:t>
            </w:r>
          </w:p>
        </w:tc>
        <w:tc>
          <w:tcPr>
            <w:tcW w:w="7063" w:type="dxa"/>
            <w:tcBorders>
              <w:top w:val="single" w:color="000000" w:sz="8" w:space="0"/>
              <w:left w:val="single" w:color="000000" w:sz="8" w:space="0"/>
              <w:bottom w:val="single" w:color="000000" w:sz="8" w:space="0"/>
              <w:right w:val="single" w:color="000000" w:sz="8" w:space="0"/>
            </w:tcBorders>
            <w:vAlign w:val="center"/>
          </w:tcPr>
          <w:p w14:paraId="10D1020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pPr>
            <w:r>
              <w:rPr>
                <w:rFonts w:hint="eastAsia"/>
                <w:lang w:val="zh-CN"/>
              </w:rPr>
              <w:t>比质比价</w:t>
            </w:r>
            <w:r>
              <w:rPr>
                <w:lang w:val="zh-CN"/>
              </w:rPr>
              <w:t>保证金：</w:t>
            </w:r>
            <w:r>
              <w:rPr>
                <w:rFonts w:hint="eastAsia"/>
                <w:lang w:val="zh-CN"/>
              </w:rPr>
              <w:t>无</w:t>
            </w:r>
            <w:r>
              <w:t>（以下涉及</w:t>
            </w:r>
            <w:r>
              <w:rPr>
                <w:rFonts w:hint="eastAsia"/>
                <w:lang w:val="zh-CN"/>
              </w:rPr>
              <w:t>比质比价</w:t>
            </w:r>
            <w:r>
              <w:rPr>
                <w:lang w:val="zh-CN"/>
              </w:rPr>
              <w:t>保</w:t>
            </w:r>
            <w:r>
              <w:t>保证金的内容均不适用）</w:t>
            </w:r>
            <w:r>
              <w:rPr>
                <w:rFonts w:hint="eastAsia"/>
                <w:lang w:eastAsia="zh-CN"/>
              </w:rPr>
              <w:t>。</w:t>
            </w:r>
          </w:p>
        </w:tc>
      </w:tr>
      <w:tr w14:paraId="34D93429">
        <w:tblPrEx>
          <w:tblCellMar>
            <w:top w:w="0" w:type="dxa"/>
            <w:left w:w="0" w:type="dxa"/>
            <w:bottom w:w="0" w:type="dxa"/>
            <w:right w:w="0" w:type="dxa"/>
          </w:tblCellMar>
        </w:tblPrEx>
        <w:trPr>
          <w:trHeight w:val="492" w:hRule="atLeast"/>
          <w:jc w:val="center"/>
        </w:trPr>
        <w:tc>
          <w:tcPr>
            <w:tcW w:w="683" w:type="dxa"/>
            <w:tcBorders>
              <w:top w:val="single" w:color="000000" w:sz="8" w:space="0"/>
              <w:left w:val="single" w:color="000000" w:sz="8" w:space="0"/>
              <w:bottom w:val="single" w:color="000000" w:sz="8" w:space="0"/>
              <w:right w:val="single" w:color="000000" w:sz="8" w:space="0"/>
            </w:tcBorders>
            <w:vAlign w:val="center"/>
          </w:tcPr>
          <w:p w14:paraId="54C259A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rFonts w:hint="eastAsia"/>
                <w:lang w:val="zh-CN" w:eastAsia="zh-CN"/>
              </w:rPr>
            </w:pPr>
            <w:r>
              <w:t>1</w:t>
            </w:r>
            <w:r>
              <w:rPr>
                <w:rFonts w:hint="eastAsia"/>
                <w:lang w:val="en-US" w:eastAsia="zh-CN"/>
              </w:rPr>
              <w:t>0</w:t>
            </w:r>
          </w:p>
        </w:tc>
        <w:tc>
          <w:tcPr>
            <w:tcW w:w="986" w:type="dxa"/>
            <w:tcBorders>
              <w:top w:val="single" w:color="000000" w:sz="8" w:space="0"/>
              <w:left w:val="single" w:color="000000" w:sz="8" w:space="0"/>
              <w:bottom w:val="single" w:color="000000" w:sz="8" w:space="0"/>
              <w:right w:val="single" w:color="000000" w:sz="8" w:space="0"/>
            </w:tcBorders>
            <w:vAlign w:val="center"/>
          </w:tcPr>
          <w:p w14:paraId="2008CF1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rPr>
                <w:lang w:val="zh-CN"/>
              </w:rPr>
              <w:t>履约保证金</w:t>
            </w:r>
          </w:p>
        </w:tc>
        <w:tc>
          <w:tcPr>
            <w:tcW w:w="990" w:type="dxa"/>
            <w:tcBorders>
              <w:top w:val="single" w:color="000000" w:sz="8" w:space="0"/>
              <w:left w:val="single" w:color="000000" w:sz="8" w:space="0"/>
              <w:bottom w:val="single" w:color="000000" w:sz="8" w:space="0"/>
              <w:right w:val="single" w:color="000000" w:sz="8" w:space="0"/>
            </w:tcBorders>
            <w:vAlign w:val="center"/>
          </w:tcPr>
          <w:p w14:paraId="3040C40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baseline"/>
              <w:rPr>
                <w:lang w:val="zh-CN"/>
              </w:rPr>
            </w:pPr>
            <w:r>
              <w:t>2</w:t>
            </w:r>
            <w:r>
              <w:rPr>
                <w:rFonts w:hint="eastAsia"/>
              </w:rPr>
              <w:t>6</w:t>
            </w:r>
            <w:r>
              <w:t>.1</w:t>
            </w:r>
          </w:p>
        </w:tc>
        <w:tc>
          <w:tcPr>
            <w:tcW w:w="7063" w:type="dxa"/>
            <w:tcBorders>
              <w:top w:val="single" w:color="000000" w:sz="8" w:space="0"/>
              <w:left w:val="single" w:color="000000" w:sz="8" w:space="0"/>
              <w:bottom w:val="single" w:color="000000" w:sz="8" w:space="0"/>
              <w:right w:val="single" w:color="000000" w:sz="8" w:space="0"/>
            </w:tcBorders>
            <w:vAlign w:val="center"/>
          </w:tcPr>
          <w:p w14:paraId="32E5020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baseline"/>
              <w:rPr>
                <w:rFonts w:hint="eastAsia" w:eastAsia="仿宋_GB2312"/>
                <w:lang w:eastAsia="zh-CN"/>
              </w:rPr>
            </w:pPr>
            <w:r>
              <w:t>履约保证金：</w:t>
            </w:r>
            <w:r>
              <w:rPr>
                <w:rFonts w:hint="eastAsia"/>
                <w:lang w:eastAsia="zh-CN"/>
              </w:rPr>
              <w:t>无</w:t>
            </w:r>
          </w:p>
        </w:tc>
      </w:tr>
    </w:tbl>
    <w:p w14:paraId="7A508177">
      <w:pPr>
        <w:snapToGrid w:val="0"/>
        <w:spacing w:line="360" w:lineRule="auto"/>
        <w:jc w:val="center"/>
        <w:rPr>
          <w:rStyle w:val="30"/>
          <w:rFonts w:ascii="Arial" w:hAnsi="Arial" w:cs="Arial"/>
          <w:b/>
          <w:bCs/>
          <w:kern w:val="0"/>
          <w:sz w:val="28"/>
          <w:szCs w:val="28"/>
          <w:lang w:val="zh-CN"/>
        </w:rPr>
      </w:pPr>
    </w:p>
    <w:p w14:paraId="187E58B5">
      <w:pPr>
        <w:pStyle w:val="8"/>
        <w:rPr>
          <w:lang w:val="zh-CN"/>
        </w:rPr>
      </w:pPr>
    </w:p>
    <w:p w14:paraId="237CA6F3">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sz w:val="32"/>
          <w:szCs w:val="32"/>
          <w:lang w:val="zh-CN"/>
        </w:rPr>
      </w:pPr>
      <w:r>
        <w:rPr>
          <w:rFonts w:hint="eastAsia" w:ascii="黑体" w:hAnsi="黑体" w:eastAsia="黑体" w:cs="黑体"/>
          <w:sz w:val="32"/>
          <w:szCs w:val="32"/>
          <w:lang w:val="zh-CN"/>
        </w:rPr>
        <w:t>供应商须知</w:t>
      </w:r>
    </w:p>
    <w:p w14:paraId="2ECAAEAE">
      <w:pPr>
        <w:bidi w:val="0"/>
        <w:rPr>
          <w:rFonts w:hint="eastAsia"/>
        </w:rPr>
      </w:pPr>
      <w:r>
        <w:rPr>
          <w:rFonts w:hint="eastAsia"/>
        </w:rPr>
        <w:t>一、说明</w:t>
      </w:r>
    </w:p>
    <w:p w14:paraId="15B587DA">
      <w:pPr>
        <w:bidi w:val="0"/>
        <w:rPr>
          <w:rFonts w:hint="eastAsia"/>
        </w:rPr>
      </w:pPr>
      <w:r>
        <w:rPr>
          <w:rFonts w:hint="eastAsia"/>
          <w:lang w:val="en-US" w:eastAsia="zh-CN"/>
        </w:rPr>
        <w:t>1.</w:t>
      </w:r>
      <w:r>
        <w:rPr>
          <w:rFonts w:hint="eastAsia"/>
        </w:rPr>
        <w:t>概述</w:t>
      </w:r>
    </w:p>
    <w:p w14:paraId="7710C106">
      <w:pPr>
        <w:bidi w:val="0"/>
        <w:rPr>
          <w:rFonts w:hint="eastAsia"/>
        </w:rPr>
      </w:pPr>
      <w:r>
        <w:rPr>
          <w:rFonts w:hint="eastAsia"/>
          <w:lang w:val="en-US" w:eastAsia="zh-CN"/>
        </w:rPr>
        <w:t>1.1</w:t>
      </w:r>
      <w:r>
        <w:rPr>
          <w:rFonts w:hint="eastAsia"/>
        </w:rPr>
        <w:t>项目概述见</w:t>
      </w:r>
      <w:r>
        <w:rPr>
          <w:rFonts w:hint="eastAsia"/>
          <w:lang w:eastAsia="zh-CN"/>
        </w:rPr>
        <w:t>比质比价</w:t>
      </w:r>
      <w:r>
        <w:rPr>
          <w:rFonts w:hint="eastAsia"/>
        </w:rPr>
        <w:t>资料表第1条。</w:t>
      </w:r>
    </w:p>
    <w:p w14:paraId="1F676B14">
      <w:pPr>
        <w:bidi w:val="0"/>
        <w:rPr>
          <w:rFonts w:hint="eastAsia"/>
        </w:rPr>
      </w:pPr>
      <w:r>
        <w:rPr>
          <w:rFonts w:hint="eastAsia"/>
          <w:lang w:val="en-US" w:eastAsia="zh-CN"/>
        </w:rPr>
        <w:t>2.</w:t>
      </w:r>
      <w:r>
        <w:rPr>
          <w:rFonts w:hint="eastAsia"/>
        </w:rPr>
        <w:t>合格的供应商</w:t>
      </w:r>
    </w:p>
    <w:p w14:paraId="300A4D12">
      <w:pPr>
        <w:bidi w:val="0"/>
      </w:pPr>
      <w:r>
        <w:rPr>
          <w:lang w:val="en-US" w:eastAsia="zh-CN"/>
        </w:rPr>
        <w:t>2.1</w:t>
      </w:r>
      <w:r>
        <w:t>供应商应遵守有关的国家法律、法规和条例，具备法律法规规定的条件：</w:t>
      </w:r>
    </w:p>
    <w:p w14:paraId="0A881046">
      <w:pPr>
        <w:bidi w:val="0"/>
        <w:rPr>
          <w:rFonts w:hint="eastAsia"/>
        </w:rPr>
      </w:pPr>
      <w:r>
        <w:rPr>
          <w:rFonts w:hint="eastAsia"/>
        </w:rPr>
        <w:t>具有独立承担民事责任的能力；</w:t>
      </w:r>
    </w:p>
    <w:p w14:paraId="79ADC926">
      <w:pPr>
        <w:bidi w:val="0"/>
        <w:rPr>
          <w:rFonts w:hint="eastAsia"/>
        </w:rPr>
      </w:pPr>
      <w:r>
        <w:rPr>
          <w:rFonts w:hint="eastAsia"/>
        </w:rPr>
        <w:t>具有良好的商业信誉和健全的财务会计制度；</w:t>
      </w:r>
    </w:p>
    <w:p w14:paraId="60C51184">
      <w:pPr>
        <w:bidi w:val="0"/>
        <w:rPr>
          <w:rFonts w:hint="eastAsia"/>
        </w:rPr>
      </w:pPr>
      <w:r>
        <w:rPr>
          <w:rFonts w:hint="eastAsia"/>
        </w:rPr>
        <w:t>参加此采购活动前三年内，在经营活动中没有重大违法记录；</w:t>
      </w:r>
    </w:p>
    <w:p w14:paraId="480A8FE1">
      <w:pPr>
        <w:bidi w:val="0"/>
        <w:rPr>
          <w:rFonts w:hint="eastAsia"/>
          <w:lang w:eastAsia="zh-CN"/>
        </w:rPr>
      </w:pPr>
      <w:r>
        <w:t>符合</w:t>
      </w:r>
      <w:r>
        <w:rPr>
          <w:rFonts w:hint="eastAsia"/>
          <w:lang w:eastAsia="zh-CN"/>
        </w:rPr>
        <w:t>比质比价</w:t>
      </w:r>
      <w:r>
        <w:t>资料表第2条规定的资格条件。</w:t>
      </w:r>
    </w:p>
    <w:p w14:paraId="5EC461F3">
      <w:pPr>
        <w:bidi w:val="0"/>
      </w:pPr>
      <w:r>
        <w:rPr>
          <w:lang w:val="en-US" w:eastAsia="zh-CN"/>
        </w:rPr>
        <w:t>2.1</w:t>
      </w:r>
      <w:r>
        <w:t>本次采购对联合体的要求见</w:t>
      </w:r>
      <w:r>
        <w:rPr>
          <w:rFonts w:hint="eastAsia"/>
          <w:lang w:eastAsia="zh-CN"/>
        </w:rPr>
        <w:t>比质比价</w:t>
      </w:r>
      <w:r>
        <w:t>资料表第3条。</w:t>
      </w:r>
    </w:p>
    <w:p w14:paraId="7AECA8F2">
      <w:pPr>
        <w:bidi w:val="0"/>
      </w:pPr>
      <w:r>
        <w:rPr>
          <w:lang w:val="en-US" w:eastAsia="zh-CN"/>
        </w:rPr>
        <w:t>2.1</w:t>
      </w:r>
      <w:r>
        <w:t>供应商应从“中国融通电子商务平台”（https://www.ronghw.cn/）领取</w:t>
      </w:r>
      <w:r>
        <w:rPr>
          <w:rFonts w:hint="eastAsia"/>
          <w:lang w:eastAsia="zh-CN"/>
        </w:rPr>
        <w:t>比质比价</w:t>
      </w:r>
      <w:r>
        <w:t>文件。</w:t>
      </w:r>
    </w:p>
    <w:p w14:paraId="4822F133">
      <w:pPr>
        <w:bidi w:val="0"/>
      </w:pPr>
      <w:r>
        <w:rPr>
          <w:lang w:val="en-US" w:eastAsia="zh-CN"/>
        </w:rPr>
        <w:t>3.</w:t>
      </w:r>
      <w:r>
        <w:rPr>
          <w:rFonts w:hint="eastAsia"/>
          <w:lang w:eastAsia="zh-CN"/>
        </w:rPr>
        <w:t>比质比价</w:t>
      </w:r>
      <w:r>
        <w:t>费用</w:t>
      </w:r>
    </w:p>
    <w:p w14:paraId="2085B205">
      <w:pPr>
        <w:bidi w:val="0"/>
      </w:pPr>
      <w:r>
        <w:rPr>
          <w:lang w:val="en-US" w:eastAsia="zh-CN"/>
        </w:rPr>
        <w:t>3.1.</w:t>
      </w:r>
      <w:r>
        <w:t>供应商应承担所有与编写和提交响应文件有关的费用，不论</w:t>
      </w:r>
      <w:r>
        <w:rPr>
          <w:rFonts w:hint="eastAsia"/>
          <w:lang w:eastAsia="zh-CN"/>
        </w:rPr>
        <w:t>比质比价</w:t>
      </w:r>
      <w:r>
        <w:t>的结果如何，</w:t>
      </w:r>
      <w:r>
        <w:rPr>
          <w:rFonts w:hint="eastAsia"/>
          <w:lang w:eastAsia="zh-CN"/>
        </w:rPr>
        <w:t>采购人</w:t>
      </w:r>
      <w:r>
        <w:t>在任何情况下均无义务和责任承担这些费用。</w:t>
      </w:r>
    </w:p>
    <w:p w14:paraId="507C43C6">
      <w:pPr>
        <w:bidi w:val="0"/>
      </w:pPr>
      <w:r>
        <w:rPr>
          <w:lang w:val="en-US" w:eastAsia="zh-CN"/>
        </w:rPr>
        <w:t>4.</w:t>
      </w:r>
      <w:r>
        <w:t>通知</w:t>
      </w:r>
    </w:p>
    <w:p w14:paraId="001DE8EA">
      <w:pPr>
        <w:bidi w:val="0"/>
      </w:pPr>
      <w:r>
        <w:rPr>
          <w:lang w:val="en-US" w:eastAsia="zh-CN"/>
        </w:rPr>
        <w:t>4.1.</w:t>
      </w:r>
      <w:r>
        <w:t>对与本项目有关的通知，</w:t>
      </w:r>
      <w:r>
        <w:rPr>
          <w:rFonts w:hint="eastAsia"/>
          <w:lang w:eastAsia="zh-CN"/>
        </w:rPr>
        <w:t>采购人</w:t>
      </w:r>
      <w:r>
        <w:t>将通过“</w:t>
      </w:r>
      <w:r>
        <w:rPr>
          <w:lang w:val="zh-CN"/>
        </w:rPr>
        <w:t>中国融通电子商务平台</w:t>
      </w:r>
      <w:r>
        <w:t>”（https://www.ronghw.cn/）向潜在供应商发出，传真和手机号码以潜在供应商购买</w:t>
      </w:r>
      <w:r>
        <w:rPr>
          <w:rFonts w:hint="eastAsia"/>
          <w:lang w:eastAsia="zh-CN"/>
        </w:rPr>
        <w:t>比质比价</w:t>
      </w:r>
      <w:r>
        <w:t>文件时的登记备案为准。收到通知的供应商应通过</w:t>
      </w:r>
      <w:r>
        <w:rPr>
          <w:lang w:val="zh-CN"/>
        </w:rPr>
        <w:t>“中国融通电子商务平台”（https://www.ronghw.cn/）</w:t>
      </w:r>
      <w:r>
        <w:t>予以回复确认。因登记有误、传真线路故障或其他任何意外情形，导致所发出的的通知延迟送达或无法到达供应商，除非有适当的证据表明</w:t>
      </w:r>
      <w:r>
        <w:rPr>
          <w:rFonts w:hint="eastAsia"/>
          <w:lang w:eastAsia="zh-CN"/>
        </w:rPr>
        <w:t>采购人</w:t>
      </w:r>
      <w:r>
        <w:t>已经明知该项应当通知的事项并未实际有效到达且</w:t>
      </w:r>
      <w:r>
        <w:rPr>
          <w:rFonts w:hint="eastAsia"/>
          <w:lang w:eastAsia="zh-CN"/>
        </w:rPr>
        <w:t>采购人</w:t>
      </w:r>
      <w:r>
        <w:t>认为仍有条件和必要及时地再次补发通知而故意拖延或不予补发通知，</w:t>
      </w:r>
      <w:r>
        <w:rPr>
          <w:rFonts w:hint="eastAsia"/>
          <w:lang w:eastAsia="zh-CN"/>
        </w:rPr>
        <w:t>采购人</w:t>
      </w:r>
      <w:r>
        <w:t>不因此承担任何责任，有关的采购活动可以继续有效地进行。</w:t>
      </w:r>
    </w:p>
    <w:p w14:paraId="199AEE6E">
      <w:pPr>
        <w:bidi w:val="0"/>
      </w:pPr>
      <w:r>
        <w:rPr>
          <w:lang w:val="en-US" w:eastAsia="zh-CN"/>
        </w:rPr>
        <w:t>5.</w:t>
      </w:r>
      <w:r>
        <w:rPr>
          <w:rFonts w:hint="eastAsia"/>
          <w:lang w:eastAsia="zh-CN"/>
        </w:rPr>
        <w:t>比质比价</w:t>
      </w:r>
      <w:r>
        <w:t>小组</w:t>
      </w:r>
    </w:p>
    <w:p w14:paraId="2222EF2B">
      <w:pPr>
        <w:bidi w:val="0"/>
      </w:pPr>
      <w:r>
        <w:rPr>
          <w:lang w:val="en-US" w:eastAsia="zh-CN"/>
        </w:rPr>
        <w:t>5.1.</w:t>
      </w:r>
      <w:r>
        <w:rPr>
          <w:rFonts w:hint="eastAsia"/>
          <w:lang w:eastAsia="zh-CN"/>
        </w:rPr>
        <w:t>比质比价</w:t>
      </w:r>
      <w:r>
        <w:t>小组由评审专家共</w:t>
      </w:r>
      <w:r>
        <w:rPr>
          <w:rFonts w:hint="eastAsia"/>
          <w:lang w:val="en-US" w:eastAsia="zh-CN"/>
        </w:rPr>
        <w:t>5</w:t>
      </w:r>
      <w:r>
        <w:t>人组成。</w:t>
      </w:r>
    </w:p>
    <w:p w14:paraId="46CA874C">
      <w:pPr>
        <w:bidi w:val="0"/>
      </w:pPr>
      <w:r>
        <w:t>二、</w:t>
      </w:r>
      <w:r>
        <w:rPr>
          <w:rFonts w:hint="eastAsia"/>
          <w:lang w:eastAsia="zh-CN"/>
        </w:rPr>
        <w:t>比质比价</w:t>
      </w:r>
      <w:r>
        <w:t>文件</w:t>
      </w:r>
    </w:p>
    <w:p w14:paraId="6D63D728">
      <w:pPr>
        <w:bidi w:val="0"/>
      </w:pPr>
      <w:r>
        <w:rPr>
          <w:lang w:val="en-US" w:eastAsia="zh-CN"/>
        </w:rPr>
        <w:t>6.</w:t>
      </w:r>
      <w:r>
        <w:rPr>
          <w:rFonts w:hint="eastAsia"/>
          <w:lang w:eastAsia="zh-CN"/>
        </w:rPr>
        <w:t>比质比价</w:t>
      </w:r>
      <w:r>
        <w:t>文件构成</w:t>
      </w:r>
    </w:p>
    <w:p w14:paraId="24DDFA5B">
      <w:pPr>
        <w:bidi w:val="0"/>
      </w:pPr>
      <w:r>
        <w:rPr>
          <w:lang w:val="en-US" w:eastAsia="zh-CN"/>
        </w:rPr>
        <w:t>6.1</w:t>
      </w:r>
      <w:r>
        <w:t>《</w:t>
      </w:r>
      <w:r>
        <w:rPr>
          <w:rFonts w:hint="eastAsia"/>
          <w:lang w:eastAsia="zh-CN"/>
        </w:rPr>
        <w:t>比质比价</w:t>
      </w:r>
      <w:r>
        <w:t>文件》由以下六部分组成，包括：</w:t>
      </w:r>
    </w:p>
    <w:p w14:paraId="13B16A22">
      <w:pPr>
        <w:bidi w:val="0"/>
      </w:pPr>
      <w:r>
        <w:rPr>
          <w:lang w:val="en-US" w:eastAsia="zh-CN"/>
        </w:rPr>
        <w:t></w:t>
      </w:r>
      <w:r>
        <w:t>第一章</w:t>
      </w:r>
      <w:r>
        <w:rPr>
          <w:rFonts w:hint="eastAsia"/>
          <w:lang w:val="en-US" w:eastAsia="zh-CN"/>
        </w:rPr>
        <w:t xml:space="preserve"> </w:t>
      </w:r>
      <w:r>
        <w:rPr>
          <w:rFonts w:hint="eastAsia"/>
          <w:lang w:eastAsia="zh-CN"/>
        </w:rPr>
        <w:t>比质比价</w:t>
      </w:r>
      <w:r>
        <w:t>公告</w:t>
      </w:r>
    </w:p>
    <w:p w14:paraId="556F72AD">
      <w:pPr>
        <w:bidi w:val="0"/>
      </w:pPr>
      <w:r>
        <w:rPr>
          <w:lang w:val="en-US" w:eastAsia="zh-CN"/>
        </w:rPr>
        <w:t></w:t>
      </w:r>
      <w:r>
        <w:t>第二章</w:t>
      </w:r>
      <w:r>
        <w:rPr>
          <w:rFonts w:hint="eastAsia"/>
          <w:lang w:val="en-US" w:eastAsia="zh-CN"/>
        </w:rPr>
        <w:t xml:space="preserve"> </w:t>
      </w:r>
      <w:r>
        <w:rPr>
          <w:rFonts w:hint="eastAsia"/>
          <w:lang w:eastAsia="zh-CN"/>
        </w:rPr>
        <w:t>比质比价</w:t>
      </w:r>
      <w:r>
        <w:t>资料表和供应商须知</w:t>
      </w:r>
    </w:p>
    <w:p w14:paraId="34EDCD07">
      <w:pPr>
        <w:bidi w:val="0"/>
      </w:pPr>
      <w:r>
        <w:rPr>
          <w:lang w:val="en-US" w:eastAsia="zh-CN"/>
        </w:rPr>
        <w:t></w:t>
      </w:r>
      <w:r>
        <w:t>第三章</w:t>
      </w:r>
      <w:r>
        <w:rPr>
          <w:rFonts w:hint="eastAsia"/>
          <w:lang w:val="en-US" w:eastAsia="zh-CN"/>
        </w:rPr>
        <w:t xml:space="preserve"> </w:t>
      </w:r>
      <w:r>
        <w:t>评定成交标准</w:t>
      </w:r>
    </w:p>
    <w:p w14:paraId="1310912B">
      <w:pPr>
        <w:bidi w:val="0"/>
        <w:rPr>
          <w:rFonts w:ascii="Times New Roman" w:hAnsi="Times New Roman"/>
        </w:rPr>
      </w:pPr>
      <w:r>
        <w:rPr>
          <w:rFonts w:ascii="Times New Roman" w:hAnsi="Times New Roman"/>
          <w:lang w:val="en-US" w:eastAsia="zh-CN"/>
        </w:rPr>
        <w:t></w:t>
      </w:r>
      <w:r>
        <w:rPr>
          <w:rFonts w:ascii="Times New Roman" w:hAnsi="Times New Roman"/>
        </w:rPr>
        <w:t>第四章</w:t>
      </w:r>
      <w:r>
        <w:rPr>
          <w:rFonts w:hint="eastAsia" w:ascii="Times New Roman" w:hAnsi="Times New Roman"/>
          <w:lang w:val="en-US" w:eastAsia="zh-CN"/>
        </w:rPr>
        <w:t xml:space="preserve"> </w:t>
      </w:r>
      <w:r>
        <w:rPr>
          <w:rFonts w:ascii="Times New Roman" w:hAnsi="Times New Roman"/>
          <w:lang w:val="en-US" w:eastAsia="zh-CN"/>
        </w:rPr>
        <w:t>技术需求书</w:t>
      </w:r>
    </w:p>
    <w:p w14:paraId="7FEC49A6">
      <w:pPr>
        <w:bidi w:val="0"/>
      </w:pPr>
      <w:r>
        <w:rPr>
          <w:lang w:val="en-US" w:eastAsia="zh-CN"/>
        </w:rPr>
        <w:t></w:t>
      </w:r>
      <w:r>
        <w:t>第五章</w:t>
      </w:r>
      <w:r>
        <w:rPr>
          <w:rFonts w:hint="eastAsia"/>
          <w:lang w:val="en-US" w:eastAsia="zh-CN"/>
        </w:rPr>
        <w:t xml:space="preserve"> </w:t>
      </w:r>
      <w:r>
        <w:t>合同主要条款及格式</w:t>
      </w:r>
    </w:p>
    <w:p w14:paraId="3B3D7769">
      <w:pPr>
        <w:bidi w:val="0"/>
        <w:rPr>
          <w:rFonts w:hint="eastAsia" w:eastAsia="仿宋_GB2312"/>
          <w:lang w:val="en-US" w:eastAsia="zh-CN"/>
        </w:rPr>
      </w:pPr>
      <w:r>
        <w:rPr>
          <w:lang w:val="en-US" w:eastAsia="zh-CN"/>
        </w:rPr>
        <w:t></w:t>
      </w:r>
      <w:r>
        <w:t>第六章</w:t>
      </w:r>
      <w:r>
        <w:rPr>
          <w:rFonts w:hint="eastAsia"/>
          <w:lang w:val="en-US" w:eastAsia="zh-CN"/>
        </w:rPr>
        <w:t xml:space="preserve"> </w:t>
      </w:r>
      <w:r>
        <w:t>附件</w:t>
      </w:r>
      <w:r>
        <w:rPr>
          <w:rFonts w:hint="eastAsia"/>
          <w:lang w:val="en-US" w:eastAsia="zh-CN"/>
        </w:rPr>
        <w:t>-响应文件格式</w:t>
      </w:r>
    </w:p>
    <w:p w14:paraId="7BBDEF1E">
      <w:pPr>
        <w:bidi w:val="0"/>
      </w:pPr>
      <w:r>
        <w:rPr>
          <w:lang w:val="en-US" w:eastAsia="zh-CN"/>
        </w:rPr>
        <w:t>7.</w:t>
      </w:r>
      <w:r>
        <w:rPr>
          <w:rFonts w:hint="eastAsia"/>
          <w:lang w:eastAsia="zh-CN"/>
        </w:rPr>
        <w:t>比质比价</w:t>
      </w:r>
      <w:r>
        <w:t>文件的澄清和修改</w:t>
      </w:r>
    </w:p>
    <w:p w14:paraId="4D63CD80">
      <w:pPr>
        <w:bidi w:val="0"/>
      </w:pPr>
      <w:r>
        <w:rPr>
          <w:lang w:val="en-US" w:eastAsia="zh-CN"/>
        </w:rPr>
        <w:t>7.1</w:t>
      </w:r>
      <w:r>
        <w:t>任何要求对《</w:t>
      </w:r>
      <w:r>
        <w:rPr>
          <w:rFonts w:hint="eastAsia"/>
          <w:lang w:eastAsia="zh-CN"/>
        </w:rPr>
        <w:t>比质比价</w:t>
      </w:r>
      <w:r>
        <w:t>文件》进行澄清的供应商，均应在提交《响应文件》截止时间三日前通过“中国融通电子商务平台”（https://www.ronghw.cn/）通知</w:t>
      </w:r>
      <w:r>
        <w:rPr>
          <w:rFonts w:hint="eastAsia"/>
          <w:lang w:eastAsia="zh-CN"/>
        </w:rPr>
        <w:t>采购人</w:t>
      </w:r>
      <w:r>
        <w:t>。</w:t>
      </w:r>
      <w:r>
        <w:rPr>
          <w:rFonts w:hint="eastAsia"/>
          <w:lang w:eastAsia="zh-CN"/>
        </w:rPr>
        <w:t>采购人</w:t>
      </w:r>
      <w:r>
        <w:t>对需要进行答复的内容，均以书面形式通知每个购买《</w:t>
      </w:r>
      <w:r>
        <w:rPr>
          <w:rFonts w:hint="eastAsia"/>
          <w:lang w:eastAsia="zh-CN"/>
        </w:rPr>
        <w:t>比质比价</w:t>
      </w:r>
      <w:r>
        <w:t>文件》的供应商（答复中不包括问题的来源）。</w:t>
      </w:r>
    </w:p>
    <w:p w14:paraId="139CD098">
      <w:pPr>
        <w:bidi w:val="0"/>
      </w:pPr>
      <w:r>
        <w:rPr>
          <w:lang w:val="en-US" w:eastAsia="zh-CN"/>
        </w:rPr>
        <w:t>7.2</w:t>
      </w:r>
      <w:r>
        <w:t>在提交首次《响应文件》截止之日前，</w:t>
      </w:r>
      <w:r>
        <w:rPr>
          <w:rFonts w:hint="eastAsia"/>
          <w:lang w:eastAsia="zh-CN"/>
        </w:rPr>
        <w:t>采购人</w:t>
      </w:r>
      <w:r>
        <w:t>或者</w:t>
      </w:r>
      <w:r>
        <w:rPr>
          <w:rFonts w:hint="eastAsia"/>
          <w:lang w:eastAsia="zh-CN"/>
        </w:rPr>
        <w:t>比质比价</w:t>
      </w:r>
      <w:r>
        <w:t>小组可以对已发出的</w:t>
      </w:r>
      <w:r>
        <w:rPr>
          <w:rFonts w:hint="eastAsia"/>
          <w:lang w:eastAsia="zh-CN"/>
        </w:rPr>
        <w:t>比质比价</w:t>
      </w:r>
      <w:r>
        <w:t>文件进行必要的澄清或者修改，澄清或者修改的内容作为</w:t>
      </w:r>
      <w:r>
        <w:rPr>
          <w:rFonts w:hint="eastAsia"/>
          <w:lang w:eastAsia="zh-CN"/>
        </w:rPr>
        <w:t>比质比价</w:t>
      </w:r>
      <w:r>
        <w:t>文件的组成部分。澄清或者修改的内容可能影响响应文件编制的，</w:t>
      </w:r>
      <w:r>
        <w:rPr>
          <w:rFonts w:hint="eastAsia"/>
          <w:lang w:eastAsia="zh-CN"/>
        </w:rPr>
        <w:t>采购人</w:t>
      </w:r>
      <w:r>
        <w:t>或者</w:t>
      </w:r>
      <w:r>
        <w:rPr>
          <w:rFonts w:hint="eastAsia"/>
          <w:lang w:eastAsia="zh-CN"/>
        </w:rPr>
        <w:t>比质比价</w:t>
      </w:r>
      <w:r>
        <w:t>小组应当在提交首次《响应文件》截止之日2个工作日前，通过“中国融通电子商务平台”（https://www.ronghw.cn/）通知所有接收</w:t>
      </w:r>
      <w:r>
        <w:rPr>
          <w:rFonts w:hint="eastAsia"/>
          <w:lang w:eastAsia="zh-CN"/>
        </w:rPr>
        <w:t>比质比价</w:t>
      </w:r>
      <w:r>
        <w:t>文件的供应商，不足2个工作日的，应当顺延提交首次《响应文件》截止之日。</w:t>
      </w:r>
    </w:p>
    <w:p w14:paraId="53A78C3D">
      <w:pPr>
        <w:bidi w:val="0"/>
        <w:rPr>
          <w:highlight w:val="yellow"/>
        </w:rPr>
      </w:pPr>
      <w:r>
        <w:rPr>
          <w:lang w:val="en-US" w:eastAsia="zh-CN"/>
        </w:rPr>
        <w:t>7.3</w:t>
      </w:r>
      <w:r>
        <w:t>《</w:t>
      </w:r>
      <w:r>
        <w:rPr>
          <w:rFonts w:hint="eastAsia"/>
          <w:lang w:eastAsia="zh-CN"/>
        </w:rPr>
        <w:t>比质比价</w:t>
      </w:r>
      <w:r>
        <w:t>文件》的澄清或者修改将以</w:t>
      </w:r>
      <w:r>
        <w:rPr>
          <w:rFonts w:hint="eastAsia"/>
          <w:lang w:val="en-US" w:eastAsia="zh-CN"/>
        </w:rPr>
        <w:t>电话</w:t>
      </w:r>
      <w:r>
        <w:t>形式通知所有接收《</w:t>
      </w:r>
      <w:r>
        <w:rPr>
          <w:rFonts w:hint="eastAsia"/>
          <w:lang w:eastAsia="zh-CN"/>
        </w:rPr>
        <w:t>比质比价</w:t>
      </w:r>
      <w:r>
        <w:t>文件》的供应商，并对其具有约束力。供应商在收到上述通知后，</w:t>
      </w:r>
      <w:r>
        <w:rPr>
          <w:highlight w:val="none"/>
        </w:rPr>
        <w:t>应立即回函确认。</w:t>
      </w:r>
    </w:p>
    <w:p w14:paraId="2D069A02">
      <w:pPr>
        <w:bidi w:val="0"/>
      </w:pPr>
      <w:r>
        <w:rPr>
          <w:lang w:val="en-US" w:eastAsia="zh-CN"/>
        </w:rPr>
        <w:t>7.4</w:t>
      </w:r>
      <w:r>
        <w:rPr>
          <w:rFonts w:hint="eastAsia"/>
          <w:lang w:eastAsia="zh-CN"/>
        </w:rPr>
        <w:t>采购人</w:t>
      </w:r>
      <w:r>
        <w:t>将视情况确定是否有必要安排所有接收了《</w:t>
      </w:r>
      <w:r>
        <w:rPr>
          <w:rFonts w:hint="eastAsia"/>
          <w:lang w:eastAsia="zh-CN"/>
        </w:rPr>
        <w:t>比质比价</w:t>
      </w:r>
      <w:r>
        <w:t>文件》的供应商踏勘现场，相关要求见</w:t>
      </w:r>
      <w:r>
        <w:rPr>
          <w:rFonts w:hint="eastAsia"/>
          <w:lang w:eastAsia="zh-CN"/>
        </w:rPr>
        <w:t>比质比价</w:t>
      </w:r>
      <w:r>
        <w:t>资料表第4条。</w:t>
      </w:r>
    </w:p>
    <w:p w14:paraId="1689297B">
      <w:pPr>
        <w:bidi w:val="0"/>
      </w:pPr>
      <w:r>
        <w:rPr>
          <w:lang w:val="en-US" w:eastAsia="zh-CN"/>
        </w:rPr>
        <w:t>7.5</w:t>
      </w:r>
      <w:r>
        <w:rPr>
          <w:rFonts w:hint="eastAsia"/>
          <w:lang w:eastAsia="zh-CN"/>
        </w:rPr>
        <w:t>采购人</w:t>
      </w:r>
      <w:r>
        <w:t>将视情况确定是否有必要召开答疑会，相关要求见</w:t>
      </w:r>
      <w:r>
        <w:rPr>
          <w:rFonts w:hint="eastAsia"/>
          <w:lang w:eastAsia="zh-CN"/>
        </w:rPr>
        <w:t>比质比价</w:t>
      </w:r>
      <w:r>
        <w:t>资料表第5条。</w:t>
      </w:r>
    </w:p>
    <w:p w14:paraId="7EC0D040">
      <w:pPr>
        <w:bidi w:val="0"/>
      </w:pPr>
      <w:r>
        <w:t>三、《响应文件》的编制</w:t>
      </w:r>
    </w:p>
    <w:p w14:paraId="66BC4C4D">
      <w:pPr>
        <w:bidi w:val="0"/>
      </w:pPr>
      <w:r>
        <w:rPr>
          <w:lang w:val="en-US" w:eastAsia="zh-CN"/>
        </w:rPr>
        <w:t>8.</w:t>
      </w:r>
      <w:r>
        <w:t>使用的语言和计量单位</w:t>
      </w:r>
    </w:p>
    <w:p w14:paraId="2E6E0369">
      <w:pPr>
        <w:bidi w:val="0"/>
      </w:pPr>
      <w:r>
        <w:rPr>
          <w:lang w:val="en-US" w:eastAsia="zh-CN"/>
        </w:rPr>
        <w:t>8.1</w:t>
      </w:r>
      <w:r>
        <w:t>供应商提交的《响应文件》以及供应商与</w:t>
      </w:r>
      <w:r>
        <w:rPr>
          <w:rFonts w:hint="eastAsia"/>
          <w:lang w:eastAsia="zh-CN"/>
        </w:rPr>
        <w:t>采购人</w:t>
      </w:r>
      <w:r>
        <w:t>就有关</w:t>
      </w:r>
      <w:r>
        <w:rPr>
          <w:rFonts w:hint="eastAsia"/>
          <w:lang w:eastAsia="zh-CN"/>
        </w:rPr>
        <w:t>比质比价</w:t>
      </w:r>
      <w:r>
        <w:t>的所有来往函电均应使用中文书写。供应商提交的支持文件和印制的文献可以用另一种语言，但相应内容必须附有中文翻译本，在解释《响应文件》时以翻译本为准。</w:t>
      </w:r>
    </w:p>
    <w:p w14:paraId="7A87C033">
      <w:pPr>
        <w:bidi w:val="0"/>
      </w:pPr>
      <w:r>
        <w:rPr>
          <w:lang w:val="en-US" w:eastAsia="zh-CN"/>
        </w:rPr>
        <w:t>8.2</w:t>
      </w:r>
      <w:r>
        <w:t>《响应文件》所使用的计量单位，应使用国家法定计量单位。</w:t>
      </w:r>
    </w:p>
    <w:p w14:paraId="631E60E9">
      <w:pPr>
        <w:bidi w:val="0"/>
      </w:pPr>
      <w:r>
        <w:rPr>
          <w:lang w:val="en-US" w:eastAsia="zh-CN"/>
        </w:rPr>
        <w:t>9.</w:t>
      </w:r>
      <w:r>
        <w:t>《响应文件》构成</w:t>
      </w:r>
    </w:p>
    <w:p w14:paraId="0B509AB3">
      <w:pPr>
        <w:bidi w:val="0"/>
      </w:pPr>
      <w:r>
        <w:rPr>
          <w:lang w:val="en-US" w:eastAsia="zh-CN"/>
        </w:rPr>
        <w:t>9.1</w:t>
      </w:r>
      <w:r>
        <w:t>供应商编写的响应文件应包括但不限于</w:t>
      </w:r>
      <w:r>
        <w:rPr>
          <w:rFonts w:hint="eastAsia"/>
          <w:lang w:eastAsia="zh-CN"/>
        </w:rPr>
        <w:t>比质比价</w:t>
      </w:r>
      <w:r>
        <w:t>资料表第6条中列明的内容。</w:t>
      </w:r>
    </w:p>
    <w:p w14:paraId="2EEBDA70">
      <w:pPr>
        <w:bidi w:val="0"/>
      </w:pPr>
      <w:r>
        <w:rPr>
          <w:lang w:val="en-US" w:eastAsia="zh-CN"/>
        </w:rPr>
        <w:t>9.2</w:t>
      </w:r>
      <w:r>
        <w:t>供应商必须保证响应文件所提供的全部资料真实可靠，并接受</w:t>
      </w:r>
      <w:r>
        <w:rPr>
          <w:rFonts w:hint="eastAsia"/>
          <w:lang w:eastAsia="zh-CN"/>
        </w:rPr>
        <w:t>比质比价</w:t>
      </w:r>
      <w:r>
        <w:t>小组对其中任何资料进一步审查的要求。</w:t>
      </w:r>
    </w:p>
    <w:p w14:paraId="3411FD75">
      <w:pPr>
        <w:bidi w:val="0"/>
      </w:pPr>
      <w:r>
        <w:rPr>
          <w:lang w:val="en-US" w:eastAsia="zh-CN"/>
        </w:rPr>
        <w:t>10.</w:t>
      </w:r>
      <w:r>
        <w:t>《响应文件》的式样和签署</w:t>
      </w:r>
    </w:p>
    <w:p w14:paraId="57C76A30">
      <w:pPr>
        <w:bidi w:val="0"/>
        <w:rPr>
          <w:highlight w:val="none"/>
        </w:rPr>
      </w:pPr>
      <w:r>
        <w:rPr>
          <w:highlight w:val="none"/>
          <w:lang w:val="en-US" w:eastAsia="zh-CN"/>
        </w:rPr>
        <w:t>10.1</w:t>
      </w:r>
      <w:r>
        <w:rPr>
          <w:highlight w:val="none"/>
        </w:rPr>
        <w:t>响应文件规格幅面使用A4规格纸张，按照</w:t>
      </w:r>
      <w:r>
        <w:rPr>
          <w:rFonts w:hint="eastAsia"/>
          <w:highlight w:val="none"/>
          <w:lang w:eastAsia="zh-CN"/>
        </w:rPr>
        <w:t>比质比价</w:t>
      </w:r>
      <w:r>
        <w:rPr>
          <w:highlight w:val="none"/>
        </w:rPr>
        <w:t>文件第六章规定的顺序，统一编目编码装订。由于编排混乱导致响应文件被误读或查找不到，其责任应当有供应商承担。响应文件装订采用胶订或线订形式，不得采用活页装订，否则将被视为无效文件。</w:t>
      </w:r>
    </w:p>
    <w:p w14:paraId="0F246CF7">
      <w:pPr>
        <w:bidi w:val="0"/>
      </w:pPr>
      <w:r>
        <w:rPr>
          <w:highlight w:val="none"/>
          <w:lang w:val="en-US" w:eastAsia="zh-CN"/>
        </w:rPr>
        <w:t>10.2</w:t>
      </w:r>
      <w:r>
        <w:rPr>
          <w:highlight w:val="none"/>
        </w:rPr>
        <w:t>供应商在响应文件及相关文件</w:t>
      </w:r>
      <w:r>
        <w:t>的签订、履行、通知等事项的书面文件中的单位盖章、印章、公章等处均仅指与当事人名称全称相一致的标准公章，不得使用其它形式（如带有“专用章”等字样的印章），否则将被视为无效文件。</w:t>
      </w:r>
    </w:p>
    <w:p w14:paraId="7F7511DA">
      <w:pPr>
        <w:bidi w:val="0"/>
        <w:rPr>
          <w:highlight w:val="none"/>
        </w:rPr>
      </w:pPr>
      <w:r>
        <w:rPr>
          <w:lang w:val="en-US" w:eastAsia="zh-CN"/>
        </w:rPr>
        <w:t>10.3</w:t>
      </w:r>
      <w:r>
        <w:t>响应文件的正本需打印或用不褪色墨水书写，在适当的位置填写供应商全称并加盖公章，并由供应商法定代表人或经正式授权的供应商代表签署全名或加盖本人签名章。不符合本条规定的将被视为无效文件。供应商授权代表须将以书面形式出具的“法定代表人授权书”附在响应文件中。</w:t>
      </w:r>
      <w:r>
        <w:rPr>
          <w:highlight w:val="none"/>
        </w:rPr>
        <w:t>响应文件的副本</w:t>
      </w:r>
      <w:r>
        <w:rPr>
          <w:rFonts w:hint="eastAsia"/>
          <w:highlight w:val="none"/>
          <w:lang w:val="en-US" w:eastAsia="zh-CN"/>
        </w:rPr>
        <w:t>需</w:t>
      </w:r>
      <w:r>
        <w:rPr>
          <w:highlight w:val="none"/>
        </w:rPr>
        <w:t>是正本的复印件。</w:t>
      </w:r>
    </w:p>
    <w:p w14:paraId="6C6516E0">
      <w:pPr>
        <w:bidi w:val="0"/>
        <w:rPr>
          <w:highlight w:val="none"/>
        </w:rPr>
      </w:pPr>
      <w:r>
        <w:rPr>
          <w:highlight w:val="none"/>
          <w:lang w:val="en-US" w:eastAsia="zh-CN"/>
        </w:rPr>
        <w:t>10.4</w:t>
      </w:r>
      <w:r>
        <w:rPr>
          <w:highlight w:val="none"/>
        </w:rPr>
        <w:t>响应文件应字迹清楚，内容齐全，不得涂改或增删。任何行间插字、涂改和增删，必须有供应商公章及授权代表签字方为有效。</w:t>
      </w:r>
    </w:p>
    <w:p w14:paraId="689CD7FA">
      <w:pPr>
        <w:bidi w:val="0"/>
        <w:rPr>
          <w:rFonts w:hint="default" w:eastAsia="仿宋_GB2312"/>
          <w:highlight w:val="none"/>
          <w:lang w:val="en-US" w:eastAsia="zh-CN"/>
        </w:rPr>
      </w:pPr>
      <w:r>
        <w:rPr>
          <w:highlight w:val="none"/>
          <w:lang w:val="en-US" w:eastAsia="zh-CN"/>
        </w:rPr>
        <w:t>10.5</w:t>
      </w:r>
      <w:r>
        <w:rPr>
          <w:highlight w:val="none"/>
        </w:rPr>
        <w:t>供应商应按</w:t>
      </w:r>
      <w:r>
        <w:rPr>
          <w:rFonts w:hint="eastAsia"/>
          <w:highlight w:val="none"/>
          <w:lang w:eastAsia="zh-CN"/>
        </w:rPr>
        <w:t>比质比价</w:t>
      </w:r>
      <w:r>
        <w:rPr>
          <w:highlight w:val="none"/>
        </w:rPr>
        <w:t>资料表第7条规定的份数准备响应文件，每套响应文件须清楚地标明“响应文件正本”、“响应文件副本”。</w:t>
      </w:r>
      <w:r>
        <w:rPr>
          <w:rFonts w:hint="eastAsia"/>
          <w:highlight w:val="none"/>
          <w:lang w:val="en-US" w:eastAsia="zh-CN"/>
        </w:rPr>
        <w:t>上传的</w:t>
      </w:r>
      <w:r>
        <w:rPr>
          <w:highlight w:val="none"/>
        </w:rPr>
        <w:t>电子文档和纸质文件须保持一致</w:t>
      </w:r>
      <w:r>
        <w:rPr>
          <w:rFonts w:hint="eastAsia"/>
          <w:highlight w:val="none"/>
          <w:lang w:eastAsia="zh-CN"/>
        </w:rPr>
        <w:t>，</w:t>
      </w:r>
      <w:r>
        <w:rPr>
          <w:highlight w:val="none"/>
        </w:rPr>
        <w:t>“响应文件副本”</w:t>
      </w:r>
      <w:r>
        <w:rPr>
          <w:rFonts w:hint="eastAsia"/>
          <w:highlight w:val="none"/>
          <w:lang w:val="en-US" w:eastAsia="zh-CN"/>
        </w:rPr>
        <w:t>需与</w:t>
      </w:r>
      <w:r>
        <w:rPr>
          <w:highlight w:val="none"/>
        </w:rPr>
        <w:t>“响应文件正本”</w:t>
      </w:r>
      <w:r>
        <w:rPr>
          <w:rFonts w:hint="eastAsia"/>
          <w:highlight w:val="none"/>
          <w:lang w:val="en-US" w:eastAsia="zh-CN"/>
        </w:rPr>
        <w:t>内容一致。</w:t>
      </w:r>
    </w:p>
    <w:p w14:paraId="12076CD1">
      <w:pPr>
        <w:bidi w:val="0"/>
      </w:pPr>
      <w:r>
        <w:rPr>
          <w:lang w:val="en-US" w:eastAsia="zh-CN"/>
        </w:rPr>
        <w:t>10.6</w:t>
      </w:r>
      <w:r>
        <w:t>中国融通电子商务平台首页提供操作手册，供应商可以下载并根据操作手册提示进行信息注册、CA证书办理、下载投标工具，在参与项目后可直接进行</w:t>
      </w:r>
      <w:r>
        <w:rPr>
          <w:rFonts w:hint="eastAsia"/>
          <w:lang w:eastAsia="zh-CN"/>
        </w:rPr>
        <w:t>比质比价</w:t>
      </w:r>
      <w:r>
        <w:t>文件的下载及响应；</w:t>
      </w:r>
    </w:p>
    <w:p w14:paraId="4486BF01">
      <w:pPr>
        <w:bidi w:val="0"/>
      </w:pPr>
      <w:r>
        <w:rPr>
          <w:lang w:val="en-US" w:eastAsia="zh-CN"/>
        </w:rPr>
        <w:t>10.7</w:t>
      </w:r>
      <w:r>
        <w:t>供应商针对系统操作的咨询，可拨打中国融通电子商务平台技术服务热线（400-189-8880）</w:t>
      </w:r>
    </w:p>
    <w:p w14:paraId="76B597CF">
      <w:pPr>
        <w:bidi w:val="0"/>
      </w:pPr>
      <w:r>
        <w:rPr>
          <w:lang w:val="en-US" w:eastAsia="zh-CN"/>
        </w:rPr>
        <w:t>10.8</w:t>
      </w:r>
      <w:r>
        <w:t>供应商必须在递交截止时间之前办理CA证书，并使用CA证书进行加密后才能上传响应文件，否则将无法参与</w:t>
      </w:r>
      <w:r>
        <w:rPr>
          <w:rFonts w:hint="eastAsia"/>
          <w:lang w:eastAsia="zh-CN"/>
        </w:rPr>
        <w:t>比质比价</w:t>
      </w:r>
      <w:r>
        <w:t>，CA证书具体办理流程参见中国融通电子商务平台首页“服务中心-下载专区”；</w:t>
      </w:r>
    </w:p>
    <w:p w14:paraId="6E23F932">
      <w:pPr>
        <w:bidi w:val="0"/>
      </w:pPr>
      <w:r>
        <w:rPr>
          <w:lang w:val="en-US" w:eastAsia="zh-CN"/>
        </w:rPr>
        <w:t>10.9</w:t>
      </w:r>
      <w:r>
        <w:t>电子响应文件通过中国融通电子商务平台递交。</w:t>
      </w:r>
    </w:p>
    <w:p w14:paraId="483F7A78">
      <w:pPr>
        <w:bidi w:val="0"/>
      </w:pPr>
      <w:r>
        <w:rPr>
          <w:lang w:val="en-US" w:eastAsia="zh-CN"/>
        </w:rPr>
        <w:t>11.</w:t>
      </w:r>
      <w:r>
        <w:t>报价</w:t>
      </w:r>
    </w:p>
    <w:p w14:paraId="1C92FBE3">
      <w:pPr>
        <w:bidi w:val="0"/>
      </w:pPr>
      <w:r>
        <w:rPr>
          <w:lang w:val="en-US" w:eastAsia="zh-CN"/>
        </w:rPr>
        <w:t>11.1</w:t>
      </w:r>
      <w:r>
        <w:t>报价要求见</w:t>
      </w:r>
      <w:r>
        <w:rPr>
          <w:rFonts w:hint="eastAsia"/>
          <w:lang w:eastAsia="zh-CN"/>
        </w:rPr>
        <w:t>比质比价</w:t>
      </w:r>
      <w:r>
        <w:t>资料表第8条。</w:t>
      </w:r>
    </w:p>
    <w:p w14:paraId="17F0BD6E">
      <w:pPr>
        <w:bidi w:val="0"/>
      </w:pPr>
      <w:r>
        <w:rPr>
          <w:lang w:val="en-US" w:eastAsia="zh-CN"/>
        </w:rPr>
        <w:t>11.2</w:t>
      </w:r>
      <w:r>
        <w:t>所有报价均以人民币元为计量单位。只要投报了一个确定数额的总价，无论分项价格是否全部填报了相应的金额或免费字样，报价应被视为已经包含了但并不限于各项相关服务等的费用和所需缴纳的所有价格、税、费，并且报价应该被视为已经扣除所有同业折扣以及现金折扣。在其它情况下，由于分项报价填报不完整、不清楚或存在其它任何失误，所导致的任何不利后果均应当由供应商自行承担。</w:t>
      </w:r>
    </w:p>
    <w:p w14:paraId="25B73DD8">
      <w:pPr>
        <w:bidi w:val="0"/>
      </w:pPr>
      <w:r>
        <w:rPr>
          <w:lang w:val="en-US" w:eastAsia="zh-CN"/>
        </w:rPr>
        <w:t>11.3</w:t>
      </w:r>
      <w:r>
        <w:t>供应商必须对参加的一个包或多个包内的所有货物和服务以包为单位进行报价，不得将几个包合报一个价格，也不得将一个包中的内容拆开报价。</w:t>
      </w:r>
    </w:p>
    <w:p w14:paraId="04C5B8A3">
      <w:pPr>
        <w:bidi w:val="0"/>
      </w:pPr>
      <w:r>
        <w:rPr>
          <w:lang w:val="en-US" w:eastAsia="zh-CN"/>
        </w:rPr>
        <w:t>11.4</w:t>
      </w:r>
      <w:r>
        <w:t>供应商应在分项报价表中对每项内容给予详细分项报价，在分项报价表上标明拟提供货物和服务的单价和总价，由法定代表人或授权代表签署。</w:t>
      </w:r>
    </w:p>
    <w:p w14:paraId="7557E0C8">
      <w:pPr>
        <w:bidi w:val="0"/>
      </w:pPr>
      <w:r>
        <w:rPr>
          <w:lang w:val="en-US" w:eastAsia="zh-CN"/>
        </w:rPr>
        <w:t>11.5</w:t>
      </w:r>
      <w:r>
        <w:t>采购货物或服务的价格均以供应商最终报价为准。</w:t>
      </w:r>
    </w:p>
    <w:p w14:paraId="14C92396">
      <w:pPr>
        <w:bidi w:val="0"/>
      </w:pPr>
      <w:r>
        <w:rPr>
          <w:lang w:val="en-US" w:eastAsia="zh-CN"/>
        </w:rPr>
        <w:t>12.</w:t>
      </w:r>
      <w:r>
        <w:rPr>
          <w:rFonts w:hint="eastAsia"/>
          <w:lang w:eastAsia="zh-CN"/>
        </w:rPr>
        <w:t>比质比价</w:t>
      </w:r>
      <w:r>
        <w:t>有效期和</w:t>
      </w:r>
      <w:r>
        <w:rPr>
          <w:rFonts w:hint="eastAsia"/>
          <w:lang w:eastAsia="zh-CN"/>
        </w:rPr>
        <w:t>比质比价</w:t>
      </w:r>
      <w:r>
        <w:t>保证金</w:t>
      </w:r>
    </w:p>
    <w:p w14:paraId="0C310115">
      <w:pPr>
        <w:bidi w:val="0"/>
      </w:pPr>
      <w:r>
        <w:rPr>
          <w:lang w:val="en-US" w:eastAsia="zh-CN"/>
        </w:rPr>
        <w:t>12.1</w:t>
      </w:r>
      <w:r>
        <w:rPr>
          <w:rFonts w:hint="eastAsia"/>
          <w:lang w:eastAsia="zh-CN"/>
        </w:rPr>
        <w:t>比质比价</w:t>
      </w:r>
      <w:r>
        <w:t>有效期为自响应文件递交截止日期起90天，</w:t>
      </w:r>
      <w:r>
        <w:rPr>
          <w:rFonts w:hint="eastAsia"/>
          <w:lang w:eastAsia="zh-CN"/>
        </w:rPr>
        <w:t>比质比价</w:t>
      </w:r>
      <w:r>
        <w:t>有效期比90天短的响应文件将被视为非响应而予以拒绝。在特殊情况下，在</w:t>
      </w:r>
      <w:r>
        <w:rPr>
          <w:rFonts w:hint="eastAsia"/>
          <w:lang w:eastAsia="zh-CN"/>
        </w:rPr>
        <w:t>比质比价</w:t>
      </w:r>
      <w:r>
        <w:t>有效期截止之前，</w:t>
      </w:r>
      <w:r>
        <w:rPr>
          <w:rFonts w:hint="eastAsia"/>
          <w:lang w:eastAsia="zh-CN"/>
        </w:rPr>
        <w:t>采购人</w:t>
      </w:r>
      <w:r>
        <w:t>可要求供应商同意延长</w:t>
      </w:r>
      <w:r>
        <w:rPr>
          <w:rFonts w:hint="eastAsia"/>
          <w:lang w:eastAsia="zh-CN"/>
        </w:rPr>
        <w:t>比质比价</w:t>
      </w:r>
      <w:r>
        <w:t>有效期。这种要求与答复均应以书面形式提交。供应商可拒绝</w:t>
      </w:r>
      <w:r>
        <w:rPr>
          <w:rFonts w:hint="eastAsia"/>
          <w:lang w:eastAsia="zh-CN"/>
        </w:rPr>
        <w:t>采购人</w:t>
      </w:r>
      <w:r>
        <w:t>的这种要求，其</w:t>
      </w:r>
      <w:r>
        <w:rPr>
          <w:rFonts w:hint="eastAsia"/>
          <w:lang w:eastAsia="zh-CN"/>
        </w:rPr>
        <w:t>比质比价</w:t>
      </w:r>
      <w:r>
        <w:t>保证金将予退还。在这种情况下，本须知内有关</w:t>
      </w:r>
      <w:r>
        <w:rPr>
          <w:rFonts w:hint="eastAsia"/>
          <w:lang w:eastAsia="zh-CN"/>
        </w:rPr>
        <w:t>比质比价</w:t>
      </w:r>
      <w:r>
        <w:t>保证金的退还和不予退还的规定将在延长了的有效期内继续有效。</w:t>
      </w:r>
    </w:p>
    <w:p w14:paraId="1E2162FF">
      <w:pPr>
        <w:bidi w:val="0"/>
      </w:pPr>
      <w:r>
        <w:rPr>
          <w:lang w:val="en-US" w:eastAsia="zh-CN"/>
        </w:rPr>
        <w:t>12.2</w:t>
      </w:r>
      <w:r>
        <w:rPr>
          <w:rFonts w:hint="eastAsia"/>
          <w:lang w:eastAsia="zh-CN"/>
        </w:rPr>
        <w:t>比质比价</w:t>
      </w:r>
      <w:r>
        <w:t>保证金应作为响应文件的一部分，</w:t>
      </w:r>
      <w:r>
        <w:rPr>
          <w:rFonts w:hint="eastAsia"/>
          <w:lang w:eastAsia="zh-CN"/>
        </w:rPr>
        <w:t>比质比价</w:t>
      </w:r>
      <w:r>
        <w:t>保证金有效期与</w:t>
      </w:r>
      <w:r>
        <w:rPr>
          <w:rFonts w:hint="eastAsia"/>
          <w:lang w:eastAsia="zh-CN"/>
        </w:rPr>
        <w:t>比质比价</w:t>
      </w:r>
      <w:r>
        <w:t>有效期一致。供应商需同时提供退款银行详细信息。</w:t>
      </w:r>
      <w:r>
        <w:rPr>
          <w:rFonts w:hint="eastAsia"/>
          <w:lang w:eastAsia="zh-CN"/>
        </w:rPr>
        <w:t>比质比价</w:t>
      </w:r>
      <w:r>
        <w:t>保证金的金额应满足</w:t>
      </w:r>
      <w:r>
        <w:rPr>
          <w:rFonts w:hint="eastAsia"/>
          <w:lang w:eastAsia="zh-CN"/>
        </w:rPr>
        <w:t>比质比价</w:t>
      </w:r>
      <w:r>
        <w:t>资料表第9条规定的标准。</w:t>
      </w:r>
    </w:p>
    <w:p w14:paraId="15D265DF">
      <w:pPr>
        <w:bidi w:val="0"/>
      </w:pPr>
      <w:r>
        <w:rPr>
          <w:lang w:val="en-US" w:eastAsia="zh-CN"/>
        </w:rPr>
        <w:t>12.3</w:t>
      </w:r>
      <w:r>
        <w:t>供应商须以单位名义，在</w:t>
      </w:r>
      <w:r>
        <w:rPr>
          <w:rFonts w:hint="eastAsia"/>
          <w:lang w:eastAsia="zh-CN"/>
        </w:rPr>
        <w:t>比质比价</w:t>
      </w:r>
      <w:r>
        <w:t>前将足额保证金从供应商的账户汇至如下账户，</w:t>
      </w:r>
    </w:p>
    <w:p w14:paraId="2052F916">
      <w:pPr>
        <w:bidi w:val="0"/>
        <w:rPr>
          <w:rFonts w:hint="eastAsia" w:eastAsia="仿宋_GB2312"/>
          <w:color w:val="auto"/>
          <w:lang w:eastAsia="zh-CN"/>
        </w:rPr>
      </w:pPr>
      <w:r>
        <w:rPr>
          <w:rFonts w:hint="eastAsia"/>
          <w:color w:val="auto"/>
        </w:rPr>
        <w:t>保证金的金额：人民币</w:t>
      </w:r>
      <w:r>
        <w:rPr>
          <w:rFonts w:hint="eastAsia"/>
          <w:color w:val="auto"/>
          <w:lang w:val="en-US" w:eastAsia="zh-CN"/>
        </w:rPr>
        <w:t>0</w:t>
      </w:r>
      <w:r>
        <w:rPr>
          <w:rFonts w:hint="eastAsia"/>
          <w:color w:val="auto"/>
        </w:rPr>
        <w:t>元</w:t>
      </w:r>
      <w:r>
        <w:rPr>
          <w:rFonts w:hint="eastAsia"/>
          <w:color w:val="auto"/>
          <w:lang w:eastAsia="zh-CN"/>
        </w:rPr>
        <w:t>（本项目无需缴纳比质比价保证金）</w:t>
      </w:r>
    </w:p>
    <w:p w14:paraId="73B3365C">
      <w:pPr>
        <w:bidi w:val="0"/>
      </w:pPr>
      <w:r>
        <w:rPr>
          <w:rFonts w:hint="eastAsia"/>
          <w:lang w:eastAsia="zh-CN"/>
        </w:rPr>
        <w:t>采购人</w:t>
      </w:r>
      <w:r>
        <w:t>不接受以个人名义提交的</w:t>
      </w:r>
      <w:r>
        <w:rPr>
          <w:rFonts w:hint="eastAsia"/>
          <w:lang w:eastAsia="zh-CN"/>
        </w:rPr>
        <w:t>比质比价</w:t>
      </w:r>
      <w:r>
        <w:t>保证金。</w:t>
      </w:r>
    </w:p>
    <w:p w14:paraId="3573DFB9">
      <w:pPr>
        <w:bidi w:val="0"/>
        <w:rPr>
          <w:rFonts w:hint="default"/>
          <w:lang w:val="en-US"/>
        </w:rPr>
      </w:pPr>
      <w:r>
        <w:t>供应商参加多个包件的</w:t>
      </w:r>
      <w:r>
        <w:rPr>
          <w:rFonts w:hint="eastAsia"/>
          <w:lang w:eastAsia="zh-CN"/>
        </w:rPr>
        <w:t>比质比价</w:t>
      </w:r>
      <w:r>
        <w:t>，电汇</w:t>
      </w:r>
      <w:r>
        <w:rPr>
          <w:rFonts w:hint="eastAsia"/>
          <w:lang w:eastAsia="zh-CN"/>
        </w:rPr>
        <w:t>比质比价</w:t>
      </w:r>
      <w:r>
        <w:t>保证金时，须按包件单独电汇。注：为便于</w:t>
      </w:r>
      <w:r>
        <w:rPr>
          <w:rFonts w:hint="eastAsia"/>
          <w:lang w:eastAsia="zh-CN"/>
        </w:rPr>
        <w:t>采购人</w:t>
      </w:r>
      <w:r>
        <w:t>及时准确地核实供应商的保证金是否到账，供应商应在电汇汇款附言里注明：</w:t>
      </w:r>
      <w:r>
        <w:rPr>
          <w:rFonts w:hint="eastAsia"/>
          <w:lang w:val="en-US" w:eastAsia="zh-CN"/>
        </w:rPr>
        <w:t>便携式电子鼻咽喉镜项目项目和公司社会统一信用代码</w:t>
      </w:r>
      <w:r>
        <w:t>。</w:t>
      </w:r>
    </w:p>
    <w:p w14:paraId="34BB4A6A">
      <w:pPr>
        <w:bidi w:val="0"/>
      </w:pPr>
      <w:r>
        <w:rPr>
          <w:lang w:val="en-US" w:eastAsia="zh-CN"/>
        </w:rPr>
        <w:t>12.4</w:t>
      </w:r>
      <w:r>
        <w:t>凡没有根据上述规定提交</w:t>
      </w:r>
      <w:r>
        <w:rPr>
          <w:rFonts w:hint="eastAsia"/>
          <w:lang w:eastAsia="zh-CN"/>
        </w:rPr>
        <w:t>比质比价</w:t>
      </w:r>
      <w:r>
        <w:t>保证金的响应将被视为无效响应。</w:t>
      </w:r>
    </w:p>
    <w:p w14:paraId="061BC3E6">
      <w:pPr>
        <w:bidi w:val="0"/>
      </w:pPr>
      <w:r>
        <w:rPr>
          <w:lang w:val="en-US" w:eastAsia="zh-CN"/>
        </w:rPr>
        <w:t>12.5</w:t>
      </w:r>
      <w:r>
        <w:rPr>
          <w:rFonts w:hint="eastAsia"/>
          <w:lang w:eastAsia="zh-CN"/>
        </w:rPr>
        <w:t>比质比价</w:t>
      </w:r>
      <w:r>
        <w:t>保证金是为了保护</w:t>
      </w:r>
      <w:r>
        <w:rPr>
          <w:rFonts w:hint="eastAsia"/>
          <w:lang w:eastAsia="zh-CN"/>
        </w:rPr>
        <w:t>采购人</w:t>
      </w:r>
      <w:r>
        <w:t>免遭因供应商的不当行为而蒙受损失。下列任何情况发生时，</w:t>
      </w:r>
      <w:r>
        <w:rPr>
          <w:rFonts w:hint="eastAsia"/>
          <w:lang w:eastAsia="zh-CN"/>
        </w:rPr>
        <w:t>比质比价</w:t>
      </w:r>
      <w:r>
        <w:t>保证金将不予退还给供应商：</w:t>
      </w:r>
    </w:p>
    <w:p w14:paraId="01431F3C">
      <w:pPr>
        <w:bidi w:val="0"/>
      </w:pPr>
      <w:r>
        <w:rPr>
          <w:lang w:val="en-US" w:eastAsia="zh-CN"/>
        </w:rPr>
        <w:t>1)</w:t>
      </w:r>
      <w:r>
        <w:t>供应商在提交响应文件截止时间后撤回响应文件的；</w:t>
      </w:r>
    </w:p>
    <w:p w14:paraId="66053556">
      <w:pPr>
        <w:bidi w:val="0"/>
      </w:pPr>
      <w:r>
        <w:rPr>
          <w:lang w:val="en-US" w:eastAsia="zh-CN"/>
        </w:rPr>
        <w:t>2)</w:t>
      </w:r>
      <w:r>
        <w:t>供应商在响应文件中提供虚假材料的；</w:t>
      </w:r>
    </w:p>
    <w:p w14:paraId="41FC6B04">
      <w:pPr>
        <w:bidi w:val="0"/>
      </w:pPr>
      <w:r>
        <w:rPr>
          <w:lang w:val="en-US" w:eastAsia="zh-CN"/>
        </w:rPr>
        <w:t>3)</w:t>
      </w:r>
      <w:r>
        <w:t>除因不可抗力或</w:t>
      </w:r>
      <w:r>
        <w:rPr>
          <w:rFonts w:hint="eastAsia"/>
          <w:lang w:eastAsia="zh-CN"/>
        </w:rPr>
        <w:t>比质比价</w:t>
      </w:r>
      <w:r>
        <w:t>文件认可的情形以外，成交供应商不与采购人签订合同的；</w:t>
      </w:r>
    </w:p>
    <w:p w14:paraId="60AD169F">
      <w:pPr>
        <w:bidi w:val="0"/>
      </w:pPr>
      <w:r>
        <w:rPr>
          <w:lang w:val="en-US" w:eastAsia="zh-CN"/>
        </w:rPr>
        <w:t>4)</w:t>
      </w:r>
      <w:r>
        <w:t>供应商与采购人、其他供应商或者</w:t>
      </w:r>
      <w:r>
        <w:rPr>
          <w:rFonts w:hint="eastAsia"/>
          <w:lang w:eastAsia="zh-CN"/>
        </w:rPr>
        <w:t>采购人</w:t>
      </w:r>
      <w:r>
        <w:t>恶意串通的；</w:t>
      </w:r>
    </w:p>
    <w:p w14:paraId="365D7FCA">
      <w:pPr>
        <w:bidi w:val="0"/>
      </w:pPr>
      <w:r>
        <w:rPr>
          <w:lang w:val="en-US" w:eastAsia="zh-CN"/>
        </w:rPr>
        <w:t>5)</w:t>
      </w:r>
      <w:r>
        <w:t>供应商如被人民法院列为失信被执行人，供应商为失信被执行人或被列入‘黑名单’的，将否决其资格响应。</w:t>
      </w:r>
    </w:p>
    <w:p w14:paraId="322A24EB">
      <w:pPr>
        <w:bidi w:val="0"/>
      </w:pPr>
      <w:r>
        <w:rPr>
          <w:lang w:val="en-US" w:eastAsia="zh-CN"/>
        </w:rPr>
        <w:t>12.6</w:t>
      </w:r>
      <w:r>
        <w:t>未成交供应商的</w:t>
      </w:r>
      <w:r>
        <w:rPr>
          <w:rFonts w:hint="eastAsia"/>
          <w:lang w:eastAsia="zh-CN"/>
        </w:rPr>
        <w:t>比质比价</w:t>
      </w:r>
      <w:r>
        <w:t>保证金，</w:t>
      </w:r>
      <w:r>
        <w:rPr>
          <w:rFonts w:hint="eastAsia"/>
          <w:lang w:eastAsia="zh-CN"/>
        </w:rPr>
        <w:t>采购人</w:t>
      </w:r>
      <w:r>
        <w:t>将在确定成交结果后五个工作日内予以退还。成交供应商的</w:t>
      </w:r>
      <w:r>
        <w:rPr>
          <w:rFonts w:hint="eastAsia"/>
          <w:lang w:eastAsia="zh-CN"/>
        </w:rPr>
        <w:t>比质比价</w:t>
      </w:r>
      <w:r>
        <w:t>保证金，在采购合同签订后五个工作日内退还。</w:t>
      </w:r>
    </w:p>
    <w:p w14:paraId="2E756DAB">
      <w:pPr>
        <w:bidi w:val="0"/>
      </w:pPr>
      <w:r>
        <w:t>四、《响应文件》的递交</w:t>
      </w:r>
    </w:p>
    <w:p w14:paraId="0A8F27EC">
      <w:pPr>
        <w:bidi w:val="0"/>
      </w:pPr>
      <w:r>
        <w:rPr>
          <w:lang w:val="en-US" w:eastAsia="zh-CN"/>
        </w:rPr>
        <w:t>13.</w:t>
      </w:r>
      <w:r>
        <w:t>《响应文件》的密封和标记</w:t>
      </w:r>
    </w:p>
    <w:p w14:paraId="40D833E6">
      <w:pPr>
        <w:bidi w:val="0"/>
        <w:rPr>
          <w:rFonts w:ascii="Times New Roman" w:hAnsi="Times New Roman"/>
        </w:rPr>
      </w:pPr>
      <w:r>
        <w:rPr>
          <w:lang w:val="en-US" w:eastAsia="zh-CN"/>
        </w:rPr>
        <w:t>13.1</w:t>
      </w:r>
      <w:r>
        <w:rPr>
          <w:rFonts w:hint="eastAsia" w:ascii="Times New Roman" w:hAnsi="Times New Roman"/>
          <w:lang w:val="en-US" w:eastAsia="zh-CN"/>
        </w:rPr>
        <w:t>纸质版</w:t>
      </w:r>
      <w:r>
        <w:rPr>
          <w:rFonts w:hint="eastAsia" w:ascii="Times New Roman" w:hAnsi="Times New Roman"/>
        </w:rPr>
        <w:t>响应文件须清楚地标明“正本”或“副本”，且必须与上传至融通电子商务平台的电子响应文件内容一致。</w:t>
      </w:r>
    </w:p>
    <w:p w14:paraId="7F6DE6BC">
      <w:pPr>
        <w:bidi w:val="0"/>
        <w:rPr>
          <w:rFonts w:hint="eastAsia" w:ascii="Times New Roman" w:hAnsi="Times New Roman"/>
          <w:highlight w:val="none"/>
        </w:rPr>
      </w:pPr>
      <w:r>
        <w:rPr>
          <w:rFonts w:hint="eastAsia" w:ascii="Times New Roman" w:hAnsi="Times New Roman"/>
          <w:highlight w:val="none"/>
        </w:rPr>
        <w:t>响应文件正本和副本一律用A4纸打印（图、表及证件可以除外），副本为正本的复印件。</w:t>
      </w:r>
    </w:p>
    <w:p w14:paraId="258DE8B1">
      <w:pPr>
        <w:bidi w:val="0"/>
      </w:pPr>
      <w:r>
        <w:rPr>
          <w:rFonts w:hint="eastAsia" w:ascii="Times New Roman" w:hAnsi="Times New Roman"/>
        </w:rPr>
        <w:t>响应文件的正本和副本应采用胶装方式左侧装订，不得采用活页夹等可随时拆换的方式装订，不得有零散页。若同一册的内容较多，可装订成若干分册，并在封面标明次序及册数。</w:t>
      </w:r>
    </w:p>
    <w:p w14:paraId="6DCC6436">
      <w:pPr>
        <w:bidi w:val="0"/>
        <w:rPr>
          <w:rFonts w:hint="eastAsia" w:ascii="Times New Roman" w:hAnsi="Times New Roman"/>
        </w:rPr>
      </w:pPr>
      <w:r>
        <w:rPr>
          <w:rFonts w:hint="eastAsia"/>
          <w:lang w:val="en-US" w:eastAsia="zh-CN"/>
        </w:rPr>
        <w:t>13.2</w:t>
      </w:r>
      <w:r>
        <w:rPr>
          <w:rFonts w:hint="eastAsia" w:ascii="Times New Roman" w:hAnsi="Times New Roman"/>
        </w:rPr>
        <w:t>响应文件的外封套包装都应在其封套的封口处加贴封条，并在封套的封口处加盖供应商单位章（鲜章）。封套按规定执行</w:t>
      </w:r>
      <w:r>
        <w:rPr>
          <w:rFonts w:hint="eastAsia" w:ascii="Times New Roman" w:hAnsi="Times New Roman"/>
          <w:lang w:eastAsia="zh-CN"/>
        </w:rPr>
        <w:t>，</w:t>
      </w:r>
      <w:r>
        <w:t>如果供应商未按上述要求对响应文件密封及加写标记，</w:t>
      </w:r>
      <w:r>
        <w:rPr>
          <w:rFonts w:hint="eastAsia"/>
          <w:lang w:eastAsia="zh-CN"/>
        </w:rPr>
        <w:t>采购人</w:t>
      </w:r>
      <w:r>
        <w:t>对文件的误投或过早启封概不负责。对由此造成提前开封的响应文件，</w:t>
      </w:r>
      <w:r>
        <w:rPr>
          <w:rFonts w:hint="eastAsia"/>
          <w:lang w:eastAsia="zh-CN"/>
        </w:rPr>
        <w:t>采购人</w:t>
      </w:r>
      <w:r>
        <w:t>有权予以拒绝，并退回供应商。</w:t>
      </w:r>
    </w:p>
    <w:p w14:paraId="2381FDFA">
      <w:pPr>
        <w:bidi w:val="0"/>
      </w:pPr>
      <w:r>
        <w:rPr>
          <w:lang w:val="en-US" w:eastAsia="zh-CN"/>
        </w:rPr>
        <w:t>14.</w:t>
      </w:r>
      <w:r>
        <w:t>《响应文件》递交截止时间</w:t>
      </w:r>
    </w:p>
    <w:p w14:paraId="2BF9ED4C">
      <w:pPr>
        <w:bidi w:val="0"/>
      </w:pPr>
      <w:r>
        <w:rPr>
          <w:lang w:val="en-US" w:eastAsia="zh-CN"/>
        </w:rPr>
        <w:t>14.1</w:t>
      </w:r>
      <w:r>
        <w:rPr>
          <w:rFonts w:hint="eastAsia"/>
          <w:lang w:eastAsia="zh-CN"/>
        </w:rPr>
        <w:t>采购人</w:t>
      </w:r>
      <w:r>
        <w:t>接收《响应文件》截止时间及地点见第一章</w:t>
      </w:r>
      <w:r>
        <w:rPr>
          <w:rFonts w:hint="eastAsia"/>
          <w:lang w:eastAsia="zh-CN"/>
        </w:rPr>
        <w:t>比质比价</w:t>
      </w:r>
      <w:r>
        <w:t>公告规定。</w:t>
      </w:r>
    </w:p>
    <w:p w14:paraId="75446829">
      <w:pPr>
        <w:bidi w:val="0"/>
      </w:pPr>
      <w:r>
        <w:rPr>
          <w:lang w:val="en-US" w:eastAsia="zh-CN"/>
        </w:rPr>
        <w:t>14.2</w:t>
      </w:r>
      <w:r>
        <w:t>《响应文件》须按照</w:t>
      </w:r>
      <w:r>
        <w:rPr>
          <w:rFonts w:hint="eastAsia"/>
          <w:lang w:eastAsia="zh-CN"/>
        </w:rPr>
        <w:t>比质比价</w:t>
      </w:r>
      <w:r>
        <w:t>文件规定的时间、地点送达，在《响应文件》递交截止时间以后送达的《响应文件》，为无效文件，</w:t>
      </w:r>
      <w:r>
        <w:rPr>
          <w:rFonts w:hint="eastAsia"/>
          <w:lang w:eastAsia="zh-CN"/>
        </w:rPr>
        <w:t>采购人</w:t>
      </w:r>
      <w:r>
        <w:t>应当拒收。</w:t>
      </w:r>
    </w:p>
    <w:p w14:paraId="6659AEB8">
      <w:pPr>
        <w:bidi w:val="0"/>
      </w:pPr>
      <w:r>
        <w:rPr>
          <w:lang w:val="en-US" w:eastAsia="zh-CN"/>
        </w:rPr>
        <w:t>14.3</w:t>
      </w:r>
      <w:r>
        <w:rPr>
          <w:rFonts w:hint="eastAsia"/>
          <w:lang w:eastAsia="zh-CN"/>
        </w:rPr>
        <w:t>采购人</w:t>
      </w:r>
      <w:r>
        <w:t>可以依法酌情延长《响应文件》递交截止时间。在此情况下，采购人和供应商受《响应文件》递交截止时间制约的所有权利和义务均应延长至新的截止时间。</w:t>
      </w:r>
    </w:p>
    <w:p w14:paraId="0A0BF740">
      <w:pPr>
        <w:bidi w:val="0"/>
      </w:pPr>
      <w:r>
        <w:rPr>
          <w:lang w:val="en-US" w:eastAsia="zh-CN"/>
        </w:rPr>
        <w:t>15.</w:t>
      </w:r>
      <w:r>
        <w:t>《响应文件》的修改与撤回</w:t>
      </w:r>
    </w:p>
    <w:p w14:paraId="65F110F3">
      <w:pPr>
        <w:bidi w:val="0"/>
      </w:pPr>
      <w:r>
        <w:rPr>
          <w:lang w:val="en-US" w:eastAsia="zh-CN"/>
        </w:rPr>
        <w:t>15.1</w:t>
      </w:r>
      <w:r>
        <w:t>供应商在递交《响应文件》后，可以修改或撤回其《响应文件》，但供应商必须在规定的《响应文件》递交截止时间之前将修改或撤回的书面通知递交到</w:t>
      </w:r>
      <w:r>
        <w:rPr>
          <w:rFonts w:hint="eastAsia"/>
          <w:lang w:eastAsia="zh-CN"/>
        </w:rPr>
        <w:t>采购人</w:t>
      </w:r>
      <w:r>
        <w:t>。</w:t>
      </w:r>
    </w:p>
    <w:p w14:paraId="301C79AC">
      <w:pPr>
        <w:bidi w:val="0"/>
      </w:pPr>
      <w:r>
        <w:rPr>
          <w:lang w:val="en-US" w:eastAsia="zh-CN"/>
        </w:rPr>
        <w:t>15.2</w:t>
      </w:r>
      <w:r>
        <w:t>供应商撤回《响应文件》的要求应由供应商法定代表人或授权代表签署，补充、修改《响应文件》的书面材料，应当按照</w:t>
      </w:r>
      <w:r>
        <w:rPr>
          <w:rFonts w:hint="eastAsia"/>
          <w:lang w:eastAsia="zh-CN"/>
        </w:rPr>
        <w:t>比质比价</w:t>
      </w:r>
      <w:r>
        <w:t>文件要求签署、盖章，作为响应文件的组成部分，密封送达</w:t>
      </w:r>
      <w:r>
        <w:rPr>
          <w:rFonts w:hint="eastAsia"/>
          <w:lang w:eastAsia="zh-CN"/>
        </w:rPr>
        <w:t>采购人</w:t>
      </w:r>
      <w:r>
        <w:t>，同时应在封套上标明“修改响应文件（并注明项目编号）”和“在（</w:t>
      </w:r>
      <w:r>
        <w:rPr>
          <w:rFonts w:hint="eastAsia"/>
          <w:lang w:eastAsia="zh-CN"/>
        </w:rPr>
        <w:t>比质比价</w:t>
      </w:r>
      <w:r>
        <w:t>时间）之前不得启封”的字样。</w:t>
      </w:r>
    </w:p>
    <w:p w14:paraId="1222A1CE">
      <w:pPr>
        <w:bidi w:val="0"/>
      </w:pPr>
      <w:r>
        <w:rPr>
          <w:lang w:val="en-US" w:eastAsia="zh-CN"/>
        </w:rPr>
        <w:t>15.3</w:t>
      </w:r>
      <w:r>
        <w:t>从《响应文件》递交截止时间起至</w:t>
      </w:r>
      <w:r>
        <w:rPr>
          <w:rFonts w:hint="eastAsia"/>
          <w:lang w:eastAsia="zh-CN"/>
        </w:rPr>
        <w:t>比质比价</w:t>
      </w:r>
      <w:r>
        <w:t>有效期截止前，供应商不得撤回其《响应文件》，否则其</w:t>
      </w:r>
      <w:r>
        <w:rPr>
          <w:rFonts w:hint="eastAsia"/>
          <w:lang w:eastAsia="zh-CN"/>
        </w:rPr>
        <w:t>比质比价</w:t>
      </w:r>
      <w:r>
        <w:t>保证金将不予退还。</w:t>
      </w:r>
    </w:p>
    <w:p w14:paraId="68EF3EBC">
      <w:pPr>
        <w:bidi w:val="0"/>
      </w:pPr>
      <w:r>
        <w:rPr>
          <w:lang w:val="en-US" w:eastAsia="zh-CN"/>
        </w:rPr>
        <w:t>15.4</w:t>
      </w:r>
      <w:r>
        <w:t>出现下列情形之一时，</w:t>
      </w:r>
      <w:r>
        <w:rPr>
          <w:rFonts w:hint="eastAsia"/>
          <w:lang w:eastAsia="zh-CN"/>
        </w:rPr>
        <w:t>采购人</w:t>
      </w:r>
      <w:r>
        <w:t>不予接收响应文件：</w:t>
      </w:r>
    </w:p>
    <w:p w14:paraId="6A51F2D5">
      <w:pPr>
        <w:bidi w:val="0"/>
      </w:pPr>
      <w:r>
        <w:rPr>
          <w:lang w:val="en-US" w:eastAsia="zh-CN"/>
        </w:rPr>
        <w:t>1）</w:t>
      </w:r>
      <w:r>
        <w:t>预期递交或者未递交中国融通电子商务平台的供应商；</w:t>
      </w:r>
    </w:p>
    <w:p w14:paraId="4DBDBDAF">
      <w:pPr>
        <w:bidi w:val="0"/>
      </w:pPr>
      <w:r>
        <w:rPr>
          <w:lang w:val="en-US" w:eastAsia="zh-CN"/>
        </w:rPr>
        <w:t>2）</w:t>
      </w:r>
      <w:r>
        <w:t>未按照本公告要求获得本项目</w:t>
      </w:r>
      <w:r>
        <w:rPr>
          <w:rFonts w:hint="eastAsia"/>
          <w:lang w:eastAsia="zh-CN"/>
        </w:rPr>
        <w:t>比质比价</w:t>
      </w:r>
      <w:r>
        <w:t>文件的供应商；</w:t>
      </w:r>
    </w:p>
    <w:p w14:paraId="4CE3B792">
      <w:pPr>
        <w:bidi w:val="0"/>
        <w:rPr>
          <w:rFonts w:hint="eastAsia"/>
          <w:lang w:eastAsia="zh-CN"/>
        </w:rPr>
      </w:pPr>
      <w:r>
        <w:t>五、</w:t>
      </w:r>
      <w:r>
        <w:rPr>
          <w:rFonts w:hint="eastAsia"/>
          <w:lang w:eastAsia="zh-CN"/>
        </w:rPr>
        <w:t>比质比价</w:t>
      </w:r>
    </w:p>
    <w:p w14:paraId="1DE51212">
      <w:pPr>
        <w:bidi w:val="0"/>
      </w:pPr>
      <w:r>
        <w:rPr>
          <w:lang w:val="en-US" w:eastAsia="zh-CN"/>
        </w:rPr>
        <w:t>16.</w:t>
      </w:r>
      <w:r>
        <w:t>接收《响应文件》</w:t>
      </w:r>
    </w:p>
    <w:p w14:paraId="5C3427AB">
      <w:pPr>
        <w:bidi w:val="0"/>
      </w:pPr>
      <w:r>
        <w:rPr>
          <w:lang w:val="en-US" w:eastAsia="zh-CN"/>
        </w:rPr>
        <w:t>16.1</w:t>
      </w:r>
      <w:r>
        <w:rPr>
          <w:rFonts w:hint="eastAsia"/>
          <w:lang w:eastAsia="zh-CN"/>
        </w:rPr>
        <w:t>采购人</w:t>
      </w:r>
      <w:r>
        <w:t>在</w:t>
      </w:r>
      <w:r>
        <w:rPr>
          <w:rFonts w:hint="eastAsia"/>
          <w:lang w:eastAsia="zh-CN"/>
        </w:rPr>
        <w:t>比质比价</w:t>
      </w:r>
      <w:r>
        <w:t>公告中规定的时间和地点统一接收供应商递交的《响应文件》，并作递交记录，供应商的代表需在递交记录上签字确认。</w:t>
      </w:r>
    </w:p>
    <w:p w14:paraId="4AF96868">
      <w:pPr>
        <w:bidi w:val="0"/>
      </w:pPr>
      <w:r>
        <w:rPr>
          <w:lang w:val="en-US" w:eastAsia="zh-CN"/>
        </w:rPr>
        <w:t>17.</w:t>
      </w:r>
      <w:r>
        <w:t>《响应文件》的评审</w:t>
      </w:r>
    </w:p>
    <w:p w14:paraId="3EBC98B3">
      <w:pPr>
        <w:bidi w:val="0"/>
        <w:rPr>
          <w:highlight w:val="yellow"/>
        </w:rPr>
      </w:pPr>
      <w:r>
        <w:rPr>
          <w:lang w:val="en-US" w:eastAsia="zh-CN"/>
        </w:rPr>
        <w:t>17.1</w:t>
      </w:r>
      <w:r>
        <w:t>商务审核：审核《响应文件》的有效性、完整性和响应程度，包括是否由法定代表人或授权代表有效签署；</w:t>
      </w:r>
      <w:r>
        <w:rPr>
          <w:rFonts w:hint="eastAsia"/>
          <w:lang w:eastAsia="zh-CN"/>
        </w:rPr>
        <w:t>比质比价</w:t>
      </w:r>
      <w:r>
        <w:t>有效期是否满足；</w:t>
      </w:r>
      <w:r>
        <w:rPr>
          <w:rFonts w:hint="eastAsia"/>
          <w:lang w:eastAsia="zh-CN"/>
        </w:rPr>
        <w:t>比质比价</w:t>
      </w:r>
      <w:r>
        <w:t>保证金是否足额；资格证明文件是否合格</w:t>
      </w:r>
      <w:r>
        <w:rPr>
          <w:highlight w:val="none"/>
        </w:rPr>
        <w:t>；</w:t>
      </w:r>
      <w:r>
        <w:rPr>
          <w:rFonts w:hint="eastAsia"/>
          <w:highlight w:val="none"/>
          <w:lang w:eastAsia="zh-CN"/>
        </w:rPr>
        <w:t>报价</w:t>
      </w:r>
      <w:r>
        <w:rPr>
          <w:highlight w:val="none"/>
        </w:rPr>
        <w:t>有无偏离等。</w:t>
      </w:r>
    </w:p>
    <w:p w14:paraId="7B42366C">
      <w:pPr>
        <w:bidi w:val="0"/>
      </w:pPr>
      <w:r>
        <w:rPr>
          <w:lang w:val="en-US" w:eastAsia="zh-CN"/>
        </w:rPr>
        <w:t>17.2</w:t>
      </w:r>
      <w:r>
        <w:t>技术审核：对《响应文件》按《</w:t>
      </w:r>
      <w:r>
        <w:rPr>
          <w:rFonts w:hint="eastAsia"/>
          <w:lang w:eastAsia="zh-CN"/>
        </w:rPr>
        <w:t>比质比价</w:t>
      </w:r>
      <w:r>
        <w:t>文件》的技术需求响应程度逐项进行审核。</w:t>
      </w:r>
    </w:p>
    <w:p w14:paraId="24B9FB1C">
      <w:pPr>
        <w:bidi w:val="0"/>
      </w:pPr>
      <w:r>
        <w:rPr>
          <w:lang w:val="en-US" w:eastAsia="zh-CN"/>
        </w:rPr>
        <w:t>17.3</w:t>
      </w:r>
      <w:r>
        <w:rPr>
          <w:rFonts w:hint="eastAsia"/>
          <w:lang w:eastAsia="zh-CN"/>
        </w:rPr>
        <w:t>比质比价</w:t>
      </w:r>
      <w:r>
        <w:t>小组在进行审核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C0C9DF4">
      <w:pPr>
        <w:bidi w:val="0"/>
      </w:pPr>
      <w:r>
        <w:rPr>
          <w:lang w:val="en-US" w:eastAsia="zh-CN"/>
        </w:rPr>
        <w:t>17.4</w:t>
      </w:r>
      <w:r>
        <w:t>通过《响应文件》评审的供应商被视为实质性响应《</w:t>
      </w:r>
      <w:r>
        <w:rPr>
          <w:rFonts w:hint="eastAsia"/>
          <w:lang w:eastAsia="zh-CN"/>
        </w:rPr>
        <w:t>比质比价</w:t>
      </w:r>
      <w:r>
        <w:t>文件》的供应商，进入</w:t>
      </w:r>
      <w:r>
        <w:rPr>
          <w:rFonts w:hint="eastAsia"/>
          <w:lang w:eastAsia="zh-CN"/>
        </w:rPr>
        <w:t>比质比价</w:t>
      </w:r>
      <w:r>
        <w:t>环节。</w:t>
      </w:r>
    </w:p>
    <w:p w14:paraId="182376A0">
      <w:pPr>
        <w:bidi w:val="0"/>
      </w:pPr>
      <w:r>
        <w:rPr>
          <w:lang w:val="en-US" w:eastAsia="zh-CN"/>
        </w:rPr>
        <w:t>18.</w:t>
      </w:r>
      <w:r>
        <w:rPr>
          <w:rFonts w:hint="eastAsia"/>
          <w:lang w:eastAsia="zh-CN"/>
        </w:rPr>
        <w:t>比质比价</w:t>
      </w:r>
    </w:p>
    <w:p w14:paraId="6CE52611">
      <w:pPr>
        <w:bidi w:val="0"/>
      </w:pPr>
      <w:r>
        <w:rPr>
          <w:rFonts w:hint="eastAsia"/>
          <w:lang w:val="en-US" w:eastAsia="zh-CN"/>
        </w:rPr>
        <w:t>18.1</w:t>
      </w:r>
      <w:r>
        <w:rPr>
          <w:rFonts w:hint="eastAsia"/>
          <w:lang w:eastAsia="zh-CN"/>
        </w:rPr>
        <w:t>比质比价</w:t>
      </w:r>
      <w:r>
        <w:t>小组成员集中与实质性响应《</w:t>
      </w:r>
      <w:r>
        <w:rPr>
          <w:rFonts w:hint="eastAsia"/>
          <w:lang w:eastAsia="zh-CN"/>
        </w:rPr>
        <w:t>比质比价</w:t>
      </w:r>
      <w:r>
        <w:t>文件》的单一供应商分别就商务、技术、售后服务等进行</w:t>
      </w:r>
      <w:r>
        <w:rPr>
          <w:rFonts w:hint="eastAsia"/>
          <w:lang w:eastAsia="zh-CN"/>
        </w:rPr>
        <w:t>比质比价</w:t>
      </w:r>
      <w:r>
        <w:t>，并给予供应商平等的</w:t>
      </w:r>
      <w:r>
        <w:rPr>
          <w:rFonts w:hint="eastAsia"/>
          <w:lang w:eastAsia="zh-CN"/>
        </w:rPr>
        <w:t>比质比价</w:t>
      </w:r>
      <w:r>
        <w:t>机会。</w:t>
      </w:r>
    </w:p>
    <w:p w14:paraId="1D81CE85">
      <w:pPr>
        <w:bidi w:val="0"/>
      </w:pPr>
      <w:r>
        <w:rPr>
          <w:rFonts w:hint="eastAsia"/>
          <w:lang w:val="en-US" w:eastAsia="zh-CN"/>
        </w:rPr>
        <w:t>18.2</w:t>
      </w:r>
      <w:r>
        <w:rPr>
          <w:rFonts w:hint="eastAsia"/>
          <w:lang w:eastAsia="zh-CN"/>
        </w:rPr>
        <w:t>比质比价</w:t>
      </w:r>
      <w:r>
        <w:t>小组要求供应商澄清、说明或者更正《响应文件》应当以书面形式作出。供应商的澄清、说明或者更正应当由法定代表人或者其授权代表签字或者加盖公章。</w:t>
      </w:r>
    </w:p>
    <w:p w14:paraId="69ED626F">
      <w:pPr>
        <w:bidi w:val="0"/>
      </w:pPr>
      <w:r>
        <w:rPr>
          <w:rFonts w:hint="eastAsia"/>
          <w:lang w:val="en-US" w:eastAsia="zh-CN"/>
        </w:rPr>
        <w:t>18.3</w:t>
      </w:r>
      <w:r>
        <w:t>在</w:t>
      </w:r>
      <w:r>
        <w:rPr>
          <w:rFonts w:hint="eastAsia"/>
          <w:lang w:eastAsia="zh-CN"/>
        </w:rPr>
        <w:t>比质比价</w:t>
      </w:r>
      <w:r>
        <w:t>过程中，</w:t>
      </w:r>
      <w:r>
        <w:rPr>
          <w:rFonts w:hint="eastAsia"/>
          <w:lang w:eastAsia="zh-CN"/>
        </w:rPr>
        <w:t>比质比价</w:t>
      </w:r>
      <w:r>
        <w:t>小组可以根据《</w:t>
      </w:r>
      <w:r>
        <w:rPr>
          <w:rFonts w:hint="eastAsia"/>
          <w:lang w:eastAsia="zh-CN"/>
        </w:rPr>
        <w:t>比质比价</w:t>
      </w:r>
      <w:r>
        <w:t>文件》和</w:t>
      </w:r>
      <w:r>
        <w:rPr>
          <w:rFonts w:hint="eastAsia"/>
          <w:lang w:eastAsia="zh-CN"/>
        </w:rPr>
        <w:t>比质比价</w:t>
      </w:r>
      <w:r>
        <w:t>情况实质性变动采购需求中的技术、服务要求以及合同草案条款，但不得变动</w:t>
      </w:r>
      <w:r>
        <w:rPr>
          <w:rFonts w:hint="eastAsia"/>
          <w:lang w:eastAsia="zh-CN"/>
        </w:rPr>
        <w:t>比质比价</w:t>
      </w:r>
      <w:r>
        <w:t>文件中的其他内容，实质性变动的内容须经采购人代表书面确认。</w:t>
      </w:r>
    </w:p>
    <w:p w14:paraId="79C37FC9">
      <w:pPr>
        <w:bidi w:val="0"/>
      </w:pPr>
      <w:r>
        <w:rPr>
          <w:rFonts w:hint="eastAsia"/>
          <w:lang w:val="en-US" w:eastAsia="zh-CN"/>
        </w:rPr>
        <w:t>18.4</w:t>
      </w:r>
      <w:r>
        <w:t>对《</w:t>
      </w:r>
      <w:r>
        <w:rPr>
          <w:rFonts w:hint="eastAsia"/>
          <w:lang w:eastAsia="zh-CN"/>
        </w:rPr>
        <w:t>比质比价</w:t>
      </w:r>
      <w:r>
        <w:t>文件》作出的实质性变动是《</w:t>
      </w:r>
      <w:r>
        <w:rPr>
          <w:rFonts w:hint="eastAsia"/>
          <w:lang w:eastAsia="zh-CN"/>
        </w:rPr>
        <w:t>比质比价</w:t>
      </w:r>
      <w:r>
        <w:t>文件》的有效组成部分，</w:t>
      </w:r>
      <w:r>
        <w:rPr>
          <w:rFonts w:hint="eastAsia"/>
          <w:lang w:eastAsia="zh-CN"/>
        </w:rPr>
        <w:t>比质比价</w:t>
      </w:r>
      <w:r>
        <w:t>小组应当及时以书面形式同时通知所有参加</w:t>
      </w:r>
      <w:r>
        <w:rPr>
          <w:rFonts w:hint="eastAsia"/>
          <w:lang w:eastAsia="zh-CN"/>
        </w:rPr>
        <w:t>比质比价</w:t>
      </w:r>
      <w:r>
        <w:t>的供应商。供应商应当按照《</w:t>
      </w:r>
      <w:r>
        <w:rPr>
          <w:rFonts w:hint="eastAsia"/>
          <w:lang w:eastAsia="zh-CN"/>
        </w:rPr>
        <w:t>比质比价</w:t>
      </w:r>
      <w:r>
        <w:t>文件》的变动情况和</w:t>
      </w:r>
      <w:r>
        <w:rPr>
          <w:rFonts w:hint="eastAsia"/>
          <w:lang w:eastAsia="zh-CN"/>
        </w:rPr>
        <w:t>比质比价</w:t>
      </w:r>
      <w:r>
        <w:t>小组的要求重新提交响应文件，并由其法定代表人或授权代表签字或者加盖公章。</w:t>
      </w:r>
    </w:p>
    <w:p w14:paraId="5CC50B0A">
      <w:pPr>
        <w:bidi w:val="0"/>
      </w:pPr>
      <w:r>
        <w:rPr>
          <w:lang w:val="en-US" w:eastAsia="zh-CN"/>
        </w:rPr>
        <w:t>19.</w:t>
      </w:r>
      <w:r>
        <w:t>成交供应商的确定</w:t>
      </w:r>
      <w:r>
        <w:rPr>
          <w:rFonts w:hint="eastAsia"/>
          <w:lang w:eastAsia="zh-CN"/>
        </w:rPr>
        <w:t>：</w:t>
      </w:r>
    </w:p>
    <w:p w14:paraId="1EB78FCE">
      <w:pPr>
        <w:bidi w:val="0"/>
      </w:pPr>
      <w:r>
        <w:rPr>
          <w:rFonts w:hint="eastAsia"/>
          <w:lang w:val="en-US" w:eastAsia="zh-CN"/>
        </w:rPr>
        <w:t>19.1</w:t>
      </w:r>
      <w:r>
        <w:rPr>
          <w:rFonts w:hint="eastAsia"/>
          <w:lang w:eastAsia="zh-CN"/>
        </w:rPr>
        <w:t>比质比价</w:t>
      </w:r>
      <w:r>
        <w:t>小组根据详细评审结果确定成交候选供应商，并按照</w:t>
      </w:r>
      <w:r>
        <w:rPr>
          <w:rFonts w:hint="eastAsia"/>
          <w:lang w:eastAsia="zh-CN"/>
        </w:rPr>
        <w:t>有效报价最低</w:t>
      </w:r>
      <w:r>
        <w:t>顺序推荐成交候选供应商排序。</w:t>
      </w:r>
    </w:p>
    <w:p w14:paraId="0F0DC942">
      <w:pPr>
        <w:bidi w:val="0"/>
      </w:pPr>
      <w:r>
        <w:rPr>
          <w:rFonts w:hint="eastAsia"/>
          <w:lang w:val="en-US" w:eastAsia="zh-CN"/>
        </w:rPr>
        <w:t>19.2</w:t>
      </w:r>
      <w:r>
        <w:t>采购人按照</w:t>
      </w:r>
      <w:r>
        <w:rPr>
          <w:rFonts w:hint="eastAsia"/>
          <w:lang w:eastAsia="zh-CN"/>
        </w:rPr>
        <w:t>比质比价</w:t>
      </w:r>
      <w:r>
        <w:t>小组推荐的成交候选供应商顺序确定成交供应商并向其授予合同。排序在前的成交候选供应商因不可抗力或者自身原因不能履行合同，或者本文件规定应当提交履约保证金而在规定期限未能提交的，采购人将把合同授予排序其后的成交候选供应商。</w:t>
      </w:r>
    </w:p>
    <w:p w14:paraId="1ACE7DA8">
      <w:pPr>
        <w:bidi w:val="0"/>
      </w:pPr>
      <w:r>
        <w:rPr>
          <w:rFonts w:hint="eastAsia"/>
          <w:lang w:val="en-US" w:eastAsia="zh-CN"/>
        </w:rPr>
        <w:t>19.3</w:t>
      </w:r>
      <w:r>
        <w:t>出现下列情形之一的，</w:t>
      </w:r>
      <w:r>
        <w:rPr>
          <w:rFonts w:hint="eastAsia"/>
          <w:lang w:eastAsia="zh-CN"/>
        </w:rPr>
        <w:t>采购人</w:t>
      </w:r>
      <w:r>
        <w:t>应当终止</w:t>
      </w:r>
      <w:r>
        <w:rPr>
          <w:rFonts w:hint="eastAsia"/>
          <w:lang w:eastAsia="zh-CN"/>
        </w:rPr>
        <w:t>比质比价</w:t>
      </w:r>
      <w:r>
        <w:t>采购活动，重新开展采购：</w:t>
      </w:r>
    </w:p>
    <w:p w14:paraId="4D6A839C">
      <w:pPr>
        <w:bidi w:val="0"/>
      </w:pPr>
      <w:r>
        <w:t>因情况变化，不再符合规定的</w:t>
      </w:r>
      <w:r>
        <w:rPr>
          <w:rFonts w:hint="eastAsia"/>
          <w:lang w:eastAsia="zh-CN"/>
        </w:rPr>
        <w:t>比质比价</w:t>
      </w:r>
      <w:r>
        <w:t>采购方式适用情形的；</w:t>
      </w:r>
    </w:p>
    <w:p w14:paraId="11D3AD72">
      <w:pPr>
        <w:bidi w:val="0"/>
      </w:pPr>
      <w:r>
        <w:t>出现影响采购公正的违法、违规行为的；</w:t>
      </w:r>
    </w:p>
    <w:p w14:paraId="737629C1">
      <w:pPr>
        <w:bidi w:val="0"/>
      </w:pPr>
      <w:r>
        <w:t>在采购过程中符合</w:t>
      </w:r>
      <w:r>
        <w:rPr>
          <w:rFonts w:hint="eastAsia"/>
          <w:lang w:val="en-US" w:eastAsia="zh-CN"/>
        </w:rPr>
        <w:t>比质比价</w:t>
      </w:r>
      <w:r>
        <w:t>要求的供应商或者报价未超过采购预算的供应商不足2家的。</w:t>
      </w:r>
    </w:p>
    <w:p w14:paraId="3CA47646">
      <w:pPr>
        <w:bidi w:val="0"/>
      </w:pPr>
      <w:r>
        <w:rPr>
          <w:lang w:val="en-US" w:eastAsia="zh-CN"/>
        </w:rPr>
        <w:t>20.</w:t>
      </w:r>
      <w:r>
        <w:t>与采购人、</w:t>
      </w:r>
      <w:r>
        <w:rPr>
          <w:rFonts w:hint="eastAsia"/>
          <w:lang w:eastAsia="zh-CN"/>
        </w:rPr>
        <w:t>采购人</w:t>
      </w:r>
      <w:r>
        <w:t>和</w:t>
      </w:r>
      <w:r>
        <w:rPr>
          <w:rFonts w:hint="eastAsia"/>
          <w:lang w:eastAsia="zh-CN"/>
        </w:rPr>
        <w:t>比质比价</w:t>
      </w:r>
      <w:r>
        <w:t>小组的接触</w:t>
      </w:r>
      <w:r>
        <w:rPr>
          <w:rFonts w:hint="eastAsia"/>
          <w:lang w:eastAsia="zh-CN"/>
        </w:rPr>
        <w:t>。</w:t>
      </w:r>
    </w:p>
    <w:p w14:paraId="56D22CC8">
      <w:pPr>
        <w:bidi w:val="0"/>
      </w:pPr>
      <w:r>
        <w:rPr>
          <w:rFonts w:hint="eastAsia"/>
          <w:lang w:val="en-US" w:eastAsia="zh-CN"/>
        </w:rPr>
        <w:t>20.1</w:t>
      </w:r>
      <w:r>
        <w:t>在严格遵循国家有关部门相关规定前提下，</w:t>
      </w:r>
      <w:r>
        <w:rPr>
          <w:rFonts w:hint="eastAsia"/>
          <w:lang w:eastAsia="zh-CN"/>
        </w:rPr>
        <w:t>比质比价</w:t>
      </w:r>
      <w:r>
        <w:t>小组遵照评审办法，公平、公正地对待所有供应商。</w:t>
      </w:r>
    </w:p>
    <w:p w14:paraId="3A6A4D99">
      <w:pPr>
        <w:bidi w:val="0"/>
      </w:pPr>
      <w:r>
        <w:rPr>
          <w:rFonts w:hint="eastAsia"/>
          <w:lang w:val="en-US" w:eastAsia="zh-CN"/>
        </w:rPr>
        <w:t>20.2</w:t>
      </w:r>
      <w:r>
        <w:t>在评审期间，供应商不得向</w:t>
      </w:r>
      <w:r>
        <w:rPr>
          <w:rFonts w:hint="eastAsia"/>
          <w:lang w:eastAsia="zh-CN"/>
        </w:rPr>
        <w:t>比质比价</w:t>
      </w:r>
      <w:r>
        <w:t>小组成员询问评审情况，不得进行旨在影响评审结果的活动。</w:t>
      </w:r>
    </w:p>
    <w:p w14:paraId="3F8A6818">
      <w:pPr>
        <w:bidi w:val="0"/>
      </w:pPr>
      <w:r>
        <w:rPr>
          <w:rFonts w:hint="eastAsia"/>
          <w:lang w:val="en-US" w:eastAsia="zh-CN"/>
        </w:rPr>
        <w:t>20.3</w:t>
      </w:r>
      <w:r>
        <w:t>供应商之间不得相互串通报价，不得排挤其他供应商的公平竞争，损害采购人或者其他供应商的合法权益。</w:t>
      </w:r>
    </w:p>
    <w:p w14:paraId="196056C4">
      <w:pPr>
        <w:bidi w:val="0"/>
      </w:pPr>
      <w:r>
        <w:rPr>
          <w:lang w:val="en-US" w:eastAsia="zh-CN"/>
        </w:rPr>
        <w:t>21.</w:t>
      </w:r>
      <w:r>
        <w:t>质疑与答复</w:t>
      </w:r>
    </w:p>
    <w:p w14:paraId="17E4EB2C">
      <w:pPr>
        <w:bidi w:val="0"/>
      </w:pPr>
      <w:r>
        <w:rPr>
          <w:rFonts w:hint="eastAsia"/>
          <w:lang w:val="en-US" w:eastAsia="zh-CN"/>
        </w:rPr>
        <w:t>21.1</w:t>
      </w:r>
      <w:r>
        <w:t>供应商认为采购文件、采购过程、成交结果使自己的权益受到损害的，可以在知道或者应知其权益受到损害之日起7个工作日内，以书面形式向采购人提出质疑。供应商在法定质疑期内一次性提出针对同一采购程序环节的质疑，否则采购人有权拒绝回复供应商对同一采购程序环节提出的新增质疑。</w:t>
      </w:r>
    </w:p>
    <w:p w14:paraId="7754A425">
      <w:pPr>
        <w:bidi w:val="0"/>
      </w:pPr>
      <w:r>
        <w:rPr>
          <w:rFonts w:hint="eastAsia"/>
          <w:lang w:val="en-US" w:eastAsia="zh-CN"/>
        </w:rPr>
        <w:t>21.2</w:t>
      </w:r>
      <w:r>
        <w:t>提出质疑的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14:paraId="5623EC28">
      <w:pPr>
        <w:bidi w:val="0"/>
      </w:pPr>
      <w:r>
        <w:rPr>
          <w:rFonts w:hint="eastAsia"/>
          <w:lang w:val="en-US" w:eastAsia="zh-CN"/>
        </w:rPr>
        <w:t>21.3</w:t>
      </w:r>
      <w:r>
        <w:t>供应商提出质疑应当提交质疑函和必要的证明材料。质疑函应当包括下列内容：</w:t>
      </w:r>
    </w:p>
    <w:p w14:paraId="35E864F8">
      <w:pPr>
        <w:bidi w:val="0"/>
      </w:pPr>
      <w:r>
        <w:rPr>
          <w:rFonts w:hint="eastAsia"/>
          <w:lang w:eastAsia="zh-CN"/>
        </w:rPr>
        <w:t>（</w:t>
      </w:r>
      <w:r>
        <w:rPr>
          <w:rFonts w:hint="eastAsia"/>
          <w:lang w:val="en-US" w:eastAsia="zh-CN"/>
        </w:rPr>
        <w:t>1</w:t>
      </w:r>
      <w:r>
        <w:rPr>
          <w:rFonts w:hint="eastAsia"/>
          <w:lang w:eastAsia="zh-CN"/>
        </w:rPr>
        <w:t>）</w:t>
      </w:r>
      <w:r>
        <w:t>供应商的姓名或者名称、地址、邮编、联系人及联系电话；</w:t>
      </w:r>
    </w:p>
    <w:p w14:paraId="6A81DE5B">
      <w:pPr>
        <w:bidi w:val="0"/>
      </w:pPr>
      <w:r>
        <w:rPr>
          <w:rFonts w:hint="eastAsia"/>
          <w:lang w:val="en-US" w:eastAsia="zh-CN"/>
        </w:rPr>
        <w:t>(2)</w:t>
      </w:r>
      <w:r>
        <w:t>质疑项目的名称、编号（若对项目的某一分包进行质疑，质疑函中应列明具体分包号）；</w:t>
      </w:r>
    </w:p>
    <w:p w14:paraId="3EECEAC1">
      <w:pPr>
        <w:bidi w:val="0"/>
      </w:pPr>
      <w:r>
        <w:rPr>
          <w:rFonts w:hint="eastAsia"/>
          <w:lang w:val="en-US" w:eastAsia="zh-CN"/>
        </w:rPr>
        <w:t>(3)</w:t>
      </w:r>
      <w:r>
        <w:t>具体、明确的质疑事项和与质疑事项相关的请求；</w:t>
      </w:r>
    </w:p>
    <w:p w14:paraId="2C3FF273">
      <w:pPr>
        <w:bidi w:val="0"/>
      </w:pPr>
      <w:r>
        <w:rPr>
          <w:rFonts w:hint="eastAsia"/>
          <w:lang w:val="en-US" w:eastAsia="zh-CN"/>
        </w:rPr>
        <w:t>(4)</w:t>
      </w:r>
      <w:r>
        <w:t>事实依据；</w:t>
      </w:r>
    </w:p>
    <w:p w14:paraId="3DA21580">
      <w:pPr>
        <w:bidi w:val="0"/>
      </w:pPr>
      <w:r>
        <w:rPr>
          <w:rFonts w:hint="eastAsia"/>
          <w:lang w:val="en-US" w:eastAsia="zh-CN"/>
        </w:rPr>
        <w:t>(5)</w:t>
      </w:r>
      <w:r>
        <w:t>必要的法律依据；</w:t>
      </w:r>
    </w:p>
    <w:p w14:paraId="0AA52272">
      <w:pPr>
        <w:bidi w:val="0"/>
      </w:pPr>
      <w:r>
        <w:rPr>
          <w:rFonts w:hint="eastAsia"/>
          <w:lang w:val="en-US" w:eastAsia="zh-CN"/>
        </w:rPr>
        <w:t>(6)</w:t>
      </w:r>
      <w:r>
        <w:t>提出质疑的日期。</w:t>
      </w:r>
    </w:p>
    <w:p w14:paraId="1AE6D491">
      <w:pPr>
        <w:bidi w:val="0"/>
      </w:pPr>
      <w:r>
        <w:t>供应商为自然人的，应当由本人签字；供应商为法人或者其他组织的，应当由法定代表人、主要负责人，或者其授权代表签字或者盖章，并加盖公章。</w:t>
      </w:r>
    </w:p>
    <w:p w14:paraId="7ABDDA92">
      <w:pPr>
        <w:bidi w:val="0"/>
      </w:pPr>
      <w:r>
        <w:rPr>
          <w:rFonts w:hint="eastAsia"/>
          <w:lang w:val="en-US" w:eastAsia="zh-CN"/>
        </w:rPr>
        <w:t>21.4</w:t>
      </w:r>
      <w:r>
        <w:t>在收到质疑函后7个工作日内作出答复，并以书面形式通知质疑供应商和其他有关供应商。</w:t>
      </w:r>
    </w:p>
    <w:p w14:paraId="7EA9A374">
      <w:pPr>
        <w:bidi w:val="0"/>
      </w:pPr>
      <w:r>
        <w:t>接受质疑方式为纸质文件或邮件（彩色扫描件）；</w:t>
      </w:r>
    </w:p>
    <w:p w14:paraId="1E32FB04">
      <w:pPr>
        <w:bidi w:val="0"/>
        <w:rPr>
          <w:rFonts w:hint="default"/>
          <w:color w:val="auto"/>
          <w:lang w:val="en-US" w:eastAsia="zh-CN"/>
        </w:rPr>
      </w:pPr>
      <w:r>
        <w:rPr>
          <w:rFonts w:hint="eastAsia"/>
          <w:color w:val="auto"/>
          <w:lang w:val="en-US" w:eastAsia="zh-CN"/>
        </w:rPr>
        <w:t>邮箱：yt184yycgb@163.com</w:t>
      </w:r>
    </w:p>
    <w:p w14:paraId="44D959CC">
      <w:pPr>
        <w:bidi w:val="0"/>
        <w:rPr>
          <w:rFonts w:hint="eastAsia"/>
          <w:color w:val="auto"/>
          <w:lang w:val="en-US" w:eastAsia="zh-CN"/>
        </w:rPr>
      </w:pPr>
      <w:r>
        <w:rPr>
          <w:color w:val="auto"/>
        </w:rPr>
        <w:t>地址：</w:t>
      </w:r>
      <w:r>
        <w:rPr>
          <w:rFonts w:hint="eastAsia"/>
          <w:color w:val="auto"/>
          <w:lang w:eastAsia="zh-CN"/>
        </w:rPr>
        <w:t>江西省鹰潭市月湖区湖东路4号</w:t>
      </w:r>
      <w:r>
        <w:rPr>
          <w:rFonts w:hint="eastAsia"/>
          <w:color w:val="auto"/>
          <w:lang w:val="en-US" w:eastAsia="zh-CN"/>
        </w:rPr>
        <w:t>鹰潭一八四医院</w:t>
      </w:r>
    </w:p>
    <w:p w14:paraId="26BA7EC3">
      <w:pPr>
        <w:bidi w:val="0"/>
        <w:rPr>
          <w:rFonts w:hint="eastAsia"/>
          <w:color w:val="auto"/>
          <w:lang w:val="en-US" w:eastAsia="zh-CN"/>
        </w:rPr>
      </w:pPr>
      <w:r>
        <w:rPr>
          <w:rFonts w:hint="eastAsia"/>
          <w:color w:val="auto"/>
          <w:lang w:val="en-US" w:eastAsia="zh-CN"/>
        </w:rPr>
        <w:t>上级部门投诉监督:</w:t>
      </w:r>
    </w:p>
    <w:p w14:paraId="764B8362">
      <w:pPr>
        <w:bidi w:val="0"/>
        <w:rPr>
          <w:rFonts w:hint="eastAsia"/>
          <w:color w:val="auto"/>
          <w:lang w:val="en-US" w:eastAsia="zh-CN"/>
        </w:rPr>
      </w:pPr>
      <w:r>
        <w:rPr>
          <w:rFonts w:hint="eastAsia"/>
          <w:color w:val="auto"/>
          <w:lang w:val="en-US" w:eastAsia="zh-CN"/>
        </w:rPr>
        <w:t>电话028-86576325</w:t>
      </w:r>
    </w:p>
    <w:p w14:paraId="4AC13F6C">
      <w:pPr>
        <w:bidi w:val="0"/>
        <w:rPr>
          <w:rFonts w:hint="eastAsia"/>
          <w:color w:val="auto"/>
          <w:lang w:val="en-US" w:eastAsia="zh-CN"/>
        </w:rPr>
      </w:pPr>
      <w:r>
        <w:rPr>
          <w:rFonts w:hint="eastAsia"/>
          <w:color w:val="auto"/>
          <w:lang w:val="en-US" w:eastAsia="zh-CN"/>
        </w:rPr>
        <w:t>邮箱rtylcaiguanban@126.com</w:t>
      </w:r>
    </w:p>
    <w:p w14:paraId="1D444184">
      <w:pPr>
        <w:bidi w:val="0"/>
        <w:rPr>
          <w:rFonts w:hint="eastAsia"/>
          <w:color w:val="auto"/>
          <w:lang w:val="en-US" w:eastAsia="zh-CN"/>
        </w:rPr>
      </w:pPr>
      <w:r>
        <w:rPr>
          <w:rFonts w:hint="eastAsia"/>
          <w:color w:val="auto"/>
          <w:lang w:val="en-US" w:eastAsia="zh-CN"/>
        </w:rPr>
        <w:t>上级部门信访举报:</w:t>
      </w:r>
    </w:p>
    <w:p w14:paraId="6B1081F3">
      <w:pPr>
        <w:bidi w:val="0"/>
        <w:rPr>
          <w:rFonts w:hint="eastAsia"/>
          <w:color w:val="auto"/>
          <w:lang w:val="en-US" w:eastAsia="zh-CN"/>
        </w:rPr>
      </w:pPr>
      <w:r>
        <w:rPr>
          <w:rFonts w:hint="eastAsia"/>
          <w:color w:val="auto"/>
          <w:lang w:val="en-US" w:eastAsia="zh-CN"/>
        </w:rPr>
        <w:t>电话028-85373821，</w:t>
      </w:r>
    </w:p>
    <w:p w14:paraId="2FEF06BD">
      <w:pPr>
        <w:bidi w:val="0"/>
        <w:rPr>
          <w:rFonts w:hint="eastAsia"/>
          <w:color w:val="auto"/>
          <w:lang w:val="en-US" w:eastAsia="zh-CN"/>
        </w:rPr>
      </w:pPr>
      <w:r>
        <w:rPr>
          <w:rFonts w:hint="eastAsia"/>
          <w:color w:val="auto"/>
          <w:lang w:val="en-US" w:eastAsia="zh-CN"/>
        </w:rPr>
        <w:t>邮箱rtyljjb@163.com</w:t>
      </w:r>
    </w:p>
    <w:p w14:paraId="156B8064">
      <w:pPr>
        <w:bidi w:val="0"/>
      </w:pPr>
      <w:r>
        <w:t>六、授予合同</w:t>
      </w:r>
    </w:p>
    <w:p w14:paraId="410BBC56">
      <w:pPr>
        <w:bidi w:val="0"/>
      </w:pPr>
      <w:r>
        <w:rPr>
          <w:lang w:val="en-US" w:eastAsia="zh-CN"/>
        </w:rPr>
        <w:t>22.</w:t>
      </w:r>
      <w:r>
        <w:t>成交通知</w:t>
      </w:r>
    </w:p>
    <w:p w14:paraId="6670C4F9">
      <w:pPr>
        <w:bidi w:val="0"/>
      </w:pPr>
      <w:r>
        <w:rPr>
          <w:rFonts w:hint="eastAsia"/>
          <w:lang w:val="en-US" w:eastAsia="zh-CN"/>
        </w:rPr>
        <w:t>22.1</w:t>
      </w:r>
      <w:r>
        <w:t>成交供应商确定后，</w:t>
      </w:r>
      <w:r>
        <w:rPr>
          <w:rFonts w:hint="eastAsia"/>
          <w:lang w:eastAsia="zh-CN"/>
        </w:rPr>
        <w:t>采购人</w:t>
      </w:r>
      <w:r>
        <w:t>将通过</w:t>
      </w:r>
      <w:r>
        <w:rPr>
          <w:lang w:val="zh-CN"/>
        </w:rPr>
        <w:t>中国融通电子商务平台</w:t>
      </w:r>
      <w:r>
        <w:t>向所有供应商发出</w:t>
      </w:r>
      <w:r>
        <w:rPr>
          <w:rFonts w:hint="eastAsia"/>
          <w:lang w:eastAsia="zh-CN"/>
        </w:rPr>
        <w:t>比质比价</w:t>
      </w:r>
      <w:r>
        <w:t>结果通知，同时向成交供应商发出成交通知书。成交通知书对采购人和成交供应商具有同等法律效力。成交通知书发出后，采购人改变采购结果或者成交供应商放弃成交，应当承担相应的法律责任。</w:t>
      </w:r>
    </w:p>
    <w:p w14:paraId="42A1AFAA">
      <w:pPr>
        <w:bidi w:val="0"/>
      </w:pPr>
      <w:r>
        <w:rPr>
          <w:rFonts w:hint="eastAsia"/>
          <w:lang w:val="en-US" w:eastAsia="zh-CN"/>
        </w:rPr>
        <w:t>22.2</w:t>
      </w:r>
      <w:r>
        <w:t>成交通知书是合同的组成部分。</w:t>
      </w:r>
    </w:p>
    <w:p w14:paraId="4B890768">
      <w:pPr>
        <w:bidi w:val="0"/>
      </w:pPr>
      <w:r>
        <w:rPr>
          <w:lang w:val="en-US" w:eastAsia="zh-CN"/>
        </w:rPr>
        <w:t>23.</w:t>
      </w:r>
      <w:r>
        <w:t>签订合同</w:t>
      </w:r>
    </w:p>
    <w:p w14:paraId="308F42D0">
      <w:pPr>
        <w:bidi w:val="0"/>
      </w:pPr>
      <w:r>
        <w:rPr>
          <w:rFonts w:hint="eastAsia"/>
          <w:lang w:val="en-US" w:eastAsia="zh-CN"/>
        </w:rPr>
        <w:t>23.1</w:t>
      </w:r>
      <w:r>
        <w:t>成交供应商自收到成交通知书之日起30天内与采购人签订合同。</w:t>
      </w:r>
    </w:p>
    <w:p w14:paraId="0150A5C3">
      <w:pPr>
        <w:bidi w:val="0"/>
      </w:pPr>
      <w:r>
        <w:rPr>
          <w:rFonts w:hint="eastAsia"/>
          <w:lang w:val="en-US" w:eastAsia="zh-CN"/>
        </w:rPr>
        <w:t>23.2</w:t>
      </w:r>
      <w:r>
        <w:t>采购人必须根据《</w:t>
      </w:r>
      <w:r>
        <w:rPr>
          <w:rFonts w:hint="eastAsia"/>
          <w:lang w:eastAsia="zh-CN"/>
        </w:rPr>
        <w:t>比质比价</w:t>
      </w:r>
      <w:r>
        <w:t>文件》、成交供应商的《响应文件》及</w:t>
      </w:r>
      <w:r>
        <w:rPr>
          <w:rFonts w:hint="eastAsia"/>
          <w:lang w:eastAsia="zh-CN"/>
        </w:rPr>
        <w:t>比质比价</w:t>
      </w:r>
      <w:r>
        <w:t>过程中的有关澄清、说明或者补正文件的内容与成交供应商签订合同。成交供应商不得再与采购人签订背离合同实质性内容的其他协议或声明。</w:t>
      </w:r>
    </w:p>
    <w:p w14:paraId="2D6C28E8">
      <w:pPr>
        <w:bidi w:val="0"/>
      </w:pPr>
      <w:r>
        <w:rPr>
          <w:rFonts w:hint="eastAsia"/>
          <w:lang w:val="en-US" w:eastAsia="zh-CN"/>
        </w:rPr>
        <w:t>23.3</w:t>
      </w:r>
      <w:r>
        <w:t>如果成交供应商没有按照上述规定执行，采购人将取消该合同授予决定，并不予退还其</w:t>
      </w:r>
      <w:r>
        <w:rPr>
          <w:rFonts w:hint="eastAsia"/>
          <w:lang w:eastAsia="zh-CN"/>
        </w:rPr>
        <w:t>比质比价</w:t>
      </w:r>
      <w:r>
        <w:t>保证金。在此情况下，采购人可将合同授予下一个符合采购需求的推荐预成交供应商，或重新组织</w:t>
      </w:r>
      <w:r>
        <w:rPr>
          <w:rFonts w:hint="eastAsia"/>
          <w:lang w:eastAsia="zh-CN"/>
        </w:rPr>
        <w:t>比质比价</w:t>
      </w:r>
      <w:r>
        <w:t>。</w:t>
      </w:r>
    </w:p>
    <w:p w14:paraId="5518A651">
      <w:pPr>
        <w:bidi w:val="0"/>
      </w:pPr>
      <w:r>
        <w:rPr>
          <w:rFonts w:hint="eastAsia"/>
          <w:lang w:val="en-US" w:eastAsia="zh-CN"/>
        </w:rPr>
        <w:t>23.4</w:t>
      </w:r>
      <w:r>
        <w:t>未经采购人事先给予书面同意，成交供应商不得将本项目转包、分包，并不得将合同全部及任何权利、义务向第三方转让，否则将被视为严重违约，采购人有权决定按照成交供应商成交后毁约、终止或解除合同等依约处理。</w:t>
      </w:r>
    </w:p>
    <w:p w14:paraId="743940C4">
      <w:pPr>
        <w:bidi w:val="0"/>
      </w:pPr>
      <w:r>
        <w:rPr>
          <w:rFonts w:hint="eastAsia"/>
          <w:lang w:val="en-US" w:eastAsia="zh-CN"/>
        </w:rPr>
        <w:t>23.5</w:t>
      </w:r>
      <w:r>
        <w:t>成交供应商应当自合同或补充合同签订之日起五个工作日内，将合同扫描件上传至</w:t>
      </w:r>
      <w:r>
        <w:rPr>
          <w:lang w:val="zh-CN"/>
        </w:rPr>
        <w:t>中国融通电子商务平台</w:t>
      </w:r>
      <w:r>
        <w:t>。</w:t>
      </w:r>
    </w:p>
    <w:p w14:paraId="55A3E05D">
      <w:pPr>
        <w:bidi w:val="0"/>
      </w:pPr>
      <w:r>
        <w:rPr>
          <w:lang w:val="en-US" w:eastAsia="zh-CN"/>
        </w:rPr>
        <w:t>24.</w:t>
      </w:r>
      <w:r>
        <w:t>履约保证金</w:t>
      </w:r>
    </w:p>
    <w:p w14:paraId="25F57992">
      <w:pPr>
        <w:bidi w:val="0"/>
      </w:pPr>
      <w:r>
        <w:rPr>
          <w:rFonts w:hint="eastAsia"/>
          <w:lang w:val="en-US" w:eastAsia="zh-CN"/>
        </w:rPr>
        <w:t>24.1</w:t>
      </w:r>
      <w:r>
        <w:t>成交供应商应按照</w:t>
      </w:r>
      <w:r>
        <w:rPr>
          <w:rFonts w:hint="eastAsia"/>
          <w:lang w:eastAsia="zh-CN"/>
        </w:rPr>
        <w:t>比质比价</w:t>
      </w:r>
      <w:r>
        <w:t>资料表第11条规定提交履约保证金。</w:t>
      </w:r>
    </w:p>
    <w:p w14:paraId="21FFCEF1">
      <w:pPr>
        <w:bidi w:val="0"/>
      </w:pPr>
      <w:r>
        <w:rPr>
          <w:rFonts w:hint="eastAsia"/>
          <w:lang w:val="en-US" w:eastAsia="zh-CN"/>
        </w:rPr>
        <w:t>24.2</w:t>
      </w:r>
      <w:r>
        <w:t>如果成交供应商应交而未交履约保证金的，</w:t>
      </w:r>
      <w:r>
        <w:rPr>
          <w:rFonts w:hint="eastAsia"/>
          <w:lang w:eastAsia="zh-CN"/>
        </w:rPr>
        <w:t>采购人</w:t>
      </w:r>
      <w:r>
        <w:t>将有权取消其成交资格，并不予退还</w:t>
      </w:r>
      <w:r>
        <w:rPr>
          <w:rFonts w:hint="eastAsia"/>
          <w:lang w:eastAsia="zh-CN"/>
        </w:rPr>
        <w:t>比质比价</w:t>
      </w:r>
      <w:r>
        <w:t>保证金。在此情况下，采购人可按推荐成交候选人的排序另行确定成交供应商或重新组织</w:t>
      </w:r>
      <w:r>
        <w:rPr>
          <w:rFonts w:hint="eastAsia"/>
          <w:lang w:eastAsia="zh-CN"/>
        </w:rPr>
        <w:t>比质比价</w:t>
      </w:r>
      <w:r>
        <w:t>。</w:t>
      </w:r>
    </w:p>
    <w:p w14:paraId="62CAFD4E">
      <w:pPr>
        <w:pStyle w:val="93"/>
        <w:snapToGrid w:val="0"/>
        <w:spacing w:line="360" w:lineRule="auto"/>
        <w:rPr>
          <w:rStyle w:val="30"/>
          <w:rFonts w:ascii="Arial" w:hAnsi="Arial" w:cs="Arial"/>
          <w:kern w:val="0"/>
          <w:lang w:val="zh-CN"/>
        </w:rPr>
        <w:sectPr>
          <w:headerReference r:id="rId10" w:type="default"/>
          <w:footerReference r:id="rId11" w:type="default"/>
          <w:pgSz w:w="11906" w:h="16838"/>
          <w:pgMar w:top="1440" w:right="1080" w:bottom="1440" w:left="1080" w:header="850" w:footer="992" w:gutter="0"/>
          <w:pgNumType w:fmt="decimal" w:start="1"/>
          <w:cols w:space="0" w:num="1"/>
          <w:rtlGutter w:val="0"/>
          <w:docGrid w:linePitch="312" w:charSpace="0"/>
        </w:sectPr>
      </w:pPr>
    </w:p>
    <w:p w14:paraId="6C406D7A">
      <w:pPr>
        <w:pStyle w:val="2"/>
        <w:bidi w:val="0"/>
        <w:rPr>
          <w:rStyle w:val="30"/>
          <w:rFonts w:ascii="Arial" w:hAnsi="Arial" w:cs="Arial"/>
          <w:kern w:val="0"/>
        </w:rPr>
      </w:pPr>
      <w:bookmarkStart w:id="2" w:name="_Toc7859"/>
      <w:r>
        <w:rPr>
          <w:lang w:val="zh-CN"/>
        </w:rPr>
        <w:t>第三章</w:t>
      </w:r>
      <w:r>
        <w:rPr>
          <w:rFonts w:hint="eastAsia"/>
          <w:lang w:val="en-US" w:eastAsia="zh-CN"/>
        </w:rPr>
        <w:t xml:space="preserve"> </w:t>
      </w:r>
      <w:r>
        <w:rPr>
          <w:lang w:val="zh-CN"/>
        </w:rPr>
        <w:t>评定成交标准</w:t>
      </w:r>
      <w:bookmarkEnd w:id="2"/>
    </w:p>
    <w:p w14:paraId="7E7F3E93">
      <w:pPr>
        <w:bidi w:val="0"/>
        <w:rPr>
          <w:rFonts w:hint="eastAsia" w:ascii="黑体" w:hAnsi="黑体" w:eastAsia="黑体" w:cs="黑体"/>
          <w:b w:val="0"/>
          <w:bCs w:val="0"/>
        </w:rPr>
      </w:pPr>
      <w:r>
        <w:rPr>
          <w:rFonts w:hint="eastAsia" w:ascii="黑体" w:hAnsi="黑体" w:eastAsia="黑体" w:cs="黑体"/>
          <w:b w:val="0"/>
          <w:bCs w:val="0"/>
          <w:lang w:val="en-US" w:eastAsia="zh-CN"/>
        </w:rPr>
        <w:t>一、</w:t>
      </w:r>
      <w:r>
        <w:rPr>
          <w:rFonts w:hint="eastAsia" w:ascii="黑体" w:hAnsi="黑体" w:eastAsia="黑体" w:cs="黑体"/>
          <w:b w:val="0"/>
          <w:bCs w:val="0"/>
        </w:rPr>
        <w:t>评审方法</w:t>
      </w:r>
    </w:p>
    <w:p w14:paraId="735FA5AD">
      <w:pPr>
        <w:spacing w:before="0" w:after="0"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本项目采用公开</w:t>
      </w:r>
      <w:r>
        <w:rPr>
          <w:rFonts w:hint="eastAsia" w:ascii="仿宋_GB2312" w:hAnsi="仿宋_GB2312" w:cs="仿宋_GB2312"/>
          <w:sz w:val="28"/>
          <w:szCs w:val="28"/>
          <w:highlight w:val="none"/>
          <w:lang w:val="en-US" w:eastAsia="zh-CN"/>
        </w:rPr>
        <w:t>比质比价</w:t>
      </w:r>
      <w:r>
        <w:rPr>
          <w:rFonts w:hint="eastAsia" w:ascii="仿宋_GB2312" w:hAnsi="仿宋_GB2312" w:eastAsia="仿宋_GB2312" w:cs="仿宋_GB2312"/>
          <w:sz w:val="28"/>
          <w:szCs w:val="28"/>
          <w:highlight w:val="none"/>
          <w:lang w:val="en-US" w:eastAsia="zh-CN"/>
        </w:rPr>
        <w:t>方式，在资质符合，采购需求符合，质量和服务相等的前提条件下，现场采用</w:t>
      </w:r>
      <w:r>
        <w:rPr>
          <w:rFonts w:hint="eastAsia" w:ascii="仿宋_GB2312" w:hAnsi="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val="en-US" w:eastAsia="zh-CN"/>
        </w:rPr>
        <w:t>轮报价（谈判小组可根据具体谈判情况，选择是否增加谈判轮数），按评审后综合得分由高到低的顺序推荐成交候选人，综合得分相同的按报价得分由高到低排列；综合得分且报价得分相同的，按</w:t>
      </w:r>
      <w:r>
        <w:rPr>
          <w:rFonts w:hint="eastAsia" w:ascii="仿宋_GB2312" w:hAnsi="仿宋_GB2312" w:cs="仿宋_GB2312"/>
          <w:sz w:val="28"/>
          <w:szCs w:val="28"/>
          <w:highlight w:val="none"/>
          <w:lang w:val="en-US" w:eastAsia="zh-CN"/>
        </w:rPr>
        <w:t>质保期、参数要求</w:t>
      </w:r>
      <w:r>
        <w:rPr>
          <w:rFonts w:hint="eastAsia" w:ascii="仿宋_GB2312" w:hAnsi="仿宋_GB2312" w:eastAsia="仿宋_GB2312" w:cs="仿宋_GB2312"/>
          <w:sz w:val="28"/>
          <w:szCs w:val="28"/>
          <w:highlight w:val="none"/>
          <w:lang w:val="en-US" w:eastAsia="zh-CN"/>
        </w:rPr>
        <w:t>得分由高到低排列。若第一成交候选人放弃成交资格，采购人可以根据推荐的成交候选人顺序递补选择成交供应商，也可以重新组织采购。</w:t>
      </w:r>
    </w:p>
    <w:p w14:paraId="2D1ADDE9">
      <w:pPr>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二、评分标准</w:t>
      </w:r>
    </w:p>
    <w:p w14:paraId="200521DD">
      <w:pPr>
        <w:pStyle w:val="2"/>
        <w:rPr>
          <w:rFonts w:hint="eastAsia"/>
        </w:rPr>
      </w:pPr>
    </w:p>
    <w:tbl>
      <w:tblPr>
        <w:tblStyle w:val="23"/>
        <w:tblW w:w="97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5"/>
        <w:gridCol w:w="1350"/>
        <w:gridCol w:w="6887"/>
      </w:tblGrid>
      <w:tr w14:paraId="16D27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49" w:hRule="atLeast"/>
          <w:jc w:val="center"/>
        </w:trPr>
        <w:tc>
          <w:tcPr>
            <w:tcW w:w="1525" w:type="dxa"/>
            <w:vMerge w:val="restart"/>
            <w:noWrap/>
            <w:vAlign w:val="center"/>
          </w:tcPr>
          <w:p w14:paraId="36526F0C">
            <w:pPr>
              <w:spacing w:line="276" w:lineRule="auto"/>
              <w:ind w:left="0" w:leftChars="0" w:firstLine="0" w:firstLineChars="0"/>
              <w:jc w:val="center"/>
              <w:rPr>
                <w:rFonts w:hint="eastAsia" w:ascii="宋体" w:hAnsi="宋体" w:cs="宋体"/>
                <w:sz w:val="24"/>
              </w:rPr>
            </w:pPr>
            <w:r>
              <w:rPr>
                <w:rFonts w:hint="eastAsia" w:ascii="宋体" w:hAnsi="宋体" w:cs="宋体"/>
                <w:sz w:val="24"/>
              </w:rPr>
              <w:t>商务部分</w:t>
            </w:r>
          </w:p>
          <w:p w14:paraId="3DB554F6">
            <w:pPr>
              <w:spacing w:line="276" w:lineRule="auto"/>
              <w:ind w:left="0" w:leftChars="0" w:firstLine="0" w:firstLineChars="0"/>
              <w:jc w:val="center"/>
              <w:rPr>
                <w:rFonts w:hint="eastAsia" w:ascii="宋体" w:hAnsi="宋体" w:cs="宋体"/>
                <w:sz w:val="24"/>
              </w:rPr>
            </w:pPr>
            <w:r>
              <w:rPr>
                <w:rFonts w:hint="eastAsia" w:ascii="宋体" w:hAnsi="宋体" w:cs="宋体"/>
                <w:sz w:val="24"/>
              </w:rPr>
              <w:t>评分标准</w:t>
            </w:r>
          </w:p>
          <w:p w14:paraId="787EEA1E">
            <w:pPr>
              <w:spacing w:line="276" w:lineRule="auto"/>
              <w:ind w:left="0" w:leftChars="0" w:firstLine="0" w:firstLineChars="0"/>
              <w:jc w:val="center"/>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80分</w:t>
            </w:r>
            <w:r>
              <w:rPr>
                <w:rFonts w:hint="eastAsia" w:ascii="宋体" w:hAnsi="宋体" w:cs="宋体"/>
                <w:sz w:val="24"/>
              </w:rPr>
              <w:t>）</w:t>
            </w:r>
          </w:p>
        </w:tc>
        <w:tc>
          <w:tcPr>
            <w:tcW w:w="1350" w:type="dxa"/>
            <w:noWrap/>
            <w:vAlign w:val="center"/>
          </w:tcPr>
          <w:p w14:paraId="32688297">
            <w:pPr>
              <w:spacing w:line="276" w:lineRule="auto"/>
              <w:ind w:left="0" w:leftChars="0" w:firstLine="0" w:firstLineChars="0"/>
              <w:jc w:val="center"/>
              <w:rPr>
                <w:rFonts w:hint="eastAsia" w:ascii="宋体" w:hAnsi="宋体" w:cs="宋体"/>
                <w:sz w:val="24"/>
                <w:lang w:val="en-US" w:eastAsia="zh-CN"/>
              </w:rPr>
            </w:pPr>
            <w:r>
              <w:rPr>
                <w:rFonts w:hint="eastAsia" w:ascii="宋体" w:hAnsi="宋体" w:cs="宋体"/>
                <w:sz w:val="24"/>
                <w:lang w:val="en-US" w:eastAsia="zh-CN"/>
              </w:rPr>
              <w:t>价格</w:t>
            </w:r>
          </w:p>
          <w:p w14:paraId="0A6E1F0B">
            <w:pPr>
              <w:spacing w:line="276" w:lineRule="auto"/>
              <w:ind w:left="0" w:leftChars="0" w:firstLine="0" w:firstLineChars="0"/>
              <w:jc w:val="center"/>
              <w:rPr>
                <w:rFonts w:hint="eastAsia" w:ascii="宋体" w:hAnsi="宋体" w:eastAsia="仿宋_GB2312" w:cs="宋体"/>
                <w:lang w:eastAsia="zh-CN"/>
              </w:rPr>
            </w:pPr>
            <w:r>
              <w:rPr>
                <w:rFonts w:hint="eastAsia" w:ascii="宋体" w:hAnsi="宋体" w:cs="宋体"/>
                <w:sz w:val="24"/>
                <w:lang w:val="en-US" w:eastAsia="zh-CN"/>
              </w:rPr>
              <w:t>60分</w:t>
            </w:r>
          </w:p>
        </w:tc>
        <w:tc>
          <w:tcPr>
            <w:tcW w:w="6887" w:type="dxa"/>
            <w:noWrap/>
            <w:vAlign w:val="center"/>
          </w:tcPr>
          <w:p w14:paraId="587D0826">
            <w:pPr>
              <w:spacing w:line="276" w:lineRule="auto"/>
              <w:ind w:left="0" w:leftChars="0" w:firstLine="0" w:firstLineChars="0"/>
              <w:rPr>
                <w:rFonts w:hint="default" w:ascii="宋体" w:hAnsi="宋体" w:cs="宋体"/>
                <w:kern w:val="0"/>
                <w:sz w:val="24"/>
                <w:lang w:val="en-US"/>
              </w:rPr>
            </w:pPr>
            <w:r>
              <w:rPr>
                <w:rFonts w:hint="eastAsia" w:ascii="仿宋_GB2312" w:hAnsi="仿宋_GB2312" w:cs="仿宋_GB2312"/>
                <w:sz w:val="28"/>
                <w:szCs w:val="28"/>
                <w:highlight w:val="none"/>
                <w:lang w:val="en-US" w:eastAsia="zh-CN"/>
              </w:rPr>
              <w:t>（供应商最低报价／供应商报价）×60分</w:t>
            </w:r>
          </w:p>
        </w:tc>
      </w:tr>
      <w:tr w14:paraId="4E028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78" w:hRule="atLeast"/>
          <w:jc w:val="center"/>
        </w:trPr>
        <w:tc>
          <w:tcPr>
            <w:tcW w:w="1525" w:type="dxa"/>
            <w:vMerge w:val="continue"/>
            <w:noWrap/>
            <w:vAlign w:val="center"/>
          </w:tcPr>
          <w:p w14:paraId="4C4FF3C0">
            <w:pPr>
              <w:spacing w:line="276" w:lineRule="auto"/>
              <w:jc w:val="center"/>
              <w:rPr>
                <w:rFonts w:hint="eastAsia" w:ascii="宋体" w:hAnsi="宋体" w:cs="宋体"/>
                <w:sz w:val="24"/>
              </w:rPr>
            </w:pPr>
          </w:p>
        </w:tc>
        <w:tc>
          <w:tcPr>
            <w:tcW w:w="1350" w:type="dxa"/>
            <w:noWrap/>
            <w:vAlign w:val="center"/>
          </w:tcPr>
          <w:p w14:paraId="05E26D68">
            <w:pPr>
              <w:spacing w:line="276" w:lineRule="auto"/>
              <w:ind w:left="0" w:leftChars="0" w:firstLine="0" w:firstLineChars="0"/>
              <w:jc w:val="center"/>
              <w:rPr>
                <w:rFonts w:hint="eastAsia" w:ascii="宋体" w:hAnsi="宋体" w:cs="宋体"/>
                <w:sz w:val="24"/>
                <w:lang w:val="en-US" w:eastAsia="zh-CN"/>
              </w:rPr>
            </w:pPr>
            <w:r>
              <w:rPr>
                <w:rFonts w:hint="eastAsia" w:ascii="宋体" w:hAnsi="宋体" w:cs="宋体"/>
                <w:sz w:val="24"/>
                <w:lang w:val="en-US" w:eastAsia="zh-CN"/>
              </w:rPr>
              <w:t>质保期</w:t>
            </w:r>
          </w:p>
          <w:p w14:paraId="1B661E36">
            <w:pPr>
              <w:spacing w:line="276" w:lineRule="auto"/>
              <w:ind w:left="0" w:leftChars="0" w:firstLine="0" w:firstLineChars="0"/>
              <w:jc w:val="center"/>
            </w:pPr>
            <w:r>
              <w:rPr>
                <w:rFonts w:hint="eastAsia" w:hAnsi="宋体" w:cs="宋体"/>
                <w:sz w:val="24"/>
                <w:lang w:val="en-US" w:eastAsia="zh-CN"/>
              </w:rPr>
              <w:t>2</w:t>
            </w:r>
            <w:r>
              <w:rPr>
                <w:rFonts w:hint="eastAsia" w:hAnsi="宋体" w:cs="宋体"/>
                <w:sz w:val="24"/>
              </w:rPr>
              <w:t>0分</w:t>
            </w:r>
          </w:p>
        </w:tc>
        <w:tc>
          <w:tcPr>
            <w:tcW w:w="6887" w:type="dxa"/>
            <w:noWrap/>
            <w:vAlign w:val="center"/>
          </w:tcPr>
          <w:p w14:paraId="19A197E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cs="宋体"/>
                <w:bCs/>
                <w:color w:val="000000"/>
                <w:sz w:val="24"/>
              </w:rPr>
            </w:pPr>
            <w:r>
              <w:rPr>
                <w:rFonts w:hint="eastAsia" w:ascii="仿宋_GB2312" w:hAnsi="仿宋_GB2312" w:eastAsia="仿宋_GB2312" w:cs="仿宋_GB2312"/>
                <w:sz w:val="28"/>
                <w:szCs w:val="28"/>
                <w:highlight w:val="none"/>
                <w:lang w:val="zh-CN" w:eastAsia="zh-CN"/>
              </w:rPr>
              <w:t>质保期</w:t>
            </w:r>
            <w:r>
              <w:rPr>
                <w:rFonts w:hint="eastAsia" w:ascii="仿宋_GB2312" w:hAnsi="仿宋_GB2312" w:cs="仿宋_GB2312"/>
                <w:sz w:val="28"/>
                <w:szCs w:val="28"/>
                <w:highlight w:val="none"/>
                <w:lang w:val="en-US" w:eastAsia="zh-CN"/>
              </w:rPr>
              <w:t>2年为10分，每1年加2分，满分20分。</w:t>
            </w:r>
          </w:p>
        </w:tc>
      </w:tr>
      <w:tr w14:paraId="1C37E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 w:hRule="atLeast"/>
          <w:jc w:val="center"/>
        </w:trPr>
        <w:tc>
          <w:tcPr>
            <w:tcW w:w="1525" w:type="dxa"/>
            <w:noWrap/>
            <w:vAlign w:val="center"/>
          </w:tcPr>
          <w:p w14:paraId="2DAD50B7">
            <w:pPr>
              <w:spacing w:line="276" w:lineRule="auto"/>
              <w:ind w:left="0" w:leftChars="0" w:firstLine="0" w:firstLineChars="0"/>
              <w:jc w:val="center"/>
              <w:rPr>
                <w:rFonts w:hint="eastAsia" w:ascii="宋体" w:hAnsi="宋体" w:cs="宋体"/>
                <w:sz w:val="24"/>
              </w:rPr>
            </w:pPr>
            <w:r>
              <w:rPr>
                <w:rFonts w:hint="eastAsia" w:ascii="宋体" w:hAnsi="宋体" w:cs="宋体"/>
                <w:sz w:val="24"/>
              </w:rPr>
              <w:t>技术部分</w:t>
            </w:r>
          </w:p>
          <w:p w14:paraId="342FA945">
            <w:pPr>
              <w:spacing w:line="276" w:lineRule="auto"/>
              <w:ind w:left="0" w:leftChars="0" w:firstLine="0" w:firstLineChars="0"/>
              <w:jc w:val="center"/>
              <w:rPr>
                <w:rFonts w:hint="eastAsia" w:ascii="宋体" w:hAnsi="宋体" w:cs="宋体"/>
                <w:sz w:val="24"/>
              </w:rPr>
            </w:pPr>
            <w:r>
              <w:rPr>
                <w:rFonts w:hint="eastAsia" w:ascii="宋体" w:hAnsi="宋体" w:cs="宋体"/>
                <w:sz w:val="24"/>
              </w:rPr>
              <w:t>评分标准</w:t>
            </w:r>
          </w:p>
          <w:p w14:paraId="052A5A5A">
            <w:pPr>
              <w:pStyle w:val="8"/>
              <w:widowControl/>
              <w:spacing w:line="276" w:lineRule="auto"/>
              <w:ind w:left="0" w:leftChars="0" w:firstLine="0" w:firstLineChars="0"/>
              <w:jc w:val="center"/>
              <w:rPr>
                <w:rFonts w:hint="eastAsia" w:cs="宋体"/>
                <w:szCs w:val="21"/>
              </w:rPr>
            </w:pPr>
            <w:r>
              <w:rPr>
                <w:rFonts w:hint="eastAsia" w:ascii="宋体" w:hAnsi="宋体" w:cs="宋体"/>
                <w:sz w:val="24"/>
              </w:rPr>
              <w:t>（</w:t>
            </w:r>
            <w:r>
              <w:rPr>
                <w:rFonts w:hint="eastAsia" w:ascii="宋体" w:hAnsi="宋体" w:cs="宋体"/>
                <w:sz w:val="24"/>
                <w:lang w:val="en-US" w:eastAsia="zh-CN"/>
              </w:rPr>
              <w:t>20</w:t>
            </w:r>
            <w:r>
              <w:rPr>
                <w:rFonts w:hint="eastAsia" w:ascii="宋体" w:hAnsi="宋体" w:cs="宋体"/>
                <w:sz w:val="24"/>
              </w:rPr>
              <w:t>分）</w:t>
            </w:r>
          </w:p>
        </w:tc>
        <w:tc>
          <w:tcPr>
            <w:tcW w:w="1350" w:type="dxa"/>
            <w:noWrap/>
            <w:vAlign w:val="center"/>
          </w:tcPr>
          <w:p w14:paraId="65361807">
            <w:pPr>
              <w:pStyle w:val="121"/>
              <w:spacing w:line="276" w:lineRule="auto"/>
              <w:ind w:firstLine="0" w:firstLineChars="0"/>
              <w:jc w:val="center"/>
              <w:rPr>
                <w:rFonts w:hint="eastAsia" w:ascii="宋体" w:hAnsi="宋体" w:eastAsia="仿宋" w:cs="宋体"/>
                <w:bCs/>
                <w:color w:val="000000"/>
                <w:kern w:val="2"/>
                <w:szCs w:val="24"/>
              </w:rPr>
            </w:pPr>
            <w:r>
              <w:rPr>
                <w:rFonts w:hint="eastAsia" w:ascii="仿宋" w:hAnsi="仿宋" w:eastAsia="仿宋" w:cs="仿宋"/>
                <w:bCs/>
                <w:sz w:val="24"/>
                <w:lang w:val="en-US" w:eastAsia="zh-CN"/>
              </w:rPr>
              <w:t>参数</w:t>
            </w:r>
            <w:r>
              <w:rPr>
                <w:rFonts w:hint="eastAsia" w:ascii="仿宋" w:hAnsi="仿宋" w:eastAsia="仿宋" w:cs="仿宋"/>
                <w:bCs/>
                <w:sz w:val="24"/>
              </w:rPr>
              <w:t>要求</w:t>
            </w:r>
            <w:r>
              <w:rPr>
                <w:rFonts w:hint="eastAsia" w:ascii="宋体" w:hAnsi="宋体" w:cs="宋体"/>
                <w:bCs/>
                <w:sz w:val="24"/>
              </w:rPr>
              <w:t>20分</w:t>
            </w:r>
          </w:p>
        </w:tc>
        <w:tc>
          <w:tcPr>
            <w:tcW w:w="6887" w:type="dxa"/>
            <w:noWrap/>
            <w:vAlign w:val="center"/>
          </w:tcPr>
          <w:p w14:paraId="5F3ACF7A">
            <w:pPr>
              <w:pStyle w:val="122"/>
              <w:spacing w:line="276" w:lineRule="auto"/>
              <w:ind w:left="0" w:leftChars="0" w:firstLine="0" w:firstLineChars="0"/>
              <w:rPr>
                <w:rFonts w:hint="default" w:hAnsi="宋体" w:eastAsia="仿宋_GB2312" w:cs="宋体"/>
                <w:bCs/>
                <w:color w:val="000000"/>
                <w:kern w:val="2"/>
                <w:sz w:val="24"/>
                <w:szCs w:val="24"/>
                <w:lang w:val="en-US" w:eastAsia="zh-CN"/>
              </w:rPr>
            </w:pPr>
            <w:r>
              <w:rPr>
                <w:rFonts w:hint="eastAsia" w:ascii="宋体" w:hAnsi="宋体" w:cs="宋体"/>
                <w:sz w:val="24"/>
              </w:rPr>
              <w:t>全部满足比质比价文件项目需求书中</w:t>
            </w:r>
            <w:r>
              <w:rPr>
                <w:rFonts w:hint="eastAsia" w:ascii="宋体" w:hAnsi="宋体" w:cs="宋体"/>
                <w:sz w:val="24"/>
                <w:lang w:val="en-US" w:eastAsia="zh-CN"/>
              </w:rPr>
              <w:t>设备参数</w:t>
            </w:r>
            <w:r>
              <w:rPr>
                <w:rFonts w:hint="eastAsia" w:ascii="宋体" w:hAnsi="宋体" w:cs="宋体"/>
                <w:sz w:val="24"/>
              </w:rPr>
              <w:t>要求的，得20分，</w:t>
            </w:r>
            <w:r>
              <w:rPr>
                <w:rFonts w:hint="eastAsia" w:ascii="宋体" w:hAnsi="宋体" w:eastAsia="宋体" w:cs="宋体"/>
                <w:sz w:val="24"/>
              </w:rPr>
              <w:t>每有一项</w:t>
            </w:r>
            <w:r>
              <w:rPr>
                <w:rFonts w:hint="eastAsia" w:ascii="宋体" w:hAnsi="宋体" w:eastAsia="宋体" w:cs="宋体"/>
                <w:sz w:val="24"/>
                <w:lang w:val="en-US" w:eastAsia="zh-CN"/>
              </w:rPr>
              <w:t>负偏离</w:t>
            </w:r>
            <w:r>
              <w:rPr>
                <w:rFonts w:hint="eastAsia" w:ascii="宋体" w:hAnsi="宋体" w:eastAsia="宋体" w:cs="宋体"/>
                <w:sz w:val="24"/>
              </w:rPr>
              <w:t>的扣2分，扣完为止。</w:t>
            </w:r>
            <w:r>
              <w:rPr>
                <w:rFonts w:hint="eastAsia" w:ascii="宋体" w:hAnsi="宋体" w:eastAsia="宋体" w:cs="宋体"/>
                <w:sz w:val="24"/>
                <w:lang w:val="en-US" w:eastAsia="zh-CN"/>
              </w:rPr>
              <w:t>带</w:t>
            </w:r>
            <w:r>
              <w:rPr>
                <w:rFonts w:hint="eastAsia" w:ascii="宋体" w:hAnsi="宋体" w:eastAsia="宋体" w:cs="宋体"/>
                <w:sz w:val="24"/>
              </w:rPr>
              <w:t>★</w:t>
            </w:r>
            <w:r>
              <w:rPr>
                <w:rFonts w:hint="eastAsia" w:ascii="宋体" w:hAnsi="宋体" w:eastAsia="宋体" w:cs="宋体"/>
                <w:sz w:val="24"/>
                <w:lang w:val="en-US" w:eastAsia="zh-CN"/>
              </w:rPr>
              <w:t>参数不允许负偏离，否则直接废除投标人参加评审资格。</w:t>
            </w:r>
          </w:p>
        </w:tc>
      </w:tr>
    </w:tbl>
    <w:p w14:paraId="3410676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cs="仿宋_GB2312"/>
          <w:sz w:val="28"/>
          <w:szCs w:val="28"/>
          <w:highlight w:val="none"/>
          <w:lang w:val="en-US" w:eastAsia="zh-CN"/>
        </w:rPr>
      </w:pPr>
    </w:p>
    <w:p w14:paraId="5A3F74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cs="仿宋_GB2312"/>
          <w:sz w:val="28"/>
          <w:szCs w:val="28"/>
          <w:highlight w:val="none"/>
          <w:lang w:val="en-US" w:eastAsia="zh-CN"/>
        </w:rPr>
      </w:pPr>
    </w:p>
    <w:p w14:paraId="004FFAE8">
      <w:pPr>
        <w:pStyle w:val="2"/>
        <w:rPr>
          <w:rFonts w:hint="eastAsia"/>
          <w:lang w:val="en-US" w:eastAsia="zh-CN"/>
        </w:rPr>
      </w:pPr>
    </w:p>
    <w:p w14:paraId="73E969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cs="仿宋_GB2312"/>
          <w:sz w:val="28"/>
          <w:szCs w:val="28"/>
          <w:highlight w:val="none"/>
          <w:lang w:val="en-US" w:eastAsia="zh-CN"/>
        </w:rPr>
      </w:pPr>
    </w:p>
    <w:p w14:paraId="6A4D3E48">
      <w:pPr>
        <w:pStyle w:val="2"/>
        <w:numPr>
          <w:ilvl w:val="0"/>
          <w:numId w:val="4"/>
        </w:numPr>
        <w:bidi w:val="0"/>
        <w:rPr>
          <w:rFonts w:hint="eastAsia"/>
          <w:lang w:eastAsia="zh-CN"/>
        </w:rPr>
      </w:pPr>
      <w:bookmarkStart w:id="3" w:name="_Toc32655"/>
      <w:r>
        <w:rPr>
          <w:rFonts w:hint="eastAsia"/>
          <w:lang w:val="en-US" w:eastAsia="zh-CN"/>
        </w:rPr>
        <w:t>商务技术</w:t>
      </w:r>
      <w:r>
        <w:rPr>
          <w:rFonts w:hint="eastAsia"/>
          <w:lang w:eastAsia="zh-CN"/>
        </w:rPr>
        <w:t>要求</w:t>
      </w:r>
      <w:bookmarkEnd w:id="3"/>
    </w:p>
    <w:p w14:paraId="4B5F16E0">
      <w:pPr>
        <w:numPr>
          <w:ilvl w:val="0"/>
          <w:numId w:val="0"/>
        </w:numPr>
        <w:rPr>
          <w:rFonts w:hint="eastAsia"/>
          <w:lang w:eastAsia="zh-CN"/>
        </w:rPr>
      </w:pPr>
    </w:p>
    <w:p w14:paraId="03B98782">
      <w:pPr>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一、技术要求（服务要求）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CF0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A66B8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技术参数</w:t>
            </w:r>
          </w:p>
        </w:tc>
      </w:tr>
      <w:tr w14:paraId="0A44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522" w:type="dxa"/>
          </w:tcPr>
          <w:p w14:paraId="0C5D12A0">
            <w:pPr>
              <w:ind w:right="420"/>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电子内窥镜系统</w:t>
            </w:r>
            <w:r>
              <w:rPr>
                <w:rFonts w:hint="eastAsia" w:ascii="黑体" w:hAnsi="黑体" w:eastAsia="黑体" w:cs="黑体"/>
                <w:b/>
                <w:bCs/>
                <w:sz w:val="28"/>
                <w:szCs w:val="28"/>
              </w:rPr>
              <w:t>技术参数及性能</w:t>
            </w:r>
          </w:p>
          <w:p w14:paraId="7599143A">
            <w:pPr>
              <w:ind w:right="420"/>
              <w:jc w:val="both"/>
              <w:rPr>
                <w:rFonts w:hint="eastAsia" w:ascii="新宋体" w:hAnsi="新宋体" w:eastAsia="新宋体" w:cs="Times New Roman"/>
                <w:b/>
                <w:bCs/>
                <w:sz w:val="21"/>
                <w:szCs w:val="21"/>
              </w:rPr>
            </w:pPr>
            <w:r>
              <w:rPr>
                <w:rFonts w:hint="eastAsia" w:ascii="黑体" w:hAnsi="黑体" w:eastAsia="黑体" w:cs="黑体"/>
                <w:b/>
                <w:bCs/>
                <w:sz w:val="21"/>
                <w:szCs w:val="21"/>
                <w:lang w:val="en-US" w:eastAsia="zh-CN"/>
              </w:rPr>
              <w:t>一</w:t>
            </w:r>
            <w:r>
              <w:rPr>
                <w:rFonts w:hint="eastAsia" w:ascii="黑体" w:hAnsi="黑体" w:eastAsia="黑体" w:cs="黑体"/>
                <w:b/>
                <w:bCs/>
                <w:sz w:val="21"/>
                <w:szCs w:val="21"/>
              </w:rPr>
              <w:t>、</w:t>
            </w:r>
            <w:r>
              <w:rPr>
                <w:rFonts w:hint="eastAsia" w:ascii="黑体" w:hAnsi="黑体" w:eastAsia="黑体" w:cs="黑体"/>
                <w:b/>
                <w:bCs/>
                <w:sz w:val="21"/>
                <w:szCs w:val="21"/>
                <w:lang w:val="en-US" w:eastAsia="zh-CN"/>
              </w:rPr>
              <w:t>电子内窥镜</w:t>
            </w:r>
            <w:r>
              <w:rPr>
                <w:rFonts w:hint="eastAsia" w:ascii="黑体" w:hAnsi="黑体" w:eastAsia="黑体" w:cs="黑体"/>
                <w:b/>
                <w:bCs/>
                <w:sz w:val="21"/>
                <w:szCs w:val="21"/>
              </w:rPr>
              <w:t>操作部</w:t>
            </w:r>
          </w:p>
          <w:p w14:paraId="191D82ED">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1.1成像原理：电子成像技术，工作软管不含导像、导光纤维；</w:t>
            </w:r>
          </w:p>
          <w:p w14:paraId="57DA8AB2">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1.2视场角：</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110°；</w:t>
            </w:r>
          </w:p>
          <w:p w14:paraId="20DA6825">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1.3视向角：0°（直视）；</w:t>
            </w:r>
          </w:p>
          <w:p w14:paraId="68B91942">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1.4景深</w:t>
            </w:r>
            <w:r>
              <w:rPr>
                <w:rFonts w:hint="eastAsia" w:ascii="仿宋_GB2312" w:hAnsi="仿宋_GB2312" w:eastAsia="仿宋_GB2312" w:cs="仿宋_GB2312"/>
                <w:sz w:val="21"/>
                <w:szCs w:val="21"/>
                <w:lang w:val="en-US" w:eastAsia="zh-CN"/>
              </w:rPr>
              <w:t>不小于</w:t>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0mm；</w:t>
            </w:r>
          </w:p>
          <w:p w14:paraId="5C2DBFC3">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★1.5吸引孔道内径≥</w:t>
            </w:r>
            <w:r>
              <w:rPr>
                <w:rFonts w:hint="eastAsia" w:ascii="仿宋_GB2312" w:hAnsi="仿宋_GB2312" w:eastAsia="仿宋_GB2312" w:cs="仿宋_GB2312"/>
                <w:sz w:val="21"/>
                <w:szCs w:val="21"/>
                <w:lang w:val="en-US" w:eastAsia="zh-CN"/>
              </w:rPr>
              <w:t>2.4</w:t>
            </w:r>
            <w:r>
              <w:rPr>
                <w:rFonts w:hint="eastAsia" w:ascii="仿宋_GB2312" w:hAnsi="仿宋_GB2312" w:eastAsia="仿宋_GB2312" w:cs="仿宋_GB2312"/>
                <w:sz w:val="21"/>
                <w:szCs w:val="21"/>
              </w:rPr>
              <w:t xml:space="preserve">mm； </w:t>
            </w:r>
          </w:p>
          <w:p w14:paraId="3FA3886A">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w:t>
            </w:r>
            <w:r>
              <w:rPr>
                <w:rFonts w:hint="eastAsia" w:ascii="仿宋_GB2312" w:hAnsi="仿宋_GB2312" w:eastAsia="仿宋_GB2312" w:cs="仿宋_GB2312"/>
                <w:sz w:val="21"/>
                <w:szCs w:val="21"/>
                <w:lang w:val="en-US" w:eastAsia="zh-CN"/>
              </w:rPr>
              <w:t>软管</w:t>
            </w:r>
            <w:r>
              <w:rPr>
                <w:rFonts w:hint="eastAsia" w:ascii="仿宋_GB2312" w:hAnsi="仿宋_GB2312" w:eastAsia="仿宋_GB2312" w:cs="仿宋_GB2312"/>
                <w:sz w:val="21"/>
                <w:szCs w:val="21"/>
              </w:rPr>
              <w:t>直径≤</w:t>
            </w:r>
            <w:r>
              <w:rPr>
                <w:rFonts w:hint="eastAsia" w:ascii="仿宋_GB2312" w:hAnsi="仿宋_GB2312" w:eastAsia="仿宋_GB2312" w:cs="仿宋_GB2312"/>
                <w:sz w:val="21"/>
                <w:szCs w:val="21"/>
                <w:lang w:val="en-US" w:eastAsia="zh-CN"/>
              </w:rPr>
              <w:t>4.5</w:t>
            </w:r>
            <w:r>
              <w:rPr>
                <w:rFonts w:hint="eastAsia" w:ascii="仿宋_GB2312" w:hAnsi="仿宋_GB2312" w:eastAsia="仿宋_GB2312" w:cs="仿宋_GB2312"/>
                <w:sz w:val="21"/>
                <w:szCs w:val="21"/>
              </w:rPr>
              <w:t>mm；</w:t>
            </w:r>
          </w:p>
          <w:p w14:paraId="366425AA">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w:t>
            </w:r>
            <w:r>
              <w:rPr>
                <w:rFonts w:hint="eastAsia" w:ascii="仿宋_GB2312" w:hAnsi="仿宋_GB2312" w:eastAsia="仿宋_GB2312" w:cs="仿宋_GB2312"/>
                <w:sz w:val="21"/>
                <w:szCs w:val="21"/>
                <w:lang w:val="en-US" w:eastAsia="zh-CN"/>
              </w:rPr>
              <w:t>插入管</w:t>
            </w:r>
            <w:r>
              <w:rPr>
                <w:rFonts w:hint="eastAsia" w:ascii="仿宋_GB2312" w:hAnsi="仿宋_GB2312" w:eastAsia="仿宋_GB2312" w:cs="仿宋_GB2312"/>
                <w:sz w:val="21"/>
                <w:szCs w:val="21"/>
              </w:rPr>
              <w:t>有效工作长度</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6</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0mm</w:t>
            </w:r>
            <w:r>
              <w:rPr>
                <w:rFonts w:hint="eastAsia" w:ascii="仿宋_GB2312" w:hAnsi="仿宋_GB2312" w:eastAsia="仿宋_GB2312" w:cs="仿宋_GB2312"/>
                <w:sz w:val="21"/>
                <w:szCs w:val="21"/>
                <w:lang w:val="en-US" w:eastAsia="zh-CN"/>
              </w:rPr>
              <w:t>,插入管自带有刻度标识</w:t>
            </w:r>
            <w:r>
              <w:rPr>
                <w:rFonts w:hint="eastAsia" w:ascii="仿宋_GB2312" w:hAnsi="仿宋_GB2312" w:eastAsia="仿宋_GB2312" w:cs="仿宋_GB2312"/>
                <w:sz w:val="21"/>
                <w:szCs w:val="21"/>
              </w:rPr>
              <w:t>；</w:t>
            </w:r>
          </w:p>
          <w:p w14:paraId="14F37EFD">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1.8插入管软管前端弯曲角度：向上弯曲≥180°，向下弯曲≥13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w:t>
            </w:r>
          </w:p>
          <w:p w14:paraId="5B1F1B57">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1.9操作手柄具备</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2个独立电子功能按键：具有拍照、录像、冻结、解冻结、亮度调节、无功能、白平衡七大功能；</w:t>
            </w:r>
          </w:p>
          <w:p w14:paraId="6A328B13">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1.10摄像分辨率≥9.92</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lp/mm；</w:t>
            </w:r>
          </w:p>
          <w:p w14:paraId="4EB0B9FB">
            <w:pPr>
              <w:ind w:right="42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1.11自带光源，具备防雾功能，无需预热，光照度≥1500Lux；显色指数＞90，色温6500K±1000K</w:t>
            </w:r>
            <w:r>
              <w:rPr>
                <w:rFonts w:hint="eastAsia" w:ascii="仿宋_GB2312" w:hAnsi="仿宋_GB2312" w:eastAsia="仿宋_GB2312" w:cs="仿宋_GB2312"/>
                <w:sz w:val="21"/>
                <w:szCs w:val="21"/>
                <w:lang w:eastAsia="zh-CN"/>
              </w:rPr>
              <w:t>；</w:t>
            </w:r>
          </w:p>
          <w:p w14:paraId="2E1CB012">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1.12 摄像头及LED前端，防刮花，耐腐蚀，防雾；</w:t>
            </w:r>
          </w:p>
          <w:p w14:paraId="6935F42A">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吸引阀一体式防脱设计；主体</w:t>
            </w:r>
            <w:r>
              <w:rPr>
                <w:rFonts w:hint="eastAsia" w:ascii="仿宋_GB2312" w:hAnsi="仿宋_GB2312" w:eastAsia="仿宋_GB2312" w:cs="仿宋_GB2312"/>
                <w:sz w:val="21"/>
                <w:szCs w:val="21"/>
                <w:lang w:val="en-US" w:eastAsia="zh-CN"/>
              </w:rPr>
              <w:t>为金属</w:t>
            </w:r>
            <w:r>
              <w:rPr>
                <w:rFonts w:hint="eastAsia" w:ascii="仿宋_GB2312" w:hAnsi="仿宋_GB2312" w:eastAsia="仿宋_GB2312" w:cs="仿宋_GB2312"/>
                <w:sz w:val="21"/>
                <w:szCs w:val="21"/>
              </w:rPr>
              <w:t>材质，可重复使用，使用寿命长；</w:t>
            </w:r>
          </w:p>
          <w:p w14:paraId="21641FF8">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色彩还原：分辨标准色板≥6种颜色；</w:t>
            </w:r>
          </w:p>
          <w:p w14:paraId="2638C4AE">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 xml:space="preserve"> 具有HDMI显示输出功能；</w:t>
            </w:r>
          </w:p>
          <w:p w14:paraId="1DACD807">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采用智能主控芯片，具备无需手动调节即可实现自动控制图像曝光度功能。</w:t>
            </w:r>
          </w:p>
          <w:p w14:paraId="3176D9E6">
            <w:pPr>
              <w:ind w:right="42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图像显示器与操作手柄，</w:t>
            </w:r>
            <w:r>
              <w:rPr>
                <w:rFonts w:hint="eastAsia" w:ascii="仿宋_GB2312" w:hAnsi="仿宋_GB2312" w:eastAsia="仿宋_GB2312" w:cs="仿宋_GB2312"/>
                <w:sz w:val="21"/>
                <w:szCs w:val="21"/>
                <w:lang w:eastAsia="zh-CN"/>
              </w:rPr>
              <w:t>应</w:t>
            </w:r>
            <w:r>
              <w:rPr>
                <w:rFonts w:hint="eastAsia" w:ascii="仿宋_GB2312" w:hAnsi="仿宋_GB2312" w:eastAsia="仿宋_GB2312" w:cs="仿宋_GB2312"/>
                <w:sz w:val="21"/>
                <w:szCs w:val="21"/>
              </w:rPr>
              <w:t>有效避免传统点触式连接长时间使用后接触不良造成死机、卡屏；</w:t>
            </w:r>
          </w:p>
          <w:p w14:paraId="1E873CC1">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sz w:val="21"/>
                <w:szCs w:val="21"/>
              </w:rPr>
              <w:t>显示器与操作部，无需旋转，避免因长期旋转导致屏幕晃动、图像卡顿、黑屏。</w:t>
            </w:r>
          </w:p>
          <w:p w14:paraId="6F315D2B">
            <w:pPr>
              <w:ind w:right="420"/>
              <w:jc w:val="both"/>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二．电子内窥镜图像处理器</w:t>
            </w:r>
          </w:p>
          <w:p w14:paraId="7053339D">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2.1分辨率：</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1280*800 像素；</w:t>
            </w:r>
          </w:p>
          <w:p w14:paraId="5F4D8B04">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2.2存储容量：</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5 小时视频、 80,000照片；</w:t>
            </w:r>
          </w:p>
          <w:p w14:paraId="6265F1DE">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2.3触控操作：电容触摸；</w:t>
            </w:r>
          </w:p>
          <w:p w14:paraId="36B4F22F">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2.4支持开机密码设置管理；</w:t>
            </w:r>
          </w:p>
          <w:p w14:paraId="7158FC48">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2.5支持模拟增益，数字增益，曝光时间增益，亮度，对比度，色调等图像调节功能；</w:t>
            </w:r>
          </w:p>
          <w:p w14:paraId="056BCC44">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2.6具有</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9级照明亮度调节功能；</w:t>
            </w:r>
          </w:p>
          <w:p w14:paraId="0356EB90">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2.7具有不少于400*400，600*600，800*800，1000*1000图像显示尺寸；</w:t>
            </w:r>
          </w:p>
          <w:p w14:paraId="18FF6BF3">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2.8支持不少于C角、圆角、圆形、直角4种图像显示风格；</w:t>
            </w:r>
          </w:p>
          <w:p w14:paraId="20291BBA">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2.9图片格式：含JPEG；</w:t>
            </w:r>
          </w:p>
          <w:p w14:paraId="2BA4CDC7">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2.10视频格式：含AVI；</w:t>
            </w:r>
          </w:p>
          <w:p w14:paraId="61FA0877">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2.11支持图片放大、缩小功能；</w:t>
            </w:r>
          </w:p>
          <w:p w14:paraId="14BC0BAE">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2.12具有HDMI输出功能；</w:t>
            </w:r>
          </w:p>
          <w:p w14:paraId="136CE76F">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2.13支持USB、SD卡数据输出功能；</w:t>
            </w:r>
          </w:p>
          <w:p w14:paraId="10BD120F">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2.14使用时间：≥8小时；</w:t>
            </w:r>
          </w:p>
          <w:p w14:paraId="4BB4DCD8">
            <w:pPr>
              <w:ind w:right="420"/>
              <w:jc w:val="both"/>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三、配置清单</w:t>
            </w:r>
          </w:p>
          <w:p w14:paraId="49FA1D86">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3.1 电子内窥镜图像处理器   1台</w:t>
            </w:r>
          </w:p>
          <w:p w14:paraId="2F828CA5">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3.2 电子内窥镜  1根</w:t>
            </w:r>
          </w:p>
          <w:p w14:paraId="446245A6">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3.3 仪器台车   1台</w:t>
            </w:r>
          </w:p>
          <w:p w14:paraId="29E3C1A8">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3.4 专用显示器  1台</w:t>
            </w:r>
          </w:p>
          <w:p w14:paraId="32F2353F">
            <w:pPr>
              <w:ind w:right="42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3.5 图文工作站  1套</w:t>
            </w:r>
          </w:p>
          <w:p w14:paraId="6F1CFEA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lang w:val="en-US" w:eastAsia="zh-CN"/>
              </w:rPr>
            </w:pPr>
          </w:p>
        </w:tc>
      </w:tr>
      <w:tr w14:paraId="37FD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E3763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lang w:val="en-US" w:eastAsia="zh-CN"/>
              </w:rPr>
            </w:pPr>
            <w:r>
              <w:rPr>
                <w:rFonts w:hint="eastAsia" w:ascii="黑体" w:hAnsi="黑体" w:eastAsia="黑体" w:cs="黑体"/>
                <w:b/>
                <w:bCs/>
                <w:color w:val="auto"/>
                <w:sz w:val="24"/>
                <w:szCs w:val="24"/>
                <w:lang w:val="en-US" w:eastAsia="zh-CN"/>
              </w:rPr>
              <w:t>配套条件</w:t>
            </w:r>
          </w:p>
        </w:tc>
      </w:tr>
      <w:tr w14:paraId="01A0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8522" w:type="dxa"/>
          </w:tcPr>
          <w:p w14:paraId="170C54D6">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1.安装地点：耳鼻喉科</w:t>
            </w:r>
          </w:p>
          <w:p w14:paraId="6AE853CE">
            <w:pPr>
              <w:ind w:right="42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2.房屋水电气等条件：无特殊条件。</w:t>
            </w:r>
          </w:p>
          <w:p w14:paraId="1B37607E">
            <w:pPr>
              <w:ind w:right="42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3.有无排污放射等问题：无</w:t>
            </w:r>
          </w:p>
          <w:p w14:paraId="6B37CE84">
            <w:pPr>
              <w:ind w:right="420"/>
              <w:jc w:val="both"/>
              <w:rPr>
                <w:rFonts w:hint="eastAsia" w:ascii="仿宋" w:hAnsi="仿宋" w:eastAsia="仿宋" w:cs="仿宋"/>
                <w:b/>
                <w:bCs/>
                <w:color w:val="auto"/>
                <w:sz w:val="24"/>
                <w:szCs w:val="24"/>
                <w:lang w:val="en-US" w:eastAsia="zh-CN"/>
              </w:rPr>
            </w:pPr>
            <w:r>
              <w:rPr>
                <w:rFonts w:hint="eastAsia" w:ascii="仿宋_GB2312" w:hAnsi="仿宋_GB2312" w:eastAsia="仿宋_GB2312" w:cs="仿宋_GB2312"/>
                <w:sz w:val="21"/>
                <w:szCs w:val="21"/>
                <w:lang w:val="en-US" w:eastAsia="zh-CN"/>
              </w:rPr>
              <w:t>4.有无特殊要求：无特殊要求</w:t>
            </w:r>
          </w:p>
        </w:tc>
      </w:tr>
      <w:tr w14:paraId="4F44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B7A08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lang w:val="en-US" w:eastAsia="zh-CN"/>
              </w:rPr>
            </w:pPr>
            <w:r>
              <w:rPr>
                <w:rFonts w:hint="eastAsia" w:ascii="黑体" w:hAnsi="黑体" w:eastAsia="黑体" w:cs="黑体"/>
                <w:b/>
                <w:bCs/>
                <w:color w:val="auto"/>
                <w:sz w:val="24"/>
                <w:szCs w:val="24"/>
                <w:lang w:val="en-US" w:eastAsia="zh-CN"/>
              </w:rPr>
              <w:t>人员配备、培训情况</w:t>
            </w:r>
          </w:p>
        </w:tc>
      </w:tr>
      <w:tr w14:paraId="4F09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522" w:type="dxa"/>
          </w:tcPr>
          <w:p w14:paraId="221DCAB8">
            <w:pPr>
              <w:ind w:right="420"/>
              <w:jc w:val="both"/>
              <w:rPr>
                <w:rFonts w:hint="eastAsia" w:ascii="仿宋" w:hAnsi="仿宋" w:eastAsia="仿宋" w:cs="仿宋"/>
                <w:color w:val="auto"/>
                <w:kern w:val="0"/>
                <w:sz w:val="24"/>
                <w:szCs w:val="24"/>
                <w:highlight w:val="none"/>
                <w:lang w:val="en-US" w:eastAsia="zh-CN"/>
              </w:rPr>
            </w:pPr>
            <w:r>
              <w:rPr>
                <w:rFonts w:hint="eastAsia" w:ascii="仿宋_GB2312" w:hAnsi="仿宋_GB2312" w:eastAsia="仿宋_GB2312" w:cs="仿宋_GB2312"/>
                <w:sz w:val="21"/>
                <w:szCs w:val="21"/>
                <w:lang w:val="en-US" w:eastAsia="zh-CN"/>
              </w:rPr>
              <w:t>1.科室现有专业人员配备、有专业人员参加过培训。</w:t>
            </w:r>
          </w:p>
        </w:tc>
      </w:tr>
    </w:tbl>
    <w:p w14:paraId="2BD773D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rPr>
      </w:pPr>
    </w:p>
    <w:p w14:paraId="3B5A65DD">
      <w:pPr>
        <w:bidi w:val="0"/>
        <w:rPr>
          <w:rFonts w:hint="eastAsia" w:ascii="黑体" w:hAnsi="黑体" w:eastAsia="黑体" w:cs="黑体"/>
          <w:b w:val="0"/>
          <w:bCs w:val="0"/>
        </w:rPr>
      </w:pPr>
      <w:r>
        <w:rPr>
          <w:rFonts w:hint="eastAsia" w:ascii="黑体" w:hAnsi="黑体" w:eastAsia="黑体" w:cs="黑体"/>
          <w:b w:val="0"/>
          <w:bCs w:val="0"/>
          <w:lang w:val="en-US" w:eastAsia="zh-CN"/>
        </w:rPr>
        <w:t>二、</w:t>
      </w:r>
      <w:r>
        <w:rPr>
          <w:rFonts w:hint="eastAsia" w:ascii="黑体" w:hAnsi="黑体" w:eastAsia="黑体" w:cs="黑体"/>
          <w:b w:val="0"/>
          <w:bCs w:val="0"/>
        </w:rPr>
        <w:t>商务要求</w:t>
      </w:r>
    </w:p>
    <w:p w14:paraId="2F6D01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1.预算：</w:t>
      </w:r>
      <w:r>
        <w:rPr>
          <w:rFonts w:hint="eastAsia" w:ascii="仿宋_GB2312" w:hAnsi="仿宋_GB2312" w:cs="仿宋_GB2312"/>
          <w:sz w:val="28"/>
          <w:szCs w:val="28"/>
          <w:highlight w:val="none"/>
          <w:lang w:val="en-US" w:eastAsia="zh-CN"/>
        </w:rPr>
        <w:t>150000</w:t>
      </w:r>
      <w:r>
        <w:rPr>
          <w:rFonts w:hint="eastAsia" w:ascii="仿宋_GB2312" w:hAnsi="仿宋_GB2312" w:eastAsia="仿宋_GB2312" w:cs="仿宋_GB2312"/>
          <w:sz w:val="28"/>
          <w:szCs w:val="28"/>
          <w:highlight w:val="none"/>
          <w:lang w:val="en-US" w:eastAsia="zh-CN"/>
        </w:rPr>
        <w:t>元，数量：1台。</w:t>
      </w:r>
    </w:p>
    <w:p w14:paraId="387028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付款</w:t>
      </w:r>
      <w:r>
        <w:rPr>
          <w:rFonts w:hint="eastAsia" w:ascii="仿宋_GB2312" w:hAnsi="仿宋_GB2312" w:eastAsia="仿宋_GB2312" w:cs="仿宋_GB2312"/>
          <w:sz w:val="28"/>
          <w:szCs w:val="28"/>
          <w:highlight w:val="none"/>
          <w:lang w:val="en-US" w:eastAsia="zh-CN"/>
        </w:rPr>
        <w:t>方式：</w:t>
      </w:r>
      <w:r>
        <w:rPr>
          <w:rFonts w:hint="eastAsia" w:ascii="仿宋_GB2312" w:hAnsi="仿宋_GB2312" w:eastAsia="仿宋_GB2312" w:cs="仿宋_GB2312"/>
          <w:sz w:val="28"/>
          <w:szCs w:val="28"/>
          <w:highlight w:val="none"/>
          <w:lang w:val="zh-CN" w:eastAsia="zh-CN"/>
        </w:rPr>
        <w:t>项目设备安装、调试、验收合格后付至合同总价款的90%；剩下合同总价款的10%作为质量保证金，验收合格、质保期满后由供应商书面申请无息支付。</w:t>
      </w:r>
    </w:p>
    <w:p w14:paraId="42F464C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3.到货时间：</w:t>
      </w:r>
      <w:r>
        <w:rPr>
          <w:rFonts w:hint="eastAsia" w:ascii="仿宋_GB2312" w:hAnsi="仿宋_GB2312" w:eastAsia="仿宋_GB2312" w:cs="仿宋_GB2312"/>
          <w:sz w:val="28"/>
          <w:szCs w:val="28"/>
          <w:highlight w:val="none"/>
          <w:lang w:val="zh-CN" w:eastAsia="zh-CN"/>
        </w:rPr>
        <w:t>自合同签订之日起30天内到货。</w:t>
      </w:r>
    </w:p>
    <w:p w14:paraId="23228A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kern w:val="0"/>
          <w:sz w:val="24"/>
          <w:szCs w:val="24"/>
          <w:highlight w:val="none"/>
          <w:lang w:eastAsia="zh-CN"/>
        </w:rPr>
      </w:pPr>
      <w:r>
        <w:rPr>
          <w:rFonts w:hint="eastAsia" w:ascii="仿宋_GB2312" w:hAnsi="仿宋_GB2312" w:eastAsia="仿宋_GB2312" w:cs="仿宋_GB2312"/>
          <w:sz w:val="28"/>
          <w:szCs w:val="28"/>
          <w:highlight w:val="none"/>
          <w:lang w:val="en-US" w:eastAsia="zh-CN"/>
        </w:rPr>
        <w:t>4.质保期：</w:t>
      </w:r>
      <w:r>
        <w:rPr>
          <w:rFonts w:hint="eastAsia" w:ascii="仿宋_GB2312" w:hAnsi="仿宋_GB2312" w:cs="仿宋_GB2312"/>
          <w:sz w:val="28"/>
          <w:szCs w:val="28"/>
          <w:highlight w:val="none"/>
          <w:lang w:val="en-US" w:eastAsia="zh-CN"/>
        </w:rPr>
        <w:t>至少</w:t>
      </w:r>
      <w:r>
        <w:rPr>
          <w:rFonts w:hint="eastAsia" w:ascii="仿宋_GB2312" w:hAnsi="仿宋_GB2312" w:eastAsia="仿宋_GB2312" w:cs="仿宋_GB2312"/>
          <w:sz w:val="28"/>
          <w:szCs w:val="28"/>
          <w:highlight w:val="none"/>
          <w:lang w:val="en-US" w:eastAsia="zh-CN"/>
        </w:rPr>
        <w:t>2年。</w:t>
      </w:r>
    </w:p>
    <w:p w14:paraId="449E73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eastAsia="zh-CN"/>
        </w:rPr>
        <w:sectPr>
          <w:headerReference r:id="rId12" w:type="default"/>
          <w:footerReference r:id="rId1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B141C5E">
      <w:pPr>
        <w:pStyle w:val="22"/>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baseline"/>
        <w:rPr>
          <w:rFonts w:hint="default"/>
          <w:lang w:val="en-US" w:eastAsia="zh-CN"/>
        </w:rPr>
      </w:pPr>
    </w:p>
    <w:p w14:paraId="07D72455">
      <w:pPr>
        <w:pStyle w:val="2"/>
        <w:bidi w:val="0"/>
        <w:rPr>
          <w:rFonts w:hint="eastAsia"/>
        </w:rPr>
      </w:pPr>
      <w:bookmarkStart w:id="4" w:name="_Toc19553"/>
      <w:r>
        <w:rPr>
          <w:rFonts w:hint="eastAsia"/>
        </w:rPr>
        <w:t>第五章</w:t>
      </w:r>
      <w:r>
        <w:rPr>
          <w:rFonts w:hint="eastAsia"/>
          <w:lang w:val="en-US" w:eastAsia="zh-CN"/>
        </w:rPr>
        <w:t xml:space="preserve"> </w:t>
      </w:r>
      <w:r>
        <w:rPr>
          <w:rFonts w:hint="eastAsia"/>
        </w:rPr>
        <w:t>合同主要条款及格式</w:t>
      </w:r>
      <w:bookmarkEnd w:id="4"/>
    </w:p>
    <w:p w14:paraId="63C2F7AB">
      <w:pPr>
        <w:jc w:val="center"/>
        <w:rPr>
          <w:rFonts w:hint="eastAsia" w:ascii="仿宋" w:hAnsi="仿宋" w:eastAsia="仿宋" w:cs="仿宋"/>
          <w:color w:val="auto"/>
          <w:sz w:val="28"/>
          <w:szCs w:val="20"/>
          <w:highlight w:val="none"/>
        </w:rPr>
      </w:pPr>
      <w:r>
        <w:rPr>
          <w:rFonts w:hint="eastAsia" w:ascii="仿宋" w:hAnsi="仿宋" w:eastAsia="仿宋" w:cs="仿宋"/>
          <w:color w:val="auto"/>
          <w:sz w:val="28"/>
          <w:szCs w:val="20"/>
          <w:highlight w:val="none"/>
        </w:rPr>
        <w:t>（以实际签订合同为准</w:t>
      </w:r>
      <w:r>
        <w:rPr>
          <w:rFonts w:hint="eastAsia" w:ascii="仿宋" w:hAnsi="仿宋" w:eastAsia="仿宋" w:cs="仿宋"/>
          <w:color w:val="auto"/>
          <w:sz w:val="28"/>
          <w:szCs w:val="20"/>
          <w:highlight w:val="none"/>
          <w:lang w:eastAsia="zh-CN"/>
        </w:rPr>
        <w:t>，</w:t>
      </w:r>
      <w:r>
        <w:rPr>
          <w:rFonts w:hint="eastAsia" w:ascii="仿宋" w:hAnsi="仿宋" w:eastAsia="仿宋" w:cs="仿宋"/>
          <w:color w:val="auto"/>
          <w:sz w:val="28"/>
          <w:szCs w:val="20"/>
          <w:highlight w:val="none"/>
          <w:lang w:val="en-US" w:eastAsia="zh-CN"/>
        </w:rPr>
        <w:t>与采购需求不一致的以采购需求为准</w:t>
      </w:r>
      <w:r>
        <w:rPr>
          <w:rFonts w:hint="eastAsia" w:ascii="仿宋" w:hAnsi="仿宋" w:eastAsia="仿宋" w:cs="仿宋"/>
          <w:color w:val="auto"/>
          <w:sz w:val="28"/>
          <w:szCs w:val="20"/>
          <w:highlight w:val="none"/>
        </w:rPr>
        <w:t>）</w:t>
      </w:r>
    </w:p>
    <w:p w14:paraId="16707709">
      <w:pPr>
        <w:pStyle w:val="2"/>
        <w:bidi w:val="0"/>
        <w:rPr>
          <w:rFonts w:hint="eastAsia" w:ascii="仿宋_GB2312" w:hAnsi="仿宋_GB2312" w:eastAsia="仿宋_GB2312" w:cs="仿宋_GB2312"/>
          <w:kern w:val="2"/>
          <w:sz w:val="28"/>
          <w:szCs w:val="28"/>
          <w:highlight w:val="none"/>
          <w:lang w:val="en-US" w:eastAsia="zh-CN" w:bidi="ar-SA"/>
        </w:rPr>
      </w:pPr>
    </w:p>
    <w:p w14:paraId="57192A83">
      <w:pPr>
        <w:keepNext w:val="0"/>
        <w:keepLines w:val="0"/>
        <w:pageBreakBefore w:val="0"/>
        <w:widowControl w:val="0"/>
        <w:kinsoku/>
        <w:wordWrap/>
        <w:overflowPunct/>
        <w:topLinePunct w:val="0"/>
        <w:autoSpaceDE w:val="0"/>
        <w:autoSpaceDN w:val="0"/>
        <w:bidi w:val="0"/>
        <w:adjustRightInd/>
        <w:snapToGrid/>
        <w:spacing w:line="560" w:lineRule="exact"/>
        <w:ind w:left="0" w:firstLine="0" w:firstLineChars="0"/>
        <w:jc w:val="center"/>
        <w:textAlignment w:val="auto"/>
        <w:rPr>
          <w:rFonts w:hint="eastAsia" w:ascii="方正小标宋简体" w:hAnsi="宋体" w:eastAsia="方正小标宋简体" w:cs="宋体"/>
          <w:w w:val="90"/>
          <w:kern w:val="0"/>
          <w:sz w:val="44"/>
          <w:szCs w:val="44"/>
        </w:rPr>
      </w:pPr>
      <w:bookmarkStart w:id="5" w:name="_Toc75250691"/>
      <w:bookmarkStart w:id="6" w:name="_Toc75250370"/>
      <w:bookmarkStart w:id="7" w:name="_Toc5260"/>
      <w:bookmarkStart w:id="8" w:name="_Toc4098"/>
      <w:bookmarkStart w:id="9" w:name="_Toc13756"/>
      <w:bookmarkStart w:id="10" w:name="_Toc10150"/>
    </w:p>
    <w:bookmarkEnd w:id="5"/>
    <w:bookmarkEnd w:id="6"/>
    <w:p w14:paraId="38343DB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default" w:ascii="方正小标宋简体" w:hAnsi="方正小标宋简体" w:eastAsia="方正小标宋简体" w:cs="方正小标宋简体"/>
          <w:b/>
          <w:bCs/>
          <w:w w:val="100"/>
          <w:kern w:val="0"/>
          <w:sz w:val="44"/>
          <w:szCs w:val="44"/>
          <w:highlight w:val="none"/>
          <w:lang w:eastAsia="zh-CN"/>
        </w:rPr>
      </w:pPr>
      <w:r>
        <w:rPr>
          <w:rFonts w:hint="default" w:ascii="方正小标宋简体" w:hAnsi="方正小标宋简体" w:eastAsia="方正小标宋简体" w:cs="方正小标宋简体"/>
          <w:b/>
          <w:bCs/>
          <w:w w:val="100"/>
          <w:kern w:val="0"/>
          <w:sz w:val="44"/>
          <w:szCs w:val="44"/>
          <w:highlight w:val="none"/>
          <w:lang w:eastAsia="zh-CN"/>
        </w:rPr>
        <w:t>鹰潭一八四医院</w:t>
      </w:r>
    </w:p>
    <w:p w14:paraId="084027B0">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方正小标宋简体" w:hAnsi="宋体" w:eastAsia="方正小标宋简体" w:cs="宋体"/>
          <w:w w:val="100"/>
          <w:kern w:val="0"/>
          <w:sz w:val="52"/>
          <w:szCs w:val="52"/>
          <w:highlight w:val="none"/>
        </w:rPr>
      </w:pPr>
      <w:r>
        <w:rPr>
          <w:rFonts w:hint="eastAsia" w:ascii="方正小标宋简体" w:hAnsi="方正小标宋简体" w:eastAsia="方正小标宋简体" w:cs="方正小标宋简体"/>
          <w:b/>
          <w:bCs/>
          <w:w w:val="100"/>
          <w:kern w:val="0"/>
          <w:sz w:val="44"/>
          <w:szCs w:val="44"/>
          <w:highlight w:val="yellow"/>
          <w:lang w:val="en-US" w:eastAsia="zh-CN"/>
        </w:rPr>
        <w:t>******</w:t>
      </w:r>
      <w:r>
        <w:rPr>
          <w:rFonts w:hint="eastAsia" w:ascii="方正小标宋简体" w:hAnsi="方正小标宋简体" w:eastAsia="方正小标宋简体" w:cs="方正小标宋简体"/>
          <w:b/>
          <w:bCs/>
          <w:w w:val="100"/>
          <w:kern w:val="0"/>
          <w:sz w:val="44"/>
          <w:szCs w:val="44"/>
          <w:highlight w:val="none"/>
          <w:lang w:val="en-US" w:eastAsia="zh-CN"/>
        </w:rPr>
        <w:t>医疗设备采购</w:t>
      </w:r>
      <w:r>
        <w:rPr>
          <w:rFonts w:hint="eastAsia" w:ascii="方正小标宋简体" w:hAnsi="方正小标宋简体" w:eastAsia="方正小标宋简体" w:cs="方正小标宋简体"/>
          <w:b/>
          <w:bCs/>
          <w:w w:val="100"/>
          <w:kern w:val="0"/>
          <w:sz w:val="44"/>
          <w:szCs w:val="44"/>
          <w:highlight w:val="none"/>
        </w:rPr>
        <w:t>合同</w:t>
      </w:r>
    </w:p>
    <w:p w14:paraId="075E5CB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Times New Roman" w:hAnsi="Times New Roman" w:eastAsia="仿宋_GB2312" w:cs="Times New Roman"/>
          <w:w w:val="100"/>
          <w:kern w:val="0"/>
          <w:sz w:val="32"/>
          <w:szCs w:val="32"/>
          <w:highlight w:val="none"/>
        </w:rPr>
      </w:pPr>
    </w:p>
    <w:p w14:paraId="1DE90DE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Times New Roman" w:hAnsi="Times New Roman" w:eastAsia="仿宋_GB2312" w:cs="Times New Roman"/>
          <w:kern w:val="0"/>
          <w:sz w:val="32"/>
          <w:szCs w:val="32"/>
          <w:highlight w:val="none"/>
        </w:rPr>
      </w:pPr>
    </w:p>
    <w:p w14:paraId="43CF86F9">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Times New Roman" w:hAnsi="Times New Roman" w:eastAsia="仿宋_GB2312" w:cs="Times New Roman"/>
          <w:kern w:val="0"/>
          <w:sz w:val="32"/>
          <w:szCs w:val="32"/>
          <w:highlight w:val="none"/>
        </w:rPr>
      </w:pPr>
    </w:p>
    <w:p w14:paraId="48A693D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Times New Roman" w:hAnsi="Times New Roman" w:eastAsia="仿宋_GB2312" w:cs="Times New Roman"/>
          <w:kern w:val="0"/>
          <w:sz w:val="32"/>
          <w:szCs w:val="32"/>
          <w:highlight w:val="none"/>
        </w:rPr>
      </w:pPr>
    </w:p>
    <w:p w14:paraId="672322C5">
      <w:pPr>
        <w:pStyle w:val="22"/>
        <w:keepNext w:val="0"/>
        <w:keepLines w:val="0"/>
        <w:pageBreakBefore w:val="0"/>
        <w:widowControl w:val="0"/>
        <w:kinsoku/>
        <w:wordWrap/>
        <w:overflowPunct/>
        <w:topLinePunct w:val="0"/>
        <w:bidi w:val="0"/>
        <w:adjustRightInd/>
        <w:snapToGrid/>
        <w:spacing w:line="360" w:lineRule="auto"/>
        <w:ind w:left="0" w:firstLine="0" w:firstLineChars="0"/>
        <w:textAlignment w:val="auto"/>
        <w:rPr>
          <w:sz w:val="32"/>
          <w:szCs w:val="32"/>
          <w:highlight w:val="none"/>
        </w:rPr>
      </w:pPr>
    </w:p>
    <w:p w14:paraId="030B39D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Times New Roman" w:hAnsi="Times New Roman" w:eastAsia="仿宋_GB2312" w:cs="Times New Roman"/>
          <w:kern w:val="0"/>
          <w:sz w:val="32"/>
          <w:szCs w:val="32"/>
          <w:highlight w:val="none"/>
        </w:rPr>
      </w:pPr>
    </w:p>
    <w:p w14:paraId="7DCA66D4">
      <w:pPr>
        <w:pStyle w:val="22"/>
        <w:keepNext w:val="0"/>
        <w:keepLines w:val="0"/>
        <w:pageBreakBefore w:val="0"/>
        <w:widowControl w:val="0"/>
        <w:kinsoku/>
        <w:wordWrap/>
        <w:overflowPunct/>
        <w:topLinePunct w:val="0"/>
        <w:bidi w:val="0"/>
        <w:adjustRightInd/>
        <w:snapToGrid/>
        <w:spacing w:line="360" w:lineRule="auto"/>
        <w:ind w:left="0" w:firstLine="0" w:firstLineChars="0"/>
        <w:textAlignment w:val="auto"/>
        <w:rPr>
          <w:highlight w:val="none"/>
        </w:rPr>
      </w:pPr>
    </w:p>
    <w:p w14:paraId="365E8E6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项目名称</w:t>
      </w:r>
      <w:r>
        <w:rPr>
          <w:rFonts w:hint="eastAsia" w:ascii="仿宋_GB2312" w:hAnsi="仿宋_GB2312" w:eastAsia="仿宋_GB2312" w:cs="仿宋_GB2312"/>
          <w:color w:val="auto"/>
          <w:kern w:val="0"/>
          <w:sz w:val="32"/>
          <w:szCs w:val="32"/>
          <w:highlight w:val="none"/>
          <w:lang w:eastAsia="zh-CN"/>
        </w:rPr>
        <w:t>：</w:t>
      </w:r>
      <w:r>
        <w:rPr>
          <w:rFonts w:hint="default" w:ascii="仿宋_GB2312" w:hAnsi="仿宋_GB2312" w:eastAsia="仿宋_GB2312" w:cs="仿宋_GB2312"/>
          <w:color w:val="auto"/>
          <w:kern w:val="0"/>
          <w:sz w:val="32"/>
          <w:szCs w:val="32"/>
          <w:highlight w:val="none"/>
        </w:rPr>
        <w:t>鹰潭一八四医院</w:t>
      </w:r>
      <w:r>
        <w:rPr>
          <w:rFonts w:hint="eastAsia" w:ascii="Times New Roman" w:hAnsi="Times New Roman" w:eastAsia="仿宋_GB2312" w:cs="Times New Roman"/>
          <w:kern w:val="0"/>
          <w:sz w:val="32"/>
          <w:szCs w:val="32"/>
          <w:highlight w:val="yellow"/>
          <w:lang w:val="en-US" w:eastAsia="zh-CN"/>
        </w:rPr>
        <w:t>*********</w:t>
      </w:r>
      <w:r>
        <w:rPr>
          <w:rFonts w:hint="eastAsia" w:ascii="Times New Roman" w:hAnsi="Times New Roman" w:eastAsia="仿宋_GB2312" w:cs="Times New Roman"/>
          <w:kern w:val="0"/>
          <w:sz w:val="32"/>
          <w:szCs w:val="32"/>
          <w:highlight w:val="none"/>
          <w:lang w:val="en-US" w:eastAsia="zh-CN"/>
        </w:rPr>
        <w:t>采购</w:t>
      </w:r>
      <w:r>
        <w:rPr>
          <w:rFonts w:hint="eastAsia" w:ascii="仿宋_GB2312" w:hAnsi="仿宋_GB2312" w:eastAsia="仿宋_GB2312" w:cs="仿宋_GB2312"/>
          <w:color w:val="auto"/>
          <w:kern w:val="0"/>
          <w:sz w:val="32"/>
          <w:szCs w:val="32"/>
          <w:highlight w:val="none"/>
          <w:lang w:val="en-US" w:eastAsia="zh-CN"/>
        </w:rPr>
        <w:t>项目</w:t>
      </w:r>
    </w:p>
    <w:p w14:paraId="4DA9F663">
      <w:pPr>
        <w:keepNext w:val="0"/>
        <w:keepLines w:val="0"/>
        <w:pageBreakBefore w:val="0"/>
        <w:widowControl w:val="0"/>
        <w:kinsoku/>
        <w:wordWrap/>
        <w:overflowPunct/>
        <w:topLinePunct w:val="0"/>
        <w:autoSpaceDE w:val="0"/>
        <w:autoSpaceDN w:val="0"/>
        <w:bidi w:val="0"/>
        <w:adjustRightInd/>
        <w:snapToGrid/>
        <w:spacing w:line="360" w:lineRule="auto"/>
        <w:ind w:left="1260" w:leftChars="0" w:firstLine="420" w:firstLineChars="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color w:val="auto"/>
          <w:kern w:val="0"/>
          <w:sz w:val="32"/>
          <w:szCs w:val="32"/>
          <w:highlight w:val="none"/>
        </w:rPr>
        <w:t>合同编号</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b w:val="0"/>
          <w:bCs/>
          <w:color w:val="auto"/>
          <w:kern w:val="0"/>
          <w:sz w:val="32"/>
          <w:szCs w:val="32"/>
          <w:lang w:val="en-US" w:eastAsia="zh-CN"/>
        </w:rPr>
        <w:t>YT184-YXGC-ZC-2025-</w:t>
      </w:r>
      <w:r>
        <w:rPr>
          <w:rFonts w:hint="eastAsia" w:ascii="Times New Roman" w:hAnsi="Times New Roman" w:eastAsia="仿宋_GB2312" w:cs="Times New Roman"/>
          <w:kern w:val="0"/>
          <w:sz w:val="32"/>
          <w:szCs w:val="32"/>
          <w:highlight w:val="yellow"/>
          <w:lang w:val="en-US" w:eastAsia="zh-CN"/>
        </w:rPr>
        <w:t>***</w:t>
      </w:r>
    </w:p>
    <w:p w14:paraId="7052410C">
      <w:pPr>
        <w:keepNext w:val="0"/>
        <w:keepLines w:val="0"/>
        <w:pageBreakBefore w:val="0"/>
        <w:widowControl w:val="0"/>
        <w:kinsoku/>
        <w:wordWrap/>
        <w:overflowPunct/>
        <w:topLinePunct w:val="0"/>
        <w:autoSpaceDE w:val="0"/>
        <w:autoSpaceDN w:val="0"/>
        <w:bidi w:val="0"/>
        <w:adjustRightInd/>
        <w:snapToGrid/>
        <w:spacing w:line="360" w:lineRule="auto"/>
        <w:ind w:left="1260" w:leftChars="0" w:firstLine="420" w:firstLineChars="0"/>
        <w:textAlignment w:val="auto"/>
        <w:rPr>
          <w:rFonts w:hint="default"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color w:val="auto"/>
          <w:kern w:val="0"/>
          <w:sz w:val="32"/>
          <w:szCs w:val="32"/>
          <w:highlight w:val="none"/>
        </w:rPr>
        <w:t>签订地点：</w:t>
      </w:r>
      <w:r>
        <w:rPr>
          <w:rFonts w:hint="eastAsia" w:ascii="仿宋_GB2312" w:hAnsi="仿宋_GB2312" w:eastAsia="仿宋_GB2312" w:cs="仿宋_GB2312"/>
          <w:b w:val="0"/>
          <w:bCs/>
          <w:color w:val="auto"/>
          <w:kern w:val="0"/>
          <w:sz w:val="32"/>
          <w:szCs w:val="32"/>
          <w:lang w:val="en-US" w:eastAsia="zh-CN"/>
        </w:rPr>
        <w:t>鹰潭一八四医院</w:t>
      </w:r>
    </w:p>
    <w:p w14:paraId="07485502">
      <w:pPr>
        <w:keepNext w:val="0"/>
        <w:keepLines w:val="0"/>
        <w:pageBreakBefore w:val="0"/>
        <w:widowControl w:val="0"/>
        <w:kinsoku/>
        <w:wordWrap/>
        <w:overflowPunct/>
        <w:topLinePunct w:val="0"/>
        <w:autoSpaceDE w:val="0"/>
        <w:autoSpaceDN w:val="0"/>
        <w:bidi w:val="0"/>
        <w:adjustRightInd/>
        <w:snapToGrid/>
        <w:spacing w:line="360" w:lineRule="auto"/>
        <w:ind w:left="1260" w:leftChars="0" w:firstLine="420" w:firstLineChars="0"/>
        <w:textAlignment w:val="auto"/>
        <w:rPr>
          <w:rFonts w:hint="eastAsia" w:ascii="仿宋_GB2312" w:hAnsi="仿宋_GB2312" w:eastAsia="仿宋_GB2312" w:cs="仿宋_GB2312"/>
          <w:color w:val="auto"/>
          <w:sz w:val="32"/>
          <w:szCs w:val="32"/>
          <w:highlight w:val="none"/>
        </w:rPr>
        <w:sectPr>
          <w:headerReference r:id="rId15" w:type="first"/>
          <w:footerReference r:id="rId17" w:type="first"/>
          <w:headerReference r:id="rId14" w:type="default"/>
          <w:footerReference r:id="rId16" w:type="default"/>
          <w:pgSz w:w="11906" w:h="16838"/>
          <w:pgMar w:top="1440" w:right="1800" w:bottom="1440" w:left="1800" w:header="851" w:footer="992" w:gutter="0"/>
          <w:pgNumType w:fmt="decimal" w:start="1"/>
          <w:cols w:space="720" w:num="1"/>
          <w:titlePg/>
          <w:docGrid w:type="lines" w:linePitch="312" w:charSpace="0"/>
        </w:sectPr>
      </w:pPr>
      <w:r>
        <w:rPr>
          <w:rFonts w:hint="eastAsia" w:ascii="仿宋_GB2312" w:hAnsi="仿宋_GB2312" w:eastAsia="仿宋_GB2312" w:cs="仿宋_GB2312"/>
          <w:color w:val="auto"/>
          <w:kern w:val="0"/>
          <w:sz w:val="32"/>
          <w:szCs w:val="32"/>
          <w:highlight w:val="none"/>
        </w:rPr>
        <w:t>签订时间：</w:t>
      </w:r>
      <w:r>
        <w:rPr>
          <w:rFonts w:hint="eastAsia" w:ascii="仿宋_GB2312" w:hAnsi="仿宋_GB2312" w:eastAsia="仿宋_GB2312" w:cs="仿宋_GB2312"/>
          <w:color w:val="auto"/>
          <w:kern w:val="0"/>
          <w:sz w:val="32"/>
          <w:szCs w:val="32"/>
          <w:highlight w:val="none"/>
          <w:lang w:val="en-US" w:eastAsia="zh-CN"/>
        </w:rPr>
        <w:t>2025年</w:t>
      </w:r>
    </w:p>
    <w:p w14:paraId="553A6FA2">
      <w:pPr>
        <w:keepNext w:val="0"/>
        <w:keepLines w:val="0"/>
        <w:pageBreakBefore w:val="0"/>
        <w:widowControl w:val="0"/>
        <w:kinsoku/>
        <w:wordWrap/>
        <w:overflowPunct/>
        <w:topLinePunct w:val="0"/>
        <w:autoSpaceDE w:val="0"/>
        <w:autoSpaceDN w:val="0"/>
        <w:bidi w:val="0"/>
        <w:adjustRightInd/>
        <w:snapToGrid/>
        <w:spacing w:beforeLines="0" w:afterLines="0" w:line="360" w:lineRule="auto"/>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甲方（买方）：</w:t>
      </w:r>
      <w:r>
        <w:rPr>
          <w:rFonts w:hint="eastAsia" w:ascii="仿宋_GB2312" w:hAnsi="仿宋_GB2312" w:eastAsia="仿宋_GB2312" w:cs="仿宋_GB2312"/>
          <w:b w:val="0"/>
          <w:bCs w:val="0"/>
          <w:kern w:val="0"/>
          <w:sz w:val="32"/>
          <w:szCs w:val="32"/>
          <w:highlight w:val="none"/>
          <w:lang w:eastAsia="zh-CN"/>
        </w:rPr>
        <w:t>鹰潭一八四医院</w:t>
      </w:r>
    </w:p>
    <w:p w14:paraId="68350783">
      <w:pPr>
        <w:autoSpaceDE w:val="0"/>
        <w:autoSpaceDN w:val="0"/>
        <w:spacing w:beforeLines="0" w:afterLines="0" w:line="360" w:lineRule="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联系地址：江西省鹰潭市月湖区</w:t>
      </w:r>
      <w:r>
        <w:rPr>
          <w:rFonts w:hint="eastAsia" w:ascii="仿宋_GB2312" w:hAnsi="仿宋_GB2312" w:eastAsia="仿宋_GB2312" w:cs="仿宋_GB2312"/>
          <w:kern w:val="0"/>
          <w:sz w:val="32"/>
          <w:szCs w:val="32"/>
          <w:highlight w:val="none"/>
          <w:lang w:val="en-US" w:eastAsia="zh-CN"/>
        </w:rPr>
        <w:t>湖</w:t>
      </w:r>
      <w:r>
        <w:rPr>
          <w:rFonts w:hint="eastAsia" w:ascii="仿宋_GB2312" w:hAnsi="仿宋_GB2312" w:eastAsia="仿宋_GB2312" w:cs="仿宋_GB2312"/>
          <w:kern w:val="0"/>
          <w:sz w:val="32"/>
          <w:szCs w:val="32"/>
          <w:highlight w:val="none"/>
        </w:rPr>
        <w:t>东路4号</w:t>
      </w:r>
    </w:p>
    <w:p w14:paraId="6D216EF5">
      <w:pPr>
        <w:autoSpaceDE w:val="0"/>
        <w:autoSpaceDN w:val="0"/>
        <w:spacing w:beforeLines="0" w:afterLines="0" w:line="360" w:lineRule="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开户银行：中国银行鹰潭市月湖支行</w:t>
      </w:r>
    </w:p>
    <w:p w14:paraId="4877205C">
      <w:pPr>
        <w:autoSpaceDE w:val="0"/>
        <w:autoSpaceDN w:val="0"/>
        <w:spacing w:beforeLines="0" w:afterLines="0" w:line="360" w:lineRule="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银行账号：203754860083</w:t>
      </w:r>
    </w:p>
    <w:p w14:paraId="0DFC454B">
      <w:pPr>
        <w:autoSpaceDE w:val="0"/>
        <w:autoSpaceDN w:val="0"/>
        <w:spacing w:beforeLines="0" w:afterLines="0" w:line="360" w:lineRule="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纳税人识别号：121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0000MB</w:t>
      </w:r>
      <w:r>
        <w:rPr>
          <w:rFonts w:hint="eastAsia" w:ascii="仿宋_GB2312" w:hAnsi="仿宋_GB2312" w:eastAsia="仿宋_GB2312" w:cs="仿宋_GB2312"/>
          <w:kern w:val="0"/>
          <w:sz w:val="32"/>
          <w:szCs w:val="32"/>
          <w:highlight w:val="none"/>
          <w:lang w:val="en-US" w:eastAsia="zh-CN"/>
        </w:rPr>
        <w:t>08734501</w:t>
      </w:r>
    </w:p>
    <w:p w14:paraId="603E6EB9">
      <w:pPr>
        <w:autoSpaceDE w:val="0"/>
        <w:autoSpaceDN w:val="0"/>
        <w:spacing w:beforeLines="0" w:afterLines="0" w:line="360" w:lineRule="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联系电话：</w:t>
      </w:r>
      <w:r>
        <w:rPr>
          <w:rFonts w:hint="eastAsia" w:ascii="仿宋_GB2312" w:hAnsi="仿宋_GB2312" w:eastAsia="仿宋_GB2312" w:cs="仿宋_GB2312"/>
          <w:kern w:val="0"/>
          <w:sz w:val="32"/>
          <w:szCs w:val="32"/>
          <w:highlight w:val="none"/>
          <w:lang w:val="en-US" w:eastAsia="zh-CN"/>
        </w:rPr>
        <w:t>0701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6636957</w:t>
      </w:r>
    </w:p>
    <w:p w14:paraId="2389A5A8">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641" w:firstLine="640" w:firstLineChars="200"/>
        <w:textAlignment w:val="auto"/>
        <w:rPr>
          <w:rFonts w:hint="eastAsia" w:ascii="仿宋_GB2312" w:hAnsi="仿宋_GB2312" w:eastAsia="仿宋_GB2312" w:cs="仿宋_GB2312"/>
          <w:kern w:val="0"/>
          <w:sz w:val="32"/>
          <w:szCs w:val="32"/>
          <w:highlight w:val="none"/>
        </w:rPr>
      </w:pPr>
    </w:p>
    <w:p w14:paraId="443C1D60">
      <w:pPr>
        <w:autoSpaceDE w:val="0"/>
        <w:autoSpaceDN w:val="0"/>
        <w:spacing w:beforeLines="0" w:afterLines="0" w:line="360" w:lineRule="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乙方（卖方）：</w:t>
      </w:r>
      <w:r>
        <w:rPr>
          <w:rFonts w:hint="eastAsia" w:ascii="仿宋_GB2312" w:hAnsi="仿宋_GB2312" w:eastAsia="仿宋_GB2312" w:cs="仿宋_GB2312"/>
          <w:kern w:val="0"/>
          <w:sz w:val="32"/>
          <w:szCs w:val="32"/>
          <w:highlight w:val="yellow"/>
          <w:lang w:val="en-US" w:eastAsia="zh-CN"/>
        </w:rPr>
        <w:t>******</w:t>
      </w:r>
      <w:r>
        <w:rPr>
          <w:rFonts w:hint="eastAsia" w:ascii="仿宋_GB2312" w:hAnsi="仿宋_GB2312" w:eastAsia="仿宋_GB2312" w:cs="仿宋_GB2312"/>
          <w:kern w:val="0"/>
          <w:sz w:val="32"/>
          <w:szCs w:val="32"/>
          <w:highlight w:val="none"/>
          <w:lang w:val="en-US" w:eastAsia="zh-CN"/>
        </w:rPr>
        <w:t>有限公司</w:t>
      </w:r>
    </w:p>
    <w:p w14:paraId="28200E71">
      <w:pPr>
        <w:autoSpaceDE w:val="0"/>
        <w:autoSpaceDN w:val="0"/>
        <w:spacing w:beforeLines="0" w:afterLines="0" w:line="360" w:lineRule="auto"/>
        <w:ind w:left="1600" w:hanging="1600" w:hangingChars="5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联系地址：</w:t>
      </w:r>
      <w:r>
        <w:rPr>
          <w:rFonts w:hint="eastAsia" w:ascii="仿宋_GB2312" w:hAnsi="仿宋_GB2312" w:eastAsia="仿宋_GB2312" w:cs="仿宋_GB2312"/>
          <w:kern w:val="0"/>
          <w:sz w:val="32"/>
          <w:szCs w:val="32"/>
          <w:highlight w:val="yellow"/>
          <w:lang w:val="en-US" w:eastAsia="zh-CN"/>
        </w:rPr>
        <w:t>******</w:t>
      </w:r>
    </w:p>
    <w:p w14:paraId="3B0852A0">
      <w:pPr>
        <w:autoSpaceDE w:val="0"/>
        <w:autoSpaceDN w:val="0"/>
        <w:spacing w:beforeLines="0" w:afterLines="0" w:line="360" w:lineRule="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开户银行：</w:t>
      </w:r>
      <w:r>
        <w:rPr>
          <w:rFonts w:hint="eastAsia" w:ascii="Times New Roman" w:hAnsi="Times New Roman" w:eastAsia="仿宋_GB2312" w:cs="Times New Roman"/>
          <w:kern w:val="0"/>
          <w:sz w:val="32"/>
          <w:szCs w:val="32"/>
          <w:highlight w:val="yellow"/>
          <w:lang w:val="en-US" w:eastAsia="zh-CN"/>
        </w:rPr>
        <w:t>******</w:t>
      </w:r>
      <w:r>
        <w:rPr>
          <w:rFonts w:hint="eastAsia" w:ascii="Times New Roman" w:hAnsi="Times New Roman" w:eastAsia="仿宋_GB2312" w:cs="Times New Roman"/>
          <w:kern w:val="0"/>
          <w:sz w:val="32"/>
          <w:szCs w:val="32"/>
          <w:highlight w:val="none"/>
          <w:lang w:val="en-US" w:eastAsia="zh-CN"/>
        </w:rPr>
        <w:t>行</w:t>
      </w:r>
    </w:p>
    <w:p w14:paraId="7DD74961">
      <w:pPr>
        <w:autoSpaceDE w:val="0"/>
        <w:autoSpaceDN w:val="0"/>
        <w:spacing w:beforeLines="0" w:afterLines="0" w:line="360" w:lineRule="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银行账号：</w:t>
      </w:r>
      <w:r>
        <w:rPr>
          <w:rFonts w:hint="eastAsia" w:ascii="仿宋_GB2312" w:hAnsi="仿宋_GB2312" w:eastAsia="仿宋_GB2312" w:cs="仿宋_GB2312"/>
          <w:kern w:val="0"/>
          <w:sz w:val="32"/>
          <w:szCs w:val="32"/>
          <w:highlight w:val="yellow"/>
          <w:lang w:val="en-US" w:eastAsia="zh-CN"/>
        </w:rPr>
        <w:t>******</w:t>
      </w:r>
    </w:p>
    <w:p w14:paraId="39FE08B2">
      <w:pPr>
        <w:autoSpaceDE w:val="0"/>
        <w:autoSpaceDN w:val="0"/>
        <w:spacing w:beforeLines="0" w:afterLines="0" w:line="360" w:lineRule="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纳税人识别号：</w:t>
      </w:r>
      <w:r>
        <w:rPr>
          <w:rFonts w:hint="eastAsia" w:ascii="仿宋_GB2312" w:hAnsi="仿宋_GB2312" w:eastAsia="仿宋_GB2312" w:cs="仿宋_GB2312"/>
          <w:kern w:val="0"/>
          <w:sz w:val="32"/>
          <w:szCs w:val="32"/>
          <w:highlight w:val="yellow"/>
          <w:lang w:val="en-US" w:eastAsia="zh-CN"/>
        </w:rPr>
        <w:t>******</w:t>
      </w:r>
    </w:p>
    <w:p w14:paraId="75EEED32">
      <w:pPr>
        <w:autoSpaceDE w:val="0"/>
        <w:autoSpaceDN w:val="0"/>
        <w:spacing w:beforeLines="0" w:afterLines="0" w:line="360" w:lineRule="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联系电话：</w:t>
      </w:r>
      <w:r>
        <w:rPr>
          <w:rFonts w:hint="eastAsia" w:ascii="仿宋_GB2312" w:hAnsi="仿宋_GB2312" w:eastAsia="仿宋_GB2312" w:cs="仿宋_GB2312"/>
          <w:kern w:val="0"/>
          <w:sz w:val="32"/>
          <w:szCs w:val="32"/>
          <w:highlight w:val="yellow"/>
          <w:lang w:val="en-US" w:eastAsia="zh-CN"/>
        </w:rPr>
        <w:t>***********</w:t>
      </w:r>
    </w:p>
    <w:p w14:paraId="63A43A5A">
      <w:pPr>
        <w:keepNext w:val="0"/>
        <w:keepLines w:val="0"/>
        <w:pageBreakBefore w:val="0"/>
        <w:widowControl w:val="0"/>
        <w:kinsoku/>
        <w:wordWrap/>
        <w:overflowPunct/>
        <w:topLinePunct w:val="0"/>
        <w:autoSpaceDE w:val="0"/>
        <w:autoSpaceDN w:val="0"/>
        <w:bidi w:val="0"/>
        <w:adjustRightInd/>
        <w:snapToGrid/>
        <w:spacing w:beforeLines="0" w:afterLines="0" w:line="360" w:lineRule="auto"/>
        <w:ind w:firstLine="640" w:firstLineChars="200"/>
        <w:textAlignment w:val="auto"/>
        <w:rPr>
          <w:rFonts w:hint="eastAsia" w:ascii="仿宋_GB2312" w:hAnsi="仿宋_GB2312" w:eastAsia="仿宋_GB2312" w:cs="仿宋_GB2312"/>
          <w:kern w:val="0"/>
          <w:sz w:val="32"/>
          <w:szCs w:val="32"/>
          <w:highlight w:val="none"/>
        </w:rPr>
      </w:pPr>
    </w:p>
    <w:p w14:paraId="1A0FE1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甲乙双方通过招投标、竞争性谈判或其他方式</w:t>
      </w:r>
      <w:r>
        <w:rPr>
          <w:rFonts w:hint="eastAsia" w:ascii="仿宋_GB2312" w:hAnsi="仿宋_GB2312" w:eastAsia="仿宋_GB2312" w:cs="仿宋_GB2312"/>
          <w:kern w:val="0"/>
          <w:sz w:val="32"/>
          <w:szCs w:val="32"/>
          <w:highlight w:val="none"/>
          <w:lang w:val="en-US" w:eastAsia="zh-CN"/>
        </w:rPr>
        <w:t>并</w:t>
      </w:r>
      <w:r>
        <w:rPr>
          <w:rFonts w:hint="eastAsia" w:ascii="仿宋_GB2312" w:hAnsi="仿宋_GB2312" w:eastAsia="仿宋_GB2312" w:cs="仿宋_GB2312"/>
          <w:kern w:val="0"/>
          <w:sz w:val="32"/>
          <w:szCs w:val="32"/>
          <w:highlight w:val="none"/>
        </w:rPr>
        <w:t>根据《中华人民共和国民法典》《中华人民共和国产品质量法》及有关法律法规，针对</w:t>
      </w:r>
      <w:r>
        <w:rPr>
          <w:rFonts w:hint="default" w:ascii="仿宋_GB2312" w:hAnsi="仿宋_GB2312" w:eastAsia="仿宋_GB2312" w:cs="仿宋_GB2312"/>
          <w:kern w:val="0"/>
          <w:sz w:val="32"/>
          <w:szCs w:val="32"/>
          <w:highlight w:val="none"/>
          <w:u w:val="single"/>
        </w:rPr>
        <w:t>鹰潭一八四医院</w:t>
      </w:r>
      <w:r>
        <w:rPr>
          <w:rFonts w:hint="eastAsia" w:ascii="仿宋_GB2312" w:hAnsi="仿宋_GB2312" w:eastAsia="仿宋_GB2312" w:cs="仿宋_GB2312"/>
          <w:kern w:val="0"/>
          <w:sz w:val="32"/>
          <w:szCs w:val="32"/>
          <w:highlight w:val="yellow"/>
          <w:u w:val="single"/>
          <w:lang w:val="en-US" w:eastAsia="zh-CN"/>
        </w:rPr>
        <w:t>******</w:t>
      </w:r>
      <w:r>
        <w:rPr>
          <w:rFonts w:hint="default" w:ascii="仿宋_GB2312" w:hAnsi="仿宋_GB2312" w:eastAsia="仿宋_GB2312" w:cs="仿宋_GB2312"/>
          <w:kern w:val="0"/>
          <w:sz w:val="32"/>
          <w:szCs w:val="32"/>
          <w:highlight w:val="none"/>
          <w:u w:val="single"/>
          <w:lang w:eastAsia="zh-CN"/>
        </w:rPr>
        <w:t>设备</w:t>
      </w:r>
      <w:r>
        <w:rPr>
          <w:rFonts w:hint="eastAsia" w:ascii="仿宋_GB2312" w:hAnsi="仿宋_GB2312" w:eastAsia="仿宋_GB2312" w:cs="仿宋_GB2312"/>
          <w:kern w:val="0"/>
          <w:sz w:val="32"/>
          <w:szCs w:val="32"/>
          <w:highlight w:val="none"/>
          <w:u w:val="single"/>
          <w:lang w:val="en-US" w:eastAsia="zh-CN"/>
        </w:rPr>
        <w:t>采购</w:t>
      </w:r>
      <w:r>
        <w:rPr>
          <w:rFonts w:hint="eastAsia" w:ascii="仿宋_GB2312" w:hAnsi="仿宋_GB2312" w:eastAsia="仿宋_GB2312" w:cs="仿宋_GB2312"/>
          <w:kern w:val="0"/>
          <w:sz w:val="32"/>
          <w:szCs w:val="32"/>
          <w:highlight w:val="none"/>
        </w:rPr>
        <w:t>项目采购事宜，达成如下合同。</w:t>
      </w:r>
    </w:p>
    <w:p w14:paraId="19C28FB4">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合同标的</w:t>
      </w:r>
    </w:p>
    <w:p w14:paraId="79456D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lang w:val="en-US" w:eastAsia="zh-CN" w:bidi="ar-SA"/>
        </w:rPr>
        <w:t>（一）</w:t>
      </w:r>
      <w:r>
        <w:rPr>
          <w:rFonts w:hint="eastAsia" w:ascii="Times New Roman" w:hAnsi="Times New Roman" w:eastAsia="仿宋_GB2312" w:cs="Times New Roman"/>
          <w:kern w:val="0"/>
          <w:sz w:val="32"/>
          <w:szCs w:val="32"/>
          <w:highlight w:val="none"/>
          <w:u w:val="none"/>
          <w:lang w:val="en-US" w:eastAsia="zh-CN"/>
        </w:rPr>
        <w:t>甲方向乙方购买以下医疗设备：</w:t>
      </w:r>
    </w:p>
    <w:p w14:paraId="019CE9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Times New Roman" w:hAnsi="Times New Roman" w:eastAsia="仿宋_GB2312" w:cs="Times New Roman"/>
          <w:kern w:val="0"/>
          <w:sz w:val="32"/>
          <w:szCs w:val="32"/>
          <w:highlight w:val="none"/>
          <w:lang w:val="en-US" w:eastAsia="zh-CN"/>
        </w:rPr>
      </w:pPr>
    </w:p>
    <w:p w14:paraId="1CD1F3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Times New Roman" w:hAnsi="Times New Roman" w:eastAsia="仿宋_GB2312" w:cs="Times New Roman"/>
          <w:kern w:val="0"/>
          <w:sz w:val="32"/>
          <w:szCs w:val="32"/>
          <w:highlight w:val="none"/>
          <w:lang w:val="en-US" w:eastAsia="zh-CN"/>
        </w:rPr>
      </w:pPr>
    </w:p>
    <w:tbl>
      <w:tblPr>
        <w:tblStyle w:val="23"/>
        <w:tblpPr w:leftFromText="180" w:rightFromText="180" w:vertAnchor="text" w:horzAnchor="page" w:tblpX="1005" w:tblpY="402"/>
        <w:tblOverlap w:val="never"/>
        <w:tblW w:w="10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187"/>
        <w:gridCol w:w="1200"/>
        <w:gridCol w:w="850"/>
        <w:gridCol w:w="625"/>
        <w:gridCol w:w="1100"/>
        <w:gridCol w:w="1469"/>
        <w:gridCol w:w="1294"/>
      </w:tblGrid>
      <w:tr w14:paraId="715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47" w:type="dxa"/>
            <w:vAlign w:val="center"/>
          </w:tcPr>
          <w:p w14:paraId="1FE9B4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MingLiU" w:eastAsia="仿宋_GB2312"/>
                <w:sz w:val="24"/>
                <w:highlight w:val="none"/>
              </w:rPr>
            </w:pPr>
            <w:r>
              <w:rPr>
                <w:rFonts w:hint="eastAsia" w:ascii="仿宋_GB2312" w:hAnsi="MingLiU" w:eastAsia="仿宋_GB2312"/>
                <w:sz w:val="24"/>
                <w:highlight w:val="none"/>
              </w:rPr>
              <w:t>设备名称</w:t>
            </w:r>
          </w:p>
        </w:tc>
        <w:tc>
          <w:tcPr>
            <w:tcW w:w="2187" w:type="dxa"/>
            <w:vAlign w:val="center"/>
          </w:tcPr>
          <w:p w14:paraId="64F421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MingLiU" w:eastAsia="仿宋_GB2312"/>
                <w:sz w:val="24"/>
                <w:highlight w:val="none"/>
              </w:rPr>
            </w:pPr>
            <w:r>
              <w:rPr>
                <w:rFonts w:hint="eastAsia" w:ascii="仿宋_GB2312" w:hAnsi="MingLiU" w:eastAsia="仿宋_GB2312"/>
                <w:sz w:val="24"/>
                <w:highlight w:val="none"/>
              </w:rPr>
              <w:t>生产厂商</w:t>
            </w:r>
          </w:p>
        </w:tc>
        <w:tc>
          <w:tcPr>
            <w:tcW w:w="1200" w:type="dxa"/>
            <w:vAlign w:val="center"/>
          </w:tcPr>
          <w:p w14:paraId="638F10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MingLiU" w:eastAsia="仿宋_GB2312"/>
                <w:sz w:val="24"/>
                <w:highlight w:val="none"/>
              </w:rPr>
            </w:pPr>
            <w:r>
              <w:rPr>
                <w:rFonts w:hint="eastAsia" w:ascii="仿宋_GB2312" w:hAnsi="MingLiU" w:eastAsia="仿宋_GB2312"/>
                <w:sz w:val="24"/>
                <w:highlight w:val="none"/>
              </w:rPr>
              <w:t>规格型号</w:t>
            </w:r>
          </w:p>
        </w:tc>
        <w:tc>
          <w:tcPr>
            <w:tcW w:w="850" w:type="dxa"/>
            <w:vAlign w:val="center"/>
          </w:tcPr>
          <w:p w14:paraId="308E1E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MingLiU" w:eastAsia="仿宋_GB2312"/>
                <w:sz w:val="24"/>
                <w:highlight w:val="none"/>
              </w:rPr>
            </w:pPr>
            <w:r>
              <w:rPr>
                <w:rFonts w:hint="eastAsia" w:ascii="仿宋_GB2312" w:hAnsi="MingLiU" w:eastAsia="仿宋_GB2312"/>
                <w:sz w:val="24"/>
                <w:highlight w:val="none"/>
              </w:rPr>
              <w:t>单位</w:t>
            </w:r>
          </w:p>
        </w:tc>
        <w:tc>
          <w:tcPr>
            <w:tcW w:w="625" w:type="dxa"/>
            <w:vAlign w:val="center"/>
          </w:tcPr>
          <w:p w14:paraId="632643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MingLiU" w:eastAsia="仿宋_GB2312"/>
                <w:sz w:val="24"/>
                <w:highlight w:val="none"/>
              </w:rPr>
            </w:pPr>
            <w:r>
              <w:rPr>
                <w:rFonts w:hint="eastAsia" w:ascii="仿宋_GB2312" w:hAnsi="MingLiU" w:eastAsia="仿宋_GB2312"/>
                <w:sz w:val="24"/>
                <w:highlight w:val="none"/>
              </w:rPr>
              <w:t>数量</w:t>
            </w:r>
          </w:p>
        </w:tc>
        <w:tc>
          <w:tcPr>
            <w:tcW w:w="1100" w:type="dxa"/>
            <w:vAlign w:val="center"/>
          </w:tcPr>
          <w:p w14:paraId="527A27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MingLiU" w:eastAsia="仿宋_GB2312"/>
                <w:sz w:val="24"/>
                <w:highlight w:val="none"/>
              </w:rPr>
            </w:pPr>
            <w:r>
              <w:rPr>
                <w:rFonts w:hint="eastAsia" w:ascii="仿宋_GB2312" w:hAnsi="MingLiU" w:eastAsia="仿宋_GB2312"/>
                <w:sz w:val="24"/>
                <w:highlight w:val="none"/>
              </w:rPr>
              <w:t>单价（含税）</w:t>
            </w:r>
          </w:p>
        </w:tc>
        <w:tc>
          <w:tcPr>
            <w:tcW w:w="1469" w:type="dxa"/>
            <w:vAlign w:val="center"/>
          </w:tcPr>
          <w:p w14:paraId="7EA394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MingLiU" w:eastAsia="仿宋_GB2312"/>
                <w:sz w:val="24"/>
                <w:highlight w:val="none"/>
              </w:rPr>
            </w:pPr>
            <w:r>
              <w:rPr>
                <w:rFonts w:hint="eastAsia" w:ascii="仿宋_GB2312" w:hAnsi="MingLiU" w:eastAsia="仿宋_GB2312"/>
                <w:sz w:val="24"/>
                <w:highlight w:val="none"/>
              </w:rPr>
              <w:t>总价款（含税）</w:t>
            </w:r>
          </w:p>
        </w:tc>
        <w:tc>
          <w:tcPr>
            <w:tcW w:w="1294" w:type="dxa"/>
            <w:vAlign w:val="center"/>
          </w:tcPr>
          <w:p w14:paraId="3F45F4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MingLiU" w:eastAsia="仿宋_GB2312"/>
                <w:sz w:val="24"/>
                <w:highlight w:val="none"/>
                <w:lang w:val="en-US" w:eastAsia="zh-CN"/>
              </w:rPr>
            </w:pPr>
            <w:r>
              <w:rPr>
                <w:rFonts w:hint="eastAsia" w:ascii="仿宋_GB2312" w:hAnsi="MingLiU" w:eastAsia="仿宋_GB2312"/>
                <w:sz w:val="24"/>
                <w:highlight w:val="none"/>
                <w:lang w:val="en-US" w:eastAsia="zh-CN"/>
              </w:rPr>
              <w:t>质保期</w:t>
            </w:r>
          </w:p>
        </w:tc>
      </w:tr>
      <w:tr w14:paraId="1005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547" w:type="dxa"/>
            <w:vAlign w:val="center"/>
          </w:tcPr>
          <w:p w14:paraId="6DC24E02">
            <w:pPr>
              <w:spacing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MingLiU" w:eastAsia="仿宋_GB2312"/>
                <w:sz w:val="24"/>
                <w:highlight w:val="yellow"/>
                <w:lang w:val="en-US" w:eastAsia="zh-CN"/>
              </w:rPr>
              <w:t>******</w:t>
            </w:r>
          </w:p>
        </w:tc>
        <w:tc>
          <w:tcPr>
            <w:tcW w:w="2187" w:type="dxa"/>
            <w:vAlign w:val="center"/>
          </w:tcPr>
          <w:p w14:paraId="736016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MingLiU" w:eastAsia="仿宋_GB2312"/>
                <w:sz w:val="24"/>
                <w:highlight w:val="yellow"/>
                <w:lang w:val="en-US" w:eastAsia="zh-CN"/>
              </w:rPr>
              <w:t>******有限公司</w:t>
            </w:r>
          </w:p>
        </w:tc>
        <w:tc>
          <w:tcPr>
            <w:tcW w:w="1200" w:type="dxa"/>
            <w:vAlign w:val="center"/>
          </w:tcPr>
          <w:p w14:paraId="5D6943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MingLiU" w:eastAsia="仿宋_GB2312"/>
                <w:sz w:val="24"/>
                <w:highlight w:val="yellow"/>
                <w:lang w:val="en-US" w:eastAsia="zh-CN"/>
              </w:rPr>
              <w:t>******</w:t>
            </w:r>
          </w:p>
        </w:tc>
        <w:tc>
          <w:tcPr>
            <w:tcW w:w="850" w:type="dxa"/>
            <w:vAlign w:val="center"/>
          </w:tcPr>
          <w:p w14:paraId="19047B96">
            <w:pPr>
              <w:spacing w:line="360" w:lineRule="auto"/>
              <w:jc w:val="center"/>
              <w:rPr>
                <w:rFonts w:hint="eastAsia" w:ascii="仿宋_GB2312" w:hAnsi="仿宋_GB2312" w:eastAsia="仿宋_GB2312" w:cs="仿宋_GB2312"/>
                <w:sz w:val="24"/>
                <w:szCs w:val="24"/>
                <w:highlight w:val="none"/>
                <w:lang w:val="en-US" w:eastAsia="zh-CN"/>
              </w:rPr>
            </w:pPr>
            <w:r>
              <w:rPr>
                <w:rStyle w:val="30"/>
                <w:rFonts w:hint="eastAsia" w:ascii="仿宋" w:hAnsi="仿宋" w:eastAsia="仿宋" w:cs="仿宋"/>
                <w:sz w:val="24"/>
                <w:highlight w:val="yellow"/>
                <w:lang w:val="en-US" w:eastAsia="zh-CN"/>
              </w:rPr>
              <w:t>套</w:t>
            </w:r>
          </w:p>
        </w:tc>
        <w:tc>
          <w:tcPr>
            <w:tcW w:w="625" w:type="dxa"/>
            <w:vAlign w:val="center"/>
          </w:tcPr>
          <w:p w14:paraId="0FDA17C8">
            <w:pPr>
              <w:spacing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MingLiU" w:eastAsia="仿宋_GB2312"/>
                <w:sz w:val="24"/>
                <w:highlight w:val="yellow"/>
                <w:lang w:val="en-US" w:eastAsia="zh-CN"/>
              </w:rPr>
              <w:t>*</w:t>
            </w:r>
          </w:p>
        </w:tc>
        <w:tc>
          <w:tcPr>
            <w:tcW w:w="1100" w:type="dxa"/>
            <w:vAlign w:val="center"/>
          </w:tcPr>
          <w:p w14:paraId="0E406FD3">
            <w:pPr>
              <w:spacing w:line="432" w:lineRule="auto"/>
              <w:jc w:val="center"/>
              <w:rPr>
                <w:rFonts w:hint="eastAsia" w:ascii="仿宋_GB2312" w:hAnsi="仿宋_GB2312" w:eastAsia="仿宋_GB2312" w:cs="仿宋_GB2312"/>
                <w:w w:val="90"/>
                <w:sz w:val="24"/>
                <w:szCs w:val="24"/>
                <w:highlight w:val="none"/>
                <w:lang w:val="en-US"/>
              </w:rPr>
            </w:pPr>
            <w:r>
              <w:rPr>
                <w:rFonts w:hint="eastAsia" w:ascii="仿宋" w:hAnsi="仿宋" w:eastAsia="仿宋" w:cs="仿宋"/>
                <w:sz w:val="28"/>
                <w:szCs w:val="28"/>
                <w:highlight w:val="yellow"/>
                <w:lang w:val="en-US" w:eastAsia="zh-CN"/>
              </w:rPr>
              <w:t>元</w:t>
            </w:r>
          </w:p>
        </w:tc>
        <w:tc>
          <w:tcPr>
            <w:tcW w:w="1469" w:type="dxa"/>
            <w:vAlign w:val="center"/>
          </w:tcPr>
          <w:p w14:paraId="17D566E8">
            <w:pPr>
              <w:spacing w:line="432" w:lineRule="auto"/>
              <w:jc w:val="center"/>
              <w:rPr>
                <w:rFonts w:hint="eastAsia" w:ascii="仿宋_GB2312" w:hAnsi="仿宋_GB2312" w:eastAsia="仿宋_GB2312" w:cs="仿宋_GB2312"/>
                <w:w w:val="90"/>
                <w:sz w:val="24"/>
                <w:szCs w:val="24"/>
                <w:highlight w:val="none"/>
              </w:rPr>
            </w:pPr>
            <w:r>
              <w:rPr>
                <w:rFonts w:hint="eastAsia" w:ascii="仿宋" w:hAnsi="仿宋" w:eastAsia="仿宋" w:cs="仿宋"/>
                <w:sz w:val="28"/>
                <w:szCs w:val="28"/>
                <w:highlight w:val="yellow"/>
                <w:lang w:val="en-US" w:eastAsia="zh-CN"/>
              </w:rPr>
              <w:t>元</w:t>
            </w:r>
          </w:p>
        </w:tc>
        <w:tc>
          <w:tcPr>
            <w:tcW w:w="1294" w:type="dxa"/>
            <w:vAlign w:val="center"/>
          </w:tcPr>
          <w:p w14:paraId="3583BB59">
            <w:pPr>
              <w:spacing w:line="432" w:lineRule="auto"/>
              <w:jc w:val="center"/>
              <w:rPr>
                <w:rFonts w:hint="eastAsia" w:ascii="仿宋_GB2312" w:hAnsi="仿宋_GB2312" w:eastAsia="仿宋_GB2312" w:cs="仿宋_GB2312"/>
                <w:sz w:val="24"/>
                <w:szCs w:val="24"/>
                <w:highlight w:val="none"/>
                <w:lang w:val="en-US" w:eastAsia="zh-CN"/>
              </w:rPr>
            </w:pPr>
            <w:r>
              <w:rPr>
                <w:rFonts w:hint="eastAsia" w:ascii="仿宋" w:hAnsi="仿宋" w:eastAsia="仿宋" w:cs="仿宋"/>
                <w:sz w:val="28"/>
                <w:szCs w:val="28"/>
                <w:highlight w:val="yellow"/>
                <w:lang w:val="en-US" w:eastAsia="zh-CN"/>
              </w:rPr>
              <w:t>年</w:t>
            </w:r>
          </w:p>
        </w:tc>
      </w:tr>
      <w:tr w14:paraId="2925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547" w:type="dxa"/>
            <w:vAlign w:val="center"/>
          </w:tcPr>
          <w:p w14:paraId="494FB43D">
            <w:pPr>
              <w:spacing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MingLiU" w:eastAsia="仿宋_GB2312"/>
                <w:sz w:val="24"/>
                <w:highlight w:val="yellow"/>
                <w:lang w:val="en-US" w:eastAsia="zh-CN"/>
              </w:rPr>
              <w:t>******</w:t>
            </w:r>
          </w:p>
        </w:tc>
        <w:tc>
          <w:tcPr>
            <w:tcW w:w="2187" w:type="dxa"/>
            <w:vAlign w:val="center"/>
          </w:tcPr>
          <w:p w14:paraId="5376CB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MingLiU" w:eastAsia="仿宋_GB2312"/>
                <w:sz w:val="24"/>
                <w:highlight w:val="yellow"/>
                <w:lang w:val="en-US" w:eastAsia="zh-CN"/>
              </w:rPr>
              <w:t>******有限公司</w:t>
            </w:r>
          </w:p>
        </w:tc>
        <w:tc>
          <w:tcPr>
            <w:tcW w:w="1200" w:type="dxa"/>
            <w:vAlign w:val="center"/>
          </w:tcPr>
          <w:p w14:paraId="0F56FC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MingLiU" w:eastAsia="仿宋_GB2312"/>
                <w:sz w:val="24"/>
                <w:highlight w:val="yellow"/>
                <w:lang w:val="en-US" w:eastAsia="zh-CN"/>
              </w:rPr>
              <w:t>******</w:t>
            </w:r>
          </w:p>
        </w:tc>
        <w:tc>
          <w:tcPr>
            <w:tcW w:w="850" w:type="dxa"/>
            <w:vAlign w:val="center"/>
          </w:tcPr>
          <w:p w14:paraId="5A3F7DFB">
            <w:pPr>
              <w:spacing w:line="360" w:lineRule="auto"/>
              <w:jc w:val="center"/>
              <w:rPr>
                <w:rFonts w:hint="eastAsia" w:ascii="仿宋_GB2312" w:hAnsi="仿宋_GB2312" w:eastAsia="仿宋_GB2312" w:cs="仿宋_GB2312"/>
                <w:sz w:val="24"/>
                <w:szCs w:val="24"/>
                <w:highlight w:val="none"/>
                <w:lang w:val="en-US" w:eastAsia="zh-CN"/>
              </w:rPr>
            </w:pPr>
            <w:r>
              <w:rPr>
                <w:rStyle w:val="30"/>
                <w:rFonts w:hint="eastAsia" w:ascii="仿宋" w:hAnsi="仿宋" w:eastAsia="仿宋" w:cs="仿宋"/>
                <w:sz w:val="24"/>
                <w:highlight w:val="yellow"/>
                <w:lang w:val="en-US" w:eastAsia="zh-CN"/>
              </w:rPr>
              <w:t>台</w:t>
            </w:r>
          </w:p>
        </w:tc>
        <w:tc>
          <w:tcPr>
            <w:tcW w:w="625" w:type="dxa"/>
            <w:vAlign w:val="center"/>
          </w:tcPr>
          <w:p w14:paraId="71567430">
            <w:pPr>
              <w:spacing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MingLiU" w:eastAsia="仿宋_GB2312"/>
                <w:sz w:val="24"/>
                <w:highlight w:val="yellow"/>
                <w:lang w:val="en-US" w:eastAsia="zh-CN"/>
              </w:rPr>
              <w:t>*</w:t>
            </w:r>
          </w:p>
        </w:tc>
        <w:tc>
          <w:tcPr>
            <w:tcW w:w="1100" w:type="dxa"/>
            <w:vAlign w:val="center"/>
          </w:tcPr>
          <w:p w14:paraId="08CE6B7F">
            <w:pPr>
              <w:spacing w:line="432" w:lineRule="auto"/>
              <w:jc w:val="center"/>
              <w:rPr>
                <w:rFonts w:hint="eastAsia" w:ascii="仿宋_GB2312" w:hAnsi="仿宋_GB2312" w:eastAsia="仿宋_GB2312" w:cs="仿宋_GB2312"/>
                <w:sz w:val="24"/>
                <w:szCs w:val="24"/>
                <w:highlight w:val="none"/>
                <w:lang w:val="en-US" w:eastAsia="zh-CN"/>
              </w:rPr>
            </w:pPr>
            <w:r>
              <w:rPr>
                <w:rFonts w:hint="eastAsia" w:ascii="仿宋" w:hAnsi="仿宋" w:eastAsia="仿宋" w:cs="仿宋"/>
                <w:sz w:val="28"/>
                <w:szCs w:val="28"/>
                <w:highlight w:val="yellow"/>
                <w:lang w:val="en-US" w:eastAsia="zh-CN"/>
              </w:rPr>
              <w:t>元</w:t>
            </w:r>
          </w:p>
        </w:tc>
        <w:tc>
          <w:tcPr>
            <w:tcW w:w="1469" w:type="dxa"/>
            <w:vAlign w:val="center"/>
          </w:tcPr>
          <w:p w14:paraId="471E87A3">
            <w:pPr>
              <w:spacing w:line="432" w:lineRule="auto"/>
              <w:jc w:val="center"/>
              <w:rPr>
                <w:rFonts w:hint="eastAsia" w:ascii="仿宋_GB2312" w:hAnsi="仿宋_GB2312" w:eastAsia="仿宋_GB2312" w:cs="仿宋_GB2312"/>
                <w:sz w:val="24"/>
                <w:szCs w:val="24"/>
                <w:highlight w:val="none"/>
                <w:lang w:val="en-US" w:eastAsia="zh-CN"/>
              </w:rPr>
            </w:pPr>
            <w:r>
              <w:rPr>
                <w:rFonts w:hint="eastAsia" w:ascii="仿宋" w:hAnsi="仿宋" w:eastAsia="仿宋" w:cs="仿宋"/>
                <w:sz w:val="28"/>
                <w:szCs w:val="28"/>
                <w:highlight w:val="yellow"/>
                <w:lang w:val="en-US" w:eastAsia="zh-CN"/>
              </w:rPr>
              <w:t>元</w:t>
            </w:r>
          </w:p>
        </w:tc>
        <w:tc>
          <w:tcPr>
            <w:tcW w:w="1294" w:type="dxa"/>
            <w:vAlign w:val="center"/>
          </w:tcPr>
          <w:p w14:paraId="17CF7037">
            <w:pPr>
              <w:spacing w:line="432" w:lineRule="auto"/>
              <w:jc w:val="center"/>
              <w:rPr>
                <w:rFonts w:hint="eastAsia" w:ascii="仿宋_GB2312" w:hAnsi="仿宋_GB2312" w:eastAsia="仿宋_GB2312" w:cs="仿宋_GB2312"/>
                <w:sz w:val="24"/>
                <w:szCs w:val="24"/>
                <w:highlight w:val="none"/>
                <w:lang w:val="en-US" w:eastAsia="zh-CN"/>
              </w:rPr>
            </w:pPr>
            <w:r>
              <w:rPr>
                <w:rFonts w:hint="eastAsia" w:ascii="仿宋" w:hAnsi="仿宋" w:eastAsia="仿宋" w:cs="仿宋"/>
                <w:sz w:val="28"/>
                <w:szCs w:val="28"/>
                <w:highlight w:val="yellow"/>
                <w:lang w:val="en-US" w:eastAsia="zh-CN"/>
              </w:rPr>
              <w:t>年</w:t>
            </w:r>
          </w:p>
        </w:tc>
      </w:tr>
      <w:tr w14:paraId="19EE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547" w:type="dxa"/>
            <w:tcBorders>
              <w:right w:val="nil"/>
            </w:tcBorders>
            <w:vAlign w:val="center"/>
          </w:tcPr>
          <w:p w14:paraId="52C38C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8"/>
                <w:szCs w:val="28"/>
                <w:highlight w:val="none"/>
              </w:rPr>
            </w:pPr>
            <w:r>
              <w:rPr>
                <w:rFonts w:hint="eastAsia" w:ascii="仿宋_GB2312" w:hAnsi="MingLiU" w:eastAsia="仿宋_GB2312"/>
                <w:sz w:val="28"/>
                <w:szCs w:val="28"/>
                <w:highlight w:val="yellow"/>
              </w:rPr>
              <w:t>合同总价</w:t>
            </w:r>
          </w:p>
        </w:tc>
        <w:tc>
          <w:tcPr>
            <w:tcW w:w="8725" w:type="dxa"/>
            <w:gridSpan w:val="7"/>
            <w:vAlign w:val="center"/>
          </w:tcPr>
          <w:p w14:paraId="2B648F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MingLiU" w:eastAsia="仿宋_GB2312"/>
                <w:sz w:val="28"/>
                <w:szCs w:val="28"/>
                <w:highlight w:val="yellow"/>
                <w:lang w:val="en-US"/>
              </w:rPr>
            </w:pPr>
            <w:r>
              <w:rPr>
                <w:rFonts w:hint="eastAsia" w:ascii="仿宋_GB2312" w:hAnsi="MingLiU" w:eastAsia="仿宋_GB2312"/>
                <w:sz w:val="28"/>
                <w:szCs w:val="28"/>
                <w:highlight w:val="yellow"/>
              </w:rPr>
              <w:t>（大写）:</w:t>
            </w:r>
            <w:r>
              <w:rPr>
                <w:rFonts w:hint="eastAsia" w:ascii="仿宋_GB2312" w:hAnsi="MingLiU" w:eastAsia="仿宋_GB2312"/>
                <w:sz w:val="28"/>
                <w:szCs w:val="28"/>
                <w:highlight w:val="yellow"/>
                <w:lang w:val="en-US" w:eastAsia="zh-CN"/>
              </w:rPr>
              <w:t>******元整</w:t>
            </w:r>
          </w:p>
          <w:p w14:paraId="6520D4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lang w:val="en-US" w:eastAsia="zh-CN"/>
              </w:rPr>
            </w:pPr>
            <w:r>
              <w:rPr>
                <w:rFonts w:hint="eastAsia" w:ascii="仿宋_GB2312" w:hAnsi="MingLiU" w:eastAsia="仿宋_GB2312"/>
                <w:sz w:val="28"/>
                <w:szCs w:val="28"/>
                <w:highlight w:val="yellow"/>
              </w:rPr>
              <w:t>（小写）:</w:t>
            </w:r>
            <w:r>
              <w:rPr>
                <w:rStyle w:val="30"/>
                <w:rFonts w:hint="eastAsia" w:ascii="仿宋" w:hAnsi="仿宋" w:eastAsia="仿宋" w:cs="仿宋"/>
                <w:sz w:val="24"/>
                <w:highlight w:val="yellow"/>
                <w:lang w:val="en-US" w:eastAsia="zh-CN"/>
              </w:rPr>
              <w:t>******元</w:t>
            </w:r>
          </w:p>
        </w:tc>
      </w:tr>
    </w:tbl>
    <w:p w14:paraId="4F559F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lang w:val="en-US" w:eastAsia="zh-CN" w:bidi="ar-SA"/>
        </w:rPr>
        <w:t>（二）</w:t>
      </w:r>
      <w:r>
        <w:rPr>
          <w:rFonts w:hint="eastAsia" w:ascii="Times New Roman" w:hAnsi="Times New Roman" w:eastAsia="仿宋_GB2312" w:cs="Times New Roman"/>
          <w:kern w:val="0"/>
          <w:sz w:val="32"/>
          <w:szCs w:val="32"/>
          <w:highlight w:val="none"/>
          <w:u w:val="none"/>
          <w:lang w:val="en-US" w:eastAsia="zh-CN"/>
        </w:rPr>
        <w:t>设备随同配有的文件，包括但不限于技术资料（技术标准、说明、设备组装图等）、产品使用和维修说明书、产品合格证、质量证明文件等，以及配送的工具与备件，均为设备不可分割的一部分。</w:t>
      </w:r>
    </w:p>
    <w:p w14:paraId="4C062B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lang w:val="en-US" w:eastAsia="zh-CN" w:bidi="ar-SA"/>
        </w:rPr>
        <w:t>（三）</w:t>
      </w:r>
      <w:r>
        <w:rPr>
          <w:rFonts w:hint="eastAsia" w:ascii="Times New Roman" w:hAnsi="Times New Roman" w:eastAsia="仿宋_GB2312" w:cs="Times New Roman"/>
          <w:kern w:val="0"/>
          <w:sz w:val="32"/>
          <w:szCs w:val="32"/>
          <w:highlight w:val="none"/>
          <w:u w:val="none"/>
          <w:lang w:val="en-US" w:eastAsia="zh-CN"/>
        </w:rPr>
        <w:t>第（一）项表格中设备的单价系固定价格，不因原材料、人工、运输、采购等任何费用的变化而调整。</w:t>
      </w:r>
    </w:p>
    <w:p w14:paraId="3BE41B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lang w:val="en-US" w:eastAsia="zh-CN" w:bidi="ar-SA"/>
        </w:rPr>
        <w:t>（四）</w:t>
      </w:r>
      <w:r>
        <w:rPr>
          <w:rFonts w:hint="eastAsia" w:ascii="Times New Roman" w:hAnsi="Times New Roman" w:eastAsia="仿宋_GB2312" w:cs="Times New Roman"/>
          <w:kern w:val="0"/>
          <w:sz w:val="32"/>
          <w:szCs w:val="32"/>
          <w:highlight w:val="none"/>
          <w:u w:val="none"/>
          <w:lang w:val="en-US" w:eastAsia="zh-CN"/>
        </w:rPr>
        <w:t>本合同约定的总价款中包含随同配有的文件费用、随货配送的工具、备件以及包装、运输、保险、装卸、安装调试、试验、售后服务、技术培训等费用，甲方无需另行支付任何费用。</w:t>
      </w:r>
    </w:p>
    <w:p w14:paraId="0AF07104">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default"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质量标准</w:t>
      </w:r>
    </w:p>
    <w:p w14:paraId="1CB6783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0" w:firstLineChars="200"/>
        <w:textAlignment w:val="auto"/>
        <w:rPr>
          <w:rFonts w:hint="eastAsia"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设备的性能、质量与技术要求等应符合国家级行业相关标准，且符合设备招标与投标文件中确定的标准。</w:t>
      </w:r>
    </w:p>
    <w:p w14:paraId="13F5BC6C">
      <w:pPr>
        <w:pStyle w:val="3"/>
        <w:spacing w:line="360" w:lineRule="auto"/>
        <w:ind w:firstLine="640" w:firstLineChars="200"/>
        <w:jc w:val="both"/>
        <w:rPr>
          <w:rFonts w:hint="default"/>
          <w:b w:val="0"/>
          <w:bCs/>
          <w:highlight w:val="none"/>
          <w:lang w:val="en-US" w:eastAsia="zh-CN"/>
        </w:rPr>
      </w:pPr>
      <w:r>
        <w:rPr>
          <w:rFonts w:hint="eastAsia" w:ascii="Times New Roman" w:hAnsi="Times New Roman" w:eastAsia="仿宋_GB2312" w:cs="Times New Roman"/>
          <w:b w:val="0"/>
          <w:kern w:val="0"/>
          <w:sz w:val="32"/>
          <w:szCs w:val="32"/>
          <w:highlight w:val="none"/>
          <w:u w:val="none"/>
          <w:lang w:val="en-US" w:eastAsia="zh-CN" w:bidi="ar-SA"/>
        </w:rPr>
        <w:t>（二）设备应是</w:t>
      </w:r>
      <w:r>
        <w:rPr>
          <w:rFonts w:hint="eastAsia" w:ascii="Times New Roman" w:hAnsi="Times New Roman" w:eastAsia="仿宋_GB2312" w:cs="Times New Roman"/>
          <w:b w:val="0"/>
          <w:kern w:val="0"/>
          <w:sz w:val="32"/>
          <w:szCs w:val="32"/>
          <w:highlight w:val="yellow"/>
          <w:u w:val="none"/>
          <w:lang w:val="en-US" w:eastAsia="zh-CN" w:bidi="ar-SA"/>
        </w:rPr>
        <w:t>自到货之日起算</w:t>
      </w:r>
      <w:r>
        <w:rPr>
          <w:rFonts w:hint="eastAsia" w:ascii="Times New Roman" w:hAnsi="Times New Roman" w:eastAsia="仿宋_GB2312" w:cs="Times New Roman"/>
          <w:b w:val="0"/>
          <w:kern w:val="0"/>
          <w:sz w:val="32"/>
          <w:szCs w:val="32"/>
          <w:highlight w:val="none"/>
          <w:u w:val="none"/>
          <w:lang w:val="en-US" w:eastAsia="zh-CN" w:bidi="ar-SA"/>
        </w:rPr>
        <w:t>半年内生产的（进口设备可放宽至一年内），</w:t>
      </w:r>
      <w:r>
        <w:rPr>
          <w:rFonts w:hint="eastAsia" w:ascii="Times New Roman" w:hAnsi="Times New Roman" w:eastAsia="仿宋_GB2312" w:cs="Times New Roman"/>
          <w:b w:val="0"/>
          <w:kern w:val="0"/>
          <w:sz w:val="32"/>
          <w:szCs w:val="32"/>
          <w:highlight w:val="yellow"/>
          <w:u w:val="none"/>
          <w:lang w:val="en-US" w:eastAsia="zh-CN" w:bidi="ar-SA"/>
        </w:rPr>
        <w:t>且应在到货后一个月内投入使用（除甲方要求或条件不满足外），</w:t>
      </w:r>
      <w:r>
        <w:rPr>
          <w:rFonts w:hint="eastAsia" w:ascii="Times New Roman" w:hAnsi="Times New Roman" w:eastAsia="仿宋_GB2312" w:cs="Times New Roman"/>
          <w:b w:val="0"/>
          <w:kern w:val="0"/>
          <w:sz w:val="32"/>
          <w:szCs w:val="32"/>
          <w:highlight w:val="none"/>
          <w:u w:val="none"/>
          <w:lang w:val="en-US" w:eastAsia="zh-CN" w:bidi="ar-SA"/>
        </w:rPr>
        <w:t>否则甲方有权要求乙方免费更换新设备。</w:t>
      </w:r>
    </w:p>
    <w:p w14:paraId="36E712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三）设备及其包装应是安全、环保的，在装卸、储存、搬运或使用过程中不会损害人身健康与环境。若存在或可能存在前述损害，乙方应以书面通知甲方该等损害的性质、情况及应采取的预防措施，若因乙方提供的设备及其包装造成任何人身损害，乙方应承担相应赔偿责任。</w:t>
      </w:r>
    </w:p>
    <w:p w14:paraId="5781E664">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default"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设备的交付</w:t>
      </w:r>
    </w:p>
    <w:p w14:paraId="74FEB19C">
      <w:pPr>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cs="Times New Roman"/>
          <w:kern w:val="0"/>
          <w:sz w:val="32"/>
          <w:szCs w:val="32"/>
          <w:highlight w:val="none"/>
          <w:u w:val="single"/>
          <w:lang w:val="en-US" w:eastAsia="zh-CN"/>
        </w:rPr>
      </w:pPr>
      <w:r>
        <w:rPr>
          <w:rFonts w:hint="eastAsia" w:ascii="Times New Roman" w:hAnsi="Times New Roman" w:eastAsia="仿宋_GB2312" w:cs="Times New Roman"/>
          <w:kern w:val="0"/>
          <w:sz w:val="32"/>
          <w:szCs w:val="32"/>
          <w:highlight w:val="none"/>
          <w:lang w:val="en-US" w:eastAsia="zh-CN"/>
        </w:rPr>
        <w:t>交货地点：</w:t>
      </w:r>
      <w:r>
        <w:rPr>
          <w:rFonts w:hint="eastAsia" w:ascii="Times New Roman" w:hAnsi="Times New Roman" w:eastAsia="仿宋_GB2312" w:cs="Times New Roman"/>
          <w:kern w:val="0"/>
          <w:sz w:val="32"/>
          <w:szCs w:val="32"/>
          <w:highlight w:val="none"/>
          <w:u w:val="single"/>
          <w:lang w:val="en-US" w:eastAsia="zh-CN"/>
        </w:rPr>
        <w:t xml:space="preserve"> </w:t>
      </w:r>
      <w:r>
        <w:rPr>
          <w:rFonts w:hint="default" w:ascii="Times New Roman" w:hAnsi="Times New Roman" w:eastAsia="仿宋_GB2312" w:cs="Times New Roman"/>
          <w:kern w:val="0"/>
          <w:sz w:val="32"/>
          <w:szCs w:val="32"/>
          <w:highlight w:val="none"/>
          <w:u w:val="single"/>
          <w:lang w:eastAsia="zh-CN"/>
        </w:rPr>
        <w:t>鹰潭一八四医院</w:t>
      </w:r>
      <w:r>
        <w:rPr>
          <w:rFonts w:hint="eastAsia" w:ascii="Times New Roman" w:hAnsi="Times New Roman" w:eastAsia="仿宋_GB2312" w:cs="Times New Roman"/>
          <w:kern w:val="0"/>
          <w:sz w:val="32"/>
          <w:szCs w:val="32"/>
          <w:highlight w:val="none"/>
          <w:u w:val="single"/>
          <w:lang w:val="en-US" w:eastAsia="zh-CN"/>
        </w:rPr>
        <w:t xml:space="preserve">指定院内地点 </w:t>
      </w:r>
    </w:p>
    <w:p w14:paraId="27AC4943">
      <w:pPr>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 xml:space="preserve">交货时间：合同签订后 </w:t>
      </w:r>
      <w:r>
        <w:rPr>
          <w:rFonts w:hint="eastAsia" w:ascii="Times New Roman" w:hAnsi="Times New Roman" w:eastAsia="仿宋_GB2312" w:cs="Times New Roman"/>
          <w:kern w:val="0"/>
          <w:sz w:val="32"/>
          <w:szCs w:val="32"/>
          <w:highlight w:val="none"/>
          <w:u w:val="single"/>
          <w:lang w:val="en-US" w:eastAsia="zh-CN"/>
        </w:rPr>
        <w:t xml:space="preserve">30 </w:t>
      </w:r>
      <w:r>
        <w:rPr>
          <w:rFonts w:hint="eastAsia" w:ascii="Times New Roman" w:hAnsi="Times New Roman" w:eastAsia="仿宋_GB2312" w:cs="Times New Roman"/>
          <w:kern w:val="0"/>
          <w:sz w:val="32"/>
          <w:szCs w:val="32"/>
          <w:highlight w:val="none"/>
          <w:u w:val="none"/>
          <w:lang w:val="en-US" w:eastAsia="zh-CN"/>
        </w:rPr>
        <w:t>个工作日内完成全部交付</w:t>
      </w:r>
      <w:r>
        <w:rPr>
          <w:rFonts w:hint="eastAsia" w:ascii="Times New Roman" w:hAnsi="Times New Roman" w:eastAsia="仿宋_GB2312" w:cs="Times New Roman"/>
          <w:b w:val="0"/>
          <w:kern w:val="0"/>
          <w:sz w:val="32"/>
          <w:szCs w:val="32"/>
          <w:highlight w:val="none"/>
          <w:u w:val="none"/>
          <w:lang w:val="en-US" w:eastAsia="zh-CN" w:bidi="ar-SA"/>
        </w:rPr>
        <w:t>（进口设备可放宽至90个工作日内）</w:t>
      </w:r>
      <w:r>
        <w:rPr>
          <w:rFonts w:hint="eastAsia" w:ascii="Times New Roman" w:hAnsi="Times New Roman" w:eastAsia="仿宋_GB2312" w:cs="Times New Roman"/>
          <w:kern w:val="0"/>
          <w:sz w:val="32"/>
          <w:szCs w:val="32"/>
          <w:highlight w:val="none"/>
          <w:u w:val="none"/>
          <w:lang w:val="en-US" w:eastAsia="zh-CN"/>
        </w:rPr>
        <w:t>，设备到达交货地点并经甲方验收合格的日期为交付日期，分批付款交货的则每批次时间独立计算。</w:t>
      </w:r>
    </w:p>
    <w:p w14:paraId="0980AC80">
      <w:pPr>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甲方可根据需要另行指定设备的国内交付地点，但应在合理时间内提前通知乙方。</w:t>
      </w:r>
    </w:p>
    <w:p w14:paraId="4453ECAD">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default"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货款的支付</w:t>
      </w:r>
    </w:p>
    <w:p w14:paraId="216D30F9">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本合同采用以下第</w:t>
      </w:r>
      <w:r>
        <w:rPr>
          <w:rFonts w:hint="eastAsia" w:ascii="Times New Roman" w:hAnsi="Times New Roman" w:eastAsia="仿宋_GB2312" w:cs="Times New Roman"/>
          <w:kern w:val="0"/>
          <w:sz w:val="32"/>
          <w:szCs w:val="32"/>
          <w:highlight w:val="none"/>
          <w:u w:val="single"/>
          <w:lang w:val="en-US" w:eastAsia="zh-CN"/>
        </w:rPr>
        <w:t xml:space="preserve"> 2 </w:t>
      </w:r>
      <w:r>
        <w:rPr>
          <w:rFonts w:hint="eastAsia" w:ascii="Times New Roman" w:hAnsi="Times New Roman" w:eastAsia="仿宋_GB2312" w:cs="Times New Roman"/>
          <w:kern w:val="0"/>
          <w:sz w:val="32"/>
          <w:szCs w:val="32"/>
          <w:highlight w:val="none"/>
          <w:lang w:val="en-US" w:eastAsia="zh-CN"/>
        </w:rPr>
        <w:t>种付款方式</w:t>
      </w:r>
    </w:p>
    <w:p w14:paraId="5DE29C1A">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一次性支付；</w:t>
      </w:r>
    </w:p>
    <w:p w14:paraId="6E8C2F9E">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产品交付并验收合格后支付总货款的90%，</w:t>
      </w:r>
      <w:r>
        <w:rPr>
          <w:rFonts w:hint="eastAsia" w:ascii="Times New Roman" w:hAnsi="Times New Roman" w:eastAsia="仿宋_GB2312" w:cs="Times New Roman"/>
          <w:color w:val="000000" w:themeColor="text1"/>
          <w:kern w:val="0"/>
          <w:sz w:val="32"/>
          <w:szCs w:val="32"/>
          <w14:textFill>
            <w14:solidFill>
              <w14:schemeClr w14:val="tx1"/>
            </w14:solidFill>
          </w14:textFill>
        </w:rPr>
        <w:t>即人民币</w:t>
      </w:r>
      <w:r>
        <w:rPr>
          <w:rFonts w:hint="eastAsia" w:ascii="Times New Roman" w:hAnsi="Times New Roman" w:eastAsia="仿宋_GB2312" w:cs="Times New Roman"/>
          <w:color w:val="000000" w:themeColor="text1"/>
          <w:kern w:val="0"/>
          <w:sz w:val="32"/>
          <w:szCs w:val="32"/>
          <w:highlight w:val="yellow"/>
          <w14:textFill>
            <w14:solidFill>
              <w14:schemeClr w14:val="tx1"/>
            </w14:solidFill>
          </w14:textFill>
        </w:rPr>
        <w:t>****元人民币（小写￥***元）</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highlight w:val="none"/>
          <w:lang w:val="en-US" w:eastAsia="zh-CN"/>
        </w:rPr>
        <w:t>尾款10%</w:t>
      </w:r>
      <w:r>
        <w:rPr>
          <w:rFonts w:hint="eastAsia" w:ascii="Times New Roman" w:hAnsi="Times New Roman" w:eastAsia="仿宋_GB2312" w:cs="Times New Roman"/>
          <w:color w:val="000000" w:themeColor="text1"/>
          <w:kern w:val="0"/>
          <w:sz w:val="32"/>
          <w:szCs w:val="32"/>
          <w14:textFill>
            <w14:solidFill>
              <w14:schemeClr w14:val="tx1"/>
            </w14:solidFill>
          </w14:textFill>
        </w:rPr>
        <w:t>人民币</w:t>
      </w:r>
      <w:r>
        <w:rPr>
          <w:rFonts w:hint="eastAsia" w:ascii="Times New Roman" w:hAnsi="Times New Roman" w:eastAsia="仿宋_GB2312" w:cs="Times New Roman"/>
          <w:color w:val="000000" w:themeColor="text1"/>
          <w:kern w:val="0"/>
          <w:sz w:val="32"/>
          <w:szCs w:val="32"/>
          <w:highlight w:val="yellow"/>
          <w14:textFill>
            <w14:solidFill>
              <w14:schemeClr w14:val="tx1"/>
            </w14:solidFill>
          </w14:textFill>
        </w:rPr>
        <w:t>***元（小写￥***元）</w:t>
      </w:r>
      <w:r>
        <w:rPr>
          <w:rFonts w:hint="eastAsia" w:ascii="Times New Roman" w:hAnsi="Times New Roman" w:eastAsia="仿宋_GB2312" w:cs="Times New Roman"/>
          <w:kern w:val="0"/>
          <w:sz w:val="32"/>
          <w:szCs w:val="32"/>
          <w:highlight w:val="none"/>
          <w:lang w:val="en-US" w:eastAsia="zh-CN"/>
        </w:rPr>
        <w:t>作为质量保证金，验收合格、乙方履行全部合同义务、质保期满并由乙方书面申请后无息支付。</w:t>
      </w:r>
    </w:p>
    <w:p w14:paraId="0F6DAEE4">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甲方完成设备验收后，乙方应在5个工作日内开具合同总价款100%的增值税发票送达至</w:t>
      </w:r>
      <w:r>
        <w:rPr>
          <w:rFonts w:hint="eastAsia" w:ascii="Times New Roman" w:hAnsi="Times New Roman" w:eastAsia="仿宋_GB2312" w:cs="Times New Roman"/>
          <w:kern w:val="0"/>
          <w:sz w:val="32"/>
          <w:szCs w:val="32"/>
          <w:highlight w:val="none"/>
        </w:rPr>
        <w:t>甲方地址交付至甲方联络人，若延迟开具发票</w:t>
      </w:r>
      <w:r>
        <w:rPr>
          <w:rFonts w:hint="eastAsia" w:ascii="Times New Roman" w:hAnsi="Times New Roman" w:eastAsia="仿宋_GB2312" w:cs="Times New Roman"/>
          <w:kern w:val="0"/>
          <w:sz w:val="32"/>
          <w:szCs w:val="32"/>
          <w:highlight w:val="none"/>
          <w:lang w:eastAsia="zh-CN"/>
        </w:rPr>
        <w:t>或提供的账户信息错误等</w:t>
      </w:r>
      <w:r>
        <w:rPr>
          <w:rFonts w:hint="eastAsia" w:ascii="Times New Roman" w:hAnsi="Times New Roman" w:eastAsia="仿宋_GB2312" w:cs="Times New Roman"/>
          <w:kern w:val="0"/>
          <w:sz w:val="32"/>
          <w:szCs w:val="32"/>
          <w:highlight w:val="none"/>
        </w:rPr>
        <w:t>导致的延迟付款等法律责任由乙方承担相应责任</w:t>
      </w:r>
      <w:r>
        <w:rPr>
          <w:rFonts w:hint="eastAsia" w:ascii="Times New Roman" w:hAnsi="Times New Roman" w:eastAsia="仿宋_GB2312" w:cs="Times New Roman"/>
          <w:kern w:val="0"/>
          <w:sz w:val="32"/>
          <w:szCs w:val="32"/>
          <w:highlight w:val="none"/>
          <w:lang w:val="en-US" w:eastAsia="zh-CN"/>
        </w:rPr>
        <w:t>，如未开票甲方有权暂不付款直至乙方交付有效发票</w:t>
      </w:r>
      <w:r>
        <w:rPr>
          <w:rFonts w:hint="eastAsia" w:ascii="Times New Roman" w:hAnsi="Times New Roman" w:eastAsia="仿宋_GB2312" w:cs="Times New Roman"/>
          <w:kern w:val="0"/>
          <w:sz w:val="32"/>
          <w:szCs w:val="32"/>
          <w:highlight w:val="none"/>
        </w:rPr>
        <w:t>。</w:t>
      </w:r>
    </w:p>
    <w:p w14:paraId="7D05CCD8">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甲方开票</w:t>
      </w:r>
      <w:r>
        <w:rPr>
          <w:rFonts w:hint="eastAsia" w:ascii="Times New Roman" w:hAnsi="Times New Roman" w:eastAsia="仿宋_GB2312" w:cs="Times New Roman"/>
          <w:kern w:val="0"/>
          <w:sz w:val="32"/>
          <w:szCs w:val="32"/>
          <w:highlight w:val="none"/>
          <w:lang w:eastAsia="zh-CN"/>
        </w:rPr>
        <w:t>信息</w:t>
      </w:r>
      <w:r>
        <w:rPr>
          <w:rFonts w:hint="eastAsia" w:ascii="Times New Roman" w:hAnsi="Times New Roman" w:eastAsia="仿宋_GB2312" w:cs="Times New Roman"/>
          <w:kern w:val="0"/>
          <w:sz w:val="32"/>
          <w:szCs w:val="32"/>
          <w:highlight w:val="none"/>
          <w:lang w:val="en-US" w:eastAsia="zh-CN"/>
        </w:rPr>
        <w:t>如下：</w:t>
      </w:r>
    </w:p>
    <w:p w14:paraId="3A6D6419">
      <w:pPr>
        <w:keepNext w:val="0"/>
        <w:keepLines w:val="0"/>
        <w:pageBreakBefore w:val="0"/>
        <w:widowControl w:val="0"/>
        <w:kinsoku/>
        <w:wordWrap/>
        <w:overflowPunct/>
        <w:topLinePunct w:val="0"/>
        <w:autoSpaceDE w:val="0"/>
        <w:autoSpaceDN w:val="0"/>
        <w:bidi w:val="0"/>
        <w:adjustRightInd/>
        <w:snapToGrid/>
        <w:spacing w:beforeLines="0" w:afterLines="0" w:line="360" w:lineRule="auto"/>
        <w:ind w:firstLine="640" w:firstLineChars="200"/>
        <w:textAlignment w:val="auto"/>
        <w:rPr>
          <w:rFonts w:hint="default" w:ascii="Times New Roman" w:hAnsi="Times New Roman" w:eastAsia="仿宋_GB2312" w:cs="Times New Roman"/>
          <w:b w:val="0"/>
          <w:bCs w:val="0"/>
          <w:kern w:val="0"/>
          <w:sz w:val="32"/>
          <w:szCs w:val="32"/>
          <w:highlight w:val="none"/>
          <w:u w:val="single"/>
          <w:lang w:val="en-US" w:eastAsia="zh-CN"/>
        </w:rPr>
      </w:pPr>
      <w:r>
        <w:rPr>
          <w:rFonts w:hint="eastAsia" w:ascii="Times New Roman" w:hAnsi="Times New Roman" w:eastAsia="仿宋_GB2312" w:cs="Times New Roman"/>
          <w:kern w:val="0"/>
          <w:sz w:val="32"/>
          <w:szCs w:val="32"/>
          <w:highlight w:val="none"/>
          <w:lang w:val="en-US" w:eastAsia="zh-CN"/>
        </w:rPr>
        <w:t>名称：</w:t>
      </w:r>
      <w:r>
        <w:rPr>
          <w:rFonts w:hint="eastAsia" w:ascii="Times New Roman" w:hAnsi="Times New Roman" w:eastAsia="仿宋_GB2312" w:cs="Times New Roman"/>
          <w:b w:val="0"/>
          <w:bCs w:val="0"/>
          <w:kern w:val="0"/>
          <w:sz w:val="32"/>
          <w:szCs w:val="32"/>
          <w:highlight w:val="none"/>
          <w:u w:val="single"/>
          <w:lang w:val="en-US" w:eastAsia="zh-CN"/>
        </w:rPr>
        <w:t xml:space="preserve"> </w:t>
      </w:r>
      <w:r>
        <w:rPr>
          <w:rFonts w:hint="default" w:ascii="Times New Roman" w:hAnsi="Times New Roman" w:eastAsia="仿宋_GB2312" w:cs="Times New Roman"/>
          <w:b w:val="0"/>
          <w:bCs w:val="0"/>
          <w:kern w:val="0"/>
          <w:sz w:val="32"/>
          <w:szCs w:val="32"/>
          <w:highlight w:val="none"/>
          <w:u w:val="single"/>
          <w:lang w:eastAsia="zh-CN"/>
        </w:rPr>
        <w:t>鹰潭一八四医院</w:t>
      </w:r>
      <w:r>
        <w:rPr>
          <w:rFonts w:hint="eastAsia" w:ascii="Times New Roman" w:hAnsi="Times New Roman" w:eastAsia="仿宋_GB2312" w:cs="Times New Roman"/>
          <w:b w:val="0"/>
          <w:bCs w:val="0"/>
          <w:kern w:val="0"/>
          <w:sz w:val="32"/>
          <w:szCs w:val="32"/>
          <w:highlight w:val="none"/>
          <w:u w:val="single"/>
          <w:lang w:val="en-US" w:eastAsia="zh-CN"/>
        </w:rPr>
        <w:t xml:space="preserve"> </w:t>
      </w:r>
    </w:p>
    <w:p w14:paraId="2B5CCD74">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cs="Times New Roman"/>
          <w:kern w:val="0"/>
          <w:sz w:val="32"/>
          <w:szCs w:val="32"/>
          <w:highlight w:val="none"/>
          <w:u w:val="single"/>
          <w:lang w:val="en-US" w:eastAsia="zh-CN"/>
        </w:rPr>
      </w:pPr>
      <w:r>
        <w:rPr>
          <w:rFonts w:hint="eastAsia" w:ascii="Times New Roman" w:hAnsi="Times New Roman" w:eastAsia="仿宋_GB2312" w:cs="Times New Roman"/>
          <w:kern w:val="0"/>
          <w:sz w:val="32"/>
          <w:szCs w:val="32"/>
          <w:highlight w:val="none"/>
          <w:lang w:val="en-US" w:eastAsia="zh-CN"/>
        </w:rPr>
        <w:t>地址：</w:t>
      </w:r>
      <w:r>
        <w:rPr>
          <w:rFonts w:hint="eastAsia" w:ascii="Times New Roman" w:hAnsi="Times New Roman" w:eastAsia="仿宋_GB2312" w:cs="Times New Roman"/>
          <w:kern w:val="0"/>
          <w:sz w:val="32"/>
          <w:szCs w:val="32"/>
          <w:highlight w:val="none"/>
          <w:u w:val="single"/>
          <w:lang w:val="en-US" w:eastAsia="zh-CN"/>
        </w:rPr>
        <w:t xml:space="preserve"> </w:t>
      </w:r>
      <w:r>
        <w:rPr>
          <w:rFonts w:hint="eastAsia" w:ascii="Times New Roman" w:hAnsi="Times New Roman" w:eastAsia="仿宋_GB2312" w:cs="Times New Roman"/>
          <w:kern w:val="0"/>
          <w:sz w:val="32"/>
          <w:szCs w:val="32"/>
          <w:highlight w:val="none"/>
          <w:u w:val="single"/>
        </w:rPr>
        <w:t>江西省鹰潭市月湖区东路4号</w:t>
      </w:r>
      <w:r>
        <w:rPr>
          <w:rFonts w:hint="eastAsia" w:ascii="Times New Roman" w:hAnsi="Times New Roman" w:eastAsia="仿宋_GB2312" w:cs="Times New Roman"/>
          <w:kern w:val="0"/>
          <w:sz w:val="32"/>
          <w:szCs w:val="32"/>
          <w:highlight w:val="none"/>
          <w:u w:val="single"/>
          <w:lang w:val="en-US" w:eastAsia="zh-CN"/>
        </w:rPr>
        <w:t xml:space="preserve">  </w:t>
      </w:r>
      <w:r>
        <w:rPr>
          <w:rFonts w:hint="eastAsia" w:ascii="Times New Roman" w:hAnsi="Times New Roman" w:eastAsia="仿宋_GB2312" w:cs="Times New Roman"/>
          <w:kern w:val="0"/>
          <w:sz w:val="32"/>
          <w:szCs w:val="32"/>
          <w:highlight w:val="none"/>
          <w:u w:val="none"/>
          <w:lang w:val="en-US" w:eastAsia="zh-CN"/>
        </w:rPr>
        <w:t xml:space="preserve">              </w:t>
      </w:r>
      <w:r>
        <w:rPr>
          <w:rFonts w:hint="eastAsia" w:ascii="Times New Roman" w:hAnsi="Times New Roman" w:eastAsia="仿宋_GB2312" w:cs="Times New Roman"/>
          <w:kern w:val="0"/>
          <w:sz w:val="32"/>
          <w:szCs w:val="32"/>
          <w:highlight w:val="none"/>
          <w:u w:val="single"/>
          <w:lang w:val="en-US" w:eastAsia="zh-CN"/>
        </w:rPr>
        <w:t xml:space="preserve">        </w:t>
      </w:r>
    </w:p>
    <w:p w14:paraId="6FB27F27">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cs="Times New Roman"/>
          <w:kern w:val="0"/>
          <w:sz w:val="32"/>
          <w:szCs w:val="32"/>
          <w:highlight w:val="none"/>
          <w:u w:val="single"/>
          <w:lang w:val="en-US" w:eastAsia="zh-CN"/>
        </w:rPr>
      </w:pPr>
      <w:r>
        <w:rPr>
          <w:rFonts w:hint="eastAsia" w:ascii="Times New Roman" w:hAnsi="Times New Roman" w:eastAsia="仿宋_GB2312" w:cs="Times New Roman"/>
          <w:kern w:val="0"/>
          <w:sz w:val="32"/>
          <w:szCs w:val="32"/>
          <w:highlight w:val="none"/>
          <w:lang w:val="en-US" w:eastAsia="zh-CN"/>
        </w:rPr>
        <w:t>电话：</w:t>
      </w:r>
      <w:r>
        <w:rPr>
          <w:rFonts w:hint="eastAsia" w:ascii="Times New Roman" w:hAnsi="Times New Roman" w:eastAsia="仿宋_GB2312" w:cs="Times New Roman"/>
          <w:kern w:val="0"/>
          <w:sz w:val="32"/>
          <w:szCs w:val="32"/>
          <w:highlight w:val="none"/>
          <w:u w:val="single"/>
          <w:lang w:val="en-US" w:eastAsia="zh-CN"/>
        </w:rPr>
        <w:t xml:space="preserve"> 0701</w:t>
      </w:r>
      <w:r>
        <w:rPr>
          <w:rFonts w:hint="eastAsia" w:ascii="Times New Roman" w:hAnsi="Times New Roman" w:eastAsia="仿宋_GB2312" w:cs="Times New Roman"/>
          <w:kern w:val="0"/>
          <w:sz w:val="32"/>
          <w:szCs w:val="32"/>
          <w:highlight w:val="none"/>
          <w:u w:val="single"/>
        </w:rPr>
        <w:t>-</w:t>
      </w:r>
      <w:r>
        <w:rPr>
          <w:rFonts w:hint="eastAsia" w:ascii="Times New Roman" w:hAnsi="Times New Roman" w:eastAsia="仿宋_GB2312" w:cs="Times New Roman"/>
          <w:kern w:val="0"/>
          <w:sz w:val="32"/>
          <w:szCs w:val="32"/>
          <w:highlight w:val="none"/>
          <w:u w:val="single"/>
          <w:lang w:val="en-US" w:eastAsia="zh-CN"/>
        </w:rPr>
        <w:t xml:space="preserve">6636957   </w:t>
      </w:r>
    </w:p>
    <w:p w14:paraId="3FAA1FC9">
      <w:pPr>
        <w:autoSpaceDE w:val="0"/>
        <w:autoSpaceDN w:val="0"/>
        <w:spacing w:beforeLines="0" w:afterLines="0" w:line="360" w:lineRule="auto"/>
        <w:ind w:firstLine="640" w:firstLineChars="200"/>
        <w:rPr>
          <w:rFonts w:hint="eastAsia"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lang w:val="en-US" w:eastAsia="zh-CN"/>
        </w:rPr>
        <w:t>税号：</w:t>
      </w:r>
      <w:r>
        <w:rPr>
          <w:rFonts w:hint="eastAsia" w:ascii="Times New Roman" w:hAnsi="Times New Roman" w:eastAsia="仿宋_GB2312" w:cs="Times New Roman"/>
          <w:kern w:val="0"/>
          <w:sz w:val="32"/>
          <w:szCs w:val="32"/>
          <w:highlight w:val="none"/>
          <w:u w:val="single"/>
          <w:lang w:val="en-US" w:eastAsia="zh-CN"/>
        </w:rPr>
        <w:t xml:space="preserve"> 12100000MB08734501  </w:t>
      </w:r>
      <w:r>
        <w:rPr>
          <w:rFonts w:hint="eastAsia" w:ascii="Times New Roman" w:hAnsi="Times New Roman" w:eastAsia="仿宋_GB2312" w:cs="Times New Roman"/>
          <w:kern w:val="0"/>
          <w:sz w:val="32"/>
          <w:szCs w:val="32"/>
          <w:highlight w:val="none"/>
          <w:u w:val="none"/>
          <w:lang w:val="en-US" w:eastAsia="zh-CN"/>
        </w:rPr>
        <w:t xml:space="preserve">  </w:t>
      </w:r>
    </w:p>
    <w:p w14:paraId="63A7DA6D">
      <w:pPr>
        <w:autoSpaceDE w:val="0"/>
        <w:autoSpaceDN w:val="0"/>
        <w:spacing w:beforeLines="0" w:afterLines="0" w:line="360" w:lineRule="auto"/>
        <w:ind w:firstLine="640" w:firstLineChars="200"/>
        <w:rPr>
          <w:rFonts w:hint="default" w:ascii="Times New Roman" w:hAnsi="Times New Roman" w:eastAsia="仿宋_GB2312" w:cs="Times New Roman"/>
          <w:kern w:val="0"/>
          <w:sz w:val="32"/>
          <w:szCs w:val="32"/>
          <w:highlight w:val="none"/>
          <w:u w:val="single"/>
          <w:lang w:val="en-US" w:eastAsia="zh-CN"/>
        </w:rPr>
      </w:pPr>
      <w:r>
        <w:rPr>
          <w:rFonts w:hint="eastAsia" w:ascii="Times New Roman" w:hAnsi="Times New Roman" w:eastAsia="仿宋_GB2312" w:cs="Times New Roman"/>
          <w:kern w:val="0"/>
          <w:sz w:val="32"/>
          <w:szCs w:val="32"/>
          <w:highlight w:val="none"/>
          <w:lang w:val="en-US" w:eastAsia="zh-CN"/>
        </w:rPr>
        <w:t>开户行：</w:t>
      </w:r>
      <w:r>
        <w:rPr>
          <w:rFonts w:hint="eastAsia" w:ascii="Times New Roman" w:hAnsi="Times New Roman" w:eastAsia="仿宋_GB2312" w:cs="Times New Roman"/>
          <w:kern w:val="0"/>
          <w:sz w:val="32"/>
          <w:szCs w:val="32"/>
          <w:highlight w:val="none"/>
          <w:u w:val="single"/>
        </w:rPr>
        <w:t>中国银行鹰潭市月湖支行</w:t>
      </w:r>
      <w:r>
        <w:rPr>
          <w:rFonts w:hint="eastAsia" w:ascii="Times New Roman" w:hAnsi="Times New Roman" w:eastAsia="仿宋_GB2312" w:cs="Times New Roman"/>
          <w:kern w:val="0"/>
          <w:sz w:val="32"/>
          <w:szCs w:val="32"/>
          <w:highlight w:val="none"/>
          <w:u w:val="single"/>
          <w:lang w:val="en-US" w:eastAsia="zh-CN"/>
        </w:rPr>
        <w:t xml:space="preserve">  </w:t>
      </w:r>
    </w:p>
    <w:p w14:paraId="3E9D7FC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仿宋_GB2312" w:cs="Times New Roman"/>
          <w:kern w:val="0"/>
          <w:sz w:val="32"/>
          <w:szCs w:val="32"/>
          <w:highlight w:val="none"/>
          <w:u w:val="single"/>
          <w:lang w:val="en-US" w:eastAsia="zh-CN"/>
        </w:rPr>
      </w:pPr>
      <w:r>
        <w:rPr>
          <w:rFonts w:hint="eastAsia" w:ascii="Times New Roman" w:hAnsi="Times New Roman" w:eastAsia="仿宋_GB2312" w:cs="Times New Roman"/>
          <w:kern w:val="0"/>
          <w:sz w:val="32"/>
          <w:szCs w:val="32"/>
          <w:highlight w:val="none"/>
          <w:lang w:val="en-US" w:eastAsia="zh-CN"/>
        </w:rPr>
        <w:t>开户行账号：</w:t>
      </w:r>
      <w:r>
        <w:rPr>
          <w:rFonts w:hint="eastAsia" w:ascii="Times New Roman" w:hAnsi="Times New Roman" w:eastAsia="仿宋_GB2312" w:cs="Times New Roman"/>
          <w:kern w:val="0"/>
          <w:sz w:val="32"/>
          <w:szCs w:val="32"/>
          <w:highlight w:val="none"/>
          <w:u w:val="single"/>
        </w:rPr>
        <w:t>203754860083</w:t>
      </w:r>
      <w:r>
        <w:rPr>
          <w:rFonts w:hint="eastAsia" w:ascii="Times New Roman" w:hAnsi="Times New Roman" w:eastAsia="仿宋_GB2312" w:cs="Times New Roman"/>
          <w:kern w:val="0"/>
          <w:sz w:val="32"/>
          <w:szCs w:val="32"/>
          <w:highlight w:val="none"/>
          <w:u w:val="single"/>
          <w:lang w:val="en-US" w:eastAsia="zh-CN"/>
        </w:rPr>
        <w:t xml:space="preserve">  </w:t>
      </w:r>
    </w:p>
    <w:p w14:paraId="4FD01C75">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以上款项，</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以</w:t>
      </w:r>
      <w:r>
        <w:rPr>
          <w:rFonts w:hint="eastAsia" w:ascii="Times New Roman" w:hAnsi="Times New Roman" w:eastAsia="仿宋_GB2312" w:cs="Times New Roman"/>
          <w:kern w:val="0"/>
          <w:sz w:val="32"/>
          <w:szCs w:val="32"/>
          <w:highlight w:val="none"/>
        </w:rPr>
        <w:t>对公司账户汇款</w:t>
      </w:r>
      <w:r>
        <w:rPr>
          <w:rFonts w:ascii="Times New Roman" w:hAnsi="Times New Roman" w:eastAsia="仿宋_GB2312" w:cs="Times New Roman"/>
          <w:kern w:val="0"/>
          <w:sz w:val="32"/>
          <w:szCs w:val="32"/>
          <w:highlight w:val="none"/>
        </w:rPr>
        <w:t>方式支付。若</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账户发生变化，</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应当及时书面通知</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，否则引起的一切</w:t>
      </w:r>
      <w:r>
        <w:rPr>
          <w:rFonts w:hint="eastAsia" w:ascii="Times New Roman" w:hAnsi="Times New Roman" w:eastAsia="仿宋_GB2312" w:cs="Times New Roman"/>
          <w:kern w:val="0"/>
          <w:sz w:val="32"/>
          <w:szCs w:val="32"/>
          <w:highlight w:val="none"/>
        </w:rPr>
        <w:t>法律责任</w:t>
      </w:r>
      <w:r>
        <w:rPr>
          <w:rFonts w:ascii="Times New Roman" w:hAnsi="Times New Roman" w:eastAsia="仿宋_GB2312" w:cs="Times New Roman"/>
          <w:kern w:val="0"/>
          <w:sz w:val="32"/>
          <w:szCs w:val="32"/>
          <w:highlight w:val="none"/>
        </w:rPr>
        <w:t>由</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自担。</w:t>
      </w:r>
    </w:p>
    <w:p w14:paraId="0C72F30A">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乙方指定账户信息如下：</w:t>
      </w:r>
    </w:p>
    <w:p w14:paraId="6242605E">
      <w:pPr>
        <w:autoSpaceDE w:val="0"/>
        <w:autoSpaceDN w:val="0"/>
        <w:spacing w:beforeLines="0" w:afterLines="0" w:line="360" w:lineRule="auto"/>
        <w:ind w:firstLine="640" w:firstLineChars="200"/>
        <w:rPr>
          <w:rFonts w:hint="default" w:ascii="Times New Roman" w:hAnsi="Times New Roman" w:eastAsia="仿宋_GB2312" w:cs="Times New Roman"/>
          <w:kern w:val="0"/>
          <w:sz w:val="32"/>
          <w:szCs w:val="32"/>
          <w:highlight w:val="none"/>
          <w:u w:val="single"/>
          <w:lang w:val="en-US" w:eastAsia="zh-CN"/>
        </w:rPr>
      </w:pPr>
      <w:r>
        <w:rPr>
          <w:rFonts w:hint="eastAsia" w:ascii="Times New Roman" w:hAnsi="Times New Roman" w:eastAsia="仿宋_GB2312" w:cs="Times New Roman"/>
          <w:kern w:val="0"/>
          <w:sz w:val="32"/>
          <w:szCs w:val="32"/>
          <w:highlight w:val="none"/>
        </w:rPr>
        <w:t>户名：</w:t>
      </w:r>
      <w:r>
        <w:rPr>
          <w:rFonts w:hint="eastAsia" w:ascii="Times New Roman" w:hAnsi="Times New Roman" w:eastAsia="仿宋_GB2312" w:cs="Times New Roman"/>
          <w:kern w:val="0"/>
          <w:sz w:val="32"/>
          <w:szCs w:val="32"/>
          <w:highlight w:val="yellow"/>
          <w:u w:val="single"/>
          <w:lang w:val="en-US" w:eastAsia="zh-CN"/>
        </w:rPr>
        <w:t>******</w:t>
      </w:r>
      <w:r>
        <w:rPr>
          <w:rFonts w:hint="eastAsia" w:ascii="Times New Roman" w:hAnsi="Times New Roman" w:eastAsia="仿宋_GB2312" w:cs="Times New Roman"/>
          <w:kern w:val="0"/>
          <w:sz w:val="32"/>
          <w:szCs w:val="32"/>
          <w:highlight w:val="none"/>
          <w:u w:val="single"/>
          <w:lang w:val="en-US" w:eastAsia="zh-CN"/>
        </w:rPr>
        <w:t>有限公司</w:t>
      </w:r>
    </w:p>
    <w:p w14:paraId="569551E4">
      <w:pPr>
        <w:autoSpaceDE w:val="0"/>
        <w:autoSpaceDN w:val="0"/>
        <w:spacing w:beforeLines="0" w:afterLines="0" w:line="360" w:lineRule="auto"/>
        <w:ind w:firstLine="640" w:firstLineChars="200"/>
        <w:rPr>
          <w:rFonts w:hint="eastAsia" w:ascii="仿宋_GB2312" w:hAnsi="仿宋_GB2312" w:eastAsia="仿宋_GB2312" w:cs="仿宋_GB2312"/>
          <w:kern w:val="0"/>
          <w:sz w:val="32"/>
          <w:szCs w:val="32"/>
          <w:highlight w:val="none"/>
          <w:u w:val="single"/>
        </w:rPr>
      </w:pPr>
      <w:r>
        <w:rPr>
          <w:rFonts w:hint="eastAsia" w:ascii="仿宋_GB2312" w:hAnsi="仿宋_GB2312" w:eastAsia="仿宋_GB2312" w:cs="仿宋_GB2312"/>
          <w:kern w:val="0"/>
          <w:sz w:val="32"/>
          <w:szCs w:val="32"/>
          <w:highlight w:val="none"/>
        </w:rPr>
        <w:t>开户银行：</w:t>
      </w:r>
      <w:r>
        <w:rPr>
          <w:rFonts w:hint="eastAsia" w:ascii="Times New Roman" w:hAnsi="Times New Roman" w:eastAsia="仿宋_GB2312" w:cs="Times New Roman"/>
          <w:kern w:val="0"/>
          <w:sz w:val="32"/>
          <w:szCs w:val="32"/>
          <w:highlight w:val="yellow"/>
          <w:u w:val="single"/>
          <w:lang w:val="en-US" w:eastAsia="zh-CN"/>
        </w:rPr>
        <w:t>******</w:t>
      </w:r>
      <w:r>
        <w:rPr>
          <w:rFonts w:hint="eastAsia" w:ascii="Times New Roman" w:hAnsi="Times New Roman" w:eastAsia="仿宋_GB2312" w:cs="Times New Roman"/>
          <w:kern w:val="0"/>
          <w:sz w:val="32"/>
          <w:szCs w:val="32"/>
          <w:highlight w:val="none"/>
          <w:u w:val="single"/>
          <w:lang w:val="en-US" w:eastAsia="zh-CN"/>
        </w:rPr>
        <w:t>行</w:t>
      </w:r>
    </w:p>
    <w:p w14:paraId="4D297A7A">
      <w:pPr>
        <w:autoSpaceDE w:val="0"/>
        <w:autoSpaceDN w:val="0"/>
        <w:spacing w:beforeLines="0" w:afterLines="0" w:line="360" w:lineRule="auto"/>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银行账号：</w:t>
      </w:r>
      <w:r>
        <w:rPr>
          <w:rFonts w:hint="eastAsia" w:ascii="仿宋_GB2312" w:hAnsi="仿宋_GB2312" w:eastAsia="仿宋_GB2312" w:cs="仿宋_GB2312"/>
          <w:kern w:val="0"/>
          <w:sz w:val="32"/>
          <w:szCs w:val="32"/>
          <w:highlight w:val="yellow"/>
          <w:u w:val="single"/>
          <w:lang w:val="en-US" w:eastAsia="zh-CN"/>
        </w:rPr>
        <w:t>******</w:t>
      </w:r>
      <w:r>
        <w:rPr>
          <w:rFonts w:hint="eastAsia" w:ascii="仿宋_GB2312" w:hAnsi="仿宋_GB2312" w:eastAsia="仿宋_GB2312" w:cs="仿宋_GB2312"/>
          <w:kern w:val="0"/>
          <w:sz w:val="32"/>
          <w:szCs w:val="32"/>
          <w:highlight w:val="none"/>
        </w:rPr>
        <w:t xml:space="preserve"> </w:t>
      </w:r>
    </w:p>
    <w:p w14:paraId="77661BD0">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仿宋_GB2312" w:cs="Times New Roman"/>
          <w:kern w:val="0"/>
          <w:sz w:val="32"/>
          <w:szCs w:val="32"/>
          <w:highlight w:val="none"/>
          <w:u w:val="single"/>
          <w:lang w:val="en-US" w:eastAsia="zh-CN"/>
        </w:rPr>
      </w:pPr>
    </w:p>
    <w:p w14:paraId="76D80FBF">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default"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设备的包装、运输</w:t>
      </w:r>
    </w:p>
    <w:p w14:paraId="1B81A687">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一</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包装</w:t>
      </w:r>
    </w:p>
    <w:p w14:paraId="1544D4A1">
      <w:pPr>
        <w:keepNext w:val="0"/>
        <w:keepLines w:val="0"/>
        <w:pageBreakBefore w:val="0"/>
        <w:widowControl w:val="0"/>
        <w:tabs>
          <w:tab w:val="left" w:pos="1679"/>
        </w:tabs>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 产品的包装应足以保护产品并适用于运输方式，应符合国家标准、行业标准及惯例要求，具有良好的防潮、防震、防腐蚀等措施。</w:t>
      </w:r>
    </w:p>
    <w:p w14:paraId="597670A2">
      <w:pPr>
        <w:keepNext w:val="0"/>
        <w:keepLines w:val="0"/>
        <w:pageBreakBefore w:val="0"/>
        <w:widowControl w:val="0"/>
        <w:tabs>
          <w:tab w:val="left" w:pos="1679"/>
        </w:tabs>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 对运输或贮存条件有特殊要求的产品或对可能危及人身、财产安全的产品，乙方需在外包装上有明显标识，并出具正确及完整的出货资料。</w:t>
      </w:r>
    </w:p>
    <w:p w14:paraId="776C2B3D">
      <w:pPr>
        <w:keepNext w:val="0"/>
        <w:keepLines w:val="0"/>
        <w:pageBreakBefore w:val="0"/>
        <w:widowControl w:val="0"/>
        <w:tabs>
          <w:tab w:val="left" w:pos="1679"/>
        </w:tabs>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 乙方随产品包装应附有装箱清单，包装物不另行回收。</w:t>
      </w:r>
    </w:p>
    <w:p w14:paraId="2D085857">
      <w:pPr>
        <w:pStyle w:val="22"/>
        <w:keepNext w:val="0"/>
        <w:keepLines w:val="0"/>
        <w:pageBreakBefore w:val="0"/>
        <w:kinsoku/>
        <w:wordWrap/>
        <w:overflowPunct/>
        <w:topLinePunct w:val="0"/>
        <w:bidi w:val="0"/>
        <w:spacing w:line="360" w:lineRule="auto"/>
        <w:textAlignment w:val="auto"/>
        <w:rPr>
          <w:rFonts w:hint="default" w:ascii="Times New Roman" w:hAnsi="Times New Roman" w:eastAsia="仿宋_GB2312" w:cs="Times New Roman"/>
          <w:kern w:val="0"/>
          <w:sz w:val="32"/>
          <w:szCs w:val="32"/>
          <w:highlight w:val="none"/>
          <w:lang w:val="en-US"/>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二</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运输</w:t>
      </w:r>
    </w:p>
    <w:p w14:paraId="3D89FB31">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 xml:space="preserve">1. </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由</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运送至</w:t>
      </w:r>
      <w:r>
        <w:rPr>
          <w:rFonts w:hint="eastAsia" w:ascii="Times New Roman" w:hAnsi="Times New Roman" w:eastAsia="仿宋_GB2312" w:cs="Times New Roman"/>
          <w:kern w:val="0"/>
          <w:sz w:val="32"/>
          <w:szCs w:val="32"/>
          <w:highlight w:val="none"/>
        </w:rPr>
        <w:t>甲方</w:t>
      </w:r>
      <w:r>
        <w:rPr>
          <w:rFonts w:hint="eastAsia" w:ascii="Times New Roman" w:hAnsi="Times New Roman" w:eastAsia="仿宋_GB2312" w:cs="Times New Roman"/>
          <w:kern w:val="0"/>
          <w:sz w:val="32"/>
          <w:szCs w:val="32"/>
          <w:highlight w:val="none"/>
          <w:lang w:val="en-US" w:eastAsia="zh-CN"/>
        </w:rPr>
        <w:t>指定的地点</w:t>
      </w:r>
      <w:r>
        <w:rPr>
          <w:rFonts w:ascii="Times New Roman" w:hAnsi="Times New Roman" w:eastAsia="仿宋_GB2312" w:cs="Times New Roman"/>
          <w:kern w:val="0"/>
          <w:sz w:val="32"/>
          <w:szCs w:val="32"/>
          <w:highlight w:val="none"/>
        </w:rPr>
        <w:t>，运费以及运输途中的保险费由</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承担。</w:t>
      </w:r>
    </w:p>
    <w:p w14:paraId="13A3190D">
      <w:pPr>
        <w:pStyle w:val="22"/>
        <w:keepNext w:val="0"/>
        <w:keepLines w:val="0"/>
        <w:pageBreakBefore w:val="0"/>
        <w:kinsoku/>
        <w:wordWrap/>
        <w:overflowPunct/>
        <w:topLinePunct w:val="0"/>
        <w:bidi w:val="0"/>
        <w:spacing w:line="360" w:lineRule="auto"/>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val="en-US" w:eastAsia="zh-CN"/>
        </w:rPr>
        <w:t xml:space="preserve">2. </w:t>
      </w:r>
      <w:r>
        <w:rPr>
          <w:rFonts w:hint="eastAsia" w:ascii="Times New Roman" w:hAnsi="Times New Roman" w:eastAsia="仿宋_GB2312" w:cs="Times New Roman"/>
          <w:kern w:val="0"/>
          <w:sz w:val="32"/>
          <w:szCs w:val="32"/>
          <w:highlight w:val="none"/>
          <w:lang w:eastAsia="zh-CN"/>
        </w:rPr>
        <w:t>乙方应在装运日期之前3日内，将合同号、设备名称、数量、箱件数及尺寸、毛重、体积、运输方式、预计到达日期、储存中的特殊要求或注意事项等书面通知甲方。</w:t>
      </w:r>
    </w:p>
    <w:p w14:paraId="34878497">
      <w:pPr>
        <w:pStyle w:val="22"/>
        <w:keepNext w:val="0"/>
        <w:keepLines w:val="0"/>
        <w:pageBreakBefore w:val="0"/>
        <w:kinsoku/>
        <w:wordWrap/>
        <w:overflowPunct/>
        <w:topLinePunct w:val="0"/>
        <w:bidi w:val="0"/>
        <w:spacing w:line="360" w:lineRule="auto"/>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（三）风险负担</w:t>
      </w:r>
    </w:p>
    <w:p w14:paraId="4187F1BC">
      <w:pPr>
        <w:pStyle w:val="22"/>
        <w:keepNext w:val="0"/>
        <w:keepLines w:val="0"/>
        <w:pageBreakBefore w:val="0"/>
        <w:kinsoku/>
        <w:wordWrap/>
        <w:overflowPunct/>
        <w:topLinePunct w:val="0"/>
        <w:bidi w:val="0"/>
        <w:spacing w:line="360" w:lineRule="auto"/>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将货物送至甲方指定地点并</w:t>
      </w:r>
      <w:r>
        <w:rPr>
          <w:rFonts w:hint="eastAsia" w:ascii="Times New Roman" w:hAnsi="Times New Roman" w:eastAsia="仿宋_GB2312" w:cs="Times New Roman"/>
          <w:kern w:val="0"/>
          <w:sz w:val="32"/>
          <w:szCs w:val="32"/>
          <w:highlight w:val="none"/>
        </w:rPr>
        <w:t>通过验收前，产品毁损灭失</w:t>
      </w:r>
      <w:r>
        <w:rPr>
          <w:rFonts w:hint="eastAsia" w:ascii="Times New Roman" w:hAnsi="Times New Roman" w:eastAsia="仿宋_GB2312" w:cs="Times New Roman"/>
          <w:kern w:val="0"/>
          <w:sz w:val="32"/>
          <w:szCs w:val="32"/>
          <w:highlight w:val="none"/>
          <w:lang w:eastAsia="zh-CN"/>
        </w:rPr>
        <w:t>等一切</w:t>
      </w:r>
      <w:r>
        <w:rPr>
          <w:rFonts w:hint="eastAsia" w:ascii="Times New Roman" w:hAnsi="Times New Roman" w:eastAsia="仿宋_GB2312" w:cs="Times New Roman"/>
          <w:kern w:val="0"/>
          <w:sz w:val="32"/>
          <w:szCs w:val="32"/>
          <w:highlight w:val="none"/>
        </w:rPr>
        <w:t>风险由乙方承担。</w:t>
      </w:r>
    </w:p>
    <w:p w14:paraId="325D31AC">
      <w:pPr>
        <w:pStyle w:val="22"/>
        <w:keepNext w:val="0"/>
        <w:keepLines w:val="0"/>
        <w:pageBreakBefore w:val="0"/>
        <w:kinsoku/>
        <w:wordWrap/>
        <w:overflowPunct/>
        <w:topLinePunct w:val="0"/>
        <w:bidi w:val="0"/>
        <w:spacing w:line="360" w:lineRule="auto"/>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（四）费用承担</w:t>
      </w:r>
    </w:p>
    <w:p w14:paraId="0EA06497">
      <w:pPr>
        <w:pStyle w:val="22"/>
        <w:keepNext w:val="0"/>
        <w:keepLines w:val="0"/>
        <w:pageBreakBefore w:val="0"/>
        <w:kinsoku/>
        <w:wordWrap/>
        <w:overflowPunct/>
        <w:topLinePunct w:val="0"/>
        <w:bidi w:val="0"/>
        <w:spacing w:line="360" w:lineRule="auto"/>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产品包装、运输</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装卸</w:t>
      </w:r>
      <w:r>
        <w:rPr>
          <w:rFonts w:hint="eastAsia" w:ascii="Times New Roman" w:hAnsi="Times New Roman" w:eastAsia="仿宋_GB2312" w:cs="Times New Roman"/>
          <w:kern w:val="0"/>
          <w:sz w:val="32"/>
          <w:szCs w:val="32"/>
          <w:highlight w:val="none"/>
          <w:lang w:val="en-US" w:eastAsia="zh-CN"/>
        </w:rPr>
        <w:t>及安装产生的垃圾清理等</w:t>
      </w:r>
      <w:r>
        <w:rPr>
          <w:rFonts w:hint="eastAsia" w:ascii="Times New Roman" w:hAnsi="Times New Roman" w:eastAsia="仿宋_GB2312" w:cs="Times New Roman"/>
          <w:kern w:val="0"/>
          <w:sz w:val="32"/>
          <w:szCs w:val="32"/>
          <w:highlight w:val="none"/>
        </w:rPr>
        <w:t>费用均由乙方承担。</w:t>
      </w:r>
    </w:p>
    <w:p w14:paraId="4EA22BD5">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default"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设备的安装与检验</w:t>
      </w:r>
    </w:p>
    <w:p w14:paraId="5DBA686E">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一</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交货查验。</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运抵合同交货地点后，由双方共同对</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进行清点查验，</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将按查验结果向</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签发有关交验文件。经双方共同对</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进行初步查验，由</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负责管理安装完成前的</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协助</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看管</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w:t>
      </w:r>
    </w:p>
    <w:p w14:paraId="00C60E86">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二</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安装调试。</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应在收到</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发出的安装调试通知后</w:t>
      </w:r>
      <w:r>
        <w:rPr>
          <w:rFonts w:hint="eastAsia" w:ascii="Times New Roman" w:hAnsi="Times New Roman" w:eastAsia="仿宋_GB2312" w:cs="Times New Roman"/>
          <w:kern w:val="0"/>
          <w:sz w:val="32"/>
          <w:szCs w:val="32"/>
          <w:highlight w:val="none"/>
        </w:rPr>
        <w:t>5</w:t>
      </w:r>
      <w:r>
        <w:rPr>
          <w:rFonts w:ascii="Times New Roman" w:hAnsi="Times New Roman" w:eastAsia="仿宋_GB2312" w:cs="Times New Roman"/>
          <w:kern w:val="0"/>
          <w:sz w:val="32"/>
          <w:szCs w:val="32"/>
          <w:highlight w:val="none"/>
        </w:rPr>
        <w:t>日内指派专业技术人员到达</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指定现场，并应在到达现场后</w:t>
      </w:r>
      <w:r>
        <w:rPr>
          <w:rFonts w:hint="eastAsia" w:ascii="Times New Roman" w:hAnsi="Times New Roman" w:eastAsia="仿宋_GB2312" w:cs="Times New Roman"/>
          <w:kern w:val="0"/>
          <w:sz w:val="32"/>
          <w:szCs w:val="32"/>
          <w:highlight w:val="none"/>
        </w:rPr>
        <w:t>1</w:t>
      </w:r>
      <w:r>
        <w:rPr>
          <w:rFonts w:ascii="Times New Roman" w:hAnsi="Times New Roman" w:eastAsia="仿宋_GB2312" w:cs="Times New Roman"/>
          <w:kern w:val="0"/>
          <w:sz w:val="32"/>
          <w:szCs w:val="32"/>
          <w:highlight w:val="none"/>
        </w:rPr>
        <w:t>日内完成</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的安装调试。</w:t>
      </w:r>
    </w:p>
    <w:p w14:paraId="17FB9045">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三</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验收。</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安装调试结束后</w:t>
      </w:r>
      <w:r>
        <w:rPr>
          <w:rFonts w:hint="eastAsia" w:ascii="Times New Roman" w:hAnsi="Times New Roman" w:eastAsia="仿宋_GB2312" w:cs="Times New Roman"/>
          <w:kern w:val="0"/>
          <w:sz w:val="32"/>
          <w:szCs w:val="32"/>
          <w:highlight w:val="none"/>
        </w:rPr>
        <w:t>5</w:t>
      </w:r>
      <w:r>
        <w:rPr>
          <w:rFonts w:ascii="Times New Roman" w:hAnsi="Times New Roman" w:eastAsia="仿宋_GB2312" w:cs="Times New Roman"/>
          <w:kern w:val="0"/>
          <w:sz w:val="32"/>
          <w:szCs w:val="32"/>
          <w:highlight w:val="none"/>
        </w:rPr>
        <w:t>日内，</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组织对</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以测试、运行试验等方式进行验收，</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将在检验合格后</w:t>
      </w:r>
      <w:r>
        <w:rPr>
          <w:rFonts w:hint="eastAsia" w:ascii="Times New Roman" w:hAnsi="Times New Roman" w:eastAsia="仿宋_GB2312" w:cs="Times New Roman"/>
          <w:kern w:val="0"/>
          <w:sz w:val="32"/>
          <w:szCs w:val="32"/>
          <w:highlight w:val="none"/>
        </w:rPr>
        <w:t>10</w:t>
      </w:r>
      <w:r>
        <w:rPr>
          <w:rFonts w:ascii="Times New Roman" w:hAnsi="Times New Roman" w:eastAsia="仿宋_GB2312" w:cs="Times New Roman"/>
          <w:kern w:val="0"/>
          <w:sz w:val="32"/>
          <w:szCs w:val="32"/>
          <w:highlight w:val="none"/>
        </w:rPr>
        <w:t>日内向</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签发验收证明。</w:t>
      </w:r>
    </w:p>
    <w:p w14:paraId="345D0FDA">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四</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在交货查验、安装调试、验收过程中，若</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存在任何不符合本合同约定的情形，则</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应在3日内或</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要求的</w:t>
      </w:r>
      <w:r>
        <w:rPr>
          <w:rFonts w:hint="eastAsia" w:ascii="Times New Roman" w:hAnsi="Times New Roman" w:eastAsia="仿宋_GB2312" w:cs="Times New Roman"/>
          <w:kern w:val="0"/>
          <w:sz w:val="32"/>
          <w:szCs w:val="32"/>
          <w:highlight w:val="none"/>
        </w:rPr>
        <w:t>合理</w:t>
      </w:r>
      <w:r>
        <w:rPr>
          <w:rFonts w:ascii="Times New Roman" w:hAnsi="Times New Roman" w:eastAsia="仿宋_GB2312" w:cs="Times New Roman"/>
          <w:kern w:val="0"/>
          <w:sz w:val="32"/>
          <w:szCs w:val="32"/>
          <w:highlight w:val="none"/>
        </w:rPr>
        <w:t>时间内补足、修复或更换</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eastAsia="zh-CN"/>
        </w:rPr>
        <w:t>甲方无需另行支付任何费用，</w:t>
      </w:r>
      <w:r>
        <w:rPr>
          <w:rFonts w:hint="eastAsia" w:ascii="Times New Roman" w:hAnsi="Times New Roman" w:eastAsia="仿宋_GB2312" w:cs="Times New Roman"/>
          <w:kern w:val="0"/>
          <w:sz w:val="32"/>
          <w:szCs w:val="32"/>
          <w:highlight w:val="none"/>
        </w:rPr>
        <w:t>否则视为该部分设备逾期交付</w:t>
      </w:r>
      <w:r>
        <w:rPr>
          <w:rFonts w:hint="eastAsia" w:ascii="Times New Roman" w:hAnsi="Times New Roman" w:eastAsia="仿宋_GB2312" w:cs="Times New Roman"/>
          <w:kern w:val="0"/>
          <w:sz w:val="32"/>
          <w:szCs w:val="32"/>
          <w:highlight w:val="none"/>
          <w:lang w:eastAsia="zh-CN"/>
        </w:rPr>
        <w:t>，甲方有权拒绝付款</w:t>
      </w:r>
      <w:r>
        <w:rPr>
          <w:rFonts w:ascii="Times New Roman" w:hAnsi="Times New Roman" w:eastAsia="仿宋_GB2312" w:cs="Times New Roman"/>
          <w:kern w:val="0"/>
          <w:sz w:val="32"/>
          <w:szCs w:val="32"/>
          <w:highlight w:val="none"/>
        </w:rPr>
        <w:t>。若</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经修复或更换仍不符合本合同约定，</w:t>
      </w:r>
      <w:r>
        <w:rPr>
          <w:rFonts w:hint="eastAsia" w:ascii="Times New Roman" w:hAnsi="Times New Roman" w:eastAsia="仿宋_GB2312" w:cs="Times New Roman"/>
          <w:kern w:val="0"/>
          <w:sz w:val="32"/>
          <w:szCs w:val="32"/>
          <w:highlight w:val="none"/>
        </w:rPr>
        <w:t>甲方有权</w:t>
      </w:r>
      <w:r>
        <w:rPr>
          <w:rFonts w:ascii="Times New Roman" w:hAnsi="Times New Roman" w:eastAsia="仿宋_GB2312" w:cs="Times New Roman"/>
          <w:kern w:val="0"/>
          <w:sz w:val="32"/>
          <w:szCs w:val="32"/>
          <w:highlight w:val="none"/>
        </w:rPr>
        <w:t>视情况选择退货或对</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进行降价。</w:t>
      </w:r>
    </w:p>
    <w:p w14:paraId="18C99145">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五</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无论</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通过了前述何阶段的检验，均不免除本合同质量保证期内的</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责任。</w:t>
      </w:r>
    </w:p>
    <w:p w14:paraId="6B72797F">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（六）</w:t>
      </w:r>
      <w:r>
        <w:rPr>
          <w:rFonts w:hint="eastAsia" w:ascii="Times New Roman" w:hAnsi="Times New Roman" w:eastAsia="仿宋_GB2312" w:cs="Times New Roman"/>
          <w:kern w:val="0"/>
          <w:sz w:val="32"/>
          <w:szCs w:val="32"/>
          <w:highlight w:val="none"/>
        </w:rPr>
        <w:t>乙方人员(包括受乙方委托提供送货、安装调试等服务的人员)应提供安全、专业的服务，如在送货、安装、调试过程中造成乙方及乙方服务人员自身、甲方及甲方人员或者任何第三方的人身或财产损害，应由乙方应承担全部责任</w:t>
      </w:r>
      <w:r>
        <w:rPr>
          <w:rFonts w:hint="eastAsia" w:ascii="Times New Roman" w:hAnsi="Times New Roman" w:eastAsia="仿宋_GB2312" w:cs="Times New Roman"/>
          <w:kern w:val="0"/>
          <w:sz w:val="32"/>
          <w:szCs w:val="32"/>
          <w:highlight w:val="none"/>
          <w:lang w:eastAsia="zh-CN"/>
        </w:rPr>
        <w:t>。</w:t>
      </w:r>
    </w:p>
    <w:p w14:paraId="547663DB">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质量保证</w:t>
      </w:r>
    </w:p>
    <w:p w14:paraId="67CFA0E6">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一</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的质量保证期为</w:t>
      </w:r>
      <w:r>
        <w:rPr>
          <w:rFonts w:hint="eastAsia" w:ascii="Times New Roman" w:hAnsi="Times New Roman" w:eastAsia="仿宋_GB2312" w:cs="Times New Roman"/>
          <w:kern w:val="0"/>
          <w:sz w:val="32"/>
          <w:szCs w:val="32"/>
          <w:highlight w:val="none"/>
          <w:u w:val="single"/>
          <w:lang w:val="en-US" w:eastAsia="zh-CN"/>
        </w:rPr>
        <w:t xml:space="preserve"> </w:t>
      </w:r>
      <w:r>
        <w:rPr>
          <w:rFonts w:hint="eastAsia" w:ascii="Times New Roman" w:hAnsi="Times New Roman" w:eastAsia="仿宋_GB2312" w:cs="Times New Roman"/>
          <w:kern w:val="0"/>
          <w:sz w:val="32"/>
          <w:szCs w:val="32"/>
          <w:highlight w:val="yellow"/>
          <w:u w:val="single"/>
          <w:lang w:val="en-US" w:eastAsia="zh-CN"/>
        </w:rPr>
        <w:t>**</w:t>
      </w:r>
      <w:r>
        <w:rPr>
          <w:rFonts w:hint="eastAsia" w:ascii="Times New Roman" w:hAnsi="Times New Roman" w:eastAsia="仿宋_GB2312" w:cs="Times New Roman"/>
          <w:kern w:val="0"/>
          <w:sz w:val="32"/>
          <w:szCs w:val="32"/>
          <w:highlight w:val="none"/>
          <w:u w:val="single"/>
          <w:lang w:val="en-US" w:eastAsia="zh-CN"/>
        </w:rPr>
        <w:t xml:space="preserve"> </w:t>
      </w:r>
      <w:r>
        <w:rPr>
          <w:rFonts w:ascii="Times New Roman" w:hAnsi="Times New Roman" w:eastAsia="仿宋_GB2312" w:cs="Times New Roman"/>
          <w:kern w:val="0"/>
          <w:sz w:val="32"/>
          <w:szCs w:val="32"/>
          <w:highlight w:val="none"/>
        </w:rPr>
        <w:t>个月，自</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通过</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验收之次日起算。</w:t>
      </w:r>
    </w:p>
    <w:p w14:paraId="7107A4DA">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二</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在质量保证期内，如果</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存在故障或缺陷，</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应在接到</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通知后的3日内或</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要求的合理时间内修复或更换</w:t>
      </w:r>
      <w:r>
        <w:rPr>
          <w:rFonts w:hint="eastAsia" w:ascii="Times New Roman" w:hAnsi="Times New Roman" w:eastAsia="仿宋_GB2312" w:cs="Times New Roman"/>
          <w:kern w:val="0"/>
          <w:sz w:val="32"/>
          <w:szCs w:val="32"/>
          <w:highlight w:val="none"/>
        </w:rPr>
        <w:t>，如逾期的，</w:t>
      </w:r>
      <w:r>
        <w:rPr>
          <w:rFonts w:hint="eastAsia" w:ascii="Times New Roman" w:hAnsi="Times New Roman" w:eastAsia="仿宋_GB2312" w:cs="Times New Roman"/>
          <w:kern w:val="0"/>
          <w:sz w:val="32"/>
          <w:szCs w:val="32"/>
          <w:highlight w:val="none"/>
          <w:lang w:val="en-US" w:eastAsia="zh-CN"/>
        </w:rPr>
        <w:t>每逾期一日</w:t>
      </w:r>
      <w:r>
        <w:rPr>
          <w:rFonts w:hint="eastAsia" w:ascii="Times New Roman" w:hAnsi="Times New Roman" w:eastAsia="仿宋_GB2312" w:cs="Times New Roman"/>
          <w:kern w:val="0"/>
          <w:sz w:val="32"/>
          <w:szCs w:val="32"/>
          <w:highlight w:val="none"/>
        </w:rPr>
        <w:t>按照每日</w:t>
      </w:r>
      <w:r>
        <w:rPr>
          <w:rFonts w:hint="eastAsia" w:ascii="Times New Roman" w:hAnsi="Times New Roman" w:eastAsia="仿宋_GB2312" w:cs="Times New Roman"/>
          <w:kern w:val="0"/>
          <w:sz w:val="32"/>
          <w:szCs w:val="32"/>
          <w:highlight w:val="none"/>
          <w:u w:val="single"/>
          <w:lang w:val="en-US" w:eastAsia="zh-CN"/>
        </w:rPr>
        <w:t xml:space="preserve">  100  </w:t>
      </w:r>
      <w:r>
        <w:rPr>
          <w:rFonts w:hint="eastAsia" w:ascii="Times New Roman" w:hAnsi="Times New Roman" w:eastAsia="仿宋_GB2312" w:cs="Times New Roman"/>
          <w:kern w:val="0"/>
          <w:sz w:val="32"/>
          <w:szCs w:val="32"/>
          <w:highlight w:val="none"/>
        </w:rPr>
        <w:t>元</w:t>
      </w:r>
      <w:r>
        <w:rPr>
          <w:rFonts w:hint="eastAsia" w:ascii="Times New Roman" w:hAnsi="Times New Roman" w:eastAsia="仿宋_GB2312" w:cs="Times New Roman"/>
          <w:kern w:val="0"/>
          <w:sz w:val="32"/>
          <w:szCs w:val="32"/>
          <w:highlight w:val="none"/>
          <w:lang w:val="en-US" w:eastAsia="zh-CN"/>
        </w:rPr>
        <w:t>标准向甲方</w:t>
      </w:r>
      <w:r>
        <w:rPr>
          <w:rFonts w:hint="eastAsia" w:ascii="Times New Roman" w:hAnsi="Times New Roman" w:eastAsia="仿宋_GB2312" w:cs="Times New Roman"/>
          <w:kern w:val="0"/>
          <w:sz w:val="32"/>
          <w:szCs w:val="32"/>
          <w:highlight w:val="none"/>
        </w:rPr>
        <w:t>支付违约金</w:t>
      </w:r>
      <w:r>
        <w:rPr>
          <w:rFonts w:ascii="Times New Roman" w:hAnsi="Times New Roman" w:eastAsia="仿宋_GB2312" w:cs="Times New Roman"/>
          <w:kern w:val="0"/>
          <w:sz w:val="32"/>
          <w:szCs w:val="32"/>
          <w:highlight w:val="none"/>
        </w:rPr>
        <w:t>。若缺陷或故障不是由于</w:t>
      </w:r>
      <w:r>
        <w:rPr>
          <w:rFonts w:hint="eastAsia" w:ascii="Times New Roman" w:hAnsi="Times New Roman" w:eastAsia="仿宋_GB2312" w:cs="Times New Roman"/>
          <w:kern w:val="0"/>
          <w:sz w:val="32"/>
          <w:szCs w:val="32"/>
          <w:highlight w:val="none"/>
          <w:lang w:eastAsia="zh-CN"/>
        </w:rPr>
        <w:t>甲方非正常使用或人为</w:t>
      </w:r>
      <w:r>
        <w:rPr>
          <w:rFonts w:ascii="Times New Roman" w:hAnsi="Times New Roman" w:eastAsia="仿宋_GB2312" w:cs="Times New Roman"/>
          <w:kern w:val="0"/>
          <w:sz w:val="32"/>
          <w:szCs w:val="32"/>
          <w:highlight w:val="none"/>
        </w:rPr>
        <w:t>破坏所造成，则所发生的费用均由</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承担。如果经</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修复或更换，仍未消除故障或缺陷，</w:t>
      </w:r>
      <w:r>
        <w:rPr>
          <w:rFonts w:hint="eastAsia" w:ascii="Times New Roman" w:hAnsi="Times New Roman" w:eastAsia="仿宋_GB2312" w:cs="Times New Roman"/>
          <w:kern w:val="0"/>
          <w:sz w:val="32"/>
          <w:szCs w:val="32"/>
          <w:highlight w:val="none"/>
        </w:rPr>
        <w:t>甲方有权</w:t>
      </w:r>
      <w:r>
        <w:rPr>
          <w:rFonts w:ascii="Times New Roman" w:hAnsi="Times New Roman" w:eastAsia="仿宋_GB2312" w:cs="Times New Roman"/>
          <w:kern w:val="0"/>
          <w:sz w:val="32"/>
          <w:szCs w:val="32"/>
          <w:highlight w:val="none"/>
        </w:rPr>
        <w:t>视情况选择</w:t>
      </w:r>
      <w:r>
        <w:rPr>
          <w:rFonts w:hint="eastAsia" w:ascii="Times New Roman" w:hAnsi="Times New Roman" w:eastAsia="仿宋_GB2312" w:cs="Times New Roman"/>
          <w:kern w:val="0"/>
          <w:sz w:val="32"/>
          <w:szCs w:val="32"/>
          <w:highlight w:val="none"/>
        </w:rPr>
        <w:t>换</w:t>
      </w:r>
      <w:r>
        <w:rPr>
          <w:rFonts w:ascii="Times New Roman" w:hAnsi="Times New Roman" w:eastAsia="仿宋_GB2312" w:cs="Times New Roman"/>
          <w:kern w:val="0"/>
          <w:sz w:val="32"/>
          <w:szCs w:val="32"/>
          <w:highlight w:val="none"/>
        </w:rPr>
        <w:t>货或对</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进行降价。若有更换，新更换</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的质量保证期</w:t>
      </w:r>
      <w:r>
        <w:rPr>
          <w:rFonts w:hint="eastAsia" w:ascii="Times New Roman" w:hAnsi="Times New Roman" w:eastAsia="仿宋_GB2312" w:cs="Times New Roman"/>
          <w:kern w:val="0"/>
          <w:sz w:val="32"/>
          <w:szCs w:val="32"/>
          <w:highlight w:val="none"/>
        </w:rPr>
        <w:t>在原质量保证期结束后单独计算增加6个月</w:t>
      </w:r>
      <w:r>
        <w:rPr>
          <w:rFonts w:ascii="Times New Roman" w:hAnsi="Times New Roman" w:eastAsia="仿宋_GB2312" w:cs="Times New Roman"/>
          <w:kern w:val="0"/>
          <w:sz w:val="32"/>
          <w:szCs w:val="32"/>
          <w:highlight w:val="none"/>
        </w:rPr>
        <w:t>。</w:t>
      </w:r>
    </w:p>
    <w:p w14:paraId="6916CEF0">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三</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若</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逾期或怠于履行质量保证期内的责任，则</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有权采取必要的补救措施（包括但不限于委托第三方修复或更换），由此所发生的</w:t>
      </w:r>
      <w:r>
        <w:rPr>
          <w:rFonts w:hint="eastAsia" w:ascii="Times New Roman" w:hAnsi="Times New Roman" w:eastAsia="仿宋_GB2312" w:cs="Times New Roman"/>
          <w:kern w:val="0"/>
          <w:sz w:val="32"/>
          <w:szCs w:val="32"/>
          <w:highlight w:val="none"/>
          <w:lang w:eastAsia="zh-CN"/>
        </w:rPr>
        <w:t>一切</w:t>
      </w:r>
      <w:r>
        <w:rPr>
          <w:rFonts w:ascii="Times New Roman" w:hAnsi="Times New Roman" w:eastAsia="仿宋_GB2312" w:cs="Times New Roman"/>
          <w:kern w:val="0"/>
          <w:sz w:val="32"/>
          <w:szCs w:val="32"/>
          <w:highlight w:val="none"/>
        </w:rPr>
        <w:t>费用与损失将由</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承担。</w:t>
      </w:r>
    </w:p>
    <w:p w14:paraId="6434C921">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四</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质量保证期内</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所使用的备品备件与易损易耗件的费用由</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承担。</w:t>
      </w:r>
    </w:p>
    <w:p w14:paraId="0D96D100">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售后服务</w:t>
      </w:r>
    </w:p>
    <w:p w14:paraId="70D551C4">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一</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在</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安装调试、拆卸、使用、维护保养、检测、维修等过程中，</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应向</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提供技术指导、协助等方面的支持，并指派合格人员对</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人员进行相应的专门培训。</w:t>
      </w:r>
    </w:p>
    <w:p w14:paraId="566E5124">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二</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的质量保证期届满后，</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应继续为</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提供维修、更换等方面的服务，且保证</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及其零部件、工具在</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寿命周期内的持续供应，并在价格与费用上给予</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优惠。</w:t>
      </w:r>
    </w:p>
    <w:p w14:paraId="3527366F">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三</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应向</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提供质量保证期届满之次日起</w:t>
      </w:r>
      <w:r>
        <w:rPr>
          <w:rFonts w:hint="eastAsia" w:ascii="Times New Roman" w:hAnsi="Times New Roman" w:eastAsia="仿宋_GB2312" w:cs="Times New Roman"/>
          <w:kern w:val="0"/>
          <w:sz w:val="32"/>
          <w:szCs w:val="32"/>
          <w:highlight w:val="none"/>
          <w:lang w:val="en-US" w:eastAsia="zh-CN"/>
        </w:rPr>
        <w:t>5</w:t>
      </w:r>
      <w:r>
        <w:rPr>
          <w:rFonts w:ascii="Times New Roman" w:hAnsi="Times New Roman" w:eastAsia="仿宋_GB2312" w:cs="Times New Roman"/>
          <w:kern w:val="0"/>
          <w:sz w:val="32"/>
          <w:szCs w:val="32"/>
          <w:highlight w:val="none"/>
        </w:rPr>
        <w:t>年内</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正常使用所需要的备品备件、易损易耗件清单，并应备有足够的存货以满足</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使用期内需要。若</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或其供应商将停止制造</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或其零部件，则</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应在停产前3个月</w:t>
      </w:r>
      <w:r>
        <w:rPr>
          <w:rFonts w:hint="eastAsia" w:ascii="Times New Roman" w:hAnsi="Times New Roman" w:eastAsia="仿宋_GB2312" w:cs="Times New Roman"/>
          <w:kern w:val="0"/>
          <w:sz w:val="32"/>
          <w:szCs w:val="32"/>
          <w:highlight w:val="none"/>
          <w:lang w:val="en-US" w:eastAsia="zh-CN"/>
        </w:rPr>
        <w:t>书面</w:t>
      </w:r>
      <w:r>
        <w:rPr>
          <w:rFonts w:ascii="Times New Roman" w:hAnsi="Times New Roman" w:eastAsia="仿宋_GB2312" w:cs="Times New Roman"/>
          <w:kern w:val="0"/>
          <w:sz w:val="32"/>
          <w:szCs w:val="32"/>
          <w:highlight w:val="none"/>
        </w:rPr>
        <w:t>通知</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w:t>
      </w:r>
    </w:p>
    <w:p w14:paraId="582818DE">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（四）</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的质量保证期届满后，</w:t>
      </w:r>
      <w:r>
        <w:rPr>
          <w:rFonts w:hint="eastAsia" w:ascii="Times New Roman" w:hAnsi="Times New Roman" w:eastAsia="仿宋_GB2312" w:cs="Times New Roman"/>
          <w:kern w:val="0"/>
          <w:sz w:val="32"/>
          <w:szCs w:val="32"/>
          <w:highlight w:val="none"/>
          <w:lang w:val="en-US" w:eastAsia="zh-CN"/>
        </w:rPr>
        <w:t>若</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继续为</w:t>
      </w:r>
      <w:r>
        <w:rPr>
          <w:rFonts w:hint="eastAsia" w:ascii="Times New Roman" w:hAnsi="Times New Roman" w:eastAsia="仿宋_GB2312" w:cs="Times New Roman"/>
          <w:kern w:val="0"/>
          <w:sz w:val="32"/>
          <w:szCs w:val="32"/>
          <w:highlight w:val="none"/>
        </w:rPr>
        <w:t>甲方</w:t>
      </w:r>
      <w:r>
        <w:rPr>
          <w:rFonts w:hint="eastAsia" w:ascii="Times New Roman" w:hAnsi="Times New Roman" w:eastAsia="仿宋_GB2312" w:cs="Times New Roman"/>
          <w:kern w:val="0"/>
          <w:sz w:val="32"/>
          <w:szCs w:val="32"/>
          <w:highlight w:val="none"/>
          <w:lang w:val="en-US" w:eastAsia="zh-CN"/>
        </w:rPr>
        <w:t>有偿</w:t>
      </w:r>
      <w:r>
        <w:rPr>
          <w:rFonts w:ascii="Times New Roman" w:hAnsi="Times New Roman" w:eastAsia="仿宋_GB2312" w:cs="Times New Roman"/>
          <w:kern w:val="0"/>
          <w:sz w:val="32"/>
          <w:szCs w:val="32"/>
          <w:highlight w:val="none"/>
        </w:rPr>
        <w:t>提供</w:t>
      </w:r>
      <w:r>
        <w:rPr>
          <w:rFonts w:hint="eastAsia" w:ascii="Times New Roman" w:hAnsi="Times New Roman" w:eastAsia="仿宋_GB2312" w:cs="Times New Roman"/>
          <w:kern w:val="0"/>
          <w:sz w:val="32"/>
          <w:szCs w:val="32"/>
          <w:highlight w:val="none"/>
          <w:lang w:val="en-US" w:eastAsia="zh-CN"/>
        </w:rPr>
        <w:t>设备相关耗材/试剂，则该设备耗材/试剂供应期间的</w:t>
      </w:r>
      <w:r>
        <w:rPr>
          <w:rFonts w:ascii="Times New Roman" w:hAnsi="Times New Roman" w:eastAsia="仿宋_GB2312" w:cs="Times New Roman"/>
          <w:kern w:val="0"/>
          <w:sz w:val="32"/>
          <w:szCs w:val="32"/>
          <w:highlight w:val="none"/>
        </w:rPr>
        <w:t>维修、更换</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设备使用寿命到期需换新）</w:t>
      </w:r>
      <w:r>
        <w:rPr>
          <w:rFonts w:ascii="Times New Roman" w:hAnsi="Times New Roman" w:eastAsia="仿宋_GB2312" w:cs="Times New Roman"/>
          <w:kern w:val="0"/>
          <w:sz w:val="32"/>
          <w:szCs w:val="32"/>
          <w:highlight w:val="none"/>
        </w:rPr>
        <w:t>等方面的</w:t>
      </w:r>
      <w:r>
        <w:rPr>
          <w:rFonts w:hint="eastAsia" w:ascii="Times New Roman" w:hAnsi="Times New Roman" w:eastAsia="仿宋_GB2312" w:cs="Times New Roman"/>
          <w:kern w:val="0"/>
          <w:sz w:val="32"/>
          <w:szCs w:val="32"/>
          <w:highlight w:val="none"/>
          <w:lang w:val="en-US" w:eastAsia="zh-CN"/>
        </w:rPr>
        <w:t>费用由乙方承担，否则甲方有权从耗材/试剂款中扣除</w:t>
      </w:r>
      <w:r>
        <w:rPr>
          <w:rFonts w:ascii="Times New Roman" w:hAnsi="Times New Roman" w:eastAsia="仿宋_GB2312" w:cs="Times New Roman"/>
          <w:kern w:val="0"/>
          <w:sz w:val="32"/>
          <w:szCs w:val="32"/>
          <w:highlight w:val="none"/>
        </w:rPr>
        <w:t>。</w:t>
      </w:r>
    </w:p>
    <w:p w14:paraId="2A1A1291">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知识产权</w:t>
      </w:r>
    </w:p>
    <w:p w14:paraId="22F5AC42">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应确保所供</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不存在侵犯第三方知识产权（包括版权、专利权、商标权、专有技术、商业秘密等）的情形，若所供</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涉及使用第三方知识产权，应获得相应许可并向</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提供许可使用证明。若第三方向</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主张侵权，则</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负责解决并承担由此产生的所有责任与费用（包括但不限于</w:t>
      </w:r>
      <w:r>
        <w:rPr>
          <w:rFonts w:hint="eastAsia" w:ascii="Times New Roman" w:hAnsi="Times New Roman" w:eastAsia="仿宋_GB2312" w:cs="Times New Roman"/>
          <w:kern w:val="0"/>
          <w:sz w:val="32"/>
          <w:szCs w:val="32"/>
          <w:highlight w:val="none"/>
        </w:rPr>
        <w:t>甲方为</w:t>
      </w:r>
      <w:r>
        <w:rPr>
          <w:rFonts w:ascii="Times New Roman" w:hAnsi="Times New Roman" w:eastAsia="仿宋_GB2312" w:cs="Times New Roman"/>
          <w:kern w:val="0"/>
          <w:sz w:val="32"/>
          <w:szCs w:val="32"/>
          <w:highlight w:val="none"/>
        </w:rPr>
        <w:t>解决纠纷、诉讼所发生的律师费、因此给</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造成的损失赔偿等）。</w:t>
      </w:r>
    </w:p>
    <w:p w14:paraId="14B299A8">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保密</w:t>
      </w:r>
    </w:p>
    <w:p w14:paraId="354779B5">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一</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除非本合同另有约定，为签订及履行本合同的目的（无论是在本合同生效之日还是生效日前或是生效日后），一方从对方获得或知悉的相关信息（该等信息包括但不限于本合同条款、相关文件与技术资料、对方的商业秘密以及其他对方专有或带有秘密性质的信息），该方均负有保密义务，未经对方许可，不得擅自向第三方披露或用于本合同之外的目的。</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因履行本合同确需向第三方披露保密信息的，应经</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书面许可，且与第三方签订保密协议，确保保密信息不用于本合同目的之外的用途；若第三方将从</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获取的保密信息用于本合同之外的目的，</w:t>
      </w:r>
      <w:r>
        <w:rPr>
          <w:rFonts w:hint="eastAsia" w:ascii="Times New Roman" w:hAnsi="Times New Roman" w:eastAsia="仿宋_GB2312" w:cs="Times New Roman"/>
          <w:kern w:val="0"/>
          <w:sz w:val="32"/>
          <w:szCs w:val="32"/>
          <w:highlight w:val="none"/>
        </w:rPr>
        <w:t>甲方有权追究乙方</w:t>
      </w:r>
      <w:r>
        <w:rPr>
          <w:rFonts w:ascii="Times New Roman" w:hAnsi="Times New Roman" w:eastAsia="仿宋_GB2312" w:cs="Times New Roman"/>
          <w:kern w:val="0"/>
          <w:sz w:val="32"/>
          <w:szCs w:val="32"/>
          <w:highlight w:val="none"/>
        </w:rPr>
        <w:t>违约责任</w:t>
      </w:r>
      <w:r>
        <w:rPr>
          <w:rFonts w:hint="eastAsia" w:ascii="Times New Roman" w:hAnsi="Times New Roman" w:eastAsia="仿宋_GB2312" w:cs="Times New Roman"/>
          <w:kern w:val="0"/>
          <w:sz w:val="32"/>
          <w:szCs w:val="32"/>
          <w:highlight w:val="none"/>
        </w:rPr>
        <w:t>，承担违约赔偿</w:t>
      </w:r>
      <w:r>
        <w:rPr>
          <w:rFonts w:hint="eastAsia" w:ascii="Times New Roman" w:hAnsi="Times New Roman" w:eastAsia="仿宋_GB2312" w:cs="Times New Roman"/>
          <w:kern w:val="0"/>
          <w:sz w:val="32"/>
          <w:szCs w:val="32"/>
          <w:highlight w:val="none"/>
          <w:lang w:eastAsia="zh-CN"/>
        </w:rPr>
        <w:t>包括但不限于诉讼费、律师费、保全费</w:t>
      </w:r>
      <w:r>
        <w:rPr>
          <w:rFonts w:ascii="Times New Roman" w:hAnsi="Times New Roman" w:eastAsia="仿宋_GB2312" w:cs="Times New Roman"/>
          <w:kern w:val="0"/>
          <w:sz w:val="32"/>
          <w:szCs w:val="32"/>
          <w:highlight w:val="none"/>
        </w:rPr>
        <w:t>。</w:t>
      </w:r>
    </w:p>
    <w:p w14:paraId="6A1DA3D4">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二</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保密期限为</w:t>
      </w:r>
      <w:r>
        <w:rPr>
          <w:rFonts w:hint="eastAsia" w:ascii="Times New Roman" w:hAnsi="Times New Roman" w:eastAsia="仿宋_GB2312" w:cs="Times New Roman"/>
          <w:kern w:val="0"/>
          <w:sz w:val="32"/>
          <w:szCs w:val="32"/>
          <w:highlight w:val="none"/>
        </w:rPr>
        <w:t>永久</w:t>
      </w:r>
      <w:r>
        <w:rPr>
          <w:rFonts w:ascii="Times New Roman" w:hAnsi="Times New Roman" w:eastAsia="仿宋_GB2312" w:cs="Times New Roman"/>
          <w:kern w:val="0"/>
          <w:sz w:val="32"/>
          <w:szCs w:val="32"/>
          <w:highlight w:val="none"/>
        </w:rPr>
        <w:t>，无论本合同是否被撤销、解除或终止，双方保密义务仍需履行。</w:t>
      </w:r>
    </w:p>
    <w:p w14:paraId="4B9679BF">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三</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因履行本合同、维修保养、检测、鉴定、接受检查、参加评审、诉讼等正当目的而使用，不属违反保密义务范畴。</w:t>
      </w:r>
    </w:p>
    <w:p w14:paraId="48DF120A">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违约责任</w:t>
      </w:r>
    </w:p>
    <w:p w14:paraId="2B7ACAB9">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一</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甲</w:t>
      </w:r>
      <w:r>
        <w:rPr>
          <w:rFonts w:hint="eastAsia" w:ascii="Times New Roman" w:hAnsi="Times New Roman" w:eastAsia="仿宋_GB2312" w:cs="Times New Roman"/>
          <w:kern w:val="0"/>
          <w:sz w:val="32"/>
          <w:szCs w:val="32"/>
          <w:highlight w:val="none"/>
        </w:rPr>
        <w:t>方</w:t>
      </w:r>
      <w:r>
        <w:rPr>
          <w:rFonts w:ascii="Times New Roman" w:hAnsi="Times New Roman" w:eastAsia="仿宋_GB2312" w:cs="Times New Roman"/>
          <w:kern w:val="0"/>
          <w:sz w:val="32"/>
          <w:szCs w:val="32"/>
          <w:highlight w:val="none"/>
        </w:rPr>
        <w:t>迟延</w:t>
      </w:r>
      <w:r>
        <w:rPr>
          <w:rFonts w:hint="eastAsia" w:ascii="Times New Roman" w:hAnsi="Times New Roman" w:eastAsia="仿宋_GB2312" w:cs="Times New Roman"/>
          <w:kern w:val="0"/>
          <w:sz w:val="32"/>
          <w:szCs w:val="32"/>
          <w:highlight w:val="none"/>
          <w:lang w:val="en-US" w:eastAsia="zh-CN"/>
        </w:rPr>
        <w:t>付款</w:t>
      </w:r>
      <w:r>
        <w:rPr>
          <w:rFonts w:ascii="Times New Roman" w:hAnsi="Times New Roman" w:eastAsia="仿宋_GB2312" w:cs="Times New Roman"/>
          <w:kern w:val="0"/>
          <w:sz w:val="32"/>
          <w:szCs w:val="32"/>
          <w:highlight w:val="none"/>
        </w:rPr>
        <w:t>，自</w:t>
      </w:r>
      <w:r>
        <w:rPr>
          <w:rFonts w:hint="eastAsia" w:ascii="Times New Roman" w:hAnsi="Times New Roman" w:eastAsia="仿宋_GB2312" w:cs="Times New Roman"/>
          <w:kern w:val="0"/>
          <w:sz w:val="32"/>
          <w:szCs w:val="32"/>
          <w:highlight w:val="none"/>
          <w:lang w:val="en-US" w:eastAsia="zh-CN"/>
        </w:rPr>
        <w:t>付款</w:t>
      </w:r>
      <w:r>
        <w:rPr>
          <w:rFonts w:hint="eastAsia" w:ascii="Times New Roman" w:hAnsi="Times New Roman" w:eastAsia="仿宋_GB2312" w:cs="Times New Roman"/>
          <w:kern w:val="0"/>
          <w:sz w:val="32"/>
          <w:szCs w:val="32"/>
          <w:highlight w:val="none"/>
        </w:rPr>
        <w:t>期限届满</w:t>
      </w:r>
      <w:r>
        <w:rPr>
          <w:rFonts w:ascii="Times New Roman" w:hAnsi="Times New Roman" w:eastAsia="仿宋_GB2312" w:cs="Times New Roman"/>
          <w:kern w:val="0"/>
          <w:sz w:val="32"/>
          <w:szCs w:val="32"/>
          <w:highlight w:val="none"/>
        </w:rPr>
        <w:t>之次日起，每迟延1日，</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应向</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支付迟延</w:t>
      </w:r>
      <w:r>
        <w:rPr>
          <w:rFonts w:hint="eastAsia" w:ascii="Times New Roman" w:hAnsi="Times New Roman" w:eastAsia="仿宋_GB2312" w:cs="Times New Roman"/>
          <w:kern w:val="0"/>
          <w:sz w:val="32"/>
          <w:szCs w:val="32"/>
          <w:highlight w:val="none"/>
          <w:lang w:val="en-US" w:eastAsia="zh-CN"/>
        </w:rPr>
        <w:t>付款的</w:t>
      </w:r>
      <w:r>
        <w:rPr>
          <w:rFonts w:ascii="Times New Roman" w:hAnsi="Times New Roman" w:eastAsia="仿宋_GB2312" w:cs="Times New Roman"/>
          <w:kern w:val="0"/>
          <w:sz w:val="32"/>
          <w:szCs w:val="32"/>
          <w:highlight w:val="none"/>
        </w:rPr>
        <w:t>部分价款总额</w:t>
      </w:r>
      <w:r>
        <w:rPr>
          <w:rFonts w:hint="eastAsia" w:ascii="Times New Roman" w:hAnsi="Times New Roman" w:eastAsia="仿宋_GB2312" w:cs="Times New Roman"/>
          <w:kern w:val="0"/>
          <w:sz w:val="32"/>
          <w:szCs w:val="32"/>
          <w:highlight w:val="none"/>
          <w:lang w:val="en-US" w:eastAsia="zh-CN"/>
        </w:rPr>
        <w:t>万分之三</w:t>
      </w:r>
      <w:r>
        <w:rPr>
          <w:rFonts w:ascii="Times New Roman" w:hAnsi="Times New Roman" w:eastAsia="仿宋_GB2312" w:cs="Times New Roman"/>
          <w:kern w:val="0"/>
          <w:sz w:val="32"/>
          <w:szCs w:val="32"/>
          <w:highlight w:val="none"/>
        </w:rPr>
        <w:t>的违约金</w:t>
      </w:r>
      <w:r>
        <w:rPr>
          <w:rFonts w:hint="eastAsia" w:ascii="Times New Roman" w:hAnsi="Times New Roman" w:eastAsia="仿宋_GB2312" w:cs="Times New Roman"/>
          <w:kern w:val="0"/>
          <w:sz w:val="32"/>
          <w:szCs w:val="32"/>
          <w:highlight w:val="none"/>
          <w:lang w:eastAsia="zh-CN"/>
        </w:rPr>
        <w:t>，违约金最高不超过合同标的额的</w:t>
      </w:r>
      <w:r>
        <w:rPr>
          <w:rFonts w:hint="eastAsia" w:ascii="Times New Roman" w:hAnsi="Times New Roman" w:eastAsia="仿宋_GB2312" w:cs="Times New Roman"/>
          <w:kern w:val="0"/>
          <w:sz w:val="32"/>
          <w:szCs w:val="32"/>
          <w:highlight w:val="none"/>
          <w:lang w:val="en-US" w:eastAsia="zh-CN"/>
        </w:rPr>
        <w:t>5%</w:t>
      </w:r>
      <w:r>
        <w:rPr>
          <w:rFonts w:ascii="Times New Roman" w:hAnsi="Times New Roman" w:eastAsia="仿宋_GB2312" w:cs="Times New Roman"/>
          <w:kern w:val="0"/>
          <w:sz w:val="32"/>
          <w:szCs w:val="32"/>
          <w:highlight w:val="none"/>
        </w:rPr>
        <w:t>。</w:t>
      </w:r>
    </w:p>
    <w:p w14:paraId="53B7EAEE">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二</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迟延交货，自</w:t>
      </w:r>
      <w:r>
        <w:rPr>
          <w:rFonts w:hint="eastAsia" w:ascii="Times New Roman" w:hAnsi="Times New Roman" w:eastAsia="仿宋_GB2312" w:cs="Times New Roman"/>
          <w:kern w:val="0"/>
          <w:sz w:val="32"/>
          <w:szCs w:val="32"/>
          <w:highlight w:val="none"/>
        </w:rPr>
        <w:t>交货期限届满</w:t>
      </w:r>
      <w:r>
        <w:rPr>
          <w:rFonts w:ascii="Times New Roman" w:hAnsi="Times New Roman" w:eastAsia="仿宋_GB2312" w:cs="Times New Roman"/>
          <w:kern w:val="0"/>
          <w:sz w:val="32"/>
          <w:szCs w:val="32"/>
          <w:highlight w:val="none"/>
        </w:rPr>
        <w:t>之次日起，每迟延1日，</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应向</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支付迟延交货部分价款总额</w:t>
      </w:r>
      <w:r>
        <w:rPr>
          <w:rFonts w:hint="eastAsia" w:ascii="Times New Roman" w:hAnsi="Times New Roman" w:eastAsia="仿宋_GB2312" w:cs="Times New Roman"/>
          <w:kern w:val="0"/>
          <w:sz w:val="32"/>
          <w:szCs w:val="32"/>
          <w:highlight w:val="none"/>
          <w:lang w:val="en-US" w:eastAsia="zh-CN"/>
        </w:rPr>
        <w:t>万分之三</w:t>
      </w:r>
      <w:r>
        <w:rPr>
          <w:rFonts w:ascii="Times New Roman" w:hAnsi="Times New Roman" w:eastAsia="仿宋_GB2312" w:cs="Times New Roman"/>
          <w:kern w:val="0"/>
          <w:sz w:val="32"/>
          <w:szCs w:val="32"/>
          <w:highlight w:val="none"/>
        </w:rPr>
        <w:t>的违约金</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甲方有权直接在应付未付合同价款中扣减乙方前述违约金</w:t>
      </w:r>
      <w:r>
        <w:rPr>
          <w:rFonts w:ascii="Times New Roman" w:hAnsi="Times New Roman" w:eastAsia="仿宋_GB2312" w:cs="Times New Roman"/>
          <w:kern w:val="0"/>
          <w:sz w:val="32"/>
          <w:szCs w:val="32"/>
          <w:highlight w:val="none"/>
        </w:rPr>
        <w:t>。迟延超过30日，</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享有全部或部分解除本合同的选择权，前述</w:t>
      </w:r>
      <w:r>
        <w:rPr>
          <w:rFonts w:hint="eastAsia" w:ascii="Times New Roman" w:hAnsi="Times New Roman" w:eastAsia="仿宋_GB2312" w:cs="Times New Roman"/>
          <w:kern w:val="0"/>
          <w:sz w:val="32"/>
          <w:szCs w:val="32"/>
          <w:highlight w:val="none"/>
        </w:rPr>
        <w:t>迟延履行</w:t>
      </w:r>
      <w:r>
        <w:rPr>
          <w:rFonts w:ascii="Times New Roman" w:hAnsi="Times New Roman" w:eastAsia="仿宋_GB2312" w:cs="Times New Roman"/>
          <w:kern w:val="0"/>
          <w:sz w:val="32"/>
          <w:szCs w:val="32"/>
          <w:highlight w:val="none"/>
        </w:rPr>
        <w:t>违约金累计至实际交货日或合同解除日。</w:t>
      </w:r>
      <w:r>
        <w:rPr>
          <w:rFonts w:hint="eastAsia" w:ascii="Times New Roman" w:hAnsi="Times New Roman" w:eastAsia="仿宋_GB2312" w:cs="Times New Roman"/>
          <w:kern w:val="0"/>
          <w:sz w:val="32"/>
          <w:szCs w:val="32"/>
          <w:highlight w:val="none"/>
        </w:rPr>
        <w:t>并且，如甲方选择</w:t>
      </w:r>
      <w:r>
        <w:rPr>
          <w:rFonts w:ascii="Times New Roman" w:hAnsi="Times New Roman" w:eastAsia="仿宋_GB2312" w:cs="Times New Roman"/>
          <w:kern w:val="0"/>
          <w:sz w:val="32"/>
          <w:szCs w:val="32"/>
          <w:highlight w:val="none"/>
        </w:rPr>
        <w:t>全部或部分解除本合同</w:t>
      </w:r>
      <w:r>
        <w:rPr>
          <w:rFonts w:hint="eastAsia" w:ascii="Times New Roman" w:hAnsi="Times New Roman" w:eastAsia="仿宋_GB2312" w:cs="Times New Roman"/>
          <w:kern w:val="0"/>
          <w:sz w:val="32"/>
          <w:szCs w:val="32"/>
          <w:highlight w:val="none"/>
        </w:rPr>
        <w:t>，甲方有权要求乙方在支付迟延履行违约金的同时，另行支付合同总价1</w:t>
      </w:r>
      <w:r>
        <w:rPr>
          <w:rFonts w:ascii="Times New Roman" w:hAnsi="Times New Roman" w:eastAsia="仿宋_GB2312" w:cs="Times New Roman"/>
          <w:kern w:val="0"/>
          <w:sz w:val="32"/>
          <w:szCs w:val="32"/>
          <w:highlight w:val="none"/>
        </w:rPr>
        <w:t>0</w:t>
      </w:r>
      <w:r>
        <w:rPr>
          <w:rFonts w:hint="eastAsia" w:ascii="Times New Roman" w:hAnsi="Times New Roman" w:eastAsia="仿宋_GB2312" w:cs="Times New Roman"/>
          <w:kern w:val="0"/>
          <w:sz w:val="32"/>
          <w:szCs w:val="32"/>
          <w:highlight w:val="none"/>
        </w:rPr>
        <w:t>%的解除违约金。</w:t>
      </w:r>
    </w:p>
    <w:p w14:paraId="5395CF88">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三</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违反本合同约定而侵犯了第三方知识产权，每出现一次，应向</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支付侵权</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价款总额5%的违约金，该违约金不因</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尽职解决而免除。若因侵犯第三方知识产权导致</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造成</w:t>
      </w:r>
      <w:r>
        <w:rPr>
          <w:rFonts w:hint="eastAsia" w:ascii="Times New Roman" w:hAnsi="Times New Roman" w:eastAsia="仿宋_GB2312" w:cs="Times New Roman"/>
          <w:kern w:val="0"/>
          <w:sz w:val="32"/>
          <w:szCs w:val="32"/>
          <w:highlight w:val="none"/>
        </w:rPr>
        <w:t>实际损失</w:t>
      </w:r>
      <w:r>
        <w:rPr>
          <w:rFonts w:ascii="Times New Roman" w:hAnsi="Times New Roman" w:eastAsia="仿宋_GB2312" w:cs="Times New Roman"/>
          <w:kern w:val="0"/>
          <w:sz w:val="32"/>
          <w:szCs w:val="32"/>
          <w:highlight w:val="none"/>
        </w:rPr>
        <w:t>等情况，</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应对由此给</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造成的损失予以赔偿。</w:t>
      </w:r>
    </w:p>
    <w:p w14:paraId="38783030">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四</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在交货查验、过程检验、验收直至最终用户验收过程中，若</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经检验不符合本合同约定，则</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应按</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价款的10%向</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支付违约金</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若</w:t>
      </w:r>
      <w:r>
        <w:rPr>
          <w:rFonts w:hint="eastAsia" w:ascii="Times New Roman" w:hAnsi="Times New Roman" w:eastAsia="仿宋_GB2312" w:cs="Times New Roman"/>
          <w:kern w:val="0"/>
          <w:sz w:val="32"/>
          <w:szCs w:val="32"/>
          <w:highlight w:val="none"/>
        </w:rPr>
        <w:t>设备</w:t>
      </w:r>
      <w:r>
        <w:rPr>
          <w:rFonts w:ascii="Times New Roman" w:hAnsi="Times New Roman" w:eastAsia="仿宋_GB2312" w:cs="Times New Roman"/>
          <w:kern w:val="0"/>
          <w:sz w:val="32"/>
          <w:szCs w:val="32"/>
          <w:highlight w:val="none"/>
        </w:rPr>
        <w:t>经</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更换或修复后，经第二次检验仍不符合本合同约定，则前述违约金调增为20%，同时</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享有全部解除本合同的选择权。</w:t>
      </w:r>
    </w:p>
    <w:p w14:paraId="7CC8F778">
      <w:pPr>
        <w:pStyle w:val="3"/>
        <w:spacing w:line="360" w:lineRule="auto"/>
        <w:ind w:firstLine="640" w:firstLineChars="200"/>
        <w:jc w:val="both"/>
        <w:rPr>
          <w:rFonts w:hint="default" w:eastAsia="仿宋_GB2312"/>
          <w:highlight w:val="none"/>
          <w:lang w:val="en-US" w:eastAsia="zh-CN"/>
        </w:rPr>
      </w:pPr>
      <w:r>
        <w:rPr>
          <w:rFonts w:hint="eastAsia" w:ascii="Times New Roman" w:hAnsi="Times New Roman" w:eastAsia="仿宋_GB2312" w:cs="Times New Roman"/>
          <w:b w:val="0"/>
          <w:kern w:val="0"/>
          <w:sz w:val="32"/>
          <w:szCs w:val="32"/>
          <w:highlight w:val="none"/>
          <w:lang w:val="en-US" w:eastAsia="zh-CN" w:bidi="ar-SA"/>
        </w:rPr>
        <w:t>（五）乙方所提供的设备，因产品质量问题或性能导致医患纠纷或赔偿的，由乙方（设备出售人）及设备生产厂商承担赔偿责任，医院代为垫付的，有权向乙方追偿。</w:t>
      </w:r>
    </w:p>
    <w:p w14:paraId="7FDB0F00">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六</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任何一方违反本合同保密义务，应赔偿因此给对方造成的所有损失，损失额难以确定的，以本合同</w:t>
      </w:r>
      <w:r>
        <w:rPr>
          <w:rFonts w:hint="eastAsia" w:ascii="Times New Roman" w:hAnsi="Times New Roman" w:eastAsia="仿宋_GB2312" w:cs="Times New Roman"/>
          <w:kern w:val="0"/>
          <w:sz w:val="32"/>
          <w:szCs w:val="32"/>
          <w:highlight w:val="none"/>
        </w:rPr>
        <w:t>总价金</w:t>
      </w:r>
      <w:r>
        <w:rPr>
          <w:rFonts w:ascii="Times New Roman" w:hAnsi="Times New Roman" w:eastAsia="仿宋_GB2312" w:cs="Times New Roman"/>
          <w:kern w:val="0"/>
          <w:sz w:val="32"/>
          <w:szCs w:val="32"/>
          <w:highlight w:val="none"/>
        </w:rPr>
        <w:t>额的</w:t>
      </w:r>
      <w:r>
        <w:rPr>
          <w:rFonts w:hint="eastAsia" w:ascii="Times New Roman" w:hAnsi="Times New Roman" w:eastAsia="仿宋_GB2312" w:cs="Times New Roman"/>
          <w:kern w:val="0"/>
          <w:sz w:val="32"/>
          <w:szCs w:val="32"/>
          <w:highlight w:val="none"/>
          <w:lang w:val="en-US" w:eastAsia="zh-CN"/>
        </w:rPr>
        <w:t>30</w:t>
      </w:r>
      <w:r>
        <w:rPr>
          <w:rFonts w:ascii="Times New Roman" w:hAnsi="Times New Roman" w:eastAsia="仿宋_GB2312" w:cs="Times New Roman"/>
          <w:kern w:val="0"/>
          <w:sz w:val="32"/>
          <w:szCs w:val="32"/>
          <w:highlight w:val="none"/>
        </w:rPr>
        <w:t>%作为损失额。</w:t>
      </w:r>
    </w:p>
    <w:p w14:paraId="00AA6092">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七</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若</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违反本合同项下反腐败、反商业贿赂及其他合规承诺，</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有权选择全部或部分解除合同，</w:t>
      </w:r>
      <w:r>
        <w:rPr>
          <w:rFonts w:hint="eastAsia" w:ascii="Times New Roman" w:hAnsi="Times New Roman" w:eastAsia="仿宋_GB2312" w:cs="Times New Roman"/>
          <w:kern w:val="0"/>
          <w:sz w:val="32"/>
          <w:szCs w:val="32"/>
          <w:highlight w:val="none"/>
        </w:rPr>
        <w:t>乙方除应承担本合同总价款</w:t>
      </w:r>
      <w:r>
        <w:rPr>
          <w:rFonts w:ascii="Times New Roman" w:hAnsi="Times New Roman" w:eastAsia="仿宋_GB2312" w:cs="Times New Roman"/>
          <w:kern w:val="0"/>
          <w:sz w:val="32"/>
          <w:szCs w:val="32"/>
          <w:highlight w:val="none"/>
        </w:rPr>
        <w:t>20</w:t>
      </w:r>
      <w:r>
        <w:rPr>
          <w:rFonts w:hint="eastAsia" w:ascii="Times New Roman" w:hAnsi="Times New Roman" w:eastAsia="仿宋_GB2312" w:cs="Times New Roman"/>
          <w:kern w:val="0"/>
          <w:sz w:val="32"/>
          <w:szCs w:val="32"/>
          <w:highlight w:val="none"/>
        </w:rPr>
        <w:t>%的违约金外，还应</w:t>
      </w:r>
      <w:r>
        <w:rPr>
          <w:rFonts w:ascii="Times New Roman" w:hAnsi="Times New Roman" w:eastAsia="仿宋_GB2312" w:cs="Times New Roman"/>
          <w:kern w:val="0"/>
          <w:sz w:val="32"/>
          <w:szCs w:val="32"/>
          <w:highlight w:val="none"/>
        </w:rPr>
        <w:t>对解除合同给</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造成的所有损失予以赔偿，包括但不限于因此导致</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被调查、被</w:t>
      </w:r>
      <w:r>
        <w:rPr>
          <w:rFonts w:hint="eastAsia" w:ascii="Times New Roman" w:hAnsi="Times New Roman" w:eastAsia="仿宋_GB2312" w:cs="Times New Roman"/>
          <w:kern w:val="0"/>
          <w:sz w:val="32"/>
          <w:szCs w:val="32"/>
          <w:highlight w:val="none"/>
        </w:rPr>
        <w:t>停业</w:t>
      </w:r>
      <w:r>
        <w:rPr>
          <w:rFonts w:ascii="Times New Roman" w:hAnsi="Times New Roman" w:eastAsia="仿宋_GB2312" w:cs="Times New Roman"/>
          <w:kern w:val="0"/>
          <w:sz w:val="32"/>
          <w:szCs w:val="32"/>
          <w:highlight w:val="none"/>
        </w:rPr>
        <w:t>、被索赔以及</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在有限期间内以合理价格采取的必要补</w:t>
      </w:r>
      <w:r>
        <w:rPr>
          <w:rFonts w:hint="eastAsia" w:ascii="Times New Roman" w:hAnsi="Times New Roman" w:eastAsia="仿宋_GB2312" w:cs="Times New Roman"/>
          <w:kern w:val="0"/>
          <w:sz w:val="32"/>
          <w:szCs w:val="32"/>
          <w:highlight w:val="none"/>
          <w:lang w:eastAsia="zh-CN"/>
        </w:rPr>
        <w:t>救</w:t>
      </w:r>
      <w:r>
        <w:rPr>
          <w:rFonts w:ascii="Times New Roman" w:hAnsi="Times New Roman" w:eastAsia="仿宋_GB2312" w:cs="Times New Roman"/>
          <w:kern w:val="0"/>
          <w:sz w:val="32"/>
          <w:szCs w:val="32"/>
          <w:highlight w:val="none"/>
        </w:rPr>
        <w:t>措施等事项所发生的费用。</w:t>
      </w:r>
    </w:p>
    <w:p w14:paraId="5FB25FBB">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八</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除本合同另有约定外，本合同任何一方不履行约定义务或违反本合同条款内容，除应按照本合同约定承担违约及赔偿责任外，还应承担给守约方造成的</w:t>
      </w:r>
      <w:r>
        <w:rPr>
          <w:rFonts w:hint="eastAsia" w:ascii="Times New Roman" w:hAnsi="Times New Roman" w:eastAsia="仿宋_GB2312" w:cs="Times New Roman"/>
          <w:kern w:val="0"/>
          <w:sz w:val="32"/>
          <w:szCs w:val="32"/>
          <w:highlight w:val="none"/>
          <w:lang w:val="en-US" w:eastAsia="zh-CN"/>
        </w:rPr>
        <w:t>全部</w:t>
      </w:r>
      <w:r>
        <w:rPr>
          <w:rFonts w:hint="eastAsia" w:ascii="Times New Roman" w:hAnsi="Times New Roman" w:eastAsia="仿宋_GB2312" w:cs="Times New Roman"/>
          <w:kern w:val="0"/>
          <w:sz w:val="32"/>
          <w:szCs w:val="32"/>
          <w:highlight w:val="none"/>
        </w:rPr>
        <w:t>经济损失（包括但不限于通讯费、评估费、诉讼费、律师费等）。</w:t>
      </w:r>
    </w:p>
    <w:p w14:paraId="1CC0A833">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不可抗力及其他</w:t>
      </w:r>
    </w:p>
    <w:p w14:paraId="11AC1B4A">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一</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因不可抗力、国家法律法规和</w:t>
      </w:r>
      <w:r>
        <w:rPr>
          <w:rFonts w:hint="eastAsia" w:ascii="Times New Roman" w:hAnsi="Times New Roman" w:eastAsia="仿宋_GB2312" w:cs="Times New Roman"/>
          <w:kern w:val="0"/>
          <w:sz w:val="32"/>
          <w:szCs w:val="32"/>
          <w:highlight w:val="none"/>
          <w:lang w:val="en-US" w:eastAsia="zh-CN"/>
        </w:rPr>
        <w:t>政</w:t>
      </w:r>
      <w:r>
        <w:rPr>
          <w:rFonts w:ascii="Times New Roman" w:hAnsi="Times New Roman" w:eastAsia="仿宋_GB2312" w:cs="Times New Roman"/>
          <w:kern w:val="0"/>
          <w:sz w:val="32"/>
          <w:szCs w:val="32"/>
          <w:highlight w:val="none"/>
        </w:rPr>
        <w:t>策原因，影响本合同的履行，或导致本合同部分或全部不能继续履行的。双方互不负违约责任，善后事宜按照公平原则，双方协商解决</w:t>
      </w:r>
    </w:p>
    <w:p w14:paraId="661B7A4F">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cs="Times New Roman"/>
          <w:kern w:val="0"/>
          <w:sz w:val="32"/>
          <w:szCs w:val="32"/>
          <w:highlight w:val="none"/>
          <w:lang w:val="en-US" w:eastAsia="zh-Hans"/>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二</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因前款约定受到影响的一方，应在遭受后的</w:t>
      </w:r>
      <w:r>
        <w:rPr>
          <w:rFonts w:hint="eastAsia" w:ascii="Times New Roman" w:hAnsi="Times New Roman" w:eastAsia="仿宋_GB2312" w:cs="Times New Roman"/>
          <w:kern w:val="0"/>
          <w:sz w:val="32"/>
          <w:szCs w:val="32"/>
          <w:highlight w:val="none"/>
          <w:lang w:val="en-US" w:eastAsia="zh-CN"/>
        </w:rPr>
        <w:t>3</w:t>
      </w:r>
      <w:r>
        <w:rPr>
          <w:rFonts w:ascii="Times New Roman" w:hAnsi="Times New Roman" w:eastAsia="仿宋_GB2312" w:cs="Times New Roman"/>
          <w:kern w:val="0"/>
          <w:sz w:val="32"/>
          <w:szCs w:val="32"/>
          <w:highlight w:val="none"/>
        </w:rPr>
        <w:t>日内</w:t>
      </w:r>
      <w:r>
        <w:rPr>
          <w:rFonts w:hint="eastAsia" w:ascii="Times New Roman" w:hAnsi="Times New Roman" w:eastAsia="仿宋_GB2312" w:cs="Times New Roman"/>
          <w:kern w:val="0"/>
          <w:sz w:val="32"/>
          <w:szCs w:val="32"/>
          <w:highlight w:val="none"/>
          <w:lang w:val="en-US" w:eastAsia="zh-CN"/>
        </w:rPr>
        <w:t>通知对方以减轻可能给对方造成的损失，并应当在15日内</w:t>
      </w:r>
      <w:r>
        <w:rPr>
          <w:rFonts w:ascii="Times New Roman" w:hAnsi="Times New Roman" w:eastAsia="仿宋_GB2312" w:cs="Times New Roman"/>
          <w:kern w:val="0"/>
          <w:sz w:val="32"/>
          <w:szCs w:val="32"/>
          <w:highlight w:val="none"/>
        </w:rPr>
        <w:t>将详细情况连同相关的证明</w:t>
      </w:r>
      <w:r>
        <w:rPr>
          <w:rFonts w:hint="eastAsia" w:ascii="Times New Roman" w:hAnsi="Times New Roman" w:eastAsia="仿宋_GB2312" w:cs="Times New Roman"/>
          <w:kern w:val="0"/>
          <w:sz w:val="32"/>
          <w:szCs w:val="32"/>
          <w:highlight w:val="none"/>
          <w:lang w:val="en-US" w:eastAsia="zh-CN"/>
        </w:rPr>
        <w:t>书面提供给对方</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Hans"/>
        </w:rPr>
        <w:t>若未及时按本合同约定通知对方，应就通知不及时给对方造成的损失进行赔偿。</w:t>
      </w:r>
    </w:p>
    <w:p w14:paraId="630C208E">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val="en-US" w:eastAsia="zh-CN"/>
        </w:rPr>
        <w:t>（三）因党和国家、军队法规政策调整与本合同（协议）发生冲突的，以党和国家、军队法规政策为准。如党和国家、军队或甲方上级公司政策决定等，对本合同采取变更、解除、终止等措施时，乙方自愿接受，并不视为甲方违约，甲方无需承担任何违约责任。</w:t>
      </w:r>
    </w:p>
    <w:p w14:paraId="066B2C54">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争议解决</w:t>
      </w:r>
    </w:p>
    <w:p w14:paraId="32677DEB">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因履行本合同所发生的所有争议，如果双方不能协商一致，任何一方提起的诉讼均由</w:t>
      </w:r>
      <w:r>
        <w:rPr>
          <w:rFonts w:hint="eastAsia" w:ascii="Times New Roman" w:hAnsi="Times New Roman" w:eastAsia="仿宋_GB2312" w:cs="Times New Roman"/>
          <w:kern w:val="0"/>
          <w:sz w:val="32"/>
          <w:szCs w:val="32"/>
          <w:highlight w:val="none"/>
        </w:rPr>
        <w:t>甲方</w:t>
      </w:r>
      <w:r>
        <w:rPr>
          <w:rFonts w:hint="eastAsia" w:ascii="Times New Roman" w:hAnsi="Times New Roman" w:eastAsia="仿宋_GB2312" w:cs="Times New Roman"/>
          <w:kern w:val="0"/>
          <w:sz w:val="32"/>
          <w:szCs w:val="32"/>
          <w:highlight w:val="none"/>
          <w:lang w:val="en-US" w:eastAsia="zh-CN"/>
        </w:rPr>
        <w:t>所在</w:t>
      </w:r>
      <w:r>
        <w:rPr>
          <w:rFonts w:ascii="Times New Roman" w:hAnsi="Times New Roman" w:eastAsia="仿宋_GB2312" w:cs="Times New Roman"/>
          <w:kern w:val="0"/>
          <w:sz w:val="32"/>
          <w:szCs w:val="32"/>
          <w:highlight w:val="none"/>
        </w:rPr>
        <w:t>地人民法院管辖。</w:t>
      </w:r>
    </w:p>
    <w:p w14:paraId="53EAE71D">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通知和送达</w:t>
      </w:r>
    </w:p>
    <w:p w14:paraId="535A3470">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一</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任何一方发出的书面通知及文件，均应以信函邮寄或电子邮件方式送达至</w:t>
      </w:r>
      <w:r>
        <w:rPr>
          <w:rFonts w:hint="eastAsia" w:ascii="仿宋_GB2312" w:hAnsi="仿宋_GB2312" w:eastAsia="仿宋_GB2312" w:cs="仿宋_GB2312"/>
          <w:kern w:val="0"/>
          <w:sz w:val="32"/>
          <w:szCs w:val="32"/>
          <w:highlight w:val="none"/>
          <w:lang w:val="en-US" w:eastAsia="zh-CN"/>
        </w:rPr>
        <w:t>以下列明</w:t>
      </w:r>
      <w:r>
        <w:rPr>
          <w:rFonts w:hint="eastAsia" w:ascii="仿宋_GB2312" w:hAnsi="仿宋_GB2312" w:eastAsia="仿宋_GB2312" w:cs="仿宋_GB2312"/>
          <w:kern w:val="0"/>
          <w:sz w:val="32"/>
          <w:szCs w:val="32"/>
          <w:highlight w:val="none"/>
        </w:rPr>
        <w:t>的地址。任一方变更接收地址，均应及时书面通知另一方，否则视为未变更。</w:t>
      </w:r>
    </w:p>
    <w:p w14:paraId="1D519D3E">
      <w:pPr>
        <w:pStyle w:val="22"/>
        <w:spacing w:line="360" w:lineRule="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甲方：</w:t>
      </w:r>
      <w:r>
        <w:rPr>
          <w:rFonts w:hint="eastAsia" w:ascii="仿宋_GB2312" w:hAnsi="仿宋_GB2312" w:eastAsia="仿宋_GB2312" w:cs="仿宋_GB2312"/>
          <w:b w:val="0"/>
          <w:bCs w:val="0"/>
          <w:kern w:val="0"/>
          <w:sz w:val="32"/>
          <w:szCs w:val="32"/>
          <w:highlight w:val="none"/>
          <w:lang w:eastAsia="zh-CN"/>
        </w:rPr>
        <w:t>鹰潭一八四医院</w:t>
      </w:r>
      <w:r>
        <w:rPr>
          <w:rFonts w:hint="eastAsia" w:ascii="仿宋_GB2312" w:hAnsi="仿宋_GB2312" w:eastAsia="仿宋_GB2312" w:cs="仿宋_GB2312"/>
          <w:kern w:val="0"/>
          <w:sz w:val="32"/>
          <w:szCs w:val="32"/>
          <w:highlight w:val="none"/>
          <w:lang w:val="en-US" w:eastAsia="zh-CN" w:bidi="ar-SA"/>
        </w:rPr>
        <w:t xml:space="preserve">                   </w:t>
      </w:r>
    </w:p>
    <w:p w14:paraId="75A841E6">
      <w:pPr>
        <w:pStyle w:val="22"/>
        <w:spacing w:line="360" w:lineRule="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收件人</w:t>
      </w:r>
      <w:r>
        <w:rPr>
          <w:rFonts w:hint="eastAsia" w:ascii="仿宋_GB2312" w:hAnsi="仿宋_GB2312" w:eastAsia="仿宋_GB2312" w:cs="仿宋_GB2312"/>
          <w:kern w:val="0"/>
          <w:sz w:val="32"/>
          <w:szCs w:val="32"/>
          <w:highlight w:val="yellow"/>
          <w:lang w:val="en-US" w:eastAsia="zh-CN" w:bidi="ar-SA"/>
        </w:rPr>
        <w:t>：</w:t>
      </w:r>
      <w:r>
        <w:rPr>
          <w:rFonts w:hint="eastAsia" w:ascii="仿宋_GB2312" w:hAnsi="仿宋_GB2312" w:cs="仿宋_GB2312"/>
          <w:kern w:val="0"/>
          <w:sz w:val="32"/>
          <w:szCs w:val="32"/>
          <w:highlight w:val="yellow"/>
          <w:lang w:val="en-US" w:eastAsia="zh-CN" w:bidi="ar-SA"/>
        </w:rPr>
        <w:t>***</w:t>
      </w:r>
      <w:r>
        <w:rPr>
          <w:rFonts w:hint="eastAsia" w:ascii="仿宋_GB2312" w:hAnsi="仿宋_GB2312" w:eastAsia="仿宋_GB2312" w:cs="仿宋_GB2312"/>
          <w:kern w:val="0"/>
          <w:sz w:val="32"/>
          <w:szCs w:val="32"/>
          <w:highlight w:val="none"/>
          <w:lang w:val="en-US" w:eastAsia="zh-CN" w:bidi="ar-SA"/>
        </w:rPr>
        <w:t xml:space="preserve">         </w:t>
      </w:r>
    </w:p>
    <w:p w14:paraId="7004F748">
      <w:pPr>
        <w:pStyle w:val="22"/>
        <w:spacing w:line="360" w:lineRule="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xml:space="preserve">地址： </w:t>
      </w:r>
      <w:r>
        <w:rPr>
          <w:rFonts w:hint="eastAsia" w:ascii="仿宋_GB2312" w:hAnsi="仿宋_GB2312" w:eastAsia="仿宋_GB2312" w:cs="仿宋_GB2312"/>
          <w:kern w:val="0"/>
          <w:sz w:val="32"/>
          <w:szCs w:val="32"/>
          <w:highlight w:val="none"/>
        </w:rPr>
        <w:t>江西省鹰潭市月湖区东路4号</w:t>
      </w:r>
      <w:r>
        <w:rPr>
          <w:rFonts w:hint="eastAsia" w:ascii="仿宋_GB2312" w:hAnsi="仿宋_GB2312" w:eastAsia="仿宋_GB2312" w:cs="仿宋_GB2312"/>
          <w:kern w:val="0"/>
          <w:sz w:val="32"/>
          <w:szCs w:val="32"/>
          <w:highlight w:val="none"/>
          <w:lang w:val="en-US" w:eastAsia="zh-CN" w:bidi="ar-SA"/>
        </w:rPr>
        <w:t xml:space="preserve">                  </w:t>
      </w:r>
    </w:p>
    <w:p w14:paraId="6D2EF06C">
      <w:pPr>
        <w:pStyle w:val="22"/>
        <w:spacing w:line="360" w:lineRule="auto"/>
        <w:rPr>
          <w:rFonts w:hint="eastAsia" w:ascii="Times New Roman" w:hAnsi="Times New Roman" w:eastAsia="仿宋_GB2312" w:cs="Times New Roman"/>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电话：</w:t>
      </w:r>
      <w:r>
        <w:rPr>
          <w:rFonts w:hint="eastAsia" w:ascii="仿宋_GB2312" w:hAnsi="仿宋_GB2312" w:cs="仿宋_GB2312"/>
          <w:kern w:val="0"/>
          <w:sz w:val="32"/>
          <w:szCs w:val="32"/>
          <w:highlight w:val="yellow"/>
          <w:lang w:val="en-US" w:eastAsia="zh-CN" w:bidi="ar-SA"/>
        </w:rPr>
        <w:t>*******</w:t>
      </w:r>
      <w:r>
        <w:rPr>
          <w:rFonts w:hint="eastAsia" w:ascii="仿宋_GB2312" w:hAnsi="仿宋_GB2312" w:eastAsia="仿宋_GB2312" w:cs="仿宋_GB2312"/>
          <w:kern w:val="0"/>
          <w:sz w:val="32"/>
          <w:szCs w:val="32"/>
          <w:highlight w:val="yellow"/>
          <w:lang w:val="en-US" w:eastAsia="zh-CN" w:bidi="ar-SA"/>
        </w:rPr>
        <w:t xml:space="preserve">    </w:t>
      </w:r>
      <w:r>
        <w:rPr>
          <w:rFonts w:hint="eastAsia" w:ascii="Times New Roman" w:hAnsi="Times New Roman" w:eastAsia="仿宋_GB2312" w:cs="Times New Roman"/>
          <w:kern w:val="0"/>
          <w:sz w:val="32"/>
          <w:szCs w:val="32"/>
          <w:highlight w:val="none"/>
          <w:lang w:val="en-US" w:eastAsia="zh-CN" w:bidi="ar-SA"/>
        </w:rPr>
        <w:t xml:space="preserve">              </w:t>
      </w:r>
    </w:p>
    <w:p w14:paraId="30E51E86">
      <w:pPr>
        <w:pStyle w:val="22"/>
        <w:spacing w:line="360" w:lineRule="auto"/>
        <w:rPr>
          <w:rFonts w:hint="eastAsia" w:ascii="Times New Roman" w:hAnsi="Times New Roman" w:eastAsia="仿宋_GB2312" w:cs="Times New Roman"/>
          <w:kern w:val="0"/>
          <w:sz w:val="32"/>
          <w:szCs w:val="32"/>
          <w:highlight w:val="none"/>
          <w:lang w:val="en-US" w:eastAsia="zh-CN" w:bidi="ar-SA"/>
        </w:rPr>
      </w:pPr>
    </w:p>
    <w:p w14:paraId="06E0B507">
      <w:pPr>
        <w:pStyle w:val="22"/>
        <w:spacing w:line="360" w:lineRule="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乙方：</w:t>
      </w:r>
      <w:r>
        <w:rPr>
          <w:rFonts w:hint="eastAsia" w:ascii="Times New Roman" w:hAnsi="Times New Roman" w:eastAsia="仿宋_GB2312" w:cs="Times New Roman"/>
          <w:kern w:val="0"/>
          <w:sz w:val="32"/>
          <w:szCs w:val="32"/>
          <w:highlight w:val="yellow"/>
          <w:lang w:val="en-US" w:eastAsia="zh-CN" w:bidi="ar-SA"/>
        </w:rPr>
        <w:t>******</w:t>
      </w:r>
      <w:r>
        <w:rPr>
          <w:rFonts w:hint="eastAsia" w:ascii="Times New Roman" w:hAnsi="Times New Roman" w:eastAsia="仿宋_GB2312" w:cs="Times New Roman"/>
          <w:kern w:val="0"/>
          <w:sz w:val="32"/>
          <w:szCs w:val="32"/>
          <w:highlight w:val="none"/>
          <w:lang w:val="en-US" w:eastAsia="zh-CN" w:bidi="ar-SA"/>
        </w:rPr>
        <w:t xml:space="preserve">有限公司                  </w:t>
      </w:r>
    </w:p>
    <w:p w14:paraId="5B8D658A">
      <w:pPr>
        <w:pStyle w:val="22"/>
        <w:spacing w:line="360" w:lineRule="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收件人：</w:t>
      </w:r>
      <w:r>
        <w:rPr>
          <w:rFonts w:hint="eastAsia" w:ascii="Times New Roman" w:hAnsi="Times New Roman" w:eastAsia="仿宋_GB2312" w:cs="Times New Roman"/>
          <w:kern w:val="0"/>
          <w:sz w:val="32"/>
          <w:szCs w:val="32"/>
          <w:highlight w:val="yellow"/>
          <w:lang w:val="en-US" w:eastAsia="zh-CN" w:bidi="ar-SA"/>
        </w:rPr>
        <w:t>******</w:t>
      </w:r>
      <w:r>
        <w:rPr>
          <w:rFonts w:hint="eastAsia" w:ascii="Times New Roman" w:hAnsi="Times New Roman" w:eastAsia="仿宋_GB2312" w:cs="Times New Roman"/>
          <w:kern w:val="0"/>
          <w:sz w:val="32"/>
          <w:szCs w:val="32"/>
          <w:highlight w:val="none"/>
          <w:lang w:val="en-US" w:eastAsia="zh-CN" w:bidi="ar-SA"/>
        </w:rPr>
        <w:t xml:space="preserve">                    </w:t>
      </w:r>
    </w:p>
    <w:p w14:paraId="0FDACD3F">
      <w:pPr>
        <w:pStyle w:val="22"/>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地址：</w:t>
      </w:r>
      <w:r>
        <w:rPr>
          <w:rFonts w:hint="eastAsia" w:ascii="仿宋_GB2312" w:hAnsi="仿宋_GB2312" w:eastAsia="仿宋_GB2312" w:cs="仿宋_GB2312"/>
          <w:kern w:val="0"/>
          <w:sz w:val="32"/>
          <w:szCs w:val="32"/>
          <w:highlight w:val="yellow"/>
          <w:lang w:val="en-US" w:eastAsia="zh-CN" w:bidi="ar-SA"/>
        </w:rPr>
        <w:t>******</w:t>
      </w:r>
    </w:p>
    <w:p w14:paraId="7CCA065A">
      <w:pPr>
        <w:pStyle w:val="22"/>
        <w:spacing w:line="360" w:lineRule="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电话：</w:t>
      </w:r>
      <w:r>
        <w:rPr>
          <w:rFonts w:hint="eastAsia" w:ascii="仿宋_GB2312" w:hAnsi="仿宋_GB2312" w:eastAsia="仿宋_GB2312" w:cs="仿宋_GB2312"/>
          <w:kern w:val="0"/>
          <w:sz w:val="32"/>
          <w:szCs w:val="32"/>
          <w:highlight w:val="yellow"/>
          <w:lang w:val="en-US" w:eastAsia="zh-CN" w:bidi="ar-SA"/>
        </w:rPr>
        <w:t>******</w:t>
      </w:r>
      <w:r>
        <w:rPr>
          <w:rFonts w:hint="eastAsia" w:ascii="Times New Roman" w:hAnsi="Times New Roman" w:eastAsia="仿宋_GB2312" w:cs="Times New Roman"/>
          <w:kern w:val="0"/>
          <w:sz w:val="32"/>
          <w:szCs w:val="32"/>
          <w:highlight w:val="none"/>
          <w:lang w:val="en-US" w:eastAsia="zh-CN" w:bidi="ar-SA"/>
        </w:rPr>
        <w:t xml:space="preserve">                     </w:t>
      </w:r>
    </w:p>
    <w:p w14:paraId="6F1C664A">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left="0" w:leftChars="0" w:firstLine="640"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除非通知中另有规定，对任何需反馈意见的通知，接收方均应在收到通知后</w:t>
      </w:r>
      <w:r>
        <w:rPr>
          <w:rFonts w:hint="eastAsia" w:ascii="Times New Roman" w:hAnsi="Times New Roman" w:eastAsia="仿宋_GB2312" w:cs="Times New Roman"/>
          <w:kern w:val="0"/>
          <w:sz w:val="32"/>
          <w:szCs w:val="32"/>
          <w:highlight w:val="none"/>
        </w:rPr>
        <w:t>5</w:t>
      </w:r>
      <w:r>
        <w:rPr>
          <w:rFonts w:ascii="Times New Roman" w:hAnsi="Times New Roman" w:eastAsia="仿宋_GB2312" w:cs="Times New Roman"/>
          <w:kern w:val="0"/>
          <w:sz w:val="32"/>
          <w:szCs w:val="32"/>
          <w:highlight w:val="none"/>
        </w:rPr>
        <w:t>日内书面回复发出方。纸质通知应由发出方相应人员</w:t>
      </w:r>
      <w:r>
        <w:rPr>
          <w:rFonts w:hint="eastAsia" w:ascii="Times New Roman" w:hAnsi="Times New Roman" w:eastAsia="仿宋_GB2312" w:cs="Times New Roman"/>
          <w:kern w:val="0"/>
          <w:sz w:val="32"/>
          <w:szCs w:val="32"/>
          <w:highlight w:val="none"/>
        </w:rPr>
        <w:t>签字</w:t>
      </w:r>
      <w:r>
        <w:rPr>
          <w:rFonts w:ascii="Times New Roman" w:hAnsi="Times New Roman" w:eastAsia="仿宋_GB2312" w:cs="Times New Roman"/>
          <w:kern w:val="0"/>
          <w:sz w:val="32"/>
          <w:szCs w:val="32"/>
          <w:highlight w:val="none"/>
        </w:rPr>
        <w:t>并加盖发出方印章。</w:t>
      </w:r>
    </w:p>
    <w:p w14:paraId="49B3BB3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200"/>
        <w:textAlignment w:val="auto"/>
        <w:rPr>
          <w:rFonts w:ascii="Times New Roman" w:hAnsi="Times New Roman" w:eastAsia="仿宋_GB2312" w:cs="Times New Roman"/>
          <w:kern w:val="0"/>
          <w:sz w:val="32"/>
          <w:szCs w:val="32"/>
          <w:highlight w:val="none"/>
        </w:rPr>
      </w:pPr>
    </w:p>
    <w:p w14:paraId="114ED3F7">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合规承诺</w:t>
      </w:r>
    </w:p>
    <w:p w14:paraId="3B89C297">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承诺</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及所有代表</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行事的个人及相关方将遵守反腐败、反商业贿赂有关法律法规，并不会以违法形式向</w:t>
      </w:r>
      <w:r>
        <w:rPr>
          <w:rFonts w:hint="eastAsia" w:ascii="Times New Roman" w:hAnsi="Times New Roman" w:eastAsia="仿宋_GB2312" w:cs="Times New Roman"/>
          <w:kern w:val="0"/>
          <w:sz w:val="32"/>
          <w:szCs w:val="32"/>
          <w:highlight w:val="none"/>
        </w:rPr>
        <w:t>甲方</w:t>
      </w:r>
      <w:r>
        <w:rPr>
          <w:rFonts w:hint="eastAsia" w:ascii="Times New Roman" w:hAnsi="Times New Roman" w:eastAsia="仿宋_GB2312" w:cs="Times New Roman"/>
          <w:kern w:val="0"/>
          <w:sz w:val="32"/>
          <w:szCs w:val="32"/>
          <w:highlight w:val="none"/>
          <w:lang w:val="en-US" w:eastAsia="zh-CN"/>
        </w:rPr>
        <w:t>人员</w:t>
      </w:r>
      <w:r>
        <w:rPr>
          <w:rFonts w:ascii="Times New Roman" w:hAnsi="Times New Roman" w:eastAsia="仿宋_GB2312" w:cs="Times New Roman"/>
          <w:kern w:val="0"/>
          <w:sz w:val="32"/>
          <w:szCs w:val="32"/>
          <w:highlight w:val="none"/>
        </w:rPr>
        <w:t>支付金钱或提供财物。</w:t>
      </w:r>
    </w:p>
    <w:p w14:paraId="7BD5961B">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其他约定</w:t>
      </w:r>
    </w:p>
    <w:p w14:paraId="07227656">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一</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合同附件均为本合同的组成部份，</w:t>
      </w:r>
      <w:r>
        <w:rPr>
          <w:rFonts w:ascii="Times New Roman" w:hAnsi="Times New Roman" w:eastAsia="仿宋_GB2312" w:cs="Times New Roman"/>
          <w:b/>
          <w:bCs/>
          <w:kern w:val="0"/>
          <w:sz w:val="32"/>
          <w:szCs w:val="32"/>
          <w:highlight w:val="none"/>
        </w:rPr>
        <w:t>合同附件与合同正文不一致时以合同正文条款为准</w:t>
      </w:r>
      <w:r>
        <w:rPr>
          <w:rFonts w:ascii="Times New Roman" w:hAnsi="Times New Roman" w:eastAsia="仿宋_GB2312" w:cs="Times New Roman"/>
          <w:kern w:val="0"/>
          <w:sz w:val="32"/>
          <w:szCs w:val="32"/>
          <w:highlight w:val="none"/>
        </w:rPr>
        <w:t>。</w:t>
      </w:r>
    </w:p>
    <w:p w14:paraId="0E8FD276">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二</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本合同未尽事宜或需要变更的部分，以双方签订补充合同或备忘录等形式确定，本合同未被变更的内容。仍然有效。</w:t>
      </w:r>
    </w:p>
    <w:p w14:paraId="75DC5603">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yellow"/>
          <w:lang w:eastAsia="zh-CN"/>
        </w:rPr>
        <w:t>（</w:t>
      </w:r>
      <w:r>
        <w:rPr>
          <w:rFonts w:hint="eastAsia" w:ascii="Times New Roman" w:hAnsi="Times New Roman" w:eastAsia="仿宋_GB2312" w:cs="Times New Roman"/>
          <w:kern w:val="0"/>
          <w:sz w:val="32"/>
          <w:szCs w:val="32"/>
          <w:highlight w:val="yellow"/>
          <w:lang w:val="en-US" w:eastAsia="zh-CN"/>
        </w:rPr>
        <w:t>三）招标文件、投标文件及配置清单为本合同不可分割的组成部分，具有同等法律效力。</w:t>
      </w:r>
    </w:p>
    <w:p w14:paraId="5EB00DD4">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合同生效</w:t>
      </w:r>
    </w:p>
    <w:p w14:paraId="70F65534">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一</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本合同经双方共同协商确定，自双方代表签字并加盖双方</w:t>
      </w:r>
      <w:r>
        <w:rPr>
          <w:rFonts w:hint="eastAsia" w:ascii="Times New Roman" w:hAnsi="Times New Roman" w:eastAsia="仿宋_GB2312" w:cs="Times New Roman"/>
          <w:kern w:val="0"/>
          <w:sz w:val="32"/>
          <w:szCs w:val="32"/>
          <w:highlight w:val="none"/>
          <w:lang w:val="en-US" w:eastAsia="zh-CN"/>
        </w:rPr>
        <w:t>公章</w:t>
      </w:r>
      <w:r>
        <w:rPr>
          <w:rFonts w:ascii="Times New Roman" w:hAnsi="Times New Roman" w:eastAsia="仿宋_GB2312" w:cs="Times New Roman"/>
          <w:kern w:val="0"/>
          <w:sz w:val="32"/>
          <w:szCs w:val="32"/>
          <w:highlight w:val="none"/>
        </w:rPr>
        <w:t>之日生效，一式</w:t>
      </w:r>
      <w:r>
        <w:rPr>
          <w:rFonts w:hint="eastAsia" w:ascii="Times New Roman" w:hAnsi="Times New Roman" w:eastAsia="仿宋_GB2312" w:cs="Times New Roman"/>
          <w:kern w:val="0"/>
          <w:sz w:val="32"/>
          <w:szCs w:val="32"/>
          <w:highlight w:val="none"/>
          <w:lang w:val="en-US" w:eastAsia="zh-CN"/>
        </w:rPr>
        <w:t>肆</w:t>
      </w:r>
      <w:r>
        <w:rPr>
          <w:rFonts w:ascii="Times New Roman" w:hAnsi="Times New Roman" w:eastAsia="仿宋_GB2312" w:cs="Times New Roman"/>
          <w:kern w:val="0"/>
          <w:sz w:val="32"/>
          <w:szCs w:val="32"/>
          <w:highlight w:val="none"/>
        </w:rPr>
        <w:t>份，</w:t>
      </w:r>
      <w:r>
        <w:rPr>
          <w:rFonts w:hint="eastAsia" w:ascii="Times New Roman" w:hAnsi="Times New Roman" w:eastAsia="仿宋_GB2312" w:cs="Times New Roman"/>
          <w:kern w:val="0"/>
          <w:sz w:val="32"/>
          <w:szCs w:val="32"/>
          <w:highlight w:val="none"/>
        </w:rPr>
        <w:t>甲方</w:t>
      </w:r>
      <w:r>
        <w:rPr>
          <w:rFonts w:ascii="Times New Roman" w:hAnsi="Times New Roman" w:eastAsia="仿宋_GB2312" w:cs="Times New Roman"/>
          <w:kern w:val="0"/>
          <w:sz w:val="32"/>
          <w:szCs w:val="32"/>
          <w:highlight w:val="none"/>
        </w:rPr>
        <w:t>执</w:t>
      </w:r>
      <w:r>
        <w:rPr>
          <w:rFonts w:hint="eastAsia" w:ascii="Times New Roman" w:hAnsi="Times New Roman" w:eastAsia="仿宋_GB2312" w:cs="Times New Roman"/>
          <w:kern w:val="0"/>
          <w:sz w:val="32"/>
          <w:szCs w:val="32"/>
          <w:highlight w:val="none"/>
          <w:lang w:val="en-US" w:eastAsia="zh-CN"/>
        </w:rPr>
        <w:t>贰</w:t>
      </w:r>
      <w:r>
        <w:rPr>
          <w:rFonts w:ascii="Times New Roman" w:hAnsi="Times New Roman" w:eastAsia="仿宋_GB2312" w:cs="Times New Roman"/>
          <w:kern w:val="0"/>
          <w:sz w:val="32"/>
          <w:szCs w:val="32"/>
          <w:highlight w:val="none"/>
        </w:rPr>
        <w:t>份，</w:t>
      </w:r>
      <w:r>
        <w:rPr>
          <w:rFonts w:hint="eastAsia" w:ascii="Times New Roman" w:hAnsi="Times New Roman" w:eastAsia="仿宋_GB2312" w:cs="Times New Roman"/>
          <w:kern w:val="0"/>
          <w:sz w:val="32"/>
          <w:szCs w:val="32"/>
          <w:highlight w:val="none"/>
        </w:rPr>
        <w:t>乙方</w:t>
      </w:r>
      <w:r>
        <w:rPr>
          <w:rFonts w:ascii="Times New Roman" w:hAnsi="Times New Roman" w:eastAsia="仿宋_GB2312" w:cs="Times New Roman"/>
          <w:kern w:val="0"/>
          <w:sz w:val="32"/>
          <w:szCs w:val="32"/>
          <w:highlight w:val="none"/>
        </w:rPr>
        <w:t>执</w:t>
      </w:r>
      <w:r>
        <w:rPr>
          <w:rFonts w:hint="eastAsia" w:ascii="Times New Roman" w:hAnsi="Times New Roman" w:eastAsia="仿宋_GB2312" w:cs="Times New Roman"/>
          <w:kern w:val="0"/>
          <w:sz w:val="32"/>
          <w:szCs w:val="32"/>
          <w:highlight w:val="none"/>
          <w:lang w:val="en-US" w:eastAsia="zh-CN"/>
        </w:rPr>
        <w:t>贰</w:t>
      </w:r>
      <w:r>
        <w:rPr>
          <w:rFonts w:ascii="Times New Roman" w:hAnsi="Times New Roman" w:eastAsia="仿宋_GB2312" w:cs="Times New Roman"/>
          <w:kern w:val="0"/>
          <w:sz w:val="32"/>
          <w:szCs w:val="32"/>
          <w:highlight w:val="none"/>
        </w:rPr>
        <w:t>份</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具有同等法律效力</w:t>
      </w:r>
      <w:r>
        <w:rPr>
          <w:rFonts w:ascii="Times New Roman" w:hAnsi="Times New Roman" w:eastAsia="仿宋_GB2312" w:cs="Times New Roman"/>
          <w:kern w:val="0"/>
          <w:sz w:val="32"/>
          <w:szCs w:val="32"/>
          <w:highlight w:val="none"/>
        </w:rPr>
        <w:t>。</w:t>
      </w:r>
    </w:p>
    <w:p w14:paraId="66979E51">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二</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本合同正文均系打印文字，每页均以双方人员进行</w:t>
      </w:r>
      <w:r>
        <w:rPr>
          <w:rFonts w:ascii="Times New Roman" w:hAnsi="Times New Roman" w:eastAsia="仿宋_GB2312" w:cs="Times New Roman"/>
          <w:b/>
          <w:bCs/>
          <w:kern w:val="0"/>
          <w:sz w:val="32"/>
          <w:szCs w:val="32"/>
          <w:highlight w:val="none"/>
        </w:rPr>
        <w:t>页签</w:t>
      </w:r>
      <w:r>
        <w:rPr>
          <w:rFonts w:ascii="Times New Roman" w:hAnsi="Times New Roman" w:eastAsia="仿宋_GB2312" w:cs="Times New Roman"/>
          <w:kern w:val="0"/>
          <w:sz w:val="32"/>
          <w:szCs w:val="32"/>
          <w:highlight w:val="none"/>
        </w:rPr>
        <w:t>或以双方印章</w:t>
      </w:r>
      <w:r>
        <w:rPr>
          <w:rFonts w:ascii="Times New Roman" w:hAnsi="Times New Roman" w:eastAsia="仿宋_GB2312" w:cs="Times New Roman"/>
          <w:b/>
          <w:bCs/>
          <w:kern w:val="0"/>
          <w:sz w:val="32"/>
          <w:szCs w:val="32"/>
          <w:highlight w:val="none"/>
        </w:rPr>
        <w:t>加盖骑缝章</w:t>
      </w:r>
      <w:r>
        <w:rPr>
          <w:rFonts w:ascii="Times New Roman" w:hAnsi="Times New Roman" w:eastAsia="仿宋_GB2312" w:cs="Times New Roman"/>
          <w:kern w:val="0"/>
          <w:sz w:val="32"/>
          <w:szCs w:val="32"/>
          <w:highlight w:val="none"/>
        </w:rPr>
        <w:t>的方式进行确认，</w:t>
      </w:r>
      <w:r>
        <w:rPr>
          <w:rFonts w:ascii="Times New Roman" w:hAnsi="Times New Roman" w:eastAsia="仿宋_GB2312" w:cs="Times New Roman"/>
          <w:b/>
          <w:bCs/>
          <w:kern w:val="0"/>
          <w:sz w:val="32"/>
          <w:szCs w:val="32"/>
          <w:highlight w:val="none"/>
        </w:rPr>
        <w:t>一方放弃前述确认方式的，视同认可并接受对方的确认</w:t>
      </w:r>
      <w:r>
        <w:rPr>
          <w:rFonts w:ascii="Times New Roman" w:hAnsi="Times New Roman" w:eastAsia="仿宋_GB2312" w:cs="Times New Roman"/>
          <w:kern w:val="0"/>
          <w:sz w:val="32"/>
          <w:szCs w:val="32"/>
          <w:highlight w:val="none"/>
        </w:rPr>
        <w:t>，双方若因所执</w:t>
      </w:r>
      <w:r>
        <w:rPr>
          <w:rFonts w:ascii="Times New Roman" w:hAnsi="Times New Roman" w:eastAsia="仿宋_GB2312" w:cs="Times New Roman"/>
          <w:b/>
          <w:bCs/>
          <w:kern w:val="0"/>
          <w:sz w:val="32"/>
          <w:szCs w:val="32"/>
          <w:highlight w:val="none"/>
        </w:rPr>
        <w:t>合同文本不同发生争议，则以被对方确认的合同文本为准</w:t>
      </w:r>
      <w:r>
        <w:rPr>
          <w:rFonts w:ascii="Times New Roman" w:hAnsi="Times New Roman" w:eastAsia="仿宋_GB2312" w:cs="Times New Roman"/>
          <w:kern w:val="0"/>
          <w:sz w:val="32"/>
          <w:szCs w:val="32"/>
          <w:highlight w:val="none"/>
        </w:rPr>
        <w:t>。</w:t>
      </w:r>
    </w:p>
    <w:p w14:paraId="39E9B561">
      <w:pPr>
        <w:keepNext w:val="0"/>
        <w:keepLines w:val="0"/>
        <w:pageBreakBefore w:val="0"/>
        <w:kinsoku/>
        <w:wordWrap/>
        <w:overflowPunct/>
        <w:topLinePunct w:val="0"/>
        <w:bidi w:val="0"/>
        <w:spacing w:line="360" w:lineRule="auto"/>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br w:type="page"/>
      </w:r>
    </w:p>
    <w:p w14:paraId="07A599EA">
      <w:pPr>
        <w:keepNext w:val="0"/>
        <w:keepLines w:val="0"/>
        <w:pageBreakBefore w:val="0"/>
        <w:kinsoku/>
        <w:wordWrap/>
        <w:overflowPunct/>
        <w:topLinePunct w:val="0"/>
        <w:autoSpaceDE w:val="0"/>
        <w:autoSpaceDN w:val="0"/>
        <w:bidi w:val="0"/>
        <w:spacing w:line="360" w:lineRule="auto"/>
        <w:jc w:val="center"/>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【以下无正文，仅为甲、乙双方签章及合同附件】</w:t>
      </w:r>
    </w:p>
    <w:p w14:paraId="19231AC0">
      <w:pPr>
        <w:keepNext w:val="0"/>
        <w:keepLines w:val="0"/>
        <w:pageBreakBefore w:val="0"/>
        <w:kinsoku/>
        <w:wordWrap/>
        <w:overflowPunct/>
        <w:topLinePunct w:val="0"/>
        <w:autoSpaceDE w:val="0"/>
        <w:autoSpaceDN w:val="0"/>
        <w:bidi w:val="0"/>
        <w:spacing w:line="360" w:lineRule="auto"/>
        <w:ind w:firstLine="640" w:firstLineChars="200"/>
        <w:textAlignment w:val="auto"/>
        <w:rPr>
          <w:rFonts w:ascii="Times New Roman" w:hAnsi="Times New Roman" w:eastAsia="仿宋_GB2312" w:cs="Times New Roman"/>
          <w:kern w:val="0"/>
          <w:sz w:val="32"/>
          <w:szCs w:val="32"/>
          <w:highlight w:val="none"/>
        </w:rPr>
      </w:pPr>
    </w:p>
    <w:p w14:paraId="15173462">
      <w:pPr>
        <w:autoSpaceDE w:val="0"/>
        <w:autoSpaceDN w:val="0"/>
        <w:spacing w:line="360" w:lineRule="auto"/>
        <w:rPr>
          <w:rFonts w:ascii="Times New Roman" w:hAnsi="Times New Roman" w:eastAsia="仿宋_GB2312" w:cs="Times New Roman"/>
          <w:kern w:val="0"/>
          <w:sz w:val="32"/>
          <w:szCs w:val="32"/>
          <w:highlight w:val="none"/>
        </w:rPr>
      </w:pPr>
    </w:p>
    <w:p w14:paraId="52D403D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default"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rPr>
        <w:t>甲方（盖章）：</w:t>
      </w:r>
      <w:r>
        <w:rPr>
          <w:rFonts w:hint="default" w:ascii="Times New Roman" w:hAnsi="Times New Roman" w:eastAsia="仿宋_GB2312" w:cs="Times New Roman"/>
          <w:b/>
          <w:bCs/>
          <w:kern w:val="0"/>
          <w:sz w:val="32"/>
          <w:szCs w:val="32"/>
          <w:highlight w:val="none"/>
          <w:lang w:eastAsia="zh-CN"/>
        </w:rPr>
        <w:t>鹰潭一八四医院</w:t>
      </w:r>
    </w:p>
    <w:p w14:paraId="266C8C64">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法定代表人：</w:t>
      </w:r>
    </w:p>
    <w:p w14:paraId="1EF06908">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授权委托人（签字）：</w:t>
      </w:r>
    </w:p>
    <w:p w14:paraId="20E4678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日期：</w:t>
      </w:r>
      <w:r>
        <w:rPr>
          <w:rFonts w:hint="eastAsia" w:ascii="Times New Roman" w:hAnsi="Times New Roman" w:eastAsia="仿宋_GB2312" w:cs="Times New Roman"/>
          <w:kern w:val="0"/>
          <w:sz w:val="32"/>
          <w:szCs w:val="32"/>
          <w:highlight w:val="none"/>
          <w:lang w:val="en-US" w:eastAsia="zh-CN"/>
        </w:rPr>
        <w:t xml:space="preserve">    </w:t>
      </w:r>
      <w:r>
        <w:rPr>
          <w:rFonts w:hint="eastAsia"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 xml:space="preserve">    </w:t>
      </w:r>
      <w:r>
        <w:rPr>
          <w:rFonts w:hint="eastAsia" w:ascii="Times New Roman" w:hAnsi="Times New Roman" w:eastAsia="仿宋_GB2312" w:cs="Times New Roman"/>
          <w:kern w:val="0"/>
          <w:sz w:val="32"/>
          <w:szCs w:val="32"/>
          <w:highlight w:val="none"/>
        </w:rPr>
        <w:t>月    日</w:t>
      </w:r>
    </w:p>
    <w:p w14:paraId="3B4DA7D8">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rPr>
        <w:t>联络人：</w:t>
      </w:r>
    </w:p>
    <w:p w14:paraId="517F3AD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rPr>
        <w:t>联络人电话：</w:t>
      </w:r>
    </w:p>
    <w:p w14:paraId="616D344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Times New Roman" w:hAnsi="Times New Roman" w:eastAsia="仿宋_GB2312" w:cs="Times New Roman"/>
          <w:kern w:val="0"/>
          <w:sz w:val="32"/>
          <w:szCs w:val="32"/>
          <w:highlight w:val="none"/>
        </w:rPr>
      </w:pPr>
    </w:p>
    <w:p w14:paraId="45222B90">
      <w:pPr>
        <w:keepNext w:val="0"/>
        <w:keepLines w:val="0"/>
        <w:pageBreakBefore w:val="0"/>
        <w:widowControl w:val="0"/>
        <w:kinsoku/>
        <w:wordWrap/>
        <w:overflowPunct/>
        <w:topLinePunct w:val="0"/>
        <w:autoSpaceDE w:val="0"/>
        <w:autoSpaceDN w:val="0"/>
        <w:bidi w:val="0"/>
        <w:adjustRightInd/>
        <w:snapToGrid/>
        <w:spacing w:line="360" w:lineRule="auto"/>
        <w:ind w:left="0" w:firstLine="640" w:firstLineChars="200"/>
        <w:textAlignment w:val="auto"/>
        <w:rPr>
          <w:rFonts w:ascii="Times New Roman" w:hAnsi="Times New Roman" w:eastAsia="仿宋_GB2312" w:cs="Times New Roman"/>
          <w:kern w:val="0"/>
          <w:sz w:val="32"/>
          <w:szCs w:val="32"/>
          <w:highlight w:val="none"/>
        </w:rPr>
      </w:pPr>
    </w:p>
    <w:p w14:paraId="4C6CCD8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乙方（盖章）：</w:t>
      </w:r>
      <w:r>
        <w:rPr>
          <w:rFonts w:hint="eastAsia" w:ascii="Times New Roman" w:hAnsi="Times New Roman" w:eastAsia="仿宋_GB2312" w:cs="Times New Roman"/>
          <w:b/>
          <w:bCs/>
          <w:kern w:val="0"/>
          <w:sz w:val="32"/>
          <w:szCs w:val="32"/>
          <w:highlight w:val="yellow"/>
          <w:lang w:val="en-US" w:eastAsia="zh-CN"/>
        </w:rPr>
        <w:t>******</w:t>
      </w:r>
      <w:r>
        <w:rPr>
          <w:rFonts w:hint="eastAsia" w:ascii="Times New Roman" w:hAnsi="Times New Roman" w:eastAsia="仿宋_GB2312" w:cs="Times New Roman"/>
          <w:b/>
          <w:bCs/>
          <w:kern w:val="0"/>
          <w:sz w:val="32"/>
          <w:szCs w:val="32"/>
          <w:highlight w:val="none"/>
          <w:lang w:val="en-US" w:eastAsia="zh-CN"/>
        </w:rPr>
        <w:t>有限公司</w:t>
      </w:r>
    </w:p>
    <w:p w14:paraId="562892D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法定代表人：</w:t>
      </w:r>
      <w:r>
        <w:rPr>
          <w:rFonts w:hint="eastAsia" w:ascii="仿宋_GB2312" w:hAnsi="仿宋_GB2312" w:eastAsia="仿宋_GB2312" w:cs="仿宋_GB2312"/>
          <w:kern w:val="0"/>
          <w:sz w:val="32"/>
          <w:szCs w:val="32"/>
          <w:highlight w:val="none"/>
          <w:lang w:val="en-US" w:eastAsia="zh-CN" w:bidi="ar-SA"/>
        </w:rPr>
        <w:t xml:space="preserve">    </w:t>
      </w:r>
    </w:p>
    <w:p w14:paraId="4CDB54B6">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授权委托人（签字）：</w:t>
      </w:r>
    </w:p>
    <w:p w14:paraId="752D1D1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日期：</w:t>
      </w:r>
      <w:r>
        <w:rPr>
          <w:rFonts w:hint="eastAsia" w:ascii="仿宋_GB2312" w:hAnsi="仿宋_GB2312" w:eastAsia="仿宋_GB2312" w:cs="仿宋_GB2312"/>
          <w:kern w:val="0"/>
          <w:sz w:val="32"/>
          <w:szCs w:val="32"/>
          <w:highlight w:val="none"/>
          <w:lang w:val="en-US" w:eastAsia="zh-CN"/>
        </w:rPr>
        <w:t xml:space="preserve"> </w:t>
      </w:r>
    </w:p>
    <w:p w14:paraId="2F51B4D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联络人：</w:t>
      </w:r>
      <w:r>
        <w:rPr>
          <w:rFonts w:hint="eastAsia" w:ascii="仿宋_GB2312" w:hAnsi="仿宋_GB2312" w:eastAsia="仿宋_GB2312" w:cs="仿宋_GB2312"/>
          <w:kern w:val="0"/>
          <w:sz w:val="32"/>
          <w:szCs w:val="32"/>
          <w:highlight w:val="none"/>
          <w:lang w:val="en-US" w:eastAsia="zh-CN"/>
        </w:rPr>
        <w:t xml:space="preserve"> </w:t>
      </w:r>
    </w:p>
    <w:p w14:paraId="693BD9BA">
      <w:pPr>
        <w:keepNext w:val="0"/>
        <w:keepLines w:val="0"/>
        <w:pageBreakBefore w:val="0"/>
        <w:kinsoku/>
        <w:wordWrap/>
        <w:overflowPunct/>
        <w:topLinePunct w:val="0"/>
        <w:autoSpaceDE w:val="0"/>
        <w:autoSpaceDN w:val="0"/>
        <w:bidi w:val="0"/>
        <w:spacing w:line="360" w:lineRule="auto"/>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kern w:val="0"/>
          <w:sz w:val="32"/>
          <w:szCs w:val="32"/>
          <w:highlight w:val="none"/>
        </w:rPr>
        <w:t>联络人电话</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CN"/>
        </w:rPr>
        <w:t xml:space="preserve"> </w:t>
      </w:r>
    </w:p>
    <w:p w14:paraId="5CBC54AC">
      <w:pPr>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br w:type="page"/>
      </w:r>
    </w:p>
    <w:p w14:paraId="536F690B">
      <w:pPr>
        <w:keepNext w:val="0"/>
        <w:keepLines w:val="0"/>
        <w:pageBreakBefore w:val="0"/>
        <w:kinsoku/>
        <w:wordWrap/>
        <w:overflowPunct/>
        <w:topLinePunct w:val="0"/>
        <w:bidi w:val="0"/>
        <w:spacing w:line="560" w:lineRule="exact"/>
        <w:textAlignment w:val="auto"/>
        <w:rPr>
          <w:lang w:val="en-US" w:eastAsia="zh-CN"/>
        </w:rPr>
      </w:pPr>
    </w:p>
    <w:p w14:paraId="7BE1AF30">
      <w:pPr>
        <w:ind w:left="0" w:leftChars="0" w:firstLine="0" w:firstLineChars="0"/>
        <w:rPr>
          <w:rFonts w:hint="eastAsia" w:ascii="Times New Roman" w:hAnsi="Times New Roman" w:eastAsia="方正小标宋简体" w:cstheme="minorBidi"/>
          <w:kern w:val="44"/>
          <w:sz w:val="32"/>
          <w:szCs w:val="21"/>
          <w:lang w:val="en-US" w:eastAsia="zh-CN" w:bidi="ar-SA"/>
        </w:rPr>
      </w:pPr>
    </w:p>
    <w:p w14:paraId="6EE48784">
      <w:pPr>
        <w:pStyle w:val="22"/>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Times New Roman" w:hAnsi="Times New Roman" w:eastAsia="方正小标宋简体" w:cstheme="minorBidi"/>
          <w:kern w:val="44"/>
          <w:sz w:val="32"/>
          <w:szCs w:val="21"/>
          <w:lang w:val="en-US" w:eastAsia="zh-CN" w:bidi="ar-SA"/>
        </w:rPr>
      </w:pPr>
      <w:r>
        <w:rPr>
          <w:rFonts w:hint="eastAsia" w:ascii="Times New Roman" w:hAnsi="Times New Roman" w:eastAsia="方正小标宋简体" w:cstheme="minorBidi"/>
          <w:kern w:val="44"/>
          <w:sz w:val="32"/>
          <w:szCs w:val="21"/>
          <w:lang w:val="en-US" w:eastAsia="zh-CN" w:bidi="ar-SA"/>
        </w:rPr>
        <w:t>第</w:t>
      </w:r>
      <w:bookmarkStart w:id="11" w:name="_Toc83547686"/>
      <w:r>
        <w:rPr>
          <w:rFonts w:hint="eastAsia" w:ascii="Times New Roman" w:hAnsi="Times New Roman" w:eastAsia="方正小标宋简体" w:cstheme="minorBidi"/>
          <w:kern w:val="44"/>
          <w:sz w:val="32"/>
          <w:szCs w:val="21"/>
          <w:lang w:val="en-US" w:eastAsia="zh-CN" w:bidi="ar-SA"/>
        </w:rPr>
        <w:t>六章</w:t>
      </w:r>
      <w:bookmarkEnd w:id="11"/>
      <w:r>
        <w:rPr>
          <w:rFonts w:hint="eastAsia" w:ascii="Times New Roman" w:hAnsi="Times New Roman" w:eastAsia="方正小标宋简体" w:cstheme="minorBidi"/>
          <w:kern w:val="44"/>
          <w:sz w:val="32"/>
          <w:szCs w:val="21"/>
          <w:lang w:val="en-US" w:eastAsia="zh-CN" w:bidi="ar-SA"/>
        </w:rPr>
        <w:t xml:space="preserve">  响应文件格式</w:t>
      </w:r>
      <w:bookmarkEnd w:id="7"/>
      <w:bookmarkEnd w:id="8"/>
      <w:bookmarkEnd w:id="9"/>
      <w:bookmarkEnd w:id="10"/>
      <w:bookmarkStart w:id="12" w:name="_Toc16556"/>
    </w:p>
    <w:p w14:paraId="71EA2DF9">
      <w:pPr>
        <w:pStyle w:val="22"/>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Times New Roman" w:hAnsi="Times New Roman" w:eastAsia="方正小标宋简体" w:cstheme="minorBidi"/>
          <w:kern w:val="44"/>
          <w:sz w:val="32"/>
          <w:szCs w:val="21"/>
          <w:lang w:val="en-US" w:eastAsia="zh-CN" w:bidi="ar-SA"/>
        </w:rPr>
      </w:pPr>
      <w:r>
        <w:rPr>
          <w:rFonts w:hint="eastAsia" w:ascii="Times New Roman" w:hAnsi="Times New Roman" w:eastAsia="方正小标宋简体" w:cstheme="minorBidi"/>
          <w:kern w:val="44"/>
          <w:sz w:val="32"/>
          <w:szCs w:val="21"/>
          <w:lang w:val="en-US" w:eastAsia="zh-CN" w:bidi="ar-SA"/>
        </w:rPr>
        <w:t>目录</w:t>
      </w:r>
      <w:bookmarkEnd w:id="12"/>
    </w:p>
    <w:p w14:paraId="0BC0B554">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附件1  应答函</w:t>
      </w:r>
    </w:p>
    <w:p w14:paraId="43AD4107">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附件2 法定代表人授权委托书</w:t>
      </w:r>
    </w:p>
    <w:p w14:paraId="584DDB99">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附件3 报价一览表</w:t>
      </w:r>
    </w:p>
    <w:p w14:paraId="5FA30652">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附件4 资格声明函</w:t>
      </w:r>
    </w:p>
    <w:p w14:paraId="66719CFB">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附件5 资格要求证明材料</w:t>
      </w:r>
    </w:p>
    <w:p w14:paraId="5F896250">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附件6 商务条款偏离表</w:t>
      </w:r>
    </w:p>
    <w:p w14:paraId="5FA2BB22">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附件7 供应商情况表</w:t>
      </w:r>
    </w:p>
    <w:p w14:paraId="61FFBB9A">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附件8 保密承诺书</w:t>
      </w:r>
    </w:p>
    <w:p w14:paraId="3341A6F3">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附件9 廉政承诺书</w:t>
      </w:r>
    </w:p>
    <w:p w14:paraId="1FF51148">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附件</w:t>
      </w:r>
      <w:r>
        <w:rPr>
          <w:rFonts w:hint="eastAsia" w:ascii="仿宋" w:hAnsi="仿宋" w:eastAsia="仿宋" w:cs="仿宋"/>
          <w:color w:val="auto"/>
          <w:sz w:val="24"/>
          <w:szCs w:val="20"/>
          <w:highlight w:val="none"/>
          <w:lang w:val="en-US" w:eastAsia="zh-CN"/>
        </w:rPr>
        <w:t>10</w:t>
      </w:r>
      <w:r>
        <w:rPr>
          <w:rFonts w:hint="eastAsia" w:ascii="仿宋" w:hAnsi="仿宋" w:eastAsia="仿宋" w:cs="仿宋"/>
          <w:color w:val="auto"/>
          <w:sz w:val="24"/>
          <w:szCs w:val="20"/>
          <w:highlight w:val="none"/>
        </w:rPr>
        <w:t xml:space="preserve"> </w:t>
      </w:r>
      <w:r>
        <w:rPr>
          <w:rFonts w:hint="eastAsia" w:ascii="仿宋" w:hAnsi="仿宋" w:eastAsia="仿宋" w:cs="仿宋"/>
          <w:color w:val="auto"/>
          <w:sz w:val="24"/>
          <w:szCs w:val="20"/>
          <w:highlight w:val="none"/>
          <w:lang w:eastAsia="zh-CN"/>
        </w:rPr>
        <w:t>比质比价</w:t>
      </w:r>
      <w:r>
        <w:rPr>
          <w:rFonts w:hint="eastAsia" w:ascii="仿宋" w:hAnsi="仿宋" w:eastAsia="仿宋" w:cs="仿宋"/>
          <w:color w:val="auto"/>
          <w:sz w:val="24"/>
          <w:szCs w:val="20"/>
          <w:highlight w:val="none"/>
        </w:rPr>
        <w:t>文件中规定的其他文件（格式自拟）</w:t>
      </w:r>
    </w:p>
    <w:p w14:paraId="3190823E">
      <w:r>
        <w:rPr>
          <w:rFonts w:hint="eastAsia" w:ascii="仿宋" w:hAnsi="仿宋" w:eastAsia="仿宋" w:cs="仿宋"/>
          <w:color w:val="auto"/>
          <w:sz w:val="24"/>
          <w:szCs w:val="20"/>
          <w:highlight w:val="none"/>
        </w:rPr>
        <w:t>附件1</w:t>
      </w:r>
      <w:r>
        <w:rPr>
          <w:rFonts w:hint="eastAsia" w:ascii="仿宋" w:hAnsi="仿宋" w:eastAsia="仿宋" w:cs="仿宋"/>
          <w:color w:val="auto"/>
          <w:sz w:val="24"/>
          <w:szCs w:val="20"/>
          <w:highlight w:val="none"/>
          <w:lang w:val="en-US" w:eastAsia="zh-CN"/>
        </w:rPr>
        <w:t>1</w:t>
      </w:r>
      <w:r>
        <w:rPr>
          <w:rFonts w:hint="eastAsia" w:ascii="仿宋" w:hAnsi="仿宋" w:eastAsia="仿宋" w:cs="仿宋"/>
          <w:color w:val="auto"/>
          <w:sz w:val="24"/>
          <w:szCs w:val="20"/>
          <w:highlight w:val="none"/>
        </w:rPr>
        <w:t xml:space="preserve"> 供应商认为需要提供的其他资料（如有）</w:t>
      </w:r>
      <w:r>
        <w:br w:type="page"/>
      </w:r>
    </w:p>
    <w:p w14:paraId="5943ACB4">
      <w:pPr>
        <w:pStyle w:val="22"/>
      </w:pPr>
    </w:p>
    <w:p w14:paraId="686DEB10">
      <w:pPr>
        <w:spacing w:line="360" w:lineRule="auto"/>
        <w:ind w:firstLine="2891" w:firstLineChars="400"/>
        <w:jc w:val="both"/>
        <w:rPr>
          <w:rFonts w:hint="eastAsia" w:ascii="宋体" w:hAnsi="宋体" w:eastAsia="宋体" w:cs="宋体"/>
          <w:b/>
          <w:color w:val="auto"/>
          <w:sz w:val="52"/>
          <w:szCs w:val="36"/>
          <w:highlight w:val="none"/>
        </w:rPr>
      </w:pPr>
      <w:r>
        <w:rPr>
          <w:rFonts w:hint="eastAsia" w:ascii="宋体" w:hAnsi="宋体" w:cs="宋体"/>
          <w:b/>
          <w:color w:val="auto"/>
          <w:sz w:val="72"/>
          <w:szCs w:val="44"/>
          <w:highlight w:val="none"/>
          <w:lang w:val="en-US" w:eastAsia="zh-CN"/>
        </w:rPr>
        <w:t>响 应</w:t>
      </w:r>
      <w:r>
        <w:rPr>
          <w:rFonts w:hint="eastAsia" w:ascii="宋体" w:hAnsi="宋体" w:eastAsia="宋体" w:cs="宋体"/>
          <w:b/>
          <w:color w:val="auto"/>
          <w:sz w:val="72"/>
          <w:szCs w:val="44"/>
          <w:highlight w:val="none"/>
        </w:rPr>
        <w:t xml:space="preserve"> 文 件</w:t>
      </w:r>
    </w:p>
    <w:p w14:paraId="1E59793C">
      <w:pPr>
        <w:pStyle w:val="10"/>
        <w:jc w:val="center"/>
        <w:rPr>
          <w:rFonts w:hint="eastAsia" w:ascii="宋体" w:hAnsi="宋体" w:eastAsia="宋体" w:cs="宋体"/>
          <w:b/>
          <w:color w:val="auto"/>
          <w:sz w:val="44"/>
          <w:szCs w:val="44"/>
          <w:highlight w:val="none"/>
        </w:rPr>
      </w:pPr>
    </w:p>
    <w:p w14:paraId="63B9C315">
      <w:pPr>
        <w:pStyle w:val="10"/>
        <w:jc w:val="center"/>
        <w:rPr>
          <w:rFonts w:hint="eastAsia" w:ascii="宋体" w:hAnsi="宋体" w:eastAsia="宋体" w:cs="宋体"/>
          <w:b/>
          <w:color w:val="auto"/>
          <w:sz w:val="44"/>
          <w:szCs w:val="44"/>
          <w:highlight w:val="none"/>
        </w:rPr>
      </w:pPr>
    </w:p>
    <w:p w14:paraId="17F3F86A">
      <w:pPr>
        <w:pStyle w:val="10"/>
        <w:jc w:val="center"/>
        <w:rPr>
          <w:rFonts w:hint="eastAsia" w:ascii="宋体" w:hAnsi="宋体" w:eastAsia="宋体" w:cs="宋体"/>
          <w:b/>
          <w:color w:val="auto"/>
          <w:sz w:val="44"/>
          <w:szCs w:val="44"/>
          <w:highlight w:val="none"/>
        </w:rPr>
      </w:pPr>
    </w:p>
    <w:p w14:paraId="7A552B3E">
      <w:pPr>
        <w:pStyle w:val="10"/>
        <w:jc w:val="center"/>
        <w:rPr>
          <w:rFonts w:hint="eastAsia" w:ascii="宋体" w:hAnsi="宋体" w:eastAsia="宋体" w:cs="宋体"/>
          <w:b/>
          <w:color w:val="auto"/>
          <w:sz w:val="44"/>
          <w:szCs w:val="44"/>
          <w:highlight w:val="none"/>
        </w:rPr>
      </w:pPr>
    </w:p>
    <w:p w14:paraId="1CFE6ABF">
      <w:pPr>
        <w:pStyle w:val="10"/>
        <w:spacing w:line="480" w:lineRule="auto"/>
        <w:ind w:firstLine="1928" w:firstLineChars="600"/>
        <w:rPr>
          <w:rFonts w:hint="eastAsia" w:ascii="宋体" w:hAnsi="宋体" w:eastAsia="宋体" w:cs="宋体"/>
          <w:b/>
          <w:color w:val="auto"/>
          <w:sz w:val="32"/>
          <w:szCs w:val="32"/>
          <w:highlight w:val="none"/>
          <w:u w:val="single"/>
        </w:rPr>
      </w:pPr>
      <w:bookmarkStart w:id="13" w:name="_Toc11151"/>
      <w:bookmarkStart w:id="14" w:name="_Toc9839"/>
      <w:r>
        <w:rPr>
          <w:rFonts w:hint="eastAsia" w:ascii="宋体" w:hAnsi="宋体" w:eastAsia="宋体" w:cs="宋体"/>
          <w:b/>
          <w:color w:val="auto"/>
          <w:sz w:val="32"/>
          <w:szCs w:val="32"/>
          <w:highlight w:val="none"/>
        </w:rPr>
        <w:t>项目名称：</w:t>
      </w:r>
      <w:bookmarkEnd w:id="13"/>
      <w:bookmarkEnd w:id="14"/>
      <w:r>
        <w:rPr>
          <w:rFonts w:hint="eastAsia" w:ascii="宋体" w:hAnsi="宋体" w:eastAsia="宋体" w:cs="宋体"/>
          <w:b/>
          <w:color w:val="auto"/>
          <w:sz w:val="32"/>
          <w:szCs w:val="32"/>
          <w:highlight w:val="none"/>
          <w:u w:val="single"/>
        </w:rPr>
        <w:t xml:space="preserve">                       </w:t>
      </w:r>
    </w:p>
    <w:p w14:paraId="759A25E7">
      <w:pPr>
        <w:pStyle w:val="10"/>
        <w:spacing w:line="480" w:lineRule="auto"/>
        <w:ind w:firstLine="1928" w:firstLineChars="600"/>
        <w:rPr>
          <w:rFonts w:hint="eastAsia" w:ascii="宋体" w:hAnsi="宋体" w:eastAsia="宋体" w:cs="宋体"/>
          <w:b/>
          <w:color w:val="auto"/>
          <w:sz w:val="32"/>
          <w:szCs w:val="32"/>
          <w:highlight w:val="none"/>
        </w:rPr>
      </w:pPr>
      <w:bookmarkStart w:id="15" w:name="_Toc19142"/>
      <w:r>
        <w:rPr>
          <w:rFonts w:hint="eastAsia" w:ascii="宋体" w:hAnsi="宋体" w:eastAsia="宋体" w:cs="宋体"/>
          <w:b/>
          <w:color w:val="auto"/>
          <w:sz w:val="32"/>
          <w:szCs w:val="32"/>
          <w:highlight w:val="none"/>
        </w:rPr>
        <w:t>项目编号：</w:t>
      </w:r>
      <w:bookmarkEnd w:id="15"/>
      <w:r>
        <w:rPr>
          <w:rFonts w:hint="eastAsia" w:ascii="宋体" w:hAnsi="宋体" w:eastAsia="宋体" w:cs="宋体"/>
          <w:b/>
          <w:color w:val="auto"/>
          <w:sz w:val="32"/>
          <w:szCs w:val="32"/>
          <w:highlight w:val="none"/>
          <w:u w:val="single"/>
        </w:rPr>
        <w:t xml:space="preserve">                       </w:t>
      </w:r>
    </w:p>
    <w:p w14:paraId="7FE24912">
      <w:pPr>
        <w:pStyle w:val="10"/>
        <w:spacing w:line="480" w:lineRule="auto"/>
        <w:ind w:left="2800" w:leftChars="1000" w:firstLine="1645" w:firstLineChars="512"/>
        <w:rPr>
          <w:rFonts w:hint="eastAsia" w:ascii="宋体" w:hAnsi="宋体" w:eastAsia="宋体" w:cs="宋体"/>
          <w:b/>
          <w:color w:val="auto"/>
          <w:sz w:val="32"/>
          <w:szCs w:val="32"/>
          <w:highlight w:val="none"/>
        </w:rPr>
      </w:pPr>
    </w:p>
    <w:p w14:paraId="1D0A4279">
      <w:pPr>
        <w:pStyle w:val="10"/>
        <w:spacing w:line="480" w:lineRule="auto"/>
        <w:ind w:left="2800" w:leftChars="1000" w:firstLine="2467" w:firstLineChars="512"/>
        <w:rPr>
          <w:rFonts w:hint="eastAsia" w:ascii="宋体" w:hAnsi="宋体" w:eastAsia="宋体" w:cs="宋体"/>
          <w:b/>
          <w:color w:val="auto"/>
          <w:sz w:val="48"/>
          <w:szCs w:val="48"/>
          <w:highlight w:val="none"/>
        </w:rPr>
      </w:pPr>
    </w:p>
    <w:p w14:paraId="047FE4A8">
      <w:pPr>
        <w:pStyle w:val="10"/>
        <w:spacing w:line="480" w:lineRule="auto"/>
        <w:ind w:left="2800" w:leftChars="1000" w:firstLine="2467" w:firstLineChars="512"/>
        <w:rPr>
          <w:rFonts w:hint="eastAsia" w:ascii="宋体" w:hAnsi="宋体" w:eastAsia="宋体" w:cs="宋体"/>
          <w:b/>
          <w:color w:val="auto"/>
          <w:sz w:val="48"/>
          <w:szCs w:val="48"/>
          <w:highlight w:val="none"/>
        </w:rPr>
      </w:pPr>
    </w:p>
    <w:p w14:paraId="447A9BA0">
      <w:pPr>
        <w:pStyle w:val="10"/>
        <w:spacing w:line="480" w:lineRule="auto"/>
        <w:ind w:left="0" w:leftChars="0" w:firstLine="643" w:firstLineChars="200"/>
        <w:rPr>
          <w:rFonts w:hint="eastAsia" w:ascii="宋体" w:hAnsi="宋体" w:eastAsia="宋体" w:cs="宋体"/>
          <w:b/>
          <w:color w:val="auto"/>
          <w:sz w:val="32"/>
          <w:szCs w:val="32"/>
          <w:highlight w:val="none"/>
          <w:u w:val="single"/>
        </w:rPr>
      </w:pPr>
      <w:bookmarkStart w:id="16" w:name="_Toc1127"/>
      <w:bookmarkStart w:id="17" w:name="_Toc8052"/>
      <w:r>
        <w:rPr>
          <w:rFonts w:hint="eastAsia" w:hAnsi="宋体" w:cs="宋体"/>
          <w:b/>
          <w:color w:val="auto"/>
          <w:sz w:val="32"/>
          <w:szCs w:val="32"/>
          <w:highlight w:val="none"/>
          <w:lang w:val="en-US" w:eastAsia="zh-CN"/>
        </w:rPr>
        <w:t>供应商</w:t>
      </w:r>
      <w:r>
        <w:rPr>
          <w:rFonts w:hint="eastAsia" w:ascii="宋体" w:hAnsi="宋体" w:eastAsia="宋体" w:cs="宋体"/>
          <w:b/>
          <w:color w:val="auto"/>
          <w:sz w:val="32"/>
          <w:szCs w:val="32"/>
          <w:highlight w:val="none"/>
        </w:rPr>
        <w:t>名称</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盖章</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w:t>
      </w:r>
      <w:bookmarkEnd w:id="16"/>
      <w:bookmarkEnd w:id="17"/>
      <w:r>
        <w:rPr>
          <w:rFonts w:hint="eastAsia" w:ascii="宋体" w:hAnsi="宋体" w:eastAsia="宋体" w:cs="宋体"/>
          <w:b/>
          <w:color w:val="auto"/>
          <w:sz w:val="32"/>
          <w:szCs w:val="32"/>
          <w:highlight w:val="none"/>
          <w:u w:val="single"/>
        </w:rPr>
        <w:t xml:space="preserve">                          </w:t>
      </w:r>
    </w:p>
    <w:p w14:paraId="765066D3">
      <w:pPr>
        <w:pStyle w:val="3"/>
        <w:bidi w:val="0"/>
        <w:ind w:firstLine="643" w:firstLineChars="200"/>
        <w:jc w:val="both"/>
        <w:rPr>
          <w:rFonts w:hint="eastAsia" w:ascii="宋体" w:hAnsi="宋体" w:eastAsia="宋体" w:cs="宋体"/>
          <w:b/>
          <w:color w:val="auto"/>
          <w:sz w:val="32"/>
          <w:szCs w:val="32"/>
          <w:highlight w:val="none"/>
        </w:rPr>
      </w:pPr>
      <w:bookmarkStart w:id="18" w:name="_Toc12078"/>
      <w:bookmarkStart w:id="19" w:name="_Toc26337"/>
      <w:r>
        <w:rPr>
          <w:rFonts w:hint="eastAsia" w:ascii="宋体" w:hAnsi="宋体" w:eastAsia="宋体" w:cs="宋体"/>
          <w:b/>
          <w:color w:val="auto"/>
          <w:sz w:val="32"/>
          <w:szCs w:val="32"/>
          <w:highlight w:val="none"/>
        </w:rPr>
        <w:t xml:space="preserve">日    </w:t>
      </w:r>
      <w:r>
        <w:rPr>
          <w:rFonts w:hint="eastAsia" w:ascii="宋体" w:hAnsi="宋体" w:eastAsia="宋体" w:cs="宋体"/>
          <w:b/>
          <w:color w:val="auto"/>
          <w:sz w:val="32"/>
          <w:szCs w:val="32"/>
          <w:highlight w:val="none"/>
          <w:lang w:val="en-US" w:eastAsia="zh-CN"/>
        </w:rPr>
        <w:t xml:space="preserve">  </w:t>
      </w:r>
      <w:r>
        <w:rPr>
          <w:rFonts w:hint="eastAsia" w:ascii="宋体" w:hAnsi="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 xml:space="preserve"> 期：</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日</w:t>
      </w:r>
      <w:bookmarkEnd w:id="18"/>
      <w:bookmarkEnd w:id="19"/>
    </w:p>
    <w:p w14:paraId="44118AB4">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B945466">
      <w:pPr>
        <w:pStyle w:val="3"/>
        <w:bidi w:val="0"/>
        <w:rPr>
          <w:b/>
          <w:bCs/>
        </w:rPr>
      </w:pPr>
      <w:r>
        <w:t>附件1  应答函</w:t>
      </w:r>
    </w:p>
    <w:p w14:paraId="24D99B04">
      <w:pPr>
        <w:bidi w:val="0"/>
        <w:ind w:left="0" w:leftChars="0" w:firstLine="0" w:firstLineChars="0"/>
      </w:pPr>
      <w:r>
        <w:t>致：_______________（</w:t>
      </w:r>
      <w:r>
        <w:rPr>
          <w:rFonts w:hint="eastAsia"/>
          <w:lang w:eastAsia="zh-CN"/>
        </w:rPr>
        <w:t>采购人</w:t>
      </w:r>
      <w:r>
        <w:t>）</w:t>
      </w:r>
    </w:p>
    <w:p w14:paraId="4C1D0870">
      <w:pPr>
        <w:bidi w:val="0"/>
      </w:pPr>
      <w:r>
        <w:t>根据贵方____________项目的</w:t>
      </w:r>
      <w:r>
        <w:rPr>
          <w:rFonts w:hint="eastAsia"/>
          <w:lang w:eastAsia="zh-CN"/>
        </w:rPr>
        <w:t>比质比价</w:t>
      </w:r>
      <w:r>
        <w:t>文件（</w:t>
      </w:r>
      <w:r>
        <w:rPr>
          <w:rFonts w:hint="eastAsia"/>
          <w:lang w:eastAsia="zh-CN"/>
        </w:rPr>
        <w:t>比质比价</w:t>
      </w:r>
      <w:r>
        <w:t>文件编号：  ），签字代表_________（全名、职务）经正式授权并代表供应商（供应商名称、地址）提交下述</w:t>
      </w:r>
      <w:r>
        <w:rPr>
          <w:rFonts w:hint="eastAsia"/>
          <w:lang w:val="en-US" w:eastAsia="zh-CN"/>
        </w:rPr>
        <w:t>每类</w:t>
      </w:r>
      <w:r>
        <w:rPr>
          <w:lang w:val="zh-CN"/>
        </w:rPr>
        <w:t>响应文件的份数：正本</w:t>
      </w:r>
      <w:r>
        <w:t>1</w:t>
      </w:r>
      <w:r>
        <w:rPr>
          <w:lang w:val="zh-CN"/>
        </w:rPr>
        <w:t>份，副本</w:t>
      </w:r>
      <w:r>
        <w:rPr>
          <w:rFonts w:hint="eastAsia"/>
          <w:lang w:val="en-US" w:eastAsia="zh-CN"/>
        </w:rPr>
        <w:t>4</w:t>
      </w:r>
      <w:r>
        <w:rPr>
          <w:lang w:val="zh-CN"/>
        </w:rPr>
        <w:t>份</w:t>
      </w:r>
      <w:r>
        <w:t>。</w:t>
      </w:r>
    </w:p>
    <w:p w14:paraId="51513B4B">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1</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应答函</w:t>
      </w:r>
    </w:p>
    <w:p w14:paraId="22C3A598">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2</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法定代表人授权委托书</w:t>
      </w:r>
    </w:p>
    <w:p w14:paraId="2925BFA8">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3</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报价一览表</w:t>
      </w:r>
    </w:p>
    <w:p w14:paraId="050D00EF">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4</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资格声明函</w:t>
      </w:r>
    </w:p>
    <w:p w14:paraId="1171D38C">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5</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资格要求证明材料</w:t>
      </w:r>
    </w:p>
    <w:p w14:paraId="2748EFC4">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6</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商务条款偏离表</w:t>
      </w:r>
    </w:p>
    <w:p w14:paraId="1849D9E4">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7</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供应商情况表</w:t>
      </w:r>
    </w:p>
    <w:p w14:paraId="61FD8604">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8</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保密承诺书</w:t>
      </w:r>
    </w:p>
    <w:p w14:paraId="07F9BA3A">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9</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廉政承诺书</w:t>
      </w:r>
    </w:p>
    <w:p w14:paraId="400B49CC">
      <w:pP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10</w:t>
      </w:r>
      <w:r>
        <w:rPr>
          <w:rFonts w:hint="eastAsia" w:ascii="仿宋" w:hAnsi="仿宋" w:eastAsia="仿宋" w:cs="仿宋"/>
          <w:color w:val="auto"/>
          <w:sz w:val="24"/>
          <w:szCs w:val="20"/>
          <w:highlight w:val="none"/>
          <w:lang w:eastAsia="zh-CN"/>
        </w:rPr>
        <w:t>）比质比价</w:t>
      </w:r>
      <w:r>
        <w:rPr>
          <w:rFonts w:hint="eastAsia" w:ascii="仿宋" w:hAnsi="仿宋" w:eastAsia="仿宋" w:cs="仿宋"/>
          <w:color w:val="auto"/>
          <w:sz w:val="24"/>
          <w:szCs w:val="20"/>
          <w:highlight w:val="none"/>
        </w:rPr>
        <w:t>文件中规定的其他文件（格式自拟）</w:t>
      </w:r>
    </w:p>
    <w:p w14:paraId="5BC4070E">
      <w:pPr>
        <w:bidi w:val="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11</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供应商认为需要提供的其他资料（如有）</w:t>
      </w:r>
    </w:p>
    <w:p w14:paraId="3E55D944">
      <w:pPr>
        <w:bidi w:val="0"/>
      </w:pPr>
      <w:r>
        <w:t>据此函，签字代表宣布同意如下：</w:t>
      </w:r>
    </w:p>
    <w:p w14:paraId="0AB2232D">
      <w:pPr>
        <w:bidi w:val="0"/>
      </w:pPr>
      <w:r>
        <w:rPr>
          <w:lang w:val="en-US" w:eastAsia="zh-CN"/>
        </w:rPr>
        <w:t>1.</w:t>
      </w:r>
      <w:r>
        <w:t>所附报价表中规定的应提供报价总价为_________（注明币种），即___________（文字表述）。</w:t>
      </w:r>
    </w:p>
    <w:p w14:paraId="648737DE">
      <w:pPr>
        <w:bidi w:val="0"/>
      </w:pPr>
      <w:r>
        <w:rPr>
          <w:lang w:val="en-US" w:eastAsia="zh-CN"/>
        </w:rPr>
        <w:t>2.</w:t>
      </w:r>
      <w:r>
        <w:t>供应商将按《</w:t>
      </w:r>
      <w:r>
        <w:rPr>
          <w:rFonts w:hint="eastAsia"/>
          <w:lang w:eastAsia="zh-CN"/>
        </w:rPr>
        <w:t>比质比价</w:t>
      </w:r>
      <w:r>
        <w:t>文件》的规定履行合同责任和义务。</w:t>
      </w:r>
    </w:p>
    <w:p w14:paraId="17052C38">
      <w:pPr>
        <w:bidi w:val="0"/>
      </w:pPr>
      <w:r>
        <w:rPr>
          <w:lang w:val="en-US" w:eastAsia="zh-CN"/>
        </w:rPr>
        <w:t>3.</w:t>
      </w:r>
      <w:r>
        <w:t>供应商已详细审查全部《</w:t>
      </w:r>
      <w:r>
        <w:rPr>
          <w:rFonts w:hint="eastAsia"/>
          <w:lang w:eastAsia="zh-CN"/>
        </w:rPr>
        <w:t>比质比价</w:t>
      </w:r>
      <w:r>
        <w:t>文件》，包括修改文件（如有的话）。我们完全理解并同意放弃对这方面有不明及误解的权利。</w:t>
      </w:r>
    </w:p>
    <w:p w14:paraId="0EC136DB">
      <w:pPr>
        <w:bidi w:val="0"/>
      </w:pPr>
      <w:r>
        <w:rPr>
          <w:lang w:val="en-US" w:eastAsia="zh-CN"/>
        </w:rPr>
        <w:t>4.</w:t>
      </w:r>
      <w:r>
        <w:t>本报价有效期自递交《响应文件》截止日起九十天。</w:t>
      </w:r>
    </w:p>
    <w:p w14:paraId="67C64E5D">
      <w:pPr>
        <w:bidi w:val="0"/>
      </w:pPr>
      <w:r>
        <w:rPr>
          <w:lang w:val="en-US" w:eastAsia="zh-CN"/>
        </w:rPr>
        <w:t>5.</w:t>
      </w:r>
      <w:r>
        <w:t>如果在规定的递交《响应文件》截止后，供应商在报价有效期内撤回《响应文件》，或成交后不签约，其</w:t>
      </w:r>
      <w:r>
        <w:rPr>
          <w:rFonts w:hint="eastAsia"/>
          <w:lang w:eastAsia="zh-CN"/>
        </w:rPr>
        <w:t>比质比价</w:t>
      </w:r>
      <w:r>
        <w:t>保证金将不予退还。</w:t>
      </w:r>
    </w:p>
    <w:p w14:paraId="771C7D3B">
      <w:pPr>
        <w:bidi w:val="0"/>
      </w:pPr>
      <w:r>
        <w:rPr>
          <w:lang w:val="en-US" w:eastAsia="zh-CN"/>
        </w:rPr>
        <w:t>6.</w:t>
      </w:r>
      <w:r>
        <w:t>供应商同意提供，按照贵方要求与</w:t>
      </w:r>
      <w:r>
        <w:rPr>
          <w:rFonts w:hint="eastAsia"/>
          <w:lang w:eastAsia="zh-CN"/>
        </w:rPr>
        <w:t>比质比价</w:t>
      </w:r>
      <w:r>
        <w:t>应答有关的一切数据或资料</w:t>
      </w:r>
      <w:r>
        <w:rPr>
          <w:rFonts w:hint="eastAsia"/>
          <w:lang w:eastAsia="zh-CN"/>
        </w:rPr>
        <w:t>。</w:t>
      </w:r>
    </w:p>
    <w:p w14:paraId="0F427109">
      <w:pPr>
        <w:bidi w:val="0"/>
        <w:ind w:left="0" w:leftChars="0" w:firstLine="0" w:firstLineChars="0"/>
        <w:rPr>
          <w:b/>
          <w:bCs/>
        </w:rPr>
      </w:pPr>
      <w:r>
        <w:rPr>
          <w:b/>
          <w:bCs/>
        </w:rPr>
        <w:t>我方郑重承诺：</w:t>
      </w:r>
    </w:p>
    <w:p w14:paraId="3D3C06ED">
      <w:pPr>
        <w:bidi w:val="0"/>
      </w:pPr>
      <w:r>
        <w:t>我方提交的响应文件资料是完整的、真实的和准确的。我方同意按照贵方的要求，提供有关的数据和资料。为此，我们授权任何相关的个人和公司向贵方提供要求的和必要的真实情况和资料以证实我们所填报的各项内容。如果在该项目</w:t>
      </w:r>
      <w:r>
        <w:rPr>
          <w:rFonts w:hint="eastAsia"/>
          <w:lang w:eastAsia="zh-CN"/>
        </w:rPr>
        <w:t>比质比价</w:t>
      </w:r>
      <w:r>
        <w:t>过程中或者在获得成交后，采购人或有管辖权的行政监管机构发现并查实我方在该项目的</w:t>
      </w:r>
      <w:r>
        <w:rPr>
          <w:rFonts w:hint="eastAsia"/>
          <w:lang w:eastAsia="zh-CN"/>
        </w:rPr>
        <w:t>比质比价</w:t>
      </w:r>
      <w:r>
        <w:t>中所报的资料存在虚假或不真实的信息或者伪造数据、资料或证书等情况，我方将无条件地自动放弃该项目的</w:t>
      </w:r>
      <w:r>
        <w:rPr>
          <w:rFonts w:hint="eastAsia"/>
          <w:lang w:eastAsia="zh-CN"/>
        </w:rPr>
        <w:t>比质比价</w:t>
      </w:r>
      <w:r>
        <w:t>资格和成交资格；如果我方已经收到成交通知书，采购人将无条件的承认，我方收到的该项目的成交通知书为无效文件，对采购人不具有任何法律约束力，由此造成的任何损失均由我方承担；本段承诺是我方真实意思的表示且具有相对独立性，不管是否有其他相反的说明，本段承诺均为我方响应文件的有效组成内容，对我方在与该项目有关的任何行为中始终具有优先的法律约束力。</w:t>
      </w:r>
    </w:p>
    <w:p w14:paraId="042078C0">
      <w:pPr>
        <w:bidi w:val="0"/>
      </w:pPr>
    </w:p>
    <w:p w14:paraId="0981A922">
      <w:pPr>
        <w:bidi w:val="0"/>
      </w:pPr>
      <w:r>
        <w:t>与本</w:t>
      </w:r>
      <w:r>
        <w:rPr>
          <w:rFonts w:hint="eastAsia"/>
          <w:lang w:eastAsia="zh-CN"/>
        </w:rPr>
        <w:t>比质比价</w:t>
      </w:r>
      <w:r>
        <w:t>有关的一切正式往来通讯请寄：</w:t>
      </w:r>
    </w:p>
    <w:p w14:paraId="096CE737">
      <w:pPr>
        <w:bidi w:val="0"/>
      </w:pPr>
    </w:p>
    <w:p w14:paraId="0A7C5A85">
      <w:pPr>
        <w:bidi w:val="0"/>
      </w:pPr>
      <w:r>
        <w:t>地址：_______________   邮编：______________</w:t>
      </w:r>
    </w:p>
    <w:p w14:paraId="59355CD5">
      <w:pPr>
        <w:bidi w:val="0"/>
      </w:pPr>
      <w:r>
        <w:t>电话：_______________   传真：______________</w:t>
      </w:r>
    </w:p>
    <w:p w14:paraId="7D855F3A">
      <w:pPr>
        <w:bidi w:val="0"/>
      </w:pPr>
      <w:r>
        <w:t>供应商代表签字：____________</w:t>
      </w:r>
    </w:p>
    <w:p w14:paraId="11E8B1F2">
      <w:pPr>
        <w:bidi w:val="0"/>
      </w:pPr>
      <w:r>
        <w:t>供应商名称：______________</w:t>
      </w:r>
    </w:p>
    <w:p w14:paraId="67FAB475">
      <w:pPr>
        <w:bidi w:val="0"/>
      </w:pPr>
      <w:r>
        <w:t>（公章）：___________________</w:t>
      </w:r>
    </w:p>
    <w:p w14:paraId="49F8BB2D">
      <w:pPr>
        <w:bidi w:val="0"/>
      </w:pPr>
      <w:r>
        <w:t>日期：_____年___月___日</w:t>
      </w:r>
    </w:p>
    <w:p w14:paraId="4F3D937A">
      <w:pPr>
        <w:pStyle w:val="90"/>
        <w:snapToGrid w:val="0"/>
        <w:spacing w:line="360" w:lineRule="auto"/>
        <w:rPr>
          <w:rStyle w:val="30"/>
          <w:rFonts w:ascii="Arial" w:hAnsi="Arial" w:cs="Arial"/>
          <w:b w:val="0"/>
          <w:bCs w:val="0"/>
          <w:sz w:val="24"/>
          <w:szCs w:val="24"/>
        </w:rPr>
      </w:pPr>
    </w:p>
    <w:p w14:paraId="36958194">
      <w:pPr>
        <w:rPr>
          <w:rStyle w:val="30"/>
          <w:rFonts w:ascii="Arial" w:hAnsi="Arial" w:cs="Arial"/>
          <w:b/>
          <w:bCs/>
        </w:rPr>
      </w:pPr>
      <w:r>
        <w:rPr>
          <w:rStyle w:val="30"/>
          <w:rFonts w:ascii="Arial" w:hAnsi="Arial" w:cs="Arial"/>
          <w:b/>
          <w:bCs/>
        </w:rPr>
        <w:br w:type="page"/>
      </w:r>
    </w:p>
    <w:p w14:paraId="6760D77D">
      <w:pPr>
        <w:pStyle w:val="3"/>
        <w:bidi w:val="0"/>
        <w:rPr>
          <w:rFonts w:hint="eastAsia" w:ascii="仿宋" w:hAnsi="仿宋" w:eastAsia="仿宋" w:cs="仿宋"/>
          <w:b/>
          <w:bCs/>
          <w:color w:val="auto"/>
          <w:spacing w:val="6"/>
          <w:sz w:val="30"/>
          <w:szCs w:val="30"/>
          <w:highlight w:val="none"/>
        </w:rPr>
      </w:pPr>
      <w:r>
        <w:t>附件</w:t>
      </w:r>
      <w:r>
        <w:rPr>
          <w:rFonts w:hint="eastAsia"/>
          <w:lang w:val="en-US" w:eastAsia="zh-CN"/>
        </w:rPr>
        <w:t xml:space="preserve">2 </w:t>
      </w:r>
      <w:r>
        <w:rPr>
          <w:rFonts w:hint="eastAsia" w:ascii="仿宋" w:hAnsi="仿宋" w:eastAsia="仿宋" w:cs="仿宋"/>
          <w:b/>
          <w:bCs/>
          <w:color w:val="auto"/>
          <w:spacing w:val="6"/>
          <w:sz w:val="30"/>
          <w:szCs w:val="30"/>
          <w:highlight w:val="none"/>
        </w:rPr>
        <w:t>法定代表人授权委托书</w:t>
      </w:r>
    </w:p>
    <w:p w14:paraId="02CED436">
      <w:pPr>
        <w:rPr>
          <w:rFonts w:hint="eastAsia"/>
        </w:rPr>
      </w:pPr>
    </w:p>
    <w:p w14:paraId="41DC9003">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（姓名）   </w:t>
      </w:r>
      <w:r>
        <w:rPr>
          <w:rFonts w:hint="eastAsia" w:ascii="仿宋" w:hAnsi="仿宋" w:eastAsia="仿宋" w:cs="仿宋"/>
          <w:color w:val="auto"/>
          <w:sz w:val="24"/>
          <w:szCs w:val="24"/>
        </w:rPr>
        <w:t>系</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（投标人名称）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的法定代表人，现委托</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（姓名）   </w:t>
      </w:r>
      <w:r>
        <w:rPr>
          <w:rFonts w:hint="eastAsia" w:ascii="仿宋" w:hAnsi="仿宋" w:eastAsia="仿宋" w:cs="仿宋"/>
          <w:color w:val="auto"/>
          <w:sz w:val="24"/>
          <w:szCs w:val="24"/>
        </w:rPr>
        <w:t>为我方代理人。代理人根据授权，以我方名义签署、澄清、说明、补正、递交、撤回、修改</w:t>
      </w:r>
      <w:r>
        <w:rPr>
          <w:rFonts w:hint="eastAsia" w:ascii="仿宋" w:hAnsi="仿宋" w:eastAsia="仿宋" w:cs="仿宋"/>
          <w:color w:val="auto"/>
          <w:sz w:val="24"/>
          <w:szCs w:val="24"/>
          <w:u w:val="single"/>
        </w:rPr>
        <w:t xml:space="preserve">                        （项目</w:t>
      </w:r>
      <w:r>
        <w:rPr>
          <w:rFonts w:hint="eastAsia" w:ascii="仿宋" w:hAnsi="仿宋" w:eastAsia="仿宋" w:cs="仿宋"/>
          <w:color w:val="auto"/>
          <w:sz w:val="24"/>
          <w:szCs w:val="24"/>
          <w:u w:val="single"/>
          <w:lang w:val="en-US" w:eastAsia="zh-CN"/>
        </w:rPr>
        <w:t>名称</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文件、签订合同和处理有关事宜，其法律后果由我方承担。</w:t>
      </w:r>
    </w:p>
    <w:p w14:paraId="31A2C56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rPr>
        <w:t>委托期限至本项目合同签订之日止结束。</w:t>
      </w:r>
    </w:p>
    <w:p w14:paraId="0EF0040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14:paraId="365D7C49">
      <w:pPr>
        <w:bidi w:val="0"/>
      </w:pPr>
      <w:r>
        <w:rPr>
          <w:rFonts w:hint="eastAsia" w:ascii="仿宋" w:hAnsi="仿宋" w:eastAsia="仿宋" w:cs="仿宋"/>
          <w:color w:val="auto"/>
          <w:szCs w:val="21"/>
        </w:rPr>
        <mc:AlternateContent>
          <mc:Choice Requires="wps">
            <w:drawing>
              <wp:anchor distT="0" distB="0" distL="114300" distR="114300" simplePos="0" relativeHeight="251661312" behindDoc="0" locked="0" layoutInCell="1" allowOverlap="1">
                <wp:simplePos x="0" y="0"/>
                <wp:positionH relativeFrom="column">
                  <wp:posOffset>203835</wp:posOffset>
                </wp:positionH>
                <wp:positionV relativeFrom="paragraph">
                  <wp:posOffset>457200</wp:posOffset>
                </wp:positionV>
                <wp:extent cx="4853305" cy="1846580"/>
                <wp:effectExtent l="4445" t="4445" r="19050" b="15875"/>
                <wp:wrapTopAndBottom/>
                <wp:docPr id="6" name="Rectangle 4"/>
                <wp:cNvGraphicFramePr/>
                <a:graphic xmlns:a="http://schemas.openxmlformats.org/drawingml/2006/main">
                  <a:graphicData uri="http://schemas.microsoft.com/office/word/2010/wordprocessingShape">
                    <wps:wsp>
                      <wps:cNvSpPr>
                        <a:spLocks noChangeArrowheads="1"/>
                      </wps:cNvSpPr>
                      <wps:spPr bwMode="auto">
                        <a:xfrm>
                          <a:off x="0" y="0"/>
                          <a:ext cx="4853305" cy="1846580"/>
                        </a:xfrm>
                        <a:prstGeom prst="rect">
                          <a:avLst/>
                        </a:prstGeom>
                        <a:solidFill>
                          <a:srgbClr val="FFFFFF"/>
                        </a:solidFill>
                        <a:ln w="9525">
                          <a:solidFill>
                            <a:srgbClr val="000000"/>
                          </a:solidFill>
                          <a:miter lim="800000"/>
                        </a:ln>
                      </wps:spPr>
                      <wps:txbx>
                        <w:txbxContent>
                          <w:p w14:paraId="46FC0A85">
                            <w:pPr>
                              <w:ind w:left="0" w:leftChars="0" w:firstLine="0" w:firstLineChars="0"/>
                              <w:jc w:val="both"/>
                              <w:rPr>
                                <w:color w:val="000000"/>
                                <w:sz w:val="24"/>
                              </w:rPr>
                            </w:pPr>
                          </w:p>
                          <w:p w14:paraId="2C644617">
                            <w:pPr>
                              <w:jc w:val="center"/>
                              <w:rPr>
                                <w:color w:val="000000"/>
                                <w:sz w:val="24"/>
                              </w:rPr>
                            </w:pPr>
                          </w:p>
                          <w:p w14:paraId="0A5E255D">
                            <w:pPr>
                              <w:jc w:val="center"/>
                              <w:rPr>
                                <w:rFonts w:hint="eastAsia" w:ascii="仿宋" w:hAnsi="仿宋" w:eastAsia="仿宋" w:cs="仿宋"/>
                                <w:color w:val="000000"/>
                                <w:sz w:val="24"/>
                              </w:rPr>
                            </w:pPr>
                            <w:r>
                              <w:rPr>
                                <w:rFonts w:hint="eastAsia" w:ascii="仿宋" w:hAnsi="仿宋" w:eastAsia="仿宋" w:cs="仿宋"/>
                                <w:color w:val="000000"/>
                                <w:sz w:val="24"/>
                              </w:rPr>
                              <w:t>委托代理人</w:t>
                            </w:r>
                            <w:r>
                              <w:rPr>
                                <w:rFonts w:hint="eastAsia" w:ascii="仿宋" w:hAnsi="仿宋" w:eastAsia="仿宋" w:cs="仿宋"/>
                                <w:color w:val="000000"/>
                                <w:sz w:val="24"/>
                                <w:lang w:eastAsia="zh-CN"/>
                              </w:rPr>
                              <w:t>及</w:t>
                            </w:r>
                            <w:r>
                              <w:rPr>
                                <w:rFonts w:hint="eastAsia" w:ascii="仿宋" w:hAnsi="仿宋" w:eastAsia="仿宋" w:cs="仿宋"/>
                                <w:color w:val="000000"/>
                                <w:sz w:val="24"/>
                                <w:lang w:val="en-US" w:eastAsia="zh-CN"/>
                              </w:rPr>
                              <w:t>法人</w:t>
                            </w:r>
                            <w:r>
                              <w:rPr>
                                <w:rFonts w:hint="eastAsia" w:ascii="仿宋" w:hAnsi="仿宋" w:eastAsia="仿宋" w:cs="仿宋"/>
                                <w:color w:val="000000"/>
                                <w:sz w:val="24"/>
                              </w:rPr>
                              <w:t>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16.05pt;margin-top:36pt;height:145.4pt;width:382.15pt;mso-wrap-distance-bottom:0pt;mso-wrap-distance-top:0pt;z-index:251661312;mso-width-relative:page;mso-height-relative:page;" fillcolor="#FFFFFF" filled="t" stroked="t" coordsize="21600,21600" o:gfxdata="UEsDBAoAAAAAAIdO4kAAAAAAAAAAAAAAAAAEAAAAZHJzL1BLAwQUAAAACACHTuJAj7JgAdcAAAAJ&#10;AQAADwAAAGRycy9kb3ducmV2LnhtbE2PMU/DMBCFdyT+g3VIbNSOi9I2jdMBVCTGNl3YnPhIUmI7&#10;ip028Os5Jjqevqd338t3s+3ZBcfQeacgWQhg6GpvOtcoOJX7pzWwELUzuvcOFXxjgF1xf5frzPir&#10;O+DlGBtGJS5kWkEb45BxHuoWrQ4LP6Aj9ulHqyOdY8PNqK9UbnsuhUi51Z2jD60e8KXF+us4WQVV&#10;J0/651C+CbvZL+P7XJ6nj1elHh8SsQUWcY7/YfjTJ3UoyKnykzOB9QqWMqGkgpWkScRXm/QZWEUg&#10;lWvgRc5vFxS/UEsDBBQAAAAIAIdO4kCSTamGMAIAAH4EAAAOAAAAZHJzL2Uyb0RvYy54bWytVMFu&#10;2zAMvQ/YPwi6L07SJEuNOEWRIMOAbivW7QMUWbaFSaJGKXG6rx8tu1na7dDDfDBEk3p675Hy6uZk&#10;DTsqDBpcwSejMWfKSSi1qwv+/dvu3ZKzEIUrhQGnCv6oAr9Zv32zan2uptCAKRUyAnEhb33Bmxh9&#10;nmVBNsqKMAKvHCUrQCsihVhnJYqW0K3JpuPxImsBS48gVQj0ddsn+YCIrwGEqtJSbUEerHKxR0Vl&#10;RCRJodE+8HViW1VKxi9VFVRkpuCkNKY3HULrfffO1iuR1yh8o+VAQbyGwgtNVmhHh56htiIKdkD9&#10;F5TVEiFAFUcSbNYLSY6Qisn4hTcPjfAqaSGrgz+bHv4frPx8vEemy4IvOHPCUsO/kmnC1UaxWWdP&#10;60NOVQ/+HjuBwd+B/BGYg01DVeoWEdpGiZJITbr67NmGLgi0le3bT1ASujhESE6dKrQdIHnATqkh&#10;j+eGqFNkkj7OlvOrq/GcM0m5yXK2mC9TyzKRP233GOIHBZZ1i4IjkU/w4ngXYkdH5E8liT4YXe60&#10;MSnAer8xyI6CpmOXnqSAVF6WGcfagl/Pp/OE/CwXLiHG6fkXhNWRLo3RtuDLyyLjBsM6j3qv42l/&#10;GmzfQ/lI1iH0Y0uXlhYN4C/OWhrZgoefB4GKM/PRkf3Xk9msm/EUzObvpxTgZWZ/mRFOElTBI2f9&#10;chP7e3HwqOuGTpokuQ5uqWWVTmZ27exZDbxpLJPHwxXq5v4yTlV/fhv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yYAHXAAAACQEAAA8AAAAAAAAAAQAgAAAAIgAAAGRycy9kb3ducmV2LnhtbFBL&#10;AQIUABQAAAAIAIdO4kCSTamGMAIAAH4EAAAOAAAAAAAAAAEAIAAAACYBAABkcnMvZTJvRG9jLnht&#10;bFBLBQYAAAAABgAGAFkBAADIBQAAAAA=&#10;">
                <v:fill on="t" focussize="0,0"/>
                <v:stroke color="#000000" miterlimit="8" joinstyle="miter"/>
                <v:imagedata o:title=""/>
                <o:lock v:ext="edit" aspectratio="f"/>
                <v:textbox>
                  <w:txbxContent>
                    <w:p w14:paraId="46FC0A85">
                      <w:pPr>
                        <w:ind w:left="0" w:leftChars="0" w:firstLine="0" w:firstLineChars="0"/>
                        <w:jc w:val="both"/>
                        <w:rPr>
                          <w:color w:val="000000"/>
                          <w:sz w:val="24"/>
                        </w:rPr>
                      </w:pPr>
                    </w:p>
                    <w:p w14:paraId="2C644617">
                      <w:pPr>
                        <w:jc w:val="center"/>
                        <w:rPr>
                          <w:color w:val="000000"/>
                          <w:sz w:val="24"/>
                        </w:rPr>
                      </w:pPr>
                    </w:p>
                    <w:p w14:paraId="0A5E255D">
                      <w:pPr>
                        <w:jc w:val="center"/>
                        <w:rPr>
                          <w:rFonts w:hint="eastAsia" w:ascii="仿宋" w:hAnsi="仿宋" w:eastAsia="仿宋" w:cs="仿宋"/>
                          <w:color w:val="000000"/>
                          <w:sz w:val="24"/>
                        </w:rPr>
                      </w:pPr>
                      <w:r>
                        <w:rPr>
                          <w:rFonts w:hint="eastAsia" w:ascii="仿宋" w:hAnsi="仿宋" w:eastAsia="仿宋" w:cs="仿宋"/>
                          <w:color w:val="000000"/>
                          <w:sz w:val="24"/>
                        </w:rPr>
                        <w:t>委托代理人</w:t>
                      </w:r>
                      <w:r>
                        <w:rPr>
                          <w:rFonts w:hint="eastAsia" w:ascii="仿宋" w:hAnsi="仿宋" w:eastAsia="仿宋" w:cs="仿宋"/>
                          <w:color w:val="000000"/>
                          <w:sz w:val="24"/>
                          <w:lang w:eastAsia="zh-CN"/>
                        </w:rPr>
                        <w:t>及</w:t>
                      </w:r>
                      <w:r>
                        <w:rPr>
                          <w:rFonts w:hint="eastAsia" w:ascii="仿宋" w:hAnsi="仿宋" w:eastAsia="仿宋" w:cs="仿宋"/>
                          <w:color w:val="000000"/>
                          <w:sz w:val="24"/>
                          <w:lang w:val="en-US" w:eastAsia="zh-CN"/>
                        </w:rPr>
                        <w:t>法人</w:t>
                      </w:r>
                      <w:r>
                        <w:rPr>
                          <w:rFonts w:hint="eastAsia" w:ascii="仿宋" w:hAnsi="仿宋" w:eastAsia="仿宋" w:cs="仿宋"/>
                          <w:color w:val="000000"/>
                          <w:sz w:val="24"/>
                        </w:rPr>
                        <w:t>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r>
        <w:rPr>
          <w:rFonts w:hint="eastAsia" w:ascii="仿宋" w:hAnsi="仿宋" w:eastAsia="仿宋" w:cs="仿宋"/>
          <w:color w:val="auto"/>
          <w:sz w:val="24"/>
          <w:szCs w:val="24"/>
        </w:rPr>
        <w:t>特此授权。</w:t>
      </w:r>
    </w:p>
    <w:p w14:paraId="2BC24708">
      <w:pPr>
        <w:pStyle w:val="8"/>
        <w:ind w:left="0" w:leftChars="0" w:firstLine="0" w:firstLineChars="0"/>
      </w:pPr>
    </w:p>
    <w:p w14:paraId="4BED3077">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投标人（公章）：</w:t>
      </w:r>
    </w:p>
    <w:p w14:paraId="18564933">
      <w:pPr>
        <w:spacing w:line="62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法定代表人（签字或盖章）：</w:t>
      </w:r>
    </w:p>
    <w:p w14:paraId="4AB7EF29">
      <w:pPr>
        <w:spacing w:line="62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身份证件号码：</w:t>
      </w:r>
      <w:r>
        <w:rPr>
          <w:rFonts w:hint="eastAsia" w:ascii="仿宋" w:hAnsi="仿宋" w:eastAsia="仿宋" w:cs="仿宋"/>
          <w:color w:val="auto"/>
          <w:sz w:val="24"/>
          <w:szCs w:val="24"/>
          <w:u w:val="single"/>
        </w:rPr>
        <w:t xml:space="preserve">                       </w:t>
      </w:r>
    </w:p>
    <w:p w14:paraId="2D09F456">
      <w:pPr>
        <w:spacing w:line="620" w:lineRule="exact"/>
        <w:rPr>
          <w:rFonts w:hint="eastAsia" w:ascii="仿宋" w:hAnsi="仿宋" w:eastAsia="仿宋" w:cs="仿宋"/>
          <w:color w:val="auto"/>
          <w:sz w:val="24"/>
          <w:szCs w:val="24"/>
        </w:rPr>
      </w:pPr>
      <w:r>
        <w:rPr>
          <w:rFonts w:hint="eastAsia" w:ascii="仿宋" w:hAnsi="仿宋" w:eastAsia="仿宋" w:cs="仿宋"/>
          <w:color w:val="auto"/>
          <w:sz w:val="24"/>
          <w:szCs w:val="24"/>
        </w:rPr>
        <w:t>委托代理人（签字或盖章）：</w:t>
      </w:r>
    </w:p>
    <w:p w14:paraId="45F65B0E">
      <w:pPr>
        <w:spacing w:line="620" w:lineRule="exact"/>
        <w:rPr>
          <w:rFonts w:hint="eastAsia" w:ascii="仿宋" w:hAnsi="仿宋" w:eastAsia="仿宋" w:cs="仿宋"/>
          <w:color w:val="auto"/>
          <w:sz w:val="24"/>
          <w:szCs w:val="24"/>
        </w:rPr>
      </w:pPr>
      <w:r>
        <w:rPr>
          <w:rFonts w:hint="eastAsia" w:ascii="仿宋" w:hAnsi="仿宋" w:eastAsia="仿宋" w:cs="仿宋"/>
          <w:color w:val="auto"/>
          <w:sz w:val="24"/>
          <w:szCs w:val="24"/>
        </w:rPr>
        <w:t>身份证件号码：</w:t>
      </w:r>
      <w:r>
        <w:rPr>
          <w:rFonts w:hint="eastAsia" w:ascii="仿宋" w:hAnsi="仿宋" w:eastAsia="仿宋" w:cs="仿宋"/>
          <w:color w:val="auto"/>
          <w:sz w:val="24"/>
          <w:szCs w:val="24"/>
          <w:u w:val="single"/>
        </w:rPr>
        <w:t xml:space="preserve">                       </w:t>
      </w:r>
    </w:p>
    <w:p w14:paraId="062A6CB7">
      <w:pPr>
        <w:spacing w:line="620" w:lineRule="exac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5E067FB2">
      <w:pPr>
        <w:pStyle w:val="8"/>
        <w:ind w:left="0" w:leftChars="0" w:firstLine="0" w:firstLineChars="0"/>
        <w:rPr>
          <w:rFonts w:hint="eastAsia" w:ascii="仿宋" w:hAnsi="仿宋" w:eastAsia="仿宋" w:cs="仿宋"/>
          <w:color w:val="auto"/>
          <w:sz w:val="24"/>
        </w:rPr>
      </w:pPr>
      <w:r>
        <w:rPr>
          <w:rFonts w:hint="eastAsia" w:ascii="仿宋" w:hAnsi="仿宋" w:eastAsia="仿宋" w:cs="仿宋"/>
          <w:color w:val="auto"/>
          <w:sz w:val="24"/>
        </w:rPr>
        <w:t>注：</w:t>
      </w:r>
    </w:p>
    <w:p w14:paraId="08920142">
      <w:pPr>
        <w:pStyle w:val="8"/>
        <w:ind w:left="0" w:leftChars="0" w:firstLine="0" w:firstLineChars="0"/>
        <w:rPr>
          <w:rFonts w:hint="eastAsia" w:ascii="仿宋" w:hAnsi="仿宋" w:eastAsia="仿宋" w:cs="仿宋"/>
          <w:color w:val="auto"/>
          <w:sz w:val="24"/>
        </w:rPr>
      </w:pPr>
      <w:r>
        <w:rPr>
          <w:rFonts w:hint="eastAsia" w:ascii="仿宋" w:hAnsi="仿宋" w:eastAsia="仿宋" w:cs="仿宋"/>
          <w:color w:val="auto"/>
          <w:sz w:val="24"/>
        </w:rPr>
        <w:t>1、经本授权委托书授权的代理人可签署投标文件相关内容。</w:t>
      </w:r>
    </w:p>
    <w:p w14:paraId="41877DE6">
      <w:pPr>
        <w:bidi w:val="0"/>
        <w:ind w:left="0" w:leftChars="0" w:firstLine="0" w:firstLineChars="0"/>
        <w:rPr>
          <w:rFonts w:hint="eastAsia" w:ascii="仿宋" w:hAnsi="仿宋" w:eastAsia="仿宋" w:cs="仿宋"/>
          <w:color w:val="auto"/>
          <w:sz w:val="24"/>
        </w:rPr>
      </w:pPr>
      <w:r>
        <w:rPr>
          <w:rFonts w:hint="eastAsia" w:ascii="仿宋" w:hAnsi="仿宋" w:eastAsia="仿宋" w:cs="仿宋"/>
          <w:color w:val="auto"/>
          <w:sz w:val="24"/>
        </w:rPr>
        <w:t>2、投标文件由法定代表人签署的，</w:t>
      </w:r>
      <w:r>
        <w:rPr>
          <w:rFonts w:hint="eastAsia" w:ascii="仿宋" w:hAnsi="仿宋" w:eastAsia="仿宋" w:cs="仿宋"/>
          <w:color w:val="auto"/>
          <w:sz w:val="24"/>
          <w:lang w:val="en-US" w:eastAsia="zh-CN"/>
        </w:rPr>
        <w:t>可</w:t>
      </w:r>
      <w:r>
        <w:rPr>
          <w:rFonts w:hint="eastAsia" w:ascii="仿宋" w:hAnsi="仿宋" w:eastAsia="仿宋" w:cs="仿宋"/>
          <w:color w:val="auto"/>
          <w:sz w:val="24"/>
        </w:rPr>
        <w:t>无需递交本授权委托书。</w:t>
      </w:r>
    </w:p>
    <w:p w14:paraId="0EAFE0A3">
      <w:r>
        <w:br w:type="page"/>
      </w:r>
    </w:p>
    <w:p w14:paraId="60176ECB">
      <w:pPr>
        <w:pStyle w:val="22"/>
      </w:pPr>
    </w:p>
    <w:p w14:paraId="7DD6D1CF">
      <w:pPr>
        <w:pStyle w:val="3"/>
        <w:bidi w:val="0"/>
      </w:pPr>
      <w:r>
        <w:t>附件</w:t>
      </w:r>
      <w:r>
        <w:rPr>
          <w:rFonts w:hint="eastAsia"/>
          <w:lang w:val="en-US" w:eastAsia="zh-CN"/>
        </w:rPr>
        <w:t>3</w:t>
      </w:r>
      <w:r>
        <w:t xml:space="preserve"> 报价一览表</w:t>
      </w:r>
    </w:p>
    <w:p w14:paraId="1B7745C6">
      <w:pPr>
        <w:bidi w:val="0"/>
        <w:ind w:left="0" w:leftChars="0" w:firstLine="0" w:firstLineChars="0"/>
      </w:pPr>
      <w:r>
        <w:t xml:space="preserve">项目名称：                                                    </w:t>
      </w:r>
    </w:p>
    <w:p w14:paraId="43C0D19E">
      <w:pPr>
        <w:bidi w:val="0"/>
        <w:ind w:left="0" w:leftChars="0" w:firstLine="0" w:firstLineChars="0"/>
      </w:pPr>
      <w:r>
        <w:t>项目编号：</w:t>
      </w:r>
    </w:p>
    <w:tbl>
      <w:tblPr>
        <w:tblStyle w:val="23"/>
        <w:tblW w:w="512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445"/>
        <w:gridCol w:w="4751"/>
        <w:gridCol w:w="1543"/>
        <w:gridCol w:w="1543"/>
      </w:tblGrid>
      <w:tr w14:paraId="4EAF2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27" w:hRule="atLeast"/>
        </w:trPr>
        <w:tc>
          <w:tcPr>
            <w:tcW w:w="778" w:type="pct"/>
            <w:tcBorders>
              <w:top w:val="single" w:color="auto" w:sz="12" w:space="0"/>
              <w:left w:val="single" w:color="auto" w:sz="12" w:space="0"/>
              <w:bottom w:val="single" w:color="auto" w:sz="4" w:space="0"/>
              <w:right w:val="single" w:color="auto" w:sz="4" w:space="0"/>
            </w:tcBorders>
            <w:noWrap w:val="0"/>
            <w:vAlign w:val="center"/>
          </w:tcPr>
          <w:p w14:paraId="42A9EB67">
            <w:pPr>
              <w:shd w:val="clear" w:color="auto" w:fill="FFFFFF"/>
              <w:tabs>
                <w:tab w:val="left" w:pos="5580"/>
              </w:tabs>
              <w:spacing w:line="560" w:lineRule="exact"/>
              <w:ind w:right="-3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58" w:type="pct"/>
            <w:tcBorders>
              <w:top w:val="single" w:color="auto" w:sz="12" w:space="0"/>
              <w:left w:val="single" w:color="auto" w:sz="4" w:space="0"/>
              <w:bottom w:val="single" w:color="auto" w:sz="4" w:space="0"/>
              <w:right w:val="single" w:color="auto" w:sz="4" w:space="0"/>
            </w:tcBorders>
            <w:noWrap w:val="0"/>
            <w:vAlign w:val="center"/>
          </w:tcPr>
          <w:p w14:paraId="4C013E6E">
            <w:pPr>
              <w:snapToGrid w:val="0"/>
              <w:ind w:right="-30" w:firstLine="1440" w:firstLineChars="6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报价（元）</w:t>
            </w:r>
          </w:p>
        </w:tc>
        <w:tc>
          <w:tcPr>
            <w:tcW w:w="831" w:type="pct"/>
            <w:tcBorders>
              <w:top w:val="single" w:color="auto" w:sz="12" w:space="0"/>
              <w:left w:val="single" w:color="auto" w:sz="4" w:space="0"/>
              <w:bottom w:val="single" w:color="auto" w:sz="4" w:space="0"/>
              <w:right w:val="single" w:color="auto" w:sz="12" w:space="0"/>
            </w:tcBorders>
            <w:noWrap w:val="0"/>
            <w:vAlign w:val="center"/>
          </w:tcPr>
          <w:p w14:paraId="5EBDAC69">
            <w:pPr>
              <w:shd w:val="clear" w:color="auto" w:fill="FFFFFF"/>
              <w:tabs>
                <w:tab w:val="left" w:pos="5580"/>
              </w:tabs>
              <w:spacing w:line="560" w:lineRule="exact"/>
              <w:ind w:right="-3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质保期</w:t>
            </w:r>
          </w:p>
        </w:tc>
        <w:tc>
          <w:tcPr>
            <w:tcW w:w="831" w:type="pct"/>
            <w:tcBorders>
              <w:top w:val="single" w:color="auto" w:sz="12" w:space="0"/>
              <w:left w:val="single" w:color="auto" w:sz="4" w:space="0"/>
              <w:bottom w:val="single" w:color="auto" w:sz="4" w:space="0"/>
              <w:right w:val="single" w:color="auto" w:sz="12" w:space="0"/>
            </w:tcBorders>
            <w:noWrap w:val="0"/>
            <w:vAlign w:val="center"/>
          </w:tcPr>
          <w:p w14:paraId="09C29F48">
            <w:pPr>
              <w:shd w:val="clear" w:color="auto" w:fill="FFFFFF"/>
              <w:tabs>
                <w:tab w:val="left" w:pos="5580"/>
              </w:tabs>
              <w:spacing w:line="560" w:lineRule="exact"/>
              <w:ind w:right="-3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51DA5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778" w:type="pct"/>
            <w:tcBorders>
              <w:top w:val="single" w:color="auto" w:sz="4" w:space="0"/>
              <w:left w:val="single" w:color="auto" w:sz="12" w:space="0"/>
              <w:bottom w:val="single" w:color="auto" w:sz="12" w:space="0"/>
              <w:right w:val="single" w:color="auto" w:sz="4" w:space="0"/>
            </w:tcBorders>
            <w:noWrap w:val="0"/>
            <w:vAlign w:val="center"/>
          </w:tcPr>
          <w:p w14:paraId="715F931C">
            <w:pPr>
              <w:shd w:val="clear" w:color="auto" w:fill="FFFFFF"/>
              <w:spacing w:line="560" w:lineRule="exact"/>
              <w:ind w:right="-3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558" w:type="pct"/>
            <w:tcBorders>
              <w:top w:val="single" w:color="auto" w:sz="4" w:space="0"/>
              <w:left w:val="single" w:color="auto" w:sz="4" w:space="0"/>
              <w:bottom w:val="single" w:color="auto" w:sz="12" w:space="0"/>
              <w:right w:val="single" w:color="auto" w:sz="4" w:space="0"/>
            </w:tcBorders>
            <w:noWrap w:val="0"/>
            <w:vAlign w:val="center"/>
          </w:tcPr>
          <w:p w14:paraId="06A46156">
            <w:pPr>
              <w:pStyle w:val="5"/>
              <w:ind w:left="0" w:leftChars="0" w:right="-30" w:firstLine="480"/>
              <w:jc w:val="left"/>
              <w:rPr>
                <w:rFonts w:hint="eastAsia" w:ascii="仿宋" w:hAnsi="仿宋" w:eastAsia="仿宋" w:cs="仿宋"/>
                <w:color w:val="auto"/>
                <w:sz w:val="24"/>
                <w:highlight w:val="none"/>
              </w:rPr>
            </w:pPr>
          </w:p>
          <w:p w14:paraId="5B483619">
            <w:pPr>
              <w:pStyle w:val="5"/>
              <w:ind w:left="0" w:leftChars="0" w:right="-30" w:firstLine="48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小写：</w:t>
            </w:r>
          </w:p>
          <w:p w14:paraId="49370504">
            <w:pPr>
              <w:shd w:val="clear" w:color="auto" w:fill="FFFFFF"/>
              <w:tabs>
                <w:tab w:val="left" w:pos="5580"/>
              </w:tabs>
              <w:spacing w:line="560" w:lineRule="exact"/>
              <w:ind w:right="-30"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p w14:paraId="4E7CB5D5">
            <w:pPr>
              <w:pStyle w:val="5"/>
              <w:ind w:left="0" w:leftChars="0" w:right="-30" w:firstLine="480"/>
              <w:rPr>
                <w:rFonts w:hint="eastAsia" w:ascii="仿宋" w:hAnsi="仿宋" w:eastAsia="仿宋" w:cs="仿宋"/>
                <w:color w:val="auto"/>
                <w:sz w:val="24"/>
                <w:highlight w:val="none"/>
              </w:rPr>
            </w:pPr>
          </w:p>
        </w:tc>
        <w:tc>
          <w:tcPr>
            <w:tcW w:w="831" w:type="pct"/>
            <w:tcBorders>
              <w:top w:val="single" w:color="auto" w:sz="4" w:space="0"/>
              <w:left w:val="single" w:color="auto" w:sz="4" w:space="0"/>
              <w:bottom w:val="single" w:color="auto" w:sz="12" w:space="0"/>
              <w:right w:val="single" w:color="auto" w:sz="12" w:space="0"/>
            </w:tcBorders>
            <w:noWrap w:val="0"/>
            <w:vAlign w:val="center"/>
          </w:tcPr>
          <w:p w14:paraId="4E2A0FBE">
            <w:pPr>
              <w:shd w:val="clear" w:color="auto" w:fill="FFFFFF"/>
              <w:tabs>
                <w:tab w:val="left" w:pos="5580"/>
              </w:tabs>
              <w:spacing w:line="560" w:lineRule="exact"/>
              <w:ind w:left="0" w:leftChars="0" w:right="-30" w:firstLine="0" w:firstLineChars="0"/>
              <w:jc w:val="both"/>
              <w:rPr>
                <w:rFonts w:hint="eastAsia" w:ascii="仿宋" w:hAnsi="仿宋" w:eastAsia="仿宋" w:cs="仿宋"/>
                <w:color w:val="auto"/>
                <w:sz w:val="24"/>
                <w:szCs w:val="24"/>
                <w:highlight w:val="none"/>
              </w:rPr>
            </w:pPr>
          </w:p>
        </w:tc>
        <w:tc>
          <w:tcPr>
            <w:tcW w:w="831" w:type="pct"/>
            <w:tcBorders>
              <w:top w:val="single" w:color="auto" w:sz="4" w:space="0"/>
              <w:left w:val="single" w:color="auto" w:sz="4" w:space="0"/>
              <w:bottom w:val="single" w:color="auto" w:sz="12" w:space="0"/>
              <w:right w:val="single" w:color="auto" w:sz="12" w:space="0"/>
            </w:tcBorders>
            <w:noWrap w:val="0"/>
            <w:vAlign w:val="center"/>
          </w:tcPr>
          <w:p w14:paraId="5BF0DCA5">
            <w:pPr>
              <w:shd w:val="clear" w:color="auto" w:fill="FFFFFF"/>
              <w:tabs>
                <w:tab w:val="left" w:pos="5580"/>
              </w:tabs>
              <w:spacing w:line="560" w:lineRule="exact"/>
              <w:ind w:left="0" w:leftChars="0" w:right="-30" w:firstLine="0" w:firstLineChars="0"/>
              <w:jc w:val="both"/>
              <w:rPr>
                <w:rFonts w:hint="eastAsia" w:ascii="仿宋" w:hAnsi="仿宋" w:eastAsia="仿宋" w:cs="仿宋"/>
                <w:color w:val="auto"/>
                <w:sz w:val="24"/>
                <w:szCs w:val="24"/>
                <w:highlight w:val="none"/>
              </w:rPr>
            </w:pPr>
          </w:p>
        </w:tc>
      </w:tr>
    </w:tbl>
    <w:p w14:paraId="478CEA0A">
      <w:pPr>
        <w:pStyle w:val="95"/>
        <w:spacing w:after="0"/>
        <w:rPr>
          <w:rStyle w:val="30"/>
          <w:rFonts w:hint="eastAsia" w:ascii="Arial" w:hAnsi="Arial" w:cs="Arial"/>
          <w:lang w:val="en-US" w:eastAsia="zh-CN"/>
        </w:rPr>
      </w:pPr>
    </w:p>
    <w:p w14:paraId="5EEA30CF">
      <w:pPr>
        <w:ind w:right="-30" w:firstLine="42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p>
    <w:p w14:paraId="79F217F0">
      <w:pPr>
        <w:keepNext w:val="0"/>
        <w:keepLines w:val="0"/>
        <w:pageBreakBefore w:val="0"/>
        <w:widowControl w:val="0"/>
        <w:numPr>
          <w:ilvl w:val="0"/>
          <w:numId w:val="10"/>
        </w:numPr>
        <w:tabs>
          <w:tab w:val="clear" w:pos="425"/>
        </w:tabs>
        <w:kinsoku/>
        <w:wordWrap/>
        <w:overflowPunct/>
        <w:topLinePunct w:val="0"/>
        <w:autoSpaceDE/>
        <w:autoSpaceDN/>
        <w:bidi w:val="0"/>
        <w:adjustRightInd/>
        <w:snapToGrid/>
        <w:spacing w:line="360" w:lineRule="auto"/>
        <w:ind w:left="425" w:right="-28" w:firstLine="42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中国融通电子商务平台报价应与本表“响应报价”保持一致。</w:t>
      </w:r>
    </w:p>
    <w:p w14:paraId="49F9CED0">
      <w:pPr>
        <w:keepNext w:val="0"/>
        <w:keepLines w:val="0"/>
        <w:pageBreakBefore w:val="0"/>
        <w:widowControl w:val="0"/>
        <w:numPr>
          <w:ilvl w:val="0"/>
          <w:numId w:val="10"/>
        </w:numPr>
        <w:tabs>
          <w:tab w:val="clear" w:pos="425"/>
        </w:tabs>
        <w:kinsoku/>
        <w:wordWrap/>
        <w:overflowPunct/>
        <w:topLinePunct w:val="0"/>
        <w:autoSpaceDE/>
        <w:autoSpaceDN/>
        <w:bidi w:val="0"/>
        <w:adjustRightInd/>
        <w:snapToGrid/>
        <w:spacing w:line="360" w:lineRule="auto"/>
        <w:ind w:left="425" w:right="-28" w:firstLine="42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本次报价已包括</w:t>
      </w:r>
      <w:r>
        <w:rPr>
          <w:rFonts w:hint="eastAsia" w:ascii="仿宋" w:hAnsi="仿宋" w:eastAsia="仿宋" w:cs="仿宋"/>
          <w:b/>
          <w:color w:val="auto"/>
          <w:sz w:val="24"/>
          <w:szCs w:val="24"/>
          <w:highlight w:val="none"/>
          <w:lang w:val="en-US" w:eastAsia="zh-CN"/>
        </w:rPr>
        <w:t>提供本项目服务内容所包含的</w:t>
      </w:r>
      <w:r>
        <w:rPr>
          <w:rFonts w:hint="eastAsia" w:ascii="仿宋" w:hAnsi="仿宋" w:eastAsia="仿宋" w:cs="仿宋"/>
          <w:b/>
          <w:color w:val="auto"/>
          <w:sz w:val="24"/>
          <w:szCs w:val="24"/>
          <w:highlight w:val="none"/>
          <w:lang w:eastAsia="zh-CN"/>
        </w:rPr>
        <w:t>各项含税费用。</w:t>
      </w:r>
    </w:p>
    <w:p w14:paraId="3A2B7ED9">
      <w:pPr>
        <w:numPr>
          <w:ilvl w:val="-1"/>
          <w:numId w:val="0"/>
        </w:numPr>
        <w:ind w:left="0" w:right="-30" w:firstLine="562" w:firstLineChars="200"/>
        <w:rPr>
          <w:rFonts w:hint="eastAsia" w:ascii="仿宋" w:hAnsi="仿宋" w:eastAsia="仿宋" w:cs="仿宋"/>
          <w:b/>
          <w:color w:val="auto"/>
          <w:szCs w:val="21"/>
          <w:highlight w:val="none"/>
        </w:rPr>
      </w:pPr>
    </w:p>
    <w:p w14:paraId="03175830">
      <w:pPr>
        <w:pStyle w:val="95"/>
        <w:spacing w:after="0"/>
        <w:rPr>
          <w:rStyle w:val="30"/>
          <w:rFonts w:ascii="Arial" w:hAnsi="Arial" w:cs="Arial"/>
        </w:rPr>
      </w:pPr>
    </w:p>
    <w:p w14:paraId="23387A8A">
      <w:pPr>
        <w:pStyle w:val="95"/>
        <w:spacing w:after="0"/>
        <w:rPr>
          <w:rStyle w:val="30"/>
          <w:rFonts w:ascii="Arial" w:hAnsi="Arial" w:cs="Arial"/>
        </w:rPr>
      </w:pPr>
    </w:p>
    <w:p w14:paraId="0A439417">
      <w:pPr>
        <w:pStyle w:val="95"/>
        <w:spacing w:after="0"/>
        <w:rPr>
          <w:rStyle w:val="30"/>
          <w:rFonts w:ascii="Arial" w:hAnsi="Arial" w:cs="Arial"/>
        </w:rPr>
      </w:pPr>
    </w:p>
    <w:p w14:paraId="563602E2">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7F13F519">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2869BB1B">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7171DC52">
      <w:pPr>
        <w:bidi w:val="0"/>
        <w:rPr>
          <w:rFonts w:hint="eastAsia"/>
        </w:rPr>
        <w:sectPr>
          <w:headerReference r:id="rId18" w:type="default"/>
          <w:footerReference r:id="rId19" w:type="default"/>
          <w:pgSz w:w="11906" w:h="16838"/>
          <w:pgMar w:top="1080" w:right="1440" w:bottom="1080" w:left="1440" w:header="850" w:footer="992" w:gutter="0"/>
          <w:pgNumType w:fmt="decimal"/>
          <w:cols w:space="0" w:num="1"/>
          <w:rtlGutter w:val="0"/>
          <w:docGrid w:linePitch="312" w:charSpace="0"/>
        </w:sectPr>
      </w:pPr>
      <w:r>
        <w:rPr>
          <w:rFonts w:hint="eastAsia"/>
        </w:rPr>
        <w:t>：</w:t>
      </w:r>
    </w:p>
    <w:p w14:paraId="44D618C8">
      <w:pPr>
        <w:snapToGrid w:val="0"/>
        <w:ind w:right="123" w:rightChars="44"/>
        <w:jc w:val="center"/>
        <w:rPr>
          <w:rFonts w:hint="eastAsia" w:ascii="Times New Roman" w:hAnsi="Times New Roman" w:eastAsia="仿宋_GB2312" w:cstheme="minorBidi"/>
          <w:b/>
          <w:bCs/>
          <w:kern w:val="2"/>
          <w:sz w:val="28"/>
          <w:szCs w:val="21"/>
          <w:lang w:val="en-US" w:eastAsia="zh-CN" w:bidi="ar-SA"/>
        </w:rPr>
      </w:pPr>
      <w:r>
        <w:rPr>
          <w:rFonts w:hint="eastAsia" w:ascii="Times New Roman" w:hAnsi="Times New Roman" w:eastAsia="仿宋_GB2312" w:cstheme="minorBidi"/>
          <w:b/>
          <w:bCs/>
          <w:kern w:val="2"/>
          <w:sz w:val="28"/>
          <w:szCs w:val="21"/>
          <w:lang w:val="en-US" w:eastAsia="zh-CN" w:bidi="ar-SA"/>
        </w:rPr>
        <w:t>附件</w:t>
      </w:r>
      <w:r>
        <w:rPr>
          <w:rFonts w:hint="eastAsia" w:ascii="Times New Roman" w:hAnsi="Times New Roman" w:cstheme="minorBidi"/>
          <w:b/>
          <w:bCs/>
          <w:kern w:val="2"/>
          <w:sz w:val="28"/>
          <w:szCs w:val="21"/>
          <w:lang w:val="en-US" w:eastAsia="zh-CN" w:bidi="ar-SA"/>
        </w:rPr>
        <w:t>4</w:t>
      </w:r>
      <w:r>
        <w:rPr>
          <w:rFonts w:hint="eastAsia" w:ascii="Times New Roman" w:hAnsi="Times New Roman" w:eastAsia="仿宋_GB2312" w:cstheme="minorBidi"/>
          <w:b/>
          <w:bCs/>
          <w:kern w:val="2"/>
          <w:sz w:val="28"/>
          <w:szCs w:val="21"/>
          <w:lang w:val="en-US" w:eastAsia="zh-CN" w:bidi="ar-SA"/>
        </w:rPr>
        <w:t xml:space="preserve"> 资格声明函</w:t>
      </w:r>
    </w:p>
    <w:p w14:paraId="527E3B10">
      <w:pPr>
        <w:keepNext w:val="0"/>
        <w:keepLines w:val="0"/>
        <w:pageBreakBefore w:val="0"/>
        <w:widowControl w:val="0"/>
        <w:kinsoku/>
        <w:wordWrap/>
        <w:overflowPunct/>
        <w:topLinePunct w:val="0"/>
        <w:autoSpaceDE/>
        <w:autoSpaceDN/>
        <w:bidi w:val="0"/>
        <w:adjustRightInd/>
        <w:snapToGrid w:val="0"/>
        <w:spacing w:line="240" w:lineRule="auto"/>
        <w:ind w:left="0" w:leftChars="0" w:right="123" w:rightChars="44" w:firstLine="0" w:firstLineChars="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采购</w:t>
      </w:r>
      <w:r>
        <w:rPr>
          <w:rFonts w:hint="eastAsia" w:ascii="仿宋" w:hAnsi="仿宋" w:eastAsia="仿宋" w:cs="仿宋"/>
          <w:color w:val="auto"/>
          <w:spacing w:val="6"/>
          <w:sz w:val="24"/>
          <w:szCs w:val="24"/>
          <w:highlight w:val="none"/>
          <w:u w:val="single"/>
        </w:rPr>
        <w:t>代理机构</w:t>
      </w:r>
      <w:r>
        <w:rPr>
          <w:rFonts w:hint="eastAsia" w:ascii="仿宋" w:hAnsi="仿宋" w:eastAsia="仿宋" w:cs="仿宋"/>
          <w:color w:val="auto"/>
          <w:spacing w:val="6"/>
          <w:sz w:val="24"/>
          <w:szCs w:val="24"/>
          <w:highlight w:val="none"/>
        </w:rPr>
        <w:t>：</w:t>
      </w:r>
    </w:p>
    <w:p w14:paraId="5D84746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1AD0E18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1、具有独立承担民事责任的能力，且无外资、港澳台背景；</w:t>
      </w:r>
    </w:p>
    <w:p w14:paraId="4D577F7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593EE4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0571029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098B2C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4E1E183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1F5718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国家企业信用信息公示系统（www.gsxt.gov.cn）“严重违法失信名单”；④未被列入军队采购网（www.plap.mil.cn）“军队采购暂停名单”处罚范围内；⑤未被列入军队采购网（www.plap.mil.cn）“军队采购失信名单”处罚范围内）。</w:t>
      </w:r>
    </w:p>
    <w:p w14:paraId="75A4666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5EFDBD7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105973B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07BB854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1E8BAB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0B654BC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056C66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416B2E7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7D6D024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0820501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648C98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289391D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195C5C27">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61C1E0E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322B8299">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3C3EFB7D">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4D60280E">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52A034F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767829FB">
      <w:r>
        <w:br w:type="page"/>
      </w:r>
    </w:p>
    <w:p w14:paraId="05A773E8">
      <w:pPr>
        <w:numPr>
          <w:ilvl w:val="0"/>
          <w:numId w:val="0"/>
        </w:numPr>
        <w:snapToGrid w:val="0"/>
        <w:spacing w:line="360" w:lineRule="auto"/>
        <w:ind w:right="-30" w:rightChars="0"/>
        <w:jc w:val="center"/>
        <w:outlineLvl w:val="2"/>
        <w:rPr>
          <w:rStyle w:val="30"/>
          <w:rFonts w:hint="default" w:ascii="仿宋" w:hAnsi="仿宋" w:eastAsia="仿宋" w:cs="仿宋"/>
          <w:b/>
          <w:bCs/>
          <w:color w:val="auto"/>
          <w:sz w:val="30"/>
          <w:szCs w:val="30"/>
          <w:highlight w:val="none"/>
          <w:lang w:val="en-US" w:eastAsia="zh-CN"/>
        </w:rPr>
      </w:pPr>
      <w:r>
        <w:rPr>
          <w:rFonts w:hint="eastAsia" w:ascii="Times New Roman" w:hAnsi="Times New Roman" w:eastAsia="仿宋_GB2312" w:cstheme="minorBidi"/>
          <w:b/>
          <w:bCs/>
          <w:kern w:val="2"/>
          <w:sz w:val="28"/>
          <w:szCs w:val="21"/>
          <w:lang w:val="en-US" w:eastAsia="zh-CN" w:bidi="ar-SA"/>
        </w:rPr>
        <w:t>附件</w:t>
      </w:r>
      <w:r>
        <w:rPr>
          <w:rFonts w:hint="eastAsia" w:ascii="Times New Roman" w:hAnsi="Times New Roman" w:cstheme="minorBidi"/>
          <w:b/>
          <w:bCs/>
          <w:kern w:val="2"/>
          <w:sz w:val="28"/>
          <w:szCs w:val="21"/>
          <w:lang w:val="en-US" w:eastAsia="zh-CN" w:bidi="ar-SA"/>
        </w:rPr>
        <w:t xml:space="preserve">5 </w:t>
      </w:r>
      <w:r>
        <w:rPr>
          <w:rStyle w:val="30"/>
          <w:rFonts w:hint="eastAsia" w:ascii="仿宋" w:hAnsi="仿宋" w:eastAsia="仿宋" w:cs="仿宋"/>
          <w:b/>
          <w:bCs/>
          <w:color w:val="auto"/>
          <w:sz w:val="30"/>
          <w:szCs w:val="30"/>
          <w:highlight w:val="none"/>
          <w:lang w:val="en-US" w:eastAsia="zh-CN"/>
        </w:rPr>
        <w:t>资格要求证明材料</w:t>
      </w:r>
    </w:p>
    <w:p w14:paraId="5E5A3F7C">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r>
        <w:rPr>
          <w:rStyle w:val="30"/>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具有独立承担民事责任的能力【提供承诺函】；</w:t>
      </w:r>
    </w:p>
    <w:p w14:paraId="2AD01DB9">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p>
    <w:p w14:paraId="79AD4918">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p>
    <w:p w14:paraId="0D92EBC0">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r>
        <w:rPr>
          <w:rStyle w:val="30"/>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第三方会计师事务所出具的上一年度财务类审计报告，必须包含报告正文、资产负债表、现金流量表、利润表、会计师事务所营业执照、2个注册会计师的签字和盖章；或者提供投标截止时间前3个月内由银行开具的资信证明；军队单位或事业单位无法提供审计报告的，可由上级管理部门批复的决算或内部会计报表代替】</w:t>
      </w:r>
    </w:p>
    <w:p w14:paraId="5EA12740">
      <w:pPr>
        <w:numPr>
          <w:ilvl w:val="0"/>
          <w:numId w:val="0"/>
        </w:numPr>
        <w:snapToGrid w:val="0"/>
        <w:spacing w:line="360" w:lineRule="auto"/>
        <w:ind w:right="-30" w:rightChars="0"/>
        <w:outlineLvl w:val="2"/>
        <w:rPr>
          <w:rStyle w:val="30"/>
          <w:rFonts w:hint="default" w:ascii="仿宋" w:hAnsi="仿宋" w:eastAsia="仿宋" w:cs="仿宋"/>
          <w:color w:val="auto"/>
          <w:sz w:val="24"/>
          <w:szCs w:val="24"/>
          <w:highlight w:val="none"/>
          <w:lang w:val="en-US" w:eastAsia="zh-CN"/>
        </w:rPr>
      </w:pPr>
    </w:p>
    <w:p w14:paraId="5BE06291">
      <w:pPr>
        <w:numPr>
          <w:ilvl w:val="0"/>
          <w:numId w:val="0"/>
        </w:numPr>
        <w:snapToGrid w:val="0"/>
        <w:spacing w:line="360" w:lineRule="auto"/>
        <w:ind w:right="-30" w:rightChars="0"/>
        <w:outlineLvl w:val="2"/>
        <w:rPr>
          <w:rStyle w:val="30"/>
          <w:rFonts w:hint="default" w:ascii="仿宋" w:hAnsi="仿宋" w:eastAsia="仿宋" w:cs="仿宋"/>
          <w:color w:val="auto"/>
          <w:sz w:val="24"/>
          <w:szCs w:val="24"/>
          <w:highlight w:val="none"/>
          <w:lang w:val="en-US" w:eastAsia="zh-CN"/>
        </w:rPr>
      </w:pPr>
    </w:p>
    <w:p w14:paraId="4F96E065">
      <w:pPr>
        <w:numPr>
          <w:ilvl w:val="0"/>
          <w:numId w:val="0"/>
        </w:numPr>
        <w:snapToGrid w:val="0"/>
        <w:spacing w:line="360" w:lineRule="auto"/>
        <w:ind w:right="-30" w:rightChars="0"/>
        <w:outlineLvl w:val="2"/>
        <w:rPr>
          <w:rStyle w:val="30"/>
          <w:rFonts w:hint="default" w:ascii="仿宋" w:hAnsi="仿宋" w:eastAsia="仿宋" w:cs="仿宋"/>
          <w:color w:val="auto"/>
          <w:sz w:val="24"/>
          <w:szCs w:val="24"/>
          <w:highlight w:val="none"/>
          <w:lang w:val="en-US" w:eastAsia="zh-CN"/>
        </w:rPr>
      </w:pPr>
      <w:r>
        <w:rPr>
          <w:rStyle w:val="30"/>
          <w:rFonts w:hint="eastAsia" w:ascii="仿宋" w:hAnsi="仿宋" w:eastAsia="仿宋" w:cs="仿宋"/>
          <w:color w:val="auto"/>
          <w:sz w:val="24"/>
          <w:szCs w:val="24"/>
          <w:highlight w:val="none"/>
          <w:lang w:val="en-US" w:eastAsia="zh-CN"/>
        </w:rPr>
        <w:t>3</w:t>
      </w:r>
      <w:r>
        <w:rPr>
          <w:rStyle w:val="30"/>
          <w:rFonts w:hint="default" w:ascii="仿宋" w:hAnsi="仿宋" w:eastAsia="仿宋" w:cs="仿宋"/>
          <w:color w:val="auto"/>
          <w:sz w:val="24"/>
          <w:szCs w:val="24"/>
          <w:highlight w:val="none"/>
          <w:lang w:val="en-US" w:eastAsia="zh-CN"/>
        </w:rPr>
        <w:t>.有依法缴纳税收</w:t>
      </w:r>
      <w:r>
        <w:rPr>
          <w:rStyle w:val="30"/>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17C4DA18">
      <w:pPr>
        <w:numPr>
          <w:ilvl w:val="0"/>
          <w:numId w:val="0"/>
        </w:numPr>
        <w:snapToGrid w:val="0"/>
        <w:spacing w:line="360" w:lineRule="auto"/>
        <w:ind w:right="-30" w:rightChars="0"/>
        <w:outlineLvl w:val="2"/>
        <w:rPr>
          <w:rStyle w:val="30"/>
          <w:rFonts w:hint="default" w:ascii="仿宋" w:hAnsi="仿宋" w:eastAsia="仿宋" w:cs="仿宋"/>
          <w:color w:val="auto"/>
          <w:sz w:val="24"/>
          <w:szCs w:val="24"/>
          <w:highlight w:val="none"/>
          <w:lang w:val="en-US" w:eastAsia="zh-CN"/>
        </w:rPr>
      </w:pPr>
    </w:p>
    <w:p w14:paraId="46B3EBD2">
      <w:pPr>
        <w:pStyle w:val="8"/>
        <w:ind w:left="0" w:leftChars="0" w:firstLine="0" w:firstLineChars="0"/>
        <w:rPr>
          <w:rFonts w:hint="default"/>
          <w:lang w:val="en-US" w:eastAsia="zh-CN"/>
        </w:rPr>
      </w:pPr>
    </w:p>
    <w:p w14:paraId="08FECF79">
      <w:pPr>
        <w:numPr>
          <w:ilvl w:val="0"/>
          <w:numId w:val="0"/>
        </w:numPr>
        <w:snapToGrid w:val="0"/>
        <w:spacing w:line="360" w:lineRule="auto"/>
        <w:ind w:right="-30" w:rightChars="0"/>
        <w:outlineLvl w:val="2"/>
        <w:rPr>
          <w:rStyle w:val="30"/>
          <w:rFonts w:hint="default" w:ascii="仿宋" w:hAnsi="仿宋" w:eastAsia="仿宋" w:cs="仿宋"/>
          <w:color w:val="auto"/>
          <w:sz w:val="24"/>
          <w:szCs w:val="24"/>
          <w:highlight w:val="none"/>
          <w:lang w:val="en-US" w:eastAsia="zh-CN"/>
        </w:rPr>
      </w:pPr>
      <w:r>
        <w:rPr>
          <w:rStyle w:val="30"/>
          <w:rFonts w:hint="eastAsia" w:ascii="仿宋" w:hAnsi="仿宋" w:eastAsia="仿宋" w:cs="仿宋"/>
          <w:color w:val="auto"/>
          <w:sz w:val="24"/>
          <w:szCs w:val="24"/>
          <w:highlight w:val="none"/>
          <w:lang w:val="en-US" w:eastAsia="zh-CN"/>
        </w:rPr>
        <w:t>4.</w:t>
      </w:r>
      <w:r>
        <w:rPr>
          <w:rStyle w:val="30"/>
          <w:rFonts w:hint="default" w:ascii="仿宋" w:hAnsi="仿宋" w:eastAsia="仿宋" w:cs="仿宋"/>
          <w:color w:val="auto"/>
          <w:sz w:val="24"/>
          <w:szCs w:val="24"/>
          <w:highlight w:val="none"/>
          <w:lang w:val="en-US" w:eastAsia="zh-CN"/>
        </w:rPr>
        <w:t>具有履行合同所必须的设备和专业技术能力</w:t>
      </w:r>
      <w:r>
        <w:rPr>
          <w:rFonts w:hint="eastAsia" w:ascii="仿宋" w:hAnsi="仿宋" w:eastAsia="仿宋" w:cs="仿宋"/>
          <w:color w:val="auto"/>
          <w:kern w:val="0"/>
          <w:sz w:val="24"/>
          <w:highlight w:val="none"/>
          <w:lang w:val="en-US" w:eastAsia="zh-CN"/>
        </w:rPr>
        <w:t>【提供承诺】</w:t>
      </w:r>
    </w:p>
    <w:p w14:paraId="5BAEB93F">
      <w:pPr>
        <w:pStyle w:val="8"/>
        <w:ind w:left="0" w:leftChars="0" w:firstLine="0" w:firstLineChars="0"/>
        <w:rPr>
          <w:rStyle w:val="30"/>
          <w:rFonts w:hint="default" w:ascii="仿宋" w:hAnsi="仿宋" w:eastAsia="仿宋" w:cs="仿宋"/>
          <w:color w:val="auto"/>
          <w:sz w:val="24"/>
          <w:szCs w:val="24"/>
          <w:highlight w:val="none"/>
          <w:lang w:val="en-US" w:eastAsia="zh-CN"/>
        </w:rPr>
      </w:pPr>
    </w:p>
    <w:p w14:paraId="30F18D3F">
      <w:pPr>
        <w:pStyle w:val="8"/>
        <w:ind w:left="0" w:leftChars="0" w:firstLine="0" w:firstLineChars="0"/>
        <w:rPr>
          <w:rStyle w:val="30"/>
          <w:rFonts w:hint="default" w:ascii="仿宋" w:hAnsi="仿宋" w:eastAsia="仿宋" w:cs="仿宋"/>
          <w:color w:val="auto"/>
          <w:sz w:val="24"/>
          <w:szCs w:val="24"/>
          <w:highlight w:val="none"/>
          <w:lang w:val="en-US" w:eastAsia="zh-CN"/>
        </w:rPr>
      </w:pPr>
    </w:p>
    <w:p w14:paraId="2C1E9E74">
      <w:pPr>
        <w:numPr>
          <w:ilvl w:val="0"/>
          <w:numId w:val="0"/>
        </w:numPr>
        <w:snapToGrid w:val="0"/>
        <w:spacing w:line="360" w:lineRule="auto"/>
        <w:ind w:right="-30" w:rightChars="0"/>
        <w:outlineLvl w:val="2"/>
        <w:rPr>
          <w:rStyle w:val="30"/>
          <w:rFonts w:hint="default" w:ascii="仿宋" w:hAnsi="仿宋" w:eastAsia="仿宋" w:cs="仿宋"/>
          <w:color w:val="auto"/>
          <w:sz w:val="24"/>
          <w:szCs w:val="24"/>
          <w:highlight w:val="none"/>
          <w:lang w:val="en-US" w:eastAsia="zh-CN"/>
        </w:rPr>
      </w:pPr>
      <w:r>
        <w:rPr>
          <w:rStyle w:val="30"/>
          <w:rFonts w:hint="eastAsia" w:ascii="仿宋" w:hAnsi="仿宋" w:eastAsia="仿宋" w:cs="仿宋"/>
          <w:color w:val="auto"/>
          <w:sz w:val="24"/>
          <w:szCs w:val="24"/>
          <w:highlight w:val="none"/>
          <w:lang w:val="en-US" w:eastAsia="zh-CN"/>
        </w:rPr>
        <w:t>5.</w:t>
      </w:r>
      <w:r>
        <w:rPr>
          <w:rStyle w:val="30"/>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77D55451">
      <w:pPr>
        <w:numPr>
          <w:ilvl w:val="0"/>
          <w:numId w:val="0"/>
        </w:numPr>
        <w:snapToGrid w:val="0"/>
        <w:spacing w:line="360" w:lineRule="auto"/>
        <w:ind w:right="-30" w:rightChars="0"/>
        <w:outlineLvl w:val="2"/>
        <w:rPr>
          <w:rStyle w:val="30"/>
          <w:rFonts w:hint="default" w:ascii="仿宋" w:hAnsi="仿宋" w:eastAsia="仿宋" w:cs="仿宋"/>
          <w:color w:val="auto"/>
          <w:sz w:val="24"/>
          <w:szCs w:val="24"/>
          <w:highlight w:val="none"/>
          <w:lang w:val="en-US" w:eastAsia="zh-CN"/>
        </w:rPr>
      </w:pPr>
    </w:p>
    <w:p w14:paraId="29DCD3A1">
      <w:pPr>
        <w:numPr>
          <w:ilvl w:val="0"/>
          <w:numId w:val="0"/>
        </w:numPr>
        <w:snapToGrid w:val="0"/>
        <w:spacing w:line="360" w:lineRule="auto"/>
        <w:ind w:right="-30" w:rightChars="0"/>
        <w:outlineLvl w:val="2"/>
        <w:rPr>
          <w:rStyle w:val="30"/>
          <w:rFonts w:hint="default" w:ascii="仿宋" w:hAnsi="仿宋" w:eastAsia="仿宋" w:cs="仿宋"/>
          <w:color w:val="auto"/>
          <w:sz w:val="24"/>
          <w:szCs w:val="24"/>
          <w:highlight w:val="none"/>
          <w:lang w:val="en-US" w:eastAsia="zh-CN"/>
        </w:rPr>
      </w:pPr>
    </w:p>
    <w:p w14:paraId="68719C6C">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r>
        <w:rPr>
          <w:rStyle w:val="30"/>
          <w:rFonts w:hint="eastAsia" w:ascii="仿宋" w:hAnsi="仿宋" w:eastAsia="仿宋" w:cs="仿宋"/>
          <w:color w:val="auto"/>
          <w:sz w:val="24"/>
          <w:szCs w:val="24"/>
          <w:highlight w:val="none"/>
          <w:lang w:val="en-US" w:eastAsia="zh-CN"/>
        </w:rPr>
        <w:t>6.供应商无不良信用记录：</w:t>
      </w:r>
    </w:p>
    <w:p w14:paraId="1E58BEF4">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r>
        <w:rPr>
          <w:rStyle w:val="30"/>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42BF0FE">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p>
    <w:p w14:paraId="0E1F0EB3">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p>
    <w:p w14:paraId="76A6B2C3">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r>
        <w:rPr>
          <w:rStyle w:val="30"/>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3CDE601B">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p>
    <w:p w14:paraId="3DBC2192">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r>
        <w:rPr>
          <w:rStyle w:val="30"/>
          <w:rFonts w:hint="eastAsia" w:ascii="仿宋" w:hAnsi="仿宋" w:eastAsia="仿宋" w:cs="仿宋"/>
          <w:color w:val="auto"/>
          <w:sz w:val="24"/>
          <w:szCs w:val="24"/>
          <w:highlight w:val="none"/>
          <w:lang w:val="en-US" w:eastAsia="zh-CN"/>
        </w:rPr>
        <w:t>③未被列入国家企业信用信息公示系统（www.gsxt.gov.cn）“严重违法失信名单”【提供网站查询截图】</w:t>
      </w:r>
    </w:p>
    <w:p w14:paraId="4CE4B903">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p>
    <w:p w14:paraId="37D10EF1">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p>
    <w:p w14:paraId="15143BD3">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r>
        <w:rPr>
          <w:rStyle w:val="30"/>
          <w:rFonts w:hint="eastAsia" w:ascii="仿宋" w:hAnsi="仿宋" w:eastAsia="仿宋" w:cs="仿宋"/>
          <w:color w:val="auto"/>
          <w:sz w:val="24"/>
          <w:szCs w:val="24"/>
          <w:highlight w:val="none"/>
          <w:lang w:val="en-US" w:eastAsia="zh-CN"/>
        </w:rPr>
        <w:t>④未被列入军队采购网（www.plap.mil.cn）“军队采购暂停名单”处罚范围内【提供网站查询截图】</w:t>
      </w:r>
    </w:p>
    <w:p w14:paraId="74FA50C9">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p>
    <w:p w14:paraId="1DE7DD58">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r>
        <w:rPr>
          <w:rStyle w:val="30"/>
          <w:rFonts w:hint="eastAsia" w:ascii="仿宋" w:hAnsi="仿宋" w:eastAsia="仿宋" w:cs="仿宋"/>
          <w:color w:val="auto"/>
          <w:sz w:val="24"/>
          <w:szCs w:val="24"/>
          <w:highlight w:val="none"/>
          <w:lang w:val="en-US" w:eastAsia="zh-CN"/>
        </w:rPr>
        <w:t>⑤未被列入军队采购网（www.plap.mil.cn）“军队采购失信名单”处罚范围内【提供网站查询截图】</w:t>
      </w:r>
    </w:p>
    <w:p w14:paraId="4DA6D845">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p>
    <w:p w14:paraId="3F6A1584">
      <w:pPr>
        <w:numPr>
          <w:ilvl w:val="0"/>
          <w:numId w:val="0"/>
        </w:numPr>
        <w:snapToGrid w:val="0"/>
        <w:spacing w:line="360" w:lineRule="auto"/>
        <w:ind w:right="-30" w:rightChars="0"/>
        <w:outlineLvl w:val="2"/>
        <w:rPr>
          <w:rStyle w:val="30"/>
          <w:rFonts w:hint="eastAsia" w:ascii="仿宋" w:hAnsi="仿宋" w:eastAsia="仿宋" w:cs="仿宋"/>
          <w:color w:val="auto"/>
          <w:sz w:val="24"/>
          <w:szCs w:val="24"/>
          <w:highlight w:val="none"/>
          <w:lang w:val="en-US" w:eastAsia="zh-CN"/>
        </w:rPr>
      </w:pPr>
    </w:p>
    <w:p w14:paraId="628E881C">
      <w:pPr>
        <w:numPr>
          <w:ilvl w:val="0"/>
          <w:numId w:val="0"/>
        </w:numPr>
        <w:snapToGrid w:val="0"/>
        <w:spacing w:line="360" w:lineRule="auto"/>
        <w:ind w:right="-30" w:rightChars="0"/>
        <w:outlineLvl w:val="2"/>
        <w:rPr>
          <w:rStyle w:val="30"/>
          <w:rFonts w:hint="default" w:ascii="仿宋" w:hAnsi="仿宋" w:eastAsia="仿宋" w:cs="仿宋"/>
          <w:color w:val="auto"/>
          <w:sz w:val="24"/>
          <w:szCs w:val="24"/>
          <w:highlight w:val="none"/>
          <w:lang w:val="en-US" w:eastAsia="zh-CN"/>
        </w:rPr>
      </w:pPr>
      <w:r>
        <w:rPr>
          <w:rStyle w:val="30"/>
          <w:rFonts w:hint="eastAsia" w:ascii="仿宋" w:hAnsi="仿宋" w:eastAsia="仿宋" w:cs="仿宋"/>
          <w:color w:val="auto"/>
          <w:sz w:val="24"/>
          <w:szCs w:val="24"/>
          <w:highlight w:val="none"/>
          <w:lang w:val="en-US" w:eastAsia="zh-CN"/>
        </w:rPr>
        <w:t>7.本项目不接受联合体参加采购活动【提供承诺】</w:t>
      </w:r>
    </w:p>
    <w:p w14:paraId="18529FCD">
      <w:pPr>
        <w:rPr>
          <w:rStyle w:val="30"/>
          <w:rFonts w:hint="default" w:ascii="仿宋" w:hAnsi="仿宋" w:eastAsia="仿宋" w:cs="仿宋"/>
          <w:color w:val="auto"/>
          <w:sz w:val="24"/>
          <w:szCs w:val="24"/>
          <w:highlight w:val="none"/>
          <w:lang w:val="en-US" w:eastAsia="zh-CN"/>
        </w:rPr>
      </w:pPr>
      <w:r>
        <w:rPr>
          <w:rStyle w:val="30"/>
          <w:rFonts w:hint="default" w:ascii="仿宋" w:hAnsi="仿宋" w:eastAsia="仿宋" w:cs="仿宋"/>
          <w:color w:val="auto"/>
          <w:sz w:val="24"/>
          <w:szCs w:val="24"/>
          <w:highlight w:val="none"/>
          <w:lang w:val="en-US" w:eastAsia="zh-CN"/>
        </w:rPr>
        <w:br w:type="page"/>
      </w:r>
    </w:p>
    <w:p w14:paraId="27081696">
      <w:pPr>
        <w:pStyle w:val="3"/>
        <w:bidi w:val="0"/>
      </w:pPr>
      <w:r>
        <w:rPr>
          <w:rFonts w:hint="eastAsia"/>
          <w:lang w:eastAsia="zh-CN"/>
        </w:rPr>
        <w:t>附件</w:t>
      </w:r>
      <w:r>
        <w:rPr>
          <w:rFonts w:hint="eastAsia"/>
          <w:lang w:val="en-US" w:eastAsia="zh-CN"/>
        </w:rPr>
        <w:t xml:space="preserve">6 </w:t>
      </w:r>
      <w:r>
        <w:rPr>
          <w:rFonts w:hint="eastAsia"/>
          <w:lang w:eastAsia="zh-CN"/>
        </w:rPr>
        <w:t>技术</w:t>
      </w:r>
      <w:r>
        <w:t>条款偏离表</w:t>
      </w:r>
    </w:p>
    <w:tbl>
      <w:tblPr>
        <w:tblStyle w:val="23"/>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080"/>
        <w:gridCol w:w="2640"/>
        <w:gridCol w:w="1869"/>
      </w:tblGrid>
      <w:tr w14:paraId="7BAF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8" w:type="dxa"/>
            <w:noWrap w:val="0"/>
            <w:vAlign w:val="center"/>
          </w:tcPr>
          <w:p w14:paraId="4074794C">
            <w:pPr>
              <w:snapToGrid w:val="0"/>
              <w:spacing w:before="158" w:beforeLines="50" w:after="158" w:afterLines="50"/>
              <w:ind w:left="0" w:leftChars="0" w:right="-30" w:firstLine="0" w:firstLineChars="0"/>
              <w:jc w:val="both"/>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序号</w:t>
            </w:r>
          </w:p>
        </w:tc>
        <w:tc>
          <w:tcPr>
            <w:tcW w:w="4080" w:type="dxa"/>
            <w:noWrap w:val="0"/>
            <w:vAlign w:val="center"/>
          </w:tcPr>
          <w:p w14:paraId="081C3E3C">
            <w:pPr>
              <w:snapToGrid w:val="0"/>
              <w:ind w:right="-30"/>
              <w:jc w:val="center"/>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lang w:eastAsia="zh-CN"/>
              </w:rPr>
              <w:t>技术</w:t>
            </w:r>
            <w:r>
              <w:rPr>
                <w:rFonts w:hint="eastAsia" w:ascii="仿宋" w:hAnsi="仿宋" w:eastAsia="仿宋" w:cs="仿宋"/>
                <w:b/>
                <w:bCs/>
                <w:color w:val="auto"/>
                <w:sz w:val="24"/>
                <w:szCs w:val="20"/>
                <w:highlight w:val="none"/>
              </w:rPr>
              <w:t>要求</w:t>
            </w:r>
          </w:p>
        </w:tc>
        <w:tc>
          <w:tcPr>
            <w:tcW w:w="2640" w:type="dxa"/>
            <w:noWrap w:val="0"/>
            <w:vAlign w:val="center"/>
          </w:tcPr>
          <w:p w14:paraId="392C8007">
            <w:pPr>
              <w:snapToGrid w:val="0"/>
              <w:ind w:right="-30"/>
              <w:jc w:val="both"/>
              <w:rPr>
                <w:rFonts w:hint="eastAsia" w:ascii="仿宋" w:hAnsi="仿宋" w:eastAsia="仿宋" w:cs="仿宋"/>
                <w:b/>
                <w:bCs/>
                <w:color w:val="auto"/>
                <w:sz w:val="24"/>
                <w:szCs w:val="20"/>
                <w:highlight w:val="none"/>
                <w:lang w:val="en-US" w:eastAsia="zh-CN"/>
              </w:rPr>
            </w:pPr>
            <w:r>
              <w:rPr>
                <w:rFonts w:hint="eastAsia" w:ascii="仿宋" w:hAnsi="仿宋" w:eastAsia="仿宋" w:cs="仿宋"/>
                <w:b/>
                <w:bCs/>
                <w:color w:val="auto"/>
                <w:sz w:val="24"/>
                <w:szCs w:val="20"/>
                <w:highlight w:val="none"/>
              </w:rPr>
              <w:t>响应</w:t>
            </w:r>
            <w:r>
              <w:rPr>
                <w:rFonts w:hint="eastAsia" w:ascii="仿宋" w:hAnsi="仿宋" w:eastAsia="仿宋" w:cs="仿宋"/>
                <w:b/>
                <w:bCs/>
                <w:color w:val="auto"/>
                <w:sz w:val="24"/>
                <w:szCs w:val="20"/>
                <w:highlight w:val="none"/>
                <w:lang w:val="en-US" w:eastAsia="zh-CN"/>
              </w:rPr>
              <w:t>情况</w:t>
            </w:r>
          </w:p>
        </w:tc>
        <w:tc>
          <w:tcPr>
            <w:tcW w:w="1869" w:type="dxa"/>
            <w:noWrap w:val="0"/>
            <w:vAlign w:val="center"/>
          </w:tcPr>
          <w:p w14:paraId="79D6FB42">
            <w:pPr>
              <w:snapToGrid w:val="0"/>
              <w:ind w:right="-30"/>
              <w:jc w:val="center"/>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偏离情况</w:t>
            </w:r>
          </w:p>
          <w:p w14:paraId="339BBC11">
            <w:pPr>
              <w:pStyle w:val="10"/>
              <w:ind w:left="0" w:leftChars="0" w:firstLine="0" w:firstLineChars="0"/>
              <w:jc w:val="both"/>
              <w:rPr>
                <w:rFonts w:hint="eastAsia"/>
                <w:b/>
                <w:bCs/>
                <w:color w:val="auto"/>
                <w:highlight w:val="none"/>
              </w:rPr>
            </w:pPr>
            <w:r>
              <w:rPr>
                <w:rFonts w:hint="eastAsia" w:ascii="仿宋" w:hAnsi="仿宋" w:eastAsia="仿宋" w:cs="仿宋"/>
                <w:b/>
                <w:bCs/>
                <w:color w:val="auto"/>
                <w:kern w:val="2"/>
                <w:sz w:val="24"/>
                <w:szCs w:val="20"/>
                <w:highlight w:val="none"/>
              </w:rPr>
              <w:t>（正/负/无偏离）</w:t>
            </w:r>
          </w:p>
        </w:tc>
      </w:tr>
      <w:tr w14:paraId="67AC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38" w:type="dxa"/>
            <w:noWrap w:val="0"/>
            <w:vAlign w:val="center"/>
          </w:tcPr>
          <w:p w14:paraId="12AECF77">
            <w:pPr>
              <w:snapToGrid w:val="0"/>
              <w:spacing w:before="158" w:beforeLines="50" w:after="158" w:afterLines="50"/>
              <w:ind w:left="0" w:leftChars="0" w:right="-30" w:firstLine="0" w:firstLineChars="0"/>
              <w:jc w:val="both"/>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w:t>
            </w:r>
          </w:p>
        </w:tc>
        <w:tc>
          <w:tcPr>
            <w:tcW w:w="4080" w:type="dxa"/>
            <w:noWrap w:val="0"/>
            <w:vAlign w:val="center"/>
          </w:tcPr>
          <w:p w14:paraId="76814649">
            <w:pPr>
              <w:snapToGrid w:val="0"/>
              <w:ind w:right="-30"/>
              <w:rPr>
                <w:rFonts w:hint="eastAsia" w:ascii="仿宋" w:hAnsi="仿宋" w:eastAsia="仿宋" w:cs="仿宋"/>
                <w:i/>
                <w:iCs/>
                <w:color w:val="auto"/>
                <w:sz w:val="24"/>
                <w:szCs w:val="24"/>
                <w:highlight w:val="none"/>
                <w:lang w:val="en-US" w:eastAsia="zh-CN"/>
              </w:rPr>
            </w:pPr>
            <w:r>
              <w:rPr>
                <w:rFonts w:hint="eastAsia" w:ascii="仿宋" w:hAnsi="仿宋" w:eastAsia="仿宋" w:cs="仿宋"/>
                <w:i/>
                <w:iCs/>
                <w:color w:val="auto"/>
                <w:sz w:val="24"/>
                <w:szCs w:val="24"/>
                <w:highlight w:val="none"/>
                <w:lang w:val="en-US" w:eastAsia="zh-CN"/>
              </w:rPr>
              <w:t>1.1成像原理：电子成像技术，工作软管不含导像、导光纤维；</w:t>
            </w:r>
          </w:p>
          <w:p w14:paraId="552E2FB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0"/>
                <w:highlight w:val="none"/>
              </w:rPr>
            </w:pPr>
          </w:p>
        </w:tc>
        <w:tc>
          <w:tcPr>
            <w:tcW w:w="2640" w:type="dxa"/>
            <w:noWrap w:val="0"/>
            <w:vAlign w:val="center"/>
          </w:tcPr>
          <w:p w14:paraId="11435A2A">
            <w:pPr>
              <w:snapToGrid w:val="0"/>
              <w:ind w:right="-30"/>
              <w:rPr>
                <w:rFonts w:hint="default" w:ascii="仿宋" w:hAnsi="仿宋" w:eastAsia="仿宋" w:cs="仿宋"/>
                <w:color w:val="auto"/>
                <w:sz w:val="24"/>
                <w:szCs w:val="20"/>
                <w:highlight w:val="none"/>
                <w:lang w:val="en-US" w:eastAsia="zh-CN"/>
              </w:rPr>
            </w:pPr>
            <w:r>
              <w:rPr>
                <w:rFonts w:hint="eastAsia" w:ascii="仿宋" w:hAnsi="仿宋" w:eastAsia="仿宋" w:cs="仿宋"/>
                <w:i/>
                <w:iCs/>
                <w:color w:val="auto"/>
                <w:sz w:val="24"/>
                <w:szCs w:val="24"/>
                <w:highlight w:val="none"/>
                <w:lang w:val="en-US" w:eastAsia="zh-CN"/>
              </w:rPr>
              <w:t>若满足可以填“完全满足”，若不满足需详细说明，下同</w:t>
            </w:r>
          </w:p>
        </w:tc>
        <w:tc>
          <w:tcPr>
            <w:tcW w:w="1869" w:type="dxa"/>
            <w:noWrap w:val="0"/>
            <w:vAlign w:val="center"/>
          </w:tcPr>
          <w:p w14:paraId="0BCF2A9B">
            <w:pPr>
              <w:snapToGrid w:val="0"/>
              <w:ind w:right="-30" w:firstLine="480"/>
              <w:rPr>
                <w:rFonts w:hint="eastAsia" w:ascii="仿宋" w:hAnsi="仿宋" w:eastAsia="仿宋" w:cs="仿宋"/>
                <w:color w:val="auto"/>
                <w:sz w:val="24"/>
                <w:szCs w:val="20"/>
                <w:highlight w:val="none"/>
              </w:rPr>
            </w:pPr>
          </w:p>
        </w:tc>
      </w:tr>
      <w:tr w14:paraId="2F38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38" w:type="dxa"/>
            <w:noWrap w:val="0"/>
            <w:vAlign w:val="center"/>
          </w:tcPr>
          <w:p w14:paraId="1AB122EB">
            <w:pPr>
              <w:snapToGrid w:val="0"/>
              <w:spacing w:before="158" w:beforeLines="50" w:after="158" w:afterLines="50"/>
              <w:ind w:left="0" w:leftChars="0" w:right="-30" w:firstLine="0" w:firstLineChars="0"/>
              <w:jc w:val="both"/>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w:t>
            </w:r>
          </w:p>
        </w:tc>
        <w:tc>
          <w:tcPr>
            <w:tcW w:w="4080" w:type="dxa"/>
            <w:noWrap w:val="0"/>
            <w:vAlign w:val="center"/>
          </w:tcPr>
          <w:p w14:paraId="070CF673">
            <w:pPr>
              <w:snapToGrid w:val="0"/>
              <w:ind w:right="-30"/>
              <w:rPr>
                <w:rFonts w:hint="eastAsia" w:ascii="仿宋" w:hAnsi="仿宋" w:eastAsia="仿宋" w:cs="仿宋"/>
                <w:color w:val="auto"/>
                <w:sz w:val="24"/>
                <w:szCs w:val="20"/>
                <w:highlight w:val="none"/>
              </w:rPr>
            </w:pPr>
          </w:p>
        </w:tc>
        <w:tc>
          <w:tcPr>
            <w:tcW w:w="2640" w:type="dxa"/>
            <w:noWrap w:val="0"/>
            <w:vAlign w:val="center"/>
          </w:tcPr>
          <w:p w14:paraId="159EE1E6">
            <w:pPr>
              <w:snapToGrid w:val="0"/>
              <w:ind w:right="-30" w:firstLine="480"/>
              <w:rPr>
                <w:rFonts w:hint="eastAsia" w:ascii="仿宋" w:hAnsi="仿宋" w:eastAsia="仿宋" w:cs="仿宋"/>
                <w:color w:val="auto"/>
                <w:sz w:val="24"/>
                <w:szCs w:val="20"/>
                <w:highlight w:val="none"/>
              </w:rPr>
            </w:pPr>
          </w:p>
        </w:tc>
        <w:tc>
          <w:tcPr>
            <w:tcW w:w="1869" w:type="dxa"/>
            <w:noWrap w:val="0"/>
            <w:vAlign w:val="center"/>
          </w:tcPr>
          <w:p w14:paraId="5F3F8999">
            <w:pPr>
              <w:snapToGrid w:val="0"/>
              <w:ind w:right="-30" w:firstLine="480"/>
              <w:rPr>
                <w:rFonts w:hint="eastAsia" w:ascii="仿宋" w:hAnsi="仿宋" w:eastAsia="仿宋" w:cs="仿宋"/>
                <w:color w:val="auto"/>
                <w:sz w:val="24"/>
                <w:szCs w:val="20"/>
                <w:highlight w:val="none"/>
              </w:rPr>
            </w:pPr>
          </w:p>
        </w:tc>
      </w:tr>
      <w:tr w14:paraId="6818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38" w:type="dxa"/>
            <w:noWrap w:val="0"/>
            <w:vAlign w:val="center"/>
          </w:tcPr>
          <w:p w14:paraId="389B5538">
            <w:pPr>
              <w:snapToGrid w:val="0"/>
              <w:spacing w:before="158" w:beforeLines="50" w:after="158" w:afterLines="50"/>
              <w:ind w:left="0" w:leftChars="0" w:right="-30" w:firstLine="0" w:firstLineChars="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sz w:val="24"/>
                <w:szCs w:val="20"/>
                <w:highlight w:val="none"/>
                <w:lang w:val="en-US" w:eastAsia="zh-CN"/>
              </w:rPr>
              <w:t>3</w:t>
            </w:r>
          </w:p>
        </w:tc>
        <w:tc>
          <w:tcPr>
            <w:tcW w:w="4080" w:type="dxa"/>
            <w:noWrap w:val="0"/>
            <w:vAlign w:val="center"/>
          </w:tcPr>
          <w:p w14:paraId="2127A5A0">
            <w:pPr>
              <w:snapToGrid w:val="0"/>
              <w:ind w:right="-30"/>
              <w:rPr>
                <w:rFonts w:hint="eastAsia" w:ascii="仿宋" w:hAnsi="仿宋" w:eastAsia="仿宋" w:cs="仿宋"/>
                <w:color w:val="auto"/>
                <w:sz w:val="24"/>
                <w:szCs w:val="20"/>
                <w:highlight w:val="none"/>
                <w:lang w:val="en-US" w:eastAsia="zh-CN"/>
              </w:rPr>
            </w:pPr>
          </w:p>
        </w:tc>
        <w:tc>
          <w:tcPr>
            <w:tcW w:w="2640" w:type="dxa"/>
            <w:noWrap w:val="0"/>
            <w:vAlign w:val="center"/>
          </w:tcPr>
          <w:p w14:paraId="5F49DC27">
            <w:pPr>
              <w:snapToGrid w:val="0"/>
              <w:ind w:right="-30" w:firstLine="480"/>
              <w:rPr>
                <w:rFonts w:hint="eastAsia" w:ascii="仿宋" w:hAnsi="仿宋" w:eastAsia="仿宋" w:cs="仿宋"/>
                <w:color w:val="auto"/>
                <w:sz w:val="24"/>
                <w:szCs w:val="20"/>
                <w:highlight w:val="none"/>
              </w:rPr>
            </w:pPr>
          </w:p>
        </w:tc>
        <w:tc>
          <w:tcPr>
            <w:tcW w:w="1869" w:type="dxa"/>
            <w:noWrap w:val="0"/>
            <w:vAlign w:val="center"/>
          </w:tcPr>
          <w:p w14:paraId="72D2E3CB">
            <w:pPr>
              <w:snapToGrid w:val="0"/>
              <w:ind w:right="-30" w:firstLine="480"/>
              <w:rPr>
                <w:rFonts w:hint="eastAsia" w:ascii="仿宋" w:hAnsi="仿宋" w:eastAsia="仿宋" w:cs="仿宋"/>
                <w:color w:val="auto"/>
                <w:sz w:val="24"/>
                <w:szCs w:val="20"/>
                <w:highlight w:val="none"/>
              </w:rPr>
            </w:pPr>
          </w:p>
        </w:tc>
      </w:tr>
      <w:tr w14:paraId="0CA4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8" w:type="dxa"/>
            <w:noWrap w:val="0"/>
            <w:vAlign w:val="center"/>
          </w:tcPr>
          <w:p w14:paraId="558DBE85">
            <w:pPr>
              <w:snapToGrid w:val="0"/>
              <w:spacing w:before="158" w:beforeLines="50" w:after="158" w:afterLines="50"/>
              <w:ind w:left="0" w:leftChars="0" w:right="-30" w:firstLine="0" w:firstLineChars="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4</w:t>
            </w:r>
          </w:p>
        </w:tc>
        <w:tc>
          <w:tcPr>
            <w:tcW w:w="4080" w:type="dxa"/>
            <w:noWrap w:val="0"/>
            <w:vAlign w:val="center"/>
          </w:tcPr>
          <w:p w14:paraId="0B35794B">
            <w:pPr>
              <w:snapToGrid w:val="0"/>
              <w:ind w:right="-30"/>
              <w:rPr>
                <w:rFonts w:hint="eastAsia" w:ascii="仿宋" w:hAnsi="仿宋" w:eastAsia="仿宋" w:cs="仿宋"/>
                <w:color w:val="auto"/>
                <w:sz w:val="24"/>
                <w:szCs w:val="20"/>
                <w:highlight w:val="none"/>
              </w:rPr>
            </w:pPr>
          </w:p>
        </w:tc>
        <w:tc>
          <w:tcPr>
            <w:tcW w:w="2640" w:type="dxa"/>
            <w:noWrap w:val="0"/>
            <w:vAlign w:val="center"/>
          </w:tcPr>
          <w:p w14:paraId="0BBB17AA">
            <w:pPr>
              <w:snapToGrid w:val="0"/>
              <w:ind w:right="-30" w:firstLine="480"/>
              <w:rPr>
                <w:rFonts w:hint="eastAsia" w:ascii="仿宋" w:hAnsi="仿宋" w:eastAsia="仿宋" w:cs="仿宋"/>
                <w:color w:val="auto"/>
                <w:sz w:val="24"/>
                <w:szCs w:val="20"/>
                <w:highlight w:val="none"/>
              </w:rPr>
            </w:pPr>
          </w:p>
        </w:tc>
        <w:tc>
          <w:tcPr>
            <w:tcW w:w="1869" w:type="dxa"/>
            <w:noWrap w:val="0"/>
            <w:vAlign w:val="center"/>
          </w:tcPr>
          <w:p w14:paraId="51834D05">
            <w:pPr>
              <w:snapToGrid w:val="0"/>
              <w:ind w:right="-30" w:firstLine="480"/>
              <w:rPr>
                <w:rFonts w:hint="eastAsia" w:ascii="仿宋" w:hAnsi="仿宋" w:eastAsia="仿宋" w:cs="仿宋"/>
                <w:color w:val="auto"/>
                <w:sz w:val="24"/>
                <w:szCs w:val="20"/>
                <w:highlight w:val="none"/>
              </w:rPr>
            </w:pPr>
          </w:p>
        </w:tc>
      </w:tr>
      <w:tr w14:paraId="4531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8" w:type="dxa"/>
            <w:noWrap w:val="0"/>
            <w:vAlign w:val="center"/>
          </w:tcPr>
          <w:p w14:paraId="5BFD80E7">
            <w:pPr>
              <w:snapToGrid w:val="0"/>
              <w:spacing w:before="158" w:beforeLines="50" w:after="158" w:afterLines="50"/>
              <w:ind w:left="0" w:leftChars="0" w:right="-30" w:firstLine="0" w:firstLineChars="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5</w:t>
            </w:r>
          </w:p>
        </w:tc>
        <w:tc>
          <w:tcPr>
            <w:tcW w:w="4080" w:type="dxa"/>
            <w:noWrap w:val="0"/>
            <w:vAlign w:val="center"/>
          </w:tcPr>
          <w:p w14:paraId="33A35E2B">
            <w:pPr>
              <w:snapToGrid w:val="0"/>
              <w:ind w:right="-30"/>
              <w:rPr>
                <w:rFonts w:hint="default" w:ascii="仿宋" w:hAnsi="仿宋" w:eastAsia="仿宋" w:cs="仿宋"/>
                <w:color w:val="auto"/>
                <w:sz w:val="24"/>
                <w:szCs w:val="20"/>
                <w:highlight w:val="none"/>
                <w:lang w:val="en-US" w:eastAsia="zh-CN"/>
              </w:rPr>
            </w:pPr>
          </w:p>
        </w:tc>
        <w:tc>
          <w:tcPr>
            <w:tcW w:w="2640" w:type="dxa"/>
            <w:noWrap w:val="0"/>
            <w:vAlign w:val="center"/>
          </w:tcPr>
          <w:p w14:paraId="0B3D26CD">
            <w:pPr>
              <w:snapToGrid w:val="0"/>
              <w:ind w:right="-30" w:firstLine="480"/>
              <w:rPr>
                <w:rFonts w:hint="eastAsia" w:ascii="仿宋" w:hAnsi="仿宋" w:eastAsia="仿宋" w:cs="仿宋"/>
                <w:color w:val="auto"/>
                <w:sz w:val="24"/>
                <w:szCs w:val="20"/>
                <w:highlight w:val="none"/>
              </w:rPr>
            </w:pPr>
          </w:p>
        </w:tc>
        <w:tc>
          <w:tcPr>
            <w:tcW w:w="1869" w:type="dxa"/>
            <w:noWrap w:val="0"/>
            <w:vAlign w:val="center"/>
          </w:tcPr>
          <w:p w14:paraId="116A1389">
            <w:pPr>
              <w:snapToGrid w:val="0"/>
              <w:ind w:right="-30" w:firstLine="480"/>
              <w:rPr>
                <w:rFonts w:hint="eastAsia" w:ascii="仿宋" w:hAnsi="仿宋" w:eastAsia="仿宋" w:cs="仿宋"/>
                <w:color w:val="auto"/>
                <w:sz w:val="24"/>
                <w:szCs w:val="20"/>
                <w:highlight w:val="none"/>
              </w:rPr>
            </w:pPr>
          </w:p>
        </w:tc>
      </w:tr>
      <w:tr w14:paraId="3057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8" w:type="dxa"/>
            <w:noWrap w:val="0"/>
            <w:vAlign w:val="center"/>
          </w:tcPr>
          <w:p w14:paraId="7BAC0D97">
            <w:pPr>
              <w:snapToGrid w:val="0"/>
              <w:spacing w:before="158" w:beforeLines="50" w:after="158" w:afterLines="50"/>
              <w:ind w:left="0" w:leftChars="0" w:right="-30" w:firstLine="0" w:firstLineChars="0"/>
              <w:jc w:val="both"/>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6</w:t>
            </w:r>
          </w:p>
        </w:tc>
        <w:tc>
          <w:tcPr>
            <w:tcW w:w="4080" w:type="dxa"/>
            <w:noWrap w:val="0"/>
            <w:vAlign w:val="center"/>
          </w:tcPr>
          <w:p w14:paraId="7EAFA788">
            <w:pPr>
              <w:snapToGrid w:val="0"/>
              <w:ind w:right="-30"/>
              <w:rPr>
                <w:rFonts w:hint="default" w:ascii="仿宋" w:hAnsi="仿宋" w:eastAsia="仿宋" w:cs="仿宋"/>
                <w:color w:val="auto"/>
                <w:sz w:val="24"/>
                <w:szCs w:val="20"/>
                <w:highlight w:val="none"/>
                <w:lang w:val="en-US" w:eastAsia="zh-CN"/>
              </w:rPr>
            </w:pPr>
          </w:p>
        </w:tc>
        <w:tc>
          <w:tcPr>
            <w:tcW w:w="2640" w:type="dxa"/>
            <w:noWrap w:val="0"/>
            <w:vAlign w:val="center"/>
          </w:tcPr>
          <w:p w14:paraId="2317E940">
            <w:pPr>
              <w:snapToGrid w:val="0"/>
              <w:ind w:right="-30" w:firstLine="480"/>
              <w:rPr>
                <w:rFonts w:hint="eastAsia" w:ascii="仿宋" w:hAnsi="仿宋" w:eastAsia="仿宋" w:cs="仿宋"/>
                <w:color w:val="auto"/>
                <w:sz w:val="24"/>
                <w:szCs w:val="20"/>
                <w:highlight w:val="none"/>
              </w:rPr>
            </w:pPr>
          </w:p>
        </w:tc>
        <w:tc>
          <w:tcPr>
            <w:tcW w:w="1869" w:type="dxa"/>
            <w:noWrap w:val="0"/>
            <w:vAlign w:val="center"/>
          </w:tcPr>
          <w:p w14:paraId="3FCAA379">
            <w:pPr>
              <w:snapToGrid w:val="0"/>
              <w:ind w:right="-30" w:firstLine="480"/>
              <w:rPr>
                <w:rFonts w:hint="eastAsia" w:ascii="仿宋" w:hAnsi="仿宋" w:eastAsia="仿宋" w:cs="仿宋"/>
                <w:color w:val="auto"/>
                <w:sz w:val="24"/>
                <w:szCs w:val="20"/>
                <w:highlight w:val="none"/>
              </w:rPr>
            </w:pPr>
          </w:p>
        </w:tc>
      </w:tr>
      <w:tr w14:paraId="0A1A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8" w:type="dxa"/>
            <w:noWrap w:val="0"/>
            <w:vAlign w:val="center"/>
          </w:tcPr>
          <w:p w14:paraId="746C41F1">
            <w:pPr>
              <w:snapToGrid w:val="0"/>
              <w:spacing w:before="158" w:beforeLines="50" w:after="158" w:afterLines="50"/>
              <w:ind w:left="0" w:leftChars="0" w:right="-30" w:firstLine="0" w:firstLineChars="0"/>
              <w:jc w:val="both"/>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7</w:t>
            </w:r>
          </w:p>
        </w:tc>
        <w:tc>
          <w:tcPr>
            <w:tcW w:w="4080" w:type="dxa"/>
            <w:noWrap w:val="0"/>
            <w:vAlign w:val="center"/>
          </w:tcPr>
          <w:p w14:paraId="1C04A354">
            <w:pPr>
              <w:snapToGrid w:val="0"/>
              <w:ind w:right="-30"/>
              <w:rPr>
                <w:rFonts w:hint="eastAsia" w:ascii="仿宋" w:hAnsi="仿宋" w:eastAsia="仿宋" w:cs="仿宋"/>
                <w:color w:val="auto"/>
                <w:sz w:val="24"/>
                <w:szCs w:val="20"/>
                <w:highlight w:val="none"/>
                <w:lang w:val="en-US" w:eastAsia="zh-CN"/>
              </w:rPr>
            </w:pPr>
          </w:p>
        </w:tc>
        <w:tc>
          <w:tcPr>
            <w:tcW w:w="2640" w:type="dxa"/>
            <w:noWrap w:val="0"/>
            <w:vAlign w:val="center"/>
          </w:tcPr>
          <w:p w14:paraId="676DB777">
            <w:pPr>
              <w:snapToGrid w:val="0"/>
              <w:ind w:right="-30" w:firstLine="480"/>
              <w:rPr>
                <w:rFonts w:hint="eastAsia" w:ascii="仿宋" w:hAnsi="仿宋" w:eastAsia="仿宋" w:cs="仿宋"/>
                <w:color w:val="auto"/>
                <w:sz w:val="24"/>
                <w:szCs w:val="20"/>
                <w:highlight w:val="none"/>
              </w:rPr>
            </w:pPr>
          </w:p>
        </w:tc>
        <w:tc>
          <w:tcPr>
            <w:tcW w:w="1869" w:type="dxa"/>
            <w:noWrap w:val="0"/>
            <w:vAlign w:val="center"/>
          </w:tcPr>
          <w:p w14:paraId="1586968C">
            <w:pPr>
              <w:snapToGrid w:val="0"/>
              <w:ind w:right="-30" w:firstLine="480"/>
              <w:rPr>
                <w:rFonts w:hint="eastAsia" w:ascii="仿宋" w:hAnsi="仿宋" w:eastAsia="仿宋" w:cs="仿宋"/>
                <w:color w:val="auto"/>
                <w:sz w:val="24"/>
                <w:szCs w:val="20"/>
                <w:highlight w:val="none"/>
              </w:rPr>
            </w:pPr>
          </w:p>
        </w:tc>
      </w:tr>
      <w:tr w14:paraId="6AF2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8" w:type="dxa"/>
            <w:noWrap w:val="0"/>
            <w:vAlign w:val="center"/>
          </w:tcPr>
          <w:p w14:paraId="05835DEC">
            <w:pPr>
              <w:snapToGrid w:val="0"/>
              <w:spacing w:before="158" w:beforeLines="50" w:after="158" w:afterLines="50"/>
              <w:ind w:left="0" w:leftChars="0" w:right="-30" w:firstLine="0" w:firstLineChars="0"/>
              <w:jc w:val="both"/>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8</w:t>
            </w:r>
          </w:p>
        </w:tc>
        <w:tc>
          <w:tcPr>
            <w:tcW w:w="4080" w:type="dxa"/>
            <w:noWrap w:val="0"/>
            <w:vAlign w:val="center"/>
          </w:tcPr>
          <w:p w14:paraId="5816A36E">
            <w:pPr>
              <w:snapToGrid w:val="0"/>
              <w:ind w:right="-30"/>
              <w:rPr>
                <w:rFonts w:hint="eastAsia" w:ascii="仿宋" w:hAnsi="仿宋" w:eastAsia="仿宋" w:cs="仿宋"/>
                <w:color w:val="auto"/>
                <w:sz w:val="24"/>
                <w:szCs w:val="20"/>
                <w:highlight w:val="none"/>
                <w:lang w:val="en-US" w:eastAsia="zh-CN"/>
              </w:rPr>
            </w:pPr>
          </w:p>
        </w:tc>
        <w:tc>
          <w:tcPr>
            <w:tcW w:w="2640" w:type="dxa"/>
            <w:noWrap w:val="0"/>
            <w:vAlign w:val="center"/>
          </w:tcPr>
          <w:p w14:paraId="1FA65655">
            <w:pPr>
              <w:snapToGrid w:val="0"/>
              <w:ind w:right="-30" w:firstLine="480"/>
              <w:rPr>
                <w:rFonts w:hint="eastAsia" w:ascii="仿宋" w:hAnsi="仿宋" w:eastAsia="仿宋" w:cs="仿宋"/>
                <w:color w:val="auto"/>
                <w:sz w:val="24"/>
                <w:szCs w:val="20"/>
                <w:highlight w:val="none"/>
              </w:rPr>
            </w:pPr>
          </w:p>
        </w:tc>
        <w:tc>
          <w:tcPr>
            <w:tcW w:w="1869" w:type="dxa"/>
            <w:noWrap w:val="0"/>
            <w:vAlign w:val="center"/>
          </w:tcPr>
          <w:p w14:paraId="2A67D0D5">
            <w:pPr>
              <w:snapToGrid w:val="0"/>
              <w:ind w:right="-30" w:firstLine="480"/>
              <w:rPr>
                <w:rFonts w:hint="eastAsia" w:ascii="仿宋" w:hAnsi="仿宋" w:eastAsia="仿宋" w:cs="仿宋"/>
                <w:color w:val="auto"/>
                <w:sz w:val="24"/>
                <w:szCs w:val="20"/>
                <w:highlight w:val="none"/>
              </w:rPr>
            </w:pPr>
          </w:p>
        </w:tc>
      </w:tr>
      <w:tr w14:paraId="45D5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8" w:type="dxa"/>
            <w:noWrap w:val="0"/>
            <w:vAlign w:val="center"/>
          </w:tcPr>
          <w:p w14:paraId="39D9AE8D">
            <w:pPr>
              <w:snapToGrid w:val="0"/>
              <w:spacing w:before="158" w:beforeLines="50" w:after="158" w:afterLines="50"/>
              <w:ind w:left="0" w:leftChars="0" w:right="-30" w:firstLine="0" w:firstLineChars="0"/>
              <w:jc w:val="both"/>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9</w:t>
            </w:r>
          </w:p>
        </w:tc>
        <w:tc>
          <w:tcPr>
            <w:tcW w:w="4080" w:type="dxa"/>
            <w:noWrap w:val="0"/>
            <w:vAlign w:val="center"/>
          </w:tcPr>
          <w:p w14:paraId="1927A7E8">
            <w:pPr>
              <w:snapToGrid w:val="0"/>
              <w:ind w:right="-30"/>
              <w:rPr>
                <w:rFonts w:hint="eastAsia" w:ascii="仿宋" w:hAnsi="仿宋" w:eastAsia="仿宋" w:cs="仿宋"/>
                <w:color w:val="auto"/>
                <w:sz w:val="24"/>
                <w:szCs w:val="20"/>
                <w:highlight w:val="none"/>
                <w:lang w:val="en-US" w:eastAsia="zh-CN"/>
              </w:rPr>
            </w:pPr>
          </w:p>
        </w:tc>
        <w:tc>
          <w:tcPr>
            <w:tcW w:w="2640" w:type="dxa"/>
            <w:noWrap w:val="0"/>
            <w:vAlign w:val="center"/>
          </w:tcPr>
          <w:p w14:paraId="64ABF8CC">
            <w:pPr>
              <w:snapToGrid w:val="0"/>
              <w:ind w:right="-30" w:firstLine="480"/>
              <w:rPr>
                <w:rFonts w:hint="eastAsia" w:ascii="仿宋" w:hAnsi="仿宋" w:eastAsia="仿宋" w:cs="仿宋"/>
                <w:color w:val="auto"/>
                <w:sz w:val="24"/>
                <w:szCs w:val="20"/>
                <w:highlight w:val="none"/>
              </w:rPr>
            </w:pPr>
          </w:p>
        </w:tc>
        <w:tc>
          <w:tcPr>
            <w:tcW w:w="1869" w:type="dxa"/>
            <w:noWrap w:val="0"/>
            <w:vAlign w:val="center"/>
          </w:tcPr>
          <w:p w14:paraId="60B18DA4">
            <w:pPr>
              <w:snapToGrid w:val="0"/>
              <w:ind w:right="-30" w:firstLine="480"/>
              <w:rPr>
                <w:rFonts w:hint="eastAsia" w:ascii="仿宋" w:hAnsi="仿宋" w:eastAsia="仿宋" w:cs="仿宋"/>
                <w:color w:val="auto"/>
                <w:sz w:val="24"/>
                <w:szCs w:val="20"/>
                <w:highlight w:val="none"/>
              </w:rPr>
            </w:pPr>
          </w:p>
        </w:tc>
      </w:tr>
      <w:tr w14:paraId="576D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8" w:type="dxa"/>
            <w:noWrap w:val="0"/>
            <w:vAlign w:val="center"/>
          </w:tcPr>
          <w:p w14:paraId="3C4C9D2D">
            <w:pPr>
              <w:snapToGrid w:val="0"/>
              <w:spacing w:before="158" w:beforeLines="50" w:after="158" w:afterLines="50"/>
              <w:ind w:left="0" w:leftChars="0" w:right="-30" w:firstLine="0" w:firstLineChars="0"/>
              <w:jc w:val="both"/>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10</w:t>
            </w:r>
          </w:p>
        </w:tc>
        <w:tc>
          <w:tcPr>
            <w:tcW w:w="4080" w:type="dxa"/>
            <w:noWrap w:val="0"/>
            <w:vAlign w:val="center"/>
          </w:tcPr>
          <w:p w14:paraId="4A4F8164">
            <w:pPr>
              <w:snapToGrid w:val="0"/>
              <w:ind w:right="-30"/>
              <w:rPr>
                <w:rFonts w:hint="eastAsia" w:ascii="仿宋" w:hAnsi="仿宋" w:eastAsia="仿宋" w:cs="仿宋"/>
                <w:color w:val="auto"/>
                <w:sz w:val="24"/>
                <w:szCs w:val="20"/>
                <w:highlight w:val="none"/>
                <w:lang w:val="en-US" w:eastAsia="zh-CN"/>
              </w:rPr>
            </w:pPr>
          </w:p>
        </w:tc>
        <w:tc>
          <w:tcPr>
            <w:tcW w:w="2640" w:type="dxa"/>
            <w:noWrap w:val="0"/>
            <w:vAlign w:val="center"/>
          </w:tcPr>
          <w:p w14:paraId="12BAA2D4">
            <w:pPr>
              <w:snapToGrid w:val="0"/>
              <w:ind w:right="-30" w:firstLine="480"/>
              <w:rPr>
                <w:rFonts w:hint="eastAsia" w:ascii="仿宋" w:hAnsi="仿宋" w:eastAsia="仿宋" w:cs="仿宋"/>
                <w:color w:val="auto"/>
                <w:sz w:val="24"/>
                <w:szCs w:val="20"/>
                <w:highlight w:val="none"/>
              </w:rPr>
            </w:pPr>
          </w:p>
        </w:tc>
        <w:tc>
          <w:tcPr>
            <w:tcW w:w="1869" w:type="dxa"/>
            <w:noWrap w:val="0"/>
            <w:vAlign w:val="center"/>
          </w:tcPr>
          <w:p w14:paraId="7857D429">
            <w:pPr>
              <w:snapToGrid w:val="0"/>
              <w:ind w:right="-30" w:firstLine="480"/>
              <w:rPr>
                <w:rFonts w:hint="eastAsia" w:ascii="仿宋" w:hAnsi="仿宋" w:eastAsia="仿宋" w:cs="仿宋"/>
                <w:color w:val="auto"/>
                <w:sz w:val="24"/>
                <w:szCs w:val="20"/>
                <w:highlight w:val="none"/>
              </w:rPr>
            </w:pPr>
          </w:p>
        </w:tc>
      </w:tr>
      <w:tr w14:paraId="4ACB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8" w:type="dxa"/>
            <w:noWrap w:val="0"/>
            <w:vAlign w:val="center"/>
          </w:tcPr>
          <w:p w14:paraId="55F6E655">
            <w:pPr>
              <w:snapToGrid w:val="0"/>
              <w:spacing w:before="158" w:beforeLines="50" w:after="158" w:afterLines="50"/>
              <w:ind w:left="0" w:leftChars="0" w:right="-30" w:firstLine="0" w:firstLineChars="0"/>
              <w:jc w:val="both"/>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11</w:t>
            </w:r>
          </w:p>
        </w:tc>
        <w:tc>
          <w:tcPr>
            <w:tcW w:w="4080" w:type="dxa"/>
            <w:noWrap w:val="0"/>
            <w:vAlign w:val="center"/>
          </w:tcPr>
          <w:p w14:paraId="700BDD82">
            <w:pPr>
              <w:snapToGrid w:val="0"/>
              <w:ind w:right="-30"/>
              <w:rPr>
                <w:rFonts w:hint="eastAsia" w:ascii="仿宋" w:hAnsi="仿宋" w:eastAsia="仿宋" w:cs="仿宋"/>
                <w:color w:val="auto"/>
                <w:sz w:val="24"/>
                <w:szCs w:val="20"/>
                <w:highlight w:val="none"/>
                <w:lang w:val="en-US" w:eastAsia="zh-CN"/>
              </w:rPr>
            </w:pPr>
          </w:p>
        </w:tc>
        <w:tc>
          <w:tcPr>
            <w:tcW w:w="2640" w:type="dxa"/>
            <w:noWrap w:val="0"/>
            <w:vAlign w:val="center"/>
          </w:tcPr>
          <w:p w14:paraId="47A737F7">
            <w:pPr>
              <w:snapToGrid w:val="0"/>
              <w:ind w:right="-30" w:firstLine="480"/>
              <w:rPr>
                <w:rFonts w:hint="eastAsia" w:ascii="仿宋" w:hAnsi="仿宋" w:eastAsia="仿宋" w:cs="仿宋"/>
                <w:color w:val="auto"/>
                <w:sz w:val="24"/>
                <w:szCs w:val="20"/>
                <w:highlight w:val="none"/>
              </w:rPr>
            </w:pPr>
          </w:p>
        </w:tc>
        <w:tc>
          <w:tcPr>
            <w:tcW w:w="1869" w:type="dxa"/>
            <w:noWrap w:val="0"/>
            <w:vAlign w:val="center"/>
          </w:tcPr>
          <w:p w14:paraId="690E5720">
            <w:pPr>
              <w:snapToGrid w:val="0"/>
              <w:ind w:right="-30" w:firstLine="480"/>
              <w:rPr>
                <w:rFonts w:hint="eastAsia" w:ascii="仿宋" w:hAnsi="仿宋" w:eastAsia="仿宋" w:cs="仿宋"/>
                <w:color w:val="auto"/>
                <w:sz w:val="24"/>
                <w:szCs w:val="20"/>
                <w:highlight w:val="none"/>
              </w:rPr>
            </w:pPr>
          </w:p>
        </w:tc>
      </w:tr>
      <w:tr w14:paraId="73D1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8" w:type="dxa"/>
            <w:noWrap w:val="0"/>
            <w:vAlign w:val="center"/>
          </w:tcPr>
          <w:p w14:paraId="576A9390">
            <w:pPr>
              <w:snapToGrid w:val="0"/>
              <w:spacing w:before="158" w:beforeLines="50" w:after="158" w:afterLines="50"/>
              <w:ind w:left="0" w:leftChars="0" w:right="-30" w:firstLine="0" w:firstLineChars="0"/>
              <w:jc w:val="both"/>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12</w:t>
            </w:r>
          </w:p>
        </w:tc>
        <w:tc>
          <w:tcPr>
            <w:tcW w:w="4080" w:type="dxa"/>
            <w:noWrap w:val="0"/>
            <w:vAlign w:val="center"/>
          </w:tcPr>
          <w:p w14:paraId="6A6674BF">
            <w:pPr>
              <w:pStyle w:val="22"/>
              <w:rPr>
                <w:rFonts w:hint="eastAsia" w:ascii="仿宋" w:hAnsi="仿宋" w:eastAsia="仿宋" w:cs="仿宋"/>
                <w:color w:val="auto"/>
                <w:kern w:val="2"/>
                <w:sz w:val="24"/>
                <w:szCs w:val="20"/>
                <w:highlight w:val="none"/>
                <w:lang w:val="en-US" w:eastAsia="zh-CN" w:bidi="ar-SA"/>
              </w:rPr>
            </w:pPr>
          </w:p>
        </w:tc>
        <w:tc>
          <w:tcPr>
            <w:tcW w:w="2640" w:type="dxa"/>
            <w:noWrap w:val="0"/>
            <w:vAlign w:val="center"/>
          </w:tcPr>
          <w:p w14:paraId="729B029A">
            <w:pPr>
              <w:snapToGrid w:val="0"/>
              <w:ind w:right="-30" w:firstLine="480"/>
              <w:rPr>
                <w:rFonts w:hint="eastAsia" w:ascii="仿宋" w:hAnsi="仿宋" w:eastAsia="仿宋" w:cs="仿宋"/>
                <w:color w:val="auto"/>
                <w:sz w:val="24"/>
                <w:szCs w:val="20"/>
                <w:highlight w:val="none"/>
              </w:rPr>
            </w:pPr>
          </w:p>
        </w:tc>
        <w:tc>
          <w:tcPr>
            <w:tcW w:w="1869" w:type="dxa"/>
            <w:noWrap w:val="0"/>
            <w:vAlign w:val="center"/>
          </w:tcPr>
          <w:p w14:paraId="264CDA02">
            <w:pPr>
              <w:snapToGrid w:val="0"/>
              <w:ind w:right="-30" w:firstLine="480"/>
              <w:rPr>
                <w:rFonts w:hint="eastAsia" w:ascii="仿宋" w:hAnsi="仿宋" w:eastAsia="仿宋" w:cs="仿宋"/>
                <w:color w:val="auto"/>
                <w:sz w:val="24"/>
                <w:szCs w:val="20"/>
                <w:highlight w:val="none"/>
              </w:rPr>
            </w:pPr>
          </w:p>
        </w:tc>
      </w:tr>
      <w:tr w14:paraId="00E1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8" w:type="dxa"/>
            <w:noWrap w:val="0"/>
            <w:vAlign w:val="center"/>
          </w:tcPr>
          <w:p w14:paraId="62F61915">
            <w:pPr>
              <w:snapToGrid w:val="0"/>
              <w:spacing w:before="158" w:beforeLines="50" w:after="158" w:afterLines="50"/>
              <w:ind w:left="0" w:leftChars="0" w:right="-30" w:firstLine="0" w:firstLineChars="0"/>
              <w:jc w:val="both"/>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13</w:t>
            </w:r>
          </w:p>
        </w:tc>
        <w:tc>
          <w:tcPr>
            <w:tcW w:w="4080" w:type="dxa"/>
            <w:noWrap w:val="0"/>
            <w:vAlign w:val="center"/>
          </w:tcPr>
          <w:p w14:paraId="23C19F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0"/>
                <w:highlight w:val="none"/>
                <w:lang w:val="en-US" w:eastAsia="zh-CN" w:bidi="ar-SA"/>
              </w:rPr>
            </w:pPr>
          </w:p>
        </w:tc>
        <w:tc>
          <w:tcPr>
            <w:tcW w:w="2640" w:type="dxa"/>
            <w:noWrap w:val="0"/>
            <w:vAlign w:val="center"/>
          </w:tcPr>
          <w:p w14:paraId="57834246">
            <w:pPr>
              <w:snapToGrid w:val="0"/>
              <w:ind w:right="-30" w:firstLine="480"/>
              <w:rPr>
                <w:rFonts w:hint="eastAsia" w:ascii="仿宋" w:hAnsi="仿宋" w:eastAsia="仿宋" w:cs="仿宋"/>
                <w:color w:val="auto"/>
                <w:sz w:val="24"/>
                <w:szCs w:val="20"/>
                <w:highlight w:val="none"/>
              </w:rPr>
            </w:pPr>
          </w:p>
        </w:tc>
        <w:tc>
          <w:tcPr>
            <w:tcW w:w="1869" w:type="dxa"/>
            <w:noWrap w:val="0"/>
            <w:vAlign w:val="center"/>
          </w:tcPr>
          <w:p w14:paraId="0980DF26">
            <w:pPr>
              <w:snapToGrid w:val="0"/>
              <w:ind w:right="-30" w:firstLine="480"/>
              <w:rPr>
                <w:rFonts w:hint="eastAsia" w:ascii="仿宋" w:hAnsi="仿宋" w:eastAsia="仿宋" w:cs="仿宋"/>
                <w:color w:val="auto"/>
                <w:sz w:val="24"/>
                <w:szCs w:val="20"/>
                <w:highlight w:val="none"/>
              </w:rPr>
            </w:pPr>
          </w:p>
        </w:tc>
      </w:tr>
      <w:tr w14:paraId="5172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8" w:type="dxa"/>
            <w:noWrap w:val="0"/>
            <w:vAlign w:val="center"/>
          </w:tcPr>
          <w:p w14:paraId="3132DCED">
            <w:pPr>
              <w:snapToGrid w:val="0"/>
              <w:spacing w:before="158" w:beforeLines="50" w:after="158" w:afterLines="50"/>
              <w:ind w:left="0" w:leftChars="0" w:right="-30" w:firstLine="0" w:firstLineChars="0"/>
              <w:jc w:val="both"/>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14</w:t>
            </w:r>
          </w:p>
        </w:tc>
        <w:tc>
          <w:tcPr>
            <w:tcW w:w="4080" w:type="dxa"/>
            <w:noWrap w:val="0"/>
            <w:vAlign w:val="center"/>
          </w:tcPr>
          <w:p w14:paraId="627EDAD7">
            <w:pPr>
              <w:snapToGrid w:val="0"/>
              <w:ind w:right="-3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0"/>
                <w:sz w:val="24"/>
                <w:szCs w:val="24"/>
                <w:highlight w:val="none"/>
                <w:lang w:val="en-US" w:eastAsia="zh-CN"/>
              </w:rPr>
              <w:t>有无排污放射等问题:无</w:t>
            </w:r>
          </w:p>
        </w:tc>
        <w:tc>
          <w:tcPr>
            <w:tcW w:w="2640" w:type="dxa"/>
            <w:noWrap w:val="0"/>
            <w:vAlign w:val="center"/>
          </w:tcPr>
          <w:p w14:paraId="0E232CBD">
            <w:pPr>
              <w:snapToGrid w:val="0"/>
              <w:ind w:right="-30" w:firstLine="480"/>
              <w:rPr>
                <w:rFonts w:hint="eastAsia" w:ascii="仿宋" w:hAnsi="仿宋" w:eastAsia="仿宋" w:cs="仿宋"/>
                <w:color w:val="auto"/>
                <w:sz w:val="24"/>
                <w:szCs w:val="20"/>
                <w:highlight w:val="none"/>
              </w:rPr>
            </w:pPr>
          </w:p>
        </w:tc>
        <w:tc>
          <w:tcPr>
            <w:tcW w:w="1869" w:type="dxa"/>
            <w:noWrap w:val="0"/>
            <w:vAlign w:val="center"/>
          </w:tcPr>
          <w:p w14:paraId="372FC07F">
            <w:pPr>
              <w:snapToGrid w:val="0"/>
              <w:ind w:right="-30" w:firstLine="480"/>
              <w:rPr>
                <w:rFonts w:hint="eastAsia" w:ascii="仿宋" w:hAnsi="仿宋" w:eastAsia="仿宋" w:cs="仿宋"/>
                <w:color w:val="auto"/>
                <w:sz w:val="24"/>
                <w:szCs w:val="20"/>
                <w:highlight w:val="none"/>
              </w:rPr>
            </w:pPr>
          </w:p>
        </w:tc>
      </w:tr>
      <w:tr w14:paraId="0739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8" w:type="dxa"/>
            <w:noWrap w:val="0"/>
            <w:vAlign w:val="center"/>
          </w:tcPr>
          <w:p w14:paraId="13770B5E">
            <w:pPr>
              <w:snapToGrid w:val="0"/>
              <w:spacing w:before="158" w:beforeLines="50" w:after="158" w:afterLines="50"/>
              <w:ind w:left="0" w:leftChars="0" w:right="-30" w:firstLine="0" w:firstLineChars="0"/>
              <w:jc w:val="both"/>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15</w:t>
            </w:r>
          </w:p>
        </w:tc>
        <w:tc>
          <w:tcPr>
            <w:tcW w:w="4080" w:type="dxa"/>
            <w:noWrap w:val="0"/>
            <w:vAlign w:val="center"/>
          </w:tcPr>
          <w:p w14:paraId="5666028E">
            <w:pPr>
              <w:snapToGrid w:val="0"/>
              <w:ind w:right="-3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0"/>
                <w:sz w:val="24"/>
                <w:szCs w:val="24"/>
                <w:highlight w:val="none"/>
                <w:lang w:val="en-US" w:eastAsia="zh-CN"/>
              </w:rPr>
              <w:t>有无特殊要求:无特殊要求</w:t>
            </w:r>
          </w:p>
        </w:tc>
        <w:tc>
          <w:tcPr>
            <w:tcW w:w="2640" w:type="dxa"/>
            <w:noWrap w:val="0"/>
            <w:vAlign w:val="center"/>
          </w:tcPr>
          <w:p w14:paraId="1C42B6F8">
            <w:pPr>
              <w:snapToGrid w:val="0"/>
              <w:ind w:right="-30" w:firstLine="480"/>
              <w:rPr>
                <w:rFonts w:hint="eastAsia" w:ascii="仿宋" w:hAnsi="仿宋" w:eastAsia="仿宋" w:cs="仿宋"/>
                <w:color w:val="auto"/>
                <w:sz w:val="24"/>
                <w:szCs w:val="20"/>
                <w:highlight w:val="none"/>
              </w:rPr>
            </w:pPr>
          </w:p>
        </w:tc>
        <w:tc>
          <w:tcPr>
            <w:tcW w:w="1869" w:type="dxa"/>
            <w:noWrap w:val="0"/>
            <w:vAlign w:val="center"/>
          </w:tcPr>
          <w:p w14:paraId="1E5B2441">
            <w:pPr>
              <w:snapToGrid w:val="0"/>
              <w:ind w:right="-30" w:firstLine="480"/>
              <w:rPr>
                <w:rFonts w:hint="eastAsia" w:ascii="仿宋" w:hAnsi="仿宋" w:eastAsia="仿宋" w:cs="仿宋"/>
                <w:color w:val="auto"/>
                <w:sz w:val="24"/>
                <w:szCs w:val="20"/>
                <w:highlight w:val="none"/>
              </w:rPr>
            </w:pPr>
          </w:p>
        </w:tc>
      </w:tr>
    </w:tbl>
    <w:p w14:paraId="10C531C6">
      <w:pPr>
        <w:bidi w:val="0"/>
        <w:ind w:left="0" w:leftChars="0" w:firstLine="0" w:firstLineChars="0"/>
      </w:pPr>
    </w:p>
    <w:p w14:paraId="08BCCFF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供应商应对本项目第四章</w:t>
      </w:r>
      <w:r>
        <w:rPr>
          <w:rFonts w:hint="eastAsia" w:ascii="仿宋" w:hAnsi="仿宋" w:eastAsia="仿宋" w:cs="仿宋"/>
          <w:b/>
          <w:bCs/>
          <w:sz w:val="24"/>
          <w:szCs w:val="24"/>
          <w:lang w:eastAsia="zh-CN"/>
        </w:rPr>
        <w:t>“商务技术要求”</w:t>
      </w:r>
      <w:r>
        <w:rPr>
          <w:rFonts w:hint="eastAsia" w:ascii="仿宋" w:hAnsi="仿宋" w:eastAsia="仿宋" w:cs="仿宋"/>
          <w:b/>
          <w:bCs/>
          <w:sz w:val="24"/>
          <w:szCs w:val="24"/>
          <w:lang w:val="en-US" w:eastAsia="zh-CN"/>
        </w:rPr>
        <w:t>中的</w:t>
      </w:r>
      <w:r>
        <w:rPr>
          <w:rFonts w:hint="eastAsia" w:ascii="仿宋" w:hAnsi="仿宋" w:eastAsia="仿宋" w:cs="仿宋"/>
          <w:b/>
          <w:bCs/>
          <w:sz w:val="24"/>
          <w:szCs w:val="24"/>
        </w:rPr>
        <w:t>商务</w:t>
      </w:r>
      <w:r>
        <w:rPr>
          <w:rFonts w:hint="eastAsia" w:ascii="仿宋" w:hAnsi="仿宋" w:eastAsia="仿宋" w:cs="仿宋"/>
          <w:b/>
          <w:bCs/>
          <w:sz w:val="24"/>
          <w:szCs w:val="24"/>
          <w:lang w:val="en-US" w:eastAsia="zh-CN"/>
        </w:rPr>
        <w:t>要求以及合同条款</w:t>
      </w:r>
      <w:r>
        <w:rPr>
          <w:rFonts w:hint="eastAsia" w:ascii="仿宋" w:hAnsi="仿宋" w:eastAsia="仿宋" w:cs="仿宋"/>
          <w:b/>
          <w:bCs/>
          <w:sz w:val="24"/>
          <w:szCs w:val="24"/>
        </w:rPr>
        <w:t>据实填写，“负偏离”或“正偏离”的条款供应商应作具体说明和详细阐述</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未填写的条款视为无偏离</w:t>
      </w:r>
      <w:r>
        <w:rPr>
          <w:rFonts w:hint="eastAsia" w:ascii="仿宋" w:hAnsi="仿宋" w:eastAsia="仿宋" w:cs="仿宋"/>
          <w:b/>
          <w:bCs/>
          <w:sz w:val="24"/>
          <w:szCs w:val="24"/>
        </w:rPr>
        <w:t>。</w:t>
      </w:r>
    </w:p>
    <w:p w14:paraId="6002DF54">
      <w:pPr>
        <w:snapToGrid w:val="0"/>
        <w:spacing w:before="158" w:beforeLines="50" w:line="360" w:lineRule="auto"/>
        <w:ind w:left="641" w:right="-30" w:hanging="732" w:hangingChars="304"/>
        <w:jc w:val="both"/>
        <w:rPr>
          <w:rFonts w:hint="eastAsia" w:ascii="仿宋" w:hAnsi="仿宋" w:eastAsia="仿宋" w:cs="仿宋"/>
          <w:b/>
          <w:color w:val="auto"/>
          <w:sz w:val="24"/>
          <w:szCs w:val="20"/>
          <w:highlight w:val="none"/>
        </w:rPr>
      </w:pPr>
    </w:p>
    <w:p w14:paraId="053004F5">
      <w:pPr>
        <w:snapToGrid w:val="0"/>
        <w:spacing w:before="158" w:beforeLines="50" w:line="360" w:lineRule="auto"/>
        <w:ind w:left="641" w:right="-30" w:hanging="732" w:hangingChars="304"/>
        <w:jc w:val="both"/>
        <w:rPr>
          <w:rFonts w:hint="eastAsia" w:ascii="仿宋" w:hAnsi="仿宋" w:eastAsia="仿宋" w:cs="仿宋"/>
          <w:b/>
          <w:color w:val="auto"/>
          <w:sz w:val="24"/>
          <w:szCs w:val="20"/>
          <w:highlight w:val="none"/>
        </w:rPr>
      </w:pPr>
    </w:p>
    <w:p w14:paraId="224F701F">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433712F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30616D73">
      <w:pPr>
        <w:pStyle w:val="81"/>
        <w:snapToGrid w:val="0"/>
        <w:ind w:left="0" w:leftChars="0" w:firstLine="480" w:firstLineChars="200"/>
        <w:rPr>
          <w:rStyle w:val="30"/>
          <w:rFonts w:ascii="Arial" w:hAnsi="Arial" w:cs="Arial"/>
        </w:rPr>
        <w:sectPr>
          <w:pgSz w:w="11906" w:h="16838"/>
          <w:pgMar w:top="1440" w:right="1080" w:bottom="1440" w:left="1080" w:header="850" w:footer="992" w:gutter="0"/>
          <w:pgNumType w:fmt="decimal"/>
          <w:cols w:space="0" w:num="1"/>
          <w:rtlGutter w:val="0"/>
          <w:docGrid w:linePitch="312" w:charSpace="0"/>
        </w:sect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7CE80D49">
      <w:pPr>
        <w:pStyle w:val="3"/>
        <w:bidi w:val="0"/>
      </w:pPr>
      <w:r>
        <w:t>附件</w:t>
      </w:r>
      <w:r>
        <w:rPr>
          <w:rFonts w:hint="eastAsia"/>
          <w:lang w:val="en-US" w:eastAsia="zh-CN"/>
        </w:rPr>
        <w:t xml:space="preserve">7 </w:t>
      </w:r>
      <w:r>
        <w:t>供应商情况表</w:t>
      </w:r>
    </w:p>
    <w:p w14:paraId="5517D2D9">
      <w:pPr>
        <w:keepNext w:val="0"/>
        <w:keepLines w:val="0"/>
        <w:pageBreakBefore w:val="0"/>
        <w:widowControl/>
        <w:kinsoku/>
        <w:wordWrap/>
        <w:overflowPunct/>
        <w:topLinePunct w:val="0"/>
        <w:autoSpaceDE/>
        <w:autoSpaceDN/>
        <w:bidi w:val="0"/>
        <w:adjustRightInd/>
        <w:snapToGrid/>
        <w:ind w:firstLine="0" w:firstLineChars="0"/>
        <w:textAlignment w:val="baseline"/>
      </w:pPr>
      <w:r>
        <w:t>项目名称：</w:t>
      </w:r>
    </w:p>
    <w:p w14:paraId="46205654">
      <w:pPr>
        <w:keepNext w:val="0"/>
        <w:keepLines w:val="0"/>
        <w:pageBreakBefore w:val="0"/>
        <w:widowControl/>
        <w:kinsoku/>
        <w:wordWrap/>
        <w:overflowPunct/>
        <w:topLinePunct w:val="0"/>
        <w:autoSpaceDE/>
        <w:autoSpaceDN/>
        <w:bidi w:val="0"/>
        <w:adjustRightInd/>
        <w:snapToGrid/>
        <w:ind w:firstLine="0" w:firstLineChars="0"/>
        <w:textAlignment w:val="baseline"/>
      </w:pPr>
      <w:r>
        <w:rPr>
          <w:rFonts w:hint="eastAsia"/>
          <w:lang w:eastAsia="zh-CN"/>
        </w:rPr>
        <w:t>比质比价文件</w:t>
      </w:r>
      <w:r>
        <w:t>编号：</w:t>
      </w:r>
    </w:p>
    <w:tbl>
      <w:tblPr>
        <w:tblStyle w:val="23"/>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77"/>
        <w:gridCol w:w="260"/>
        <w:gridCol w:w="1267"/>
        <w:gridCol w:w="54"/>
        <w:gridCol w:w="1472"/>
        <w:gridCol w:w="75"/>
        <w:gridCol w:w="1454"/>
        <w:gridCol w:w="1964"/>
      </w:tblGrid>
      <w:tr w14:paraId="6816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1777" w:type="dxa"/>
            <w:tcBorders>
              <w:top w:val="single" w:color="auto" w:sz="12" w:space="0"/>
              <w:left w:val="single" w:color="auto" w:sz="12" w:space="0"/>
            </w:tcBorders>
            <w:noWrap w:val="0"/>
            <w:vAlign w:val="center"/>
          </w:tcPr>
          <w:p w14:paraId="274B4C8F">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7823" w:type="dxa"/>
            <w:gridSpan w:val="8"/>
            <w:tcBorders>
              <w:top w:val="single" w:color="auto" w:sz="12" w:space="0"/>
              <w:right w:val="single" w:color="auto" w:sz="12" w:space="0"/>
            </w:tcBorders>
            <w:noWrap w:val="0"/>
            <w:vAlign w:val="center"/>
          </w:tcPr>
          <w:p w14:paraId="1E446CD5">
            <w:pPr>
              <w:snapToGrid w:val="0"/>
              <w:spacing w:line="240" w:lineRule="atLeast"/>
              <w:ind w:right="-30" w:firstLine="480"/>
              <w:jc w:val="center"/>
              <w:rPr>
                <w:rFonts w:hint="eastAsia" w:ascii="仿宋" w:hAnsi="仿宋" w:eastAsia="仿宋" w:cs="仿宋"/>
                <w:color w:val="auto"/>
                <w:sz w:val="24"/>
                <w:highlight w:val="none"/>
              </w:rPr>
            </w:pPr>
          </w:p>
        </w:tc>
      </w:tr>
      <w:tr w14:paraId="0358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777" w:type="dxa"/>
            <w:tcBorders>
              <w:left w:val="single" w:color="auto" w:sz="12" w:space="0"/>
            </w:tcBorders>
            <w:noWrap w:val="0"/>
            <w:vAlign w:val="center"/>
          </w:tcPr>
          <w:p w14:paraId="3EB60E96">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w:t>
            </w:r>
          </w:p>
        </w:tc>
        <w:tc>
          <w:tcPr>
            <w:tcW w:w="7823" w:type="dxa"/>
            <w:gridSpan w:val="8"/>
            <w:tcBorders>
              <w:right w:val="single" w:color="auto" w:sz="12" w:space="0"/>
            </w:tcBorders>
            <w:noWrap w:val="0"/>
            <w:vAlign w:val="center"/>
          </w:tcPr>
          <w:p w14:paraId="00C2F7BD">
            <w:pPr>
              <w:snapToGrid w:val="0"/>
              <w:spacing w:line="240" w:lineRule="atLeast"/>
              <w:ind w:right="-30" w:firstLine="480"/>
              <w:jc w:val="center"/>
              <w:rPr>
                <w:rFonts w:hint="eastAsia" w:ascii="仿宋" w:hAnsi="仿宋" w:eastAsia="仿宋" w:cs="仿宋"/>
                <w:color w:val="auto"/>
                <w:sz w:val="24"/>
                <w:highlight w:val="none"/>
              </w:rPr>
            </w:pPr>
          </w:p>
        </w:tc>
      </w:tr>
      <w:tr w14:paraId="4228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777" w:type="dxa"/>
            <w:tcBorders>
              <w:left w:val="single" w:color="auto" w:sz="12" w:space="0"/>
            </w:tcBorders>
            <w:noWrap w:val="0"/>
            <w:vAlign w:val="center"/>
          </w:tcPr>
          <w:p w14:paraId="09375BFD">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基本</w:t>
            </w:r>
            <w:r>
              <w:rPr>
                <w:rFonts w:hint="eastAsia" w:ascii="仿宋" w:hAnsi="仿宋" w:eastAsia="仿宋" w:cs="仿宋"/>
                <w:color w:val="auto"/>
                <w:sz w:val="24"/>
                <w:highlight w:val="none"/>
              </w:rPr>
              <w:t>开户行</w:t>
            </w:r>
          </w:p>
          <w:p w14:paraId="238E1B51">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7823" w:type="dxa"/>
            <w:gridSpan w:val="8"/>
            <w:tcBorders>
              <w:right w:val="single" w:color="auto" w:sz="12" w:space="0"/>
            </w:tcBorders>
            <w:noWrap w:val="0"/>
            <w:vAlign w:val="center"/>
          </w:tcPr>
          <w:p w14:paraId="64B3DEB8">
            <w:pPr>
              <w:snapToGrid w:val="0"/>
              <w:spacing w:line="240" w:lineRule="atLeast"/>
              <w:ind w:right="-30" w:firstLine="480"/>
              <w:jc w:val="center"/>
              <w:rPr>
                <w:rFonts w:hint="eastAsia" w:ascii="仿宋" w:hAnsi="仿宋" w:eastAsia="仿宋" w:cs="仿宋"/>
                <w:color w:val="auto"/>
                <w:sz w:val="24"/>
                <w:highlight w:val="none"/>
              </w:rPr>
            </w:pPr>
          </w:p>
        </w:tc>
      </w:tr>
      <w:tr w14:paraId="788E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777" w:type="dxa"/>
            <w:tcBorders>
              <w:left w:val="single" w:color="auto" w:sz="12" w:space="0"/>
            </w:tcBorders>
            <w:noWrap w:val="0"/>
            <w:vAlign w:val="center"/>
          </w:tcPr>
          <w:p w14:paraId="3338694B">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w:t>
            </w:r>
          </w:p>
        </w:tc>
        <w:tc>
          <w:tcPr>
            <w:tcW w:w="7823" w:type="dxa"/>
            <w:gridSpan w:val="8"/>
            <w:tcBorders>
              <w:right w:val="single" w:color="auto" w:sz="12" w:space="0"/>
            </w:tcBorders>
            <w:noWrap w:val="0"/>
            <w:vAlign w:val="center"/>
          </w:tcPr>
          <w:p w14:paraId="554861E3">
            <w:pPr>
              <w:snapToGrid w:val="0"/>
              <w:spacing w:line="240" w:lineRule="atLeast"/>
              <w:ind w:right="-30" w:firstLine="480"/>
              <w:jc w:val="center"/>
              <w:rPr>
                <w:rFonts w:hint="eastAsia" w:ascii="仿宋" w:hAnsi="仿宋" w:eastAsia="仿宋" w:cs="仿宋"/>
                <w:color w:val="auto"/>
                <w:sz w:val="24"/>
                <w:highlight w:val="none"/>
              </w:rPr>
            </w:pPr>
          </w:p>
        </w:tc>
      </w:tr>
      <w:tr w14:paraId="4E9F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777" w:type="dxa"/>
            <w:tcBorders>
              <w:left w:val="single" w:color="auto" w:sz="12" w:space="0"/>
            </w:tcBorders>
            <w:noWrap w:val="0"/>
            <w:vAlign w:val="center"/>
          </w:tcPr>
          <w:p w14:paraId="6FA5DA2A">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主管部门</w:t>
            </w:r>
          </w:p>
          <w:p w14:paraId="42BF2137">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（选填）</w:t>
            </w:r>
          </w:p>
        </w:tc>
        <w:tc>
          <w:tcPr>
            <w:tcW w:w="1277" w:type="dxa"/>
            <w:noWrap w:val="0"/>
            <w:vAlign w:val="center"/>
          </w:tcPr>
          <w:p w14:paraId="20AE9EEE">
            <w:pPr>
              <w:snapToGrid w:val="0"/>
              <w:spacing w:line="240" w:lineRule="atLeast"/>
              <w:ind w:right="-30" w:firstLine="480"/>
              <w:jc w:val="center"/>
              <w:rPr>
                <w:rFonts w:hint="eastAsia" w:ascii="仿宋" w:hAnsi="仿宋" w:eastAsia="仿宋" w:cs="仿宋"/>
                <w:color w:val="auto"/>
                <w:sz w:val="24"/>
                <w:highlight w:val="none"/>
              </w:rPr>
            </w:pPr>
          </w:p>
        </w:tc>
        <w:tc>
          <w:tcPr>
            <w:tcW w:w="1527" w:type="dxa"/>
            <w:gridSpan w:val="2"/>
            <w:noWrap w:val="0"/>
            <w:vAlign w:val="center"/>
          </w:tcPr>
          <w:p w14:paraId="38C45CF9">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法定代表人或企业负责人</w:t>
            </w:r>
          </w:p>
        </w:tc>
        <w:tc>
          <w:tcPr>
            <w:tcW w:w="1526" w:type="dxa"/>
            <w:gridSpan w:val="2"/>
            <w:noWrap w:val="0"/>
            <w:vAlign w:val="center"/>
          </w:tcPr>
          <w:p w14:paraId="71996B4A">
            <w:pPr>
              <w:snapToGrid w:val="0"/>
              <w:spacing w:line="240" w:lineRule="atLeast"/>
              <w:ind w:right="-30" w:firstLine="480"/>
              <w:jc w:val="center"/>
              <w:rPr>
                <w:rFonts w:hint="eastAsia" w:ascii="仿宋" w:hAnsi="仿宋" w:eastAsia="仿宋" w:cs="仿宋"/>
                <w:color w:val="auto"/>
                <w:sz w:val="24"/>
                <w:highlight w:val="none"/>
              </w:rPr>
            </w:pPr>
          </w:p>
        </w:tc>
        <w:tc>
          <w:tcPr>
            <w:tcW w:w="1529" w:type="dxa"/>
            <w:gridSpan w:val="2"/>
            <w:noWrap w:val="0"/>
            <w:vAlign w:val="center"/>
          </w:tcPr>
          <w:p w14:paraId="0855A686">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964" w:type="dxa"/>
            <w:tcBorders>
              <w:right w:val="single" w:color="auto" w:sz="12" w:space="0"/>
            </w:tcBorders>
            <w:noWrap w:val="0"/>
            <w:vAlign w:val="top"/>
          </w:tcPr>
          <w:p w14:paraId="31E2DB9C">
            <w:pPr>
              <w:snapToGrid w:val="0"/>
              <w:spacing w:line="240" w:lineRule="atLeast"/>
              <w:ind w:right="-30" w:firstLine="480"/>
              <w:jc w:val="center"/>
              <w:rPr>
                <w:rFonts w:hint="eastAsia" w:ascii="仿宋" w:hAnsi="仿宋" w:eastAsia="仿宋" w:cs="仿宋"/>
                <w:color w:val="auto"/>
                <w:sz w:val="24"/>
                <w:highlight w:val="none"/>
              </w:rPr>
            </w:pPr>
          </w:p>
        </w:tc>
      </w:tr>
      <w:tr w14:paraId="0C4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77" w:type="dxa"/>
            <w:tcBorders>
              <w:left w:val="single" w:color="auto" w:sz="12" w:space="0"/>
            </w:tcBorders>
            <w:noWrap w:val="0"/>
            <w:vAlign w:val="center"/>
          </w:tcPr>
          <w:p w14:paraId="628855A1">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企业类型</w:t>
            </w:r>
          </w:p>
        </w:tc>
        <w:tc>
          <w:tcPr>
            <w:tcW w:w="1277" w:type="dxa"/>
            <w:noWrap w:val="0"/>
            <w:vAlign w:val="center"/>
          </w:tcPr>
          <w:p w14:paraId="6ABEA1EC">
            <w:pPr>
              <w:snapToGrid w:val="0"/>
              <w:spacing w:line="240" w:lineRule="atLeast"/>
              <w:ind w:right="-30" w:firstLine="480"/>
              <w:jc w:val="center"/>
              <w:rPr>
                <w:rFonts w:hint="eastAsia" w:ascii="仿宋" w:hAnsi="仿宋" w:eastAsia="仿宋" w:cs="仿宋"/>
                <w:color w:val="auto"/>
                <w:sz w:val="24"/>
                <w:highlight w:val="none"/>
              </w:rPr>
            </w:pPr>
          </w:p>
        </w:tc>
        <w:tc>
          <w:tcPr>
            <w:tcW w:w="1527" w:type="dxa"/>
            <w:gridSpan w:val="2"/>
            <w:noWrap w:val="0"/>
            <w:vAlign w:val="center"/>
          </w:tcPr>
          <w:p w14:paraId="0BB1E49E">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w:t>
            </w:r>
          </w:p>
        </w:tc>
        <w:tc>
          <w:tcPr>
            <w:tcW w:w="1526" w:type="dxa"/>
            <w:gridSpan w:val="2"/>
            <w:noWrap w:val="0"/>
            <w:vAlign w:val="center"/>
          </w:tcPr>
          <w:p w14:paraId="7F377143">
            <w:pPr>
              <w:snapToGrid w:val="0"/>
              <w:spacing w:line="240" w:lineRule="atLeast"/>
              <w:ind w:right="-30" w:firstLine="480"/>
              <w:jc w:val="center"/>
              <w:rPr>
                <w:rFonts w:hint="eastAsia" w:ascii="仿宋" w:hAnsi="仿宋" w:eastAsia="仿宋" w:cs="仿宋"/>
                <w:color w:val="auto"/>
                <w:sz w:val="24"/>
                <w:highlight w:val="none"/>
              </w:rPr>
            </w:pPr>
          </w:p>
        </w:tc>
        <w:tc>
          <w:tcPr>
            <w:tcW w:w="1529" w:type="dxa"/>
            <w:gridSpan w:val="2"/>
            <w:noWrap w:val="0"/>
            <w:vAlign w:val="center"/>
          </w:tcPr>
          <w:p w14:paraId="6E8AD489">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964" w:type="dxa"/>
            <w:tcBorders>
              <w:right w:val="single" w:color="auto" w:sz="12" w:space="0"/>
            </w:tcBorders>
            <w:noWrap w:val="0"/>
            <w:vAlign w:val="top"/>
          </w:tcPr>
          <w:p w14:paraId="3F7DFD12">
            <w:pPr>
              <w:snapToGrid w:val="0"/>
              <w:spacing w:line="240" w:lineRule="atLeast"/>
              <w:ind w:right="-30" w:firstLine="480"/>
              <w:jc w:val="center"/>
              <w:rPr>
                <w:rFonts w:hint="eastAsia" w:ascii="仿宋" w:hAnsi="仿宋" w:eastAsia="仿宋" w:cs="仿宋"/>
                <w:color w:val="auto"/>
                <w:sz w:val="24"/>
                <w:highlight w:val="none"/>
              </w:rPr>
            </w:pPr>
          </w:p>
        </w:tc>
      </w:tr>
      <w:tr w14:paraId="4452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77" w:type="dxa"/>
            <w:tcBorders>
              <w:left w:val="single" w:color="auto" w:sz="12" w:space="0"/>
            </w:tcBorders>
            <w:noWrap w:val="0"/>
            <w:vAlign w:val="center"/>
          </w:tcPr>
          <w:p w14:paraId="6B3B0E26">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1277" w:type="dxa"/>
            <w:noWrap w:val="0"/>
            <w:vAlign w:val="center"/>
          </w:tcPr>
          <w:p w14:paraId="629B7172">
            <w:pPr>
              <w:snapToGrid w:val="0"/>
              <w:spacing w:line="240" w:lineRule="atLeast"/>
              <w:ind w:right="-30" w:firstLine="480"/>
              <w:jc w:val="center"/>
              <w:rPr>
                <w:rFonts w:hint="eastAsia" w:ascii="仿宋" w:hAnsi="仿宋" w:eastAsia="仿宋" w:cs="仿宋"/>
                <w:color w:val="auto"/>
                <w:sz w:val="24"/>
                <w:highlight w:val="none"/>
              </w:rPr>
            </w:pPr>
          </w:p>
        </w:tc>
        <w:tc>
          <w:tcPr>
            <w:tcW w:w="1527" w:type="dxa"/>
            <w:gridSpan w:val="2"/>
            <w:noWrap w:val="0"/>
            <w:vAlign w:val="center"/>
          </w:tcPr>
          <w:p w14:paraId="2D8B8240">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1526" w:type="dxa"/>
            <w:gridSpan w:val="2"/>
            <w:noWrap w:val="0"/>
            <w:vAlign w:val="center"/>
          </w:tcPr>
          <w:p w14:paraId="2BBB13BB">
            <w:pPr>
              <w:snapToGrid w:val="0"/>
              <w:spacing w:line="240" w:lineRule="atLeast"/>
              <w:ind w:right="-30" w:firstLine="480"/>
              <w:jc w:val="center"/>
              <w:rPr>
                <w:rFonts w:hint="eastAsia" w:ascii="仿宋" w:hAnsi="仿宋" w:eastAsia="仿宋" w:cs="仿宋"/>
                <w:color w:val="auto"/>
                <w:sz w:val="24"/>
                <w:highlight w:val="none"/>
              </w:rPr>
            </w:pPr>
          </w:p>
        </w:tc>
        <w:tc>
          <w:tcPr>
            <w:tcW w:w="1529" w:type="dxa"/>
            <w:gridSpan w:val="2"/>
            <w:noWrap w:val="0"/>
            <w:vAlign w:val="center"/>
          </w:tcPr>
          <w:p w14:paraId="4E09F7B7">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1964" w:type="dxa"/>
            <w:tcBorders>
              <w:right w:val="single" w:color="auto" w:sz="12" w:space="0"/>
            </w:tcBorders>
            <w:noWrap w:val="0"/>
            <w:vAlign w:val="top"/>
          </w:tcPr>
          <w:p w14:paraId="5AA3255B">
            <w:pPr>
              <w:snapToGrid w:val="0"/>
              <w:spacing w:line="240" w:lineRule="atLeast"/>
              <w:ind w:right="-30" w:firstLine="480"/>
              <w:jc w:val="center"/>
              <w:rPr>
                <w:rFonts w:hint="eastAsia" w:ascii="仿宋" w:hAnsi="仿宋" w:eastAsia="仿宋" w:cs="仿宋"/>
                <w:color w:val="auto"/>
                <w:sz w:val="24"/>
                <w:highlight w:val="none"/>
              </w:rPr>
            </w:pPr>
          </w:p>
        </w:tc>
      </w:tr>
      <w:tr w14:paraId="1356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777" w:type="dxa"/>
            <w:tcBorders>
              <w:left w:val="single" w:color="auto" w:sz="12" w:space="0"/>
            </w:tcBorders>
            <w:noWrap w:val="0"/>
            <w:vAlign w:val="center"/>
          </w:tcPr>
          <w:p w14:paraId="2A9C82BE">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单位简介及机构情况</w:t>
            </w:r>
          </w:p>
        </w:tc>
        <w:tc>
          <w:tcPr>
            <w:tcW w:w="7823" w:type="dxa"/>
            <w:gridSpan w:val="8"/>
            <w:tcBorders>
              <w:right w:val="single" w:color="auto" w:sz="12" w:space="0"/>
            </w:tcBorders>
            <w:noWrap w:val="0"/>
            <w:vAlign w:val="top"/>
          </w:tcPr>
          <w:p w14:paraId="59DD5179">
            <w:pPr>
              <w:snapToGrid w:val="0"/>
              <w:spacing w:line="240" w:lineRule="atLeast"/>
              <w:ind w:right="-30" w:firstLine="480"/>
              <w:jc w:val="center"/>
              <w:rPr>
                <w:rFonts w:hint="eastAsia" w:ascii="仿宋" w:hAnsi="仿宋" w:eastAsia="仿宋" w:cs="仿宋"/>
                <w:color w:val="auto"/>
                <w:sz w:val="24"/>
                <w:highlight w:val="none"/>
              </w:rPr>
            </w:pPr>
          </w:p>
        </w:tc>
      </w:tr>
      <w:tr w14:paraId="348B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777" w:type="dxa"/>
            <w:tcBorders>
              <w:left w:val="single" w:color="auto" w:sz="12" w:space="0"/>
            </w:tcBorders>
            <w:noWrap w:val="0"/>
            <w:vAlign w:val="center"/>
          </w:tcPr>
          <w:p w14:paraId="1469BB1B">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单位优势及特长</w:t>
            </w:r>
          </w:p>
        </w:tc>
        <w:tc>
          <w:tcPr>
            <w:tcW w:w="7823" w:type="dxa"/>
            <w:gridSpan w:val="8"/>
            <w:tcBorders>
              <w:right w:val="single" w:color="auto" w:sz="12" w:space="0"/>
            </w:tcBorders>
            <w:noWrap w:val="0"/>
            <w:vAlign w:val="top"/>
          </w:tcPr>
          <w:p w14:paraId="3396F190">
            <w:pPr>
              <w:snapToGrid w:val="0"/>
              <w:spacing w:line="240" w:lineRule="atLeast"/>
              <w:ind w:right="-30" w:firstLine="480"/>
              <w:jc w:val="center"/>
              <w:rPr>
                <w:rFonts w:hint="eastAsia" w:ascii="仿宋" w:hAnsi="仿宋" w:eastAsia="仿宋" w:cs="仿宋"/>
                <w:color w:val="auto"/>
                <w:sz w:val="24"/>
                <w:highlight w:val="none"/>
              </w:rPr>
            </w:pPr>
          </w:p>
        </w:tc>
      </w:tr>
      <w:tr w14:paraId="1C87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1777" w:type="dxa"/>
            <w:vMerge w:val="restart"/>
            <w:tcBorders>
              <w:left w:val="single" w:color="auto" w:sz="12" w:space="0"/>
            </w:tcBorders>
            <w:noWrap w:val="0"/>
            <w:vAlign w:val="center"/>
          </w:tcPr>
          <w:p w14:paraId="66CD0775">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单位概况</w:t>
            </w:r>
          </w:p>
        </w:tc>
        <w:tc>
          <w:tcPr>
            <w:tcW w:w="1537" w:type="dxa"/>
            <w:gridSpan w:val="2"/>
            <w:noWrap w:val="0"/>
            <w:vAlign w:val="center"/>
          </w:tcPr>
          <w:p w14:paraId="4A90BE3E">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职工总数</w:t>
            </w:r>
          </w:p>
        </w:tc>
        <w:tc>
          <w:tcPr>
            <w:tcW w:w="6286" w:type="dxa"/>
            <w:gridSpan w:val="6"/>
            <w:tcBorders>
              <w:right w:val="single" w:color="auto" w:sz="12" w:space="0"/>
            </w:tcBorders>
            <w:noWrap w:val="0"/>
            <w:vAlign w:val="center"/>
          </w:tcPr>
          <w:p w14:paraId="4E220F3E">
            <w:pPr>
              <w:snapToGrid w:val="0"/>
              <w:spacing w:line="240" w:lineRule="atLeast"/>
              <w:ind w:right="-30" w:firstLine="4080" w:firstLineChars="1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r>
      <w:tr w14:paraId="6EA7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777" w:type="dxa"/>
            <w:vMerge w:val="continue"/>
            <w:tcBorders>
              <w:left w:val="single" w:color="auto" w:sz="12" w:space="0"/>
            </w:tcBorders>
            <w:noWrap w:val="0"/>
            <w:vAlign w:val="center"/>
          </w:tcPr>
          <w:p w14:paraId="4B1BBA42">
            <w:pPr>
              <w:snapToGrid w:val="0"/>
              <w:spacing w:line="240" w:lineRule="atLeast"/>
              <w:ind w:right="-30" w:firstLine="480"/>
              <w:jc w:val="center"/>
              <w:rPr>
                <w:rFonts w:hint="eastAsia" w:ascii="仿宋" w:hAnsi="仿宋" w:eastAsia="仿宋" w:cs="仿宋"/>
                <w:color w:val="auto"/>
                <w:sz w:val="24"/>
                <w:highlight w:val="none"/>
              </w:rPr>
            </w:pPr>
          </w:p>
        </w:tc>
        <w:tc>
          <w:tcPr>
            <w:tcW w:w="1537" w:type="dxa"/>
            <w:gridSpan w:val="2"/>
            <w:noWrap w:val="0"/>
            <w:vAlign w:val="center"/>
          </w:tcPr>
          <w:p w14:paraId="6F54E253">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员工情况</w:t>
            </w:r>
          </w:p>
        </w:tc>
        <w:tc>
          <w:tcPr>
            <w:tcW w:w="1321" w:type="dxa"/>
            <w:gridSpan w:val="2"/>
            <w:noWrap w:val="0"/>
            <w:vAlign w:val="center"/>
          </w:tcPr>
          <w:p w14:paraId="3189D144">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高级职称</w:t>
            </w:r>
          </w:p>
        </w:tc>
        <w:tc>
          <w:tcPr>
            <w:tcW w:w="1547" w:type="dxa"/>
            <w:gridSpan w:val="2"/>
            <w:noWrap w:val="0"/>
            <w:vAlign w:val="center"/>
          </w:tcPr>
          <w:p w14:paraId="64BE2790">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中级职称</w:t>
            </w:r>
          </w:p>
        </w:tc>
        <w:tc>
          <w:tcPr>
            <w:tcW w:w="1454" w:type="dxa"/>
            <w:noWrap w:val="0"/>
            <w:vAlign w:val="center"/>
          </w:tcPr>
          <w:p w14:paraId="157515C3">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初级职称</w:t>
            </w:r>
          </w:p>
        </w:tc>
        <w:tc>
          <w:tcPr>
            <w:tcW w:w="1964" w:type="dxa"/>
            <w:tcBorders>
              <w:right w:val="single" w:color="auto" w:sz="12" w:space="0"/>
            </w:tcBorders>
            <w:noWrap w:val="0"/>
            <w:vAlign w:val="center"/>
          </w:tcPr>
          <w:p w14:paraId="0990F811">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技工</w:t>
            </w:r>
          </w:p>
        </w:tc>
      </w:tr>
      <w:tr w14:paraId="76C1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777" w:type="dxa"/>
            <w:vMerge w:val="continue"/>
            <w:tcBorders>
              <w:left w:val="single" w:color="auto" w:sz="12" w:space="0"/>
            </w:tcBorders>
            <w:noWrap w:val="0"/>
            <w:vAlign w:val="center"/>
          </w:tcPr>
          <w:p w14:paraId="1B2D1944">
            <w:pPr>
              <w:snapToGrid w:val="0"/>
              <w:spacing w:line="240" w:lineRule="atLeast"/>
              <w:ind w:right="-30" w:firstLine="480"/>
              <w:jc w:val="center"/>
              <w:rPr>
                <w:rFonts w:hint="eastAsia" w:ascii="仿宋" w:hAnsi="仿宋" w:eastAsia="仿宋" w:cs="仿宋"/>
                <w:color w:val="auto"/>
                <w:sz w:val="24"/>
                <w:highlight w:val="none"/>
              </w:rPr>
            </w:pPr>
          </w:p>
        </w:tc>
        <w:tc>
          <w:tcPr>
            <w:tcW w:w="1537" w:type="dxa"/>
            <w:gridSpan w:val="2"/>
            <w:noWrap w:val="0"/>
            <w:vAlign w:val="center"/>
          </w:tcPr>
          <w:p w14:paraId="05F2A7EC">
            <w:pPr>
              <w:snapToGrid w:val="0"/>
              <w:spacing w:line="240" w:lineRule="atLeast"/>
              <w:ind w:right="-3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人数</w:t>
            </w:r>
          </w:p>
        </w:tc>
        <w:tc>
          <w:tcPr>
            <w:tcW w:w="1321" w:type="dxa"/>
            <w:gridSpan w:val="2"/>
            <w:noWrap w:val="0"/>
            <w:vAlign w:val="top"/>
          </w:tcPr>
          <w:p w14:paraId="4B61B857">
            <w:pPr>
              <w:snapToGrid w:val="0"/>
              <w:spacing w:line="240" w:lineRule="atLeast"/>
              <w:ind w:right="-30" w:firstLine="480"/>
              <w:jc w:val="center"/>
              <w:rPr>
                <w:rFonts w:hint="eastAsia" w:ascii="仿宋" w:hAnsi="仿宋" w:eastAsia="仿宋" w:cs="仿宋"/>
                <w:color w:val="auto"/>
                <w:sz w:val="24"/>
                <w:highlight w:val="none"/>
              </w:rPr>
            </w:pPr>
          </w:p>
        </w:tc>
        <w:tc>
          <w:tcPr>
            <w:tcW w:w="1547" w:type="dxa"/>
            <w:gridSpan w:val="2"/>
            <w:noWrap w:val="0"/>
            <w:vAlign w:val="top"/>
          </w:tcPr>
          <w:p w14:paraId="5D76FC8B">
            <w:pPr>
              <w:snapToGrid w:val="0"/>
              <w:spacing w:line="240" w:lineRule="atLeast"/>
              <w:ind w:right="-30" w:firstLine="480"/>
              <w:jc w:val="center"/>
              <w:rPr>
                <w:rFonts w:hint="eastAsia" w:ascii="仿宋" w:hAnsi="仿宋" w:eastAsia="仿宋" w:cs="仿宋"/>
                <w:color w:val="auto"/>
                <w:sz w:val="24"/>
                <w:highlight w:val="none"/>
              </w:rPr>
            </w:pPr>
          </w:p>
        </w:tc>
        <w:tc>
          <w:tcPr>
            <w:tcW w:w="1454" w:type="dxa"/>
            <w:noWrap w:val="0"/>
            <w:vAlign w:val="top"/>
          </w:tcPr>
          <w:p w14:paraId="2B236CC5">
            <w:pPr>
              <w:snapToGrid w:val="0"/>
              <w:spacing w:line="240" w:lineRule="atLeast"/>
              <w:ind w:right="-30" w:firstLine="480"/>
              <w:jc w:val="center"/>
              <w:rPr>
                <w:rFonts w:hint="eastAsia" w:ascii="仿宋" w:hAnsi="仿宋" w:eastAsia="仿宋" w:cs="仿宋"/>
                <w:color w:val="auto"/>
                <w:sz w:val="24"/>
                <w:highlight w:val="none"/>
              </w:rPr>
            </w:pPr>
          </w:p>
        </w:tc>
        <w:tc>
          <w:tcPr>
            <w:tcW w:w="1964" w:type="dxa"/>
            <w:tcBorders>
              <w:right w:val="single" w:color="auto" w:sz="12" w:space="0"/>
            </w:tcBorders>
            <w:noWrap w:val="0"/>
            <w:vAlign w:val="top"/>
          </w:tcPr>
          <w:p w14:paraId="2D6275EF">
            <w:pPr>
              <w:snapToGrid w:val="0"/>
              <w:spacing w:line="240" w:lineRule="atLeast"/>
              <w:ind w:right="-30" w:firstLine="480"/>
              <w:jc w:val="center"/>
              <w:rPr>
                <w:rFonts w:hint="eastAsia" w:ascii="仿宋" w:hAnsi="仿宋" w:eastAsia="仿宋" w:cs="仿宋"/>
                <w:color w:val="auto"/>
                <w:sz w:val="24"/>
                <w:highlight w:val="none"/>
              </w:rPr>
            </w:pPr>
          </w:p>
        </w:tc>
      </w:tr>
    </w:tbl>
    <w:p w14:paraId="2CBC62DA">
      <w:pPr>
        <w:pStyle w:val="5"/>
        <w:ind w:left="2940" w:right="-30" w:firstLine="602"/>
        <w:rPr>
          <w:rFonts w:hint="eastAsia" w:ascii="仿宋" w:hAnsi="仿宋" w:eastAsia="仿宋" w:cs="仿宋"/>
          <w:b/>
          <w:color w:val="auto"/>
          <w:sz w:val="30"/>
          <w:szCs w:val="20"/>
          <w:highlight w:val="none"/>
        </w:rPr>
      </w:pPr>
    </w:p>
    <w:p w14:paraId="4C33C334">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75CEE5B4">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6CB3C15F">
      <w:pPr>
        <w:ind w:right="-30"/>
        <w:rPr>
          <w:rFonts w:hint="eastAsia" w:ascii="仿宋" w:hAnsi="仿宋" w:eastAsia="仿宋" w:cs="仿宋"/>
          <w:b/>
          <w:color w:val="auto"/>
          <w:sz w:val="30"/>
          <w:szCs w:val="20"/>
          <w:highlight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7A00FFF3">
      <w:pPr>
        <w:pStyle w:val="4"/>
        <w:pageBreakBefore w:val="0"/>
        <w:kinsoku/>
        <w:wordWrap/>
        <w:overflowPunct/>
        <w:topLinePunct w:val="0"/>
        <w:autoSpaceDE/>
        <w:autoSpaceDN/>
        <w:bidi w:val="0"/>
        <w:adjustRightInd/>
        <w:spacing w:line="360" w:lineRule="auto"/>
        <w:ind w:left="420" w:leftChars="0" w:firstLineChars="0"/>
        <w:jc w:val="center"/>
        <w:textAlignment w:val="auto"/>
        <w:rPr>
          <w:rFonts w:hint="eastAsia" w:ascii="仿宋" w:hAnsi="仿宋" w:eastAsia="仿宋" w:cs="仿宋"/>
          <w:b/>
          <w:bCs/>
          <w:color w:val="auto"/>
          <w:sz w:val="28"/>
          <w:szCs w:val="28"/>
          <w:highlight w:val="none"/>
        </w:rPr>
      </w:pPr>
      <w:r>
        <w:rPr>
          <w:rFonts w:hint="eastAsia"/>
          <w:lang w:eastAsia="zh-CN"/>
        </w:rPr>
        <w:br w:type="page"/>
      </w:r>
      <w:r>
        <w:rPr>
          <w:rFonts w:hint="eastAsia" w:ascii="仿宋" w:hAnsi="仿宋" w:eastAsia="仿宋" w:cs="仿宋"/>
          <w:b/>
          <w:bCs/>
          <w:color w:val="auto"/>
          <w:sz w:val="28"/>
          <w:szCs w:val="28"/>
          <w:highlight w:val="none"/>
        </w:rPr>
        <w:t>主要股东或出资人信息表</w:t>
      </w:r>
    </w:p>
    <w:tbl>
      <w:tblPr>
        <w:tblStyle w:val="23"/>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913"/>
        <w:gridCol w:w="1710"/>
        <w:gridCol w:w="1290"/>
        <w:gridCol w:w="1050"/>
        <w:gridCol w:w="1320"/>
        <w:gridCol w:w="1655"/>
      </w:tblGrid>
      <w:tr w14:paraId="0908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838" w:type="dxa"/>
            <w:gridSpan w:val="2"/>
            <w:vAlign w:val="center"/>
          </w:tcPr>
          <w:p w14:paraId="5759AFCD">
            <w:pPr>
              <w:pageBreakBefore w:val="0"/>
              <w:widowControl/>
              <w:kinsoku/>
              <w:wordWrap/>
              <w:overflowPunct/>
              <w:topLinePunct w:val="0"/>
              <w:autoSpaceDE/>
              <w:autoSpaceDN/>
              <w:bidi w:val="0"/>
              <w:adjustRightInd/>
              <w:spacing w:line="360" w:lineRule="auto"/>
              <w:ind w:left="0" w:lef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应答</w:t>
            </w:r>
            <w:r>
              <w:rPr>
                <w:rFonts w:hint="eastAsia" w:ascii="仿宋" w:hAnsi="仿宋" w:eastAsia="仿宋" w:cs="仿宋"/>
                <w:bCs/>
                <w:color w:val="auto"/>
                <w:sz w:val="24"/>
                <w:szCs w:val="24"/>
                <w:highlight w:val="none"/>
              </w:rPr>
              <w:t>人名称</w:t>
            </w:r>
          </w:p>
        </w:tc>
        <w:tc>
          <w:tcPr>
            <w:tcW w:w="7938" w:type="dxa"/>
            <w:gridSpan w:val="6"/>
            <w:vAlign w:val="center"/>
          </w:tcPr>
          <w:p w14:paraId="42B44340">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r>
      <w:tr w14:paraId="2A06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838" w:type="dxa"/>
            <w:gridSpan w:val="2"/>
            <w:vAlign w:val="center"/>
          </w:tcPr>
          <w:p w14:paraId="11EB7EA4">
            <w:pPr>
              <w:pageBreakBefore w:val="0"/>
              <w:widowControl/>
              <w:kinsoku/>
              <w:wordWrap/>
              <w:overflowPunct/>
              <w:topLinePunct w:val="0"/>
              <w:autoSpaceDE/>
              <w:autoSpaceDN/>
              <w:bidi w:val="0"/>
              <w:adjustRightInd/>
              <w:spacing w:line="360" w:lineRule="auto"/>
              <w:ind w:left="0" w:leftChars="0" w:firstLine="0" w:firstLineChars="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单位性质</w:t>
            </w:r>
          </w:p>
        </w:tc>
        <w:tc>
          <w:tcPr>
            <w:tcW w:w="7938" w:type="dxa"/>
            <w:gridSpan w:val="6"/>
            <w:vAlign w:val="center"/>
          </w:tcPr>
          <w:p w14:paraId="6B879D4F">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国有    □ 外资    □ 民营    □其他</w:t>
            </w:r>
            <w:r>
              <w:rPr>
                <w:rFonts w:hint="eastAsia" w:ascii="仿宋" w:hAnsi="仿宋" w:eastAsia="仿宋" w:cs="仿宋"/>
                <w:bCs/>
                <w:i/>
                <w:color w:val="auto"/>
                <w:sz w:val="24"/>
                <w:szCs w:val="24"/>
                <w:highlight w:val="none"/>
              </w:rPr>
              <w:t>（如选其他，须注明单位性质）</w:t>
            </w:r>
          </w:p>
        </w:tc>
      </w:tr>
      <w:tr w14:paraId="7AF5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04" w:type="dxa"/>
            <w:vAlign w:val="center"/>
          </w:tcPr>
          <w:p w14:paraId="5DB4DA70">
            <w:pPr>
              <w:pageBreakBefore w:val="0"/>
              <w:widowControl/>
              <w:kinsoku/>
              <w:wordWrap/>
              <w:overflowPunct/>
              <w:topLinePunct w:val="0"/>
              <w:autoSpaceDE/>
              <w:autoSpaceDN/>
              <w:bidi w:val="0"/>
              <w:adjustRightInd/>
              <w:spacing w:line="360" w:lineRule="auto"/>
              <w:ind w:left="0" w:lef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134" w:type="dxa"/>
            <w:vAlign w:val="center"/>
          </w:tcPr>
          <w:p w14:paraId="34B013E9">
            <w:pPr>
              <w:pageBreakBefore w:val="0"/>
              <w:widowControl/>
              <w:kinsoku/>
              <w:wordWrap/>
              <w:overflowPunct/>
              <w:topLinePunct w:val="0"/>
              <w:autoSpaceDE/>
              <w:autoSpaceDN/>
              <w:bidi w:val="0"/>
              <w:adjustRightInd/>
              <w:spacing w:line="360" w:lineRule="auto"/>
              <w:ind w:left="0" w:lef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名称（姓名）</w:t>
            </w:r>
          </w:p>
        </w:tc>
        <w:tc>
          <w:tcPr>
            <w:tcW w:w="913" w:type="dxa"/>
            <w:vAlign w:val="center"/>
          </w:tcPr>
          <w:p w14:paraId="66935A06">
            <w:pPr>
              <w:pageBreakBefore w:val="0"/>
              <w:widowControl/>
              <w:kinsoku/>
              <w:wordWrap/>
              <w:overflowPunct/>
              <w:topLinePunct w:val="0"/>
              <w:autoSpaceDE/>
              <w:autoSpaceDN/>
              <w:bidi w:val="0"/>
              <w:adjustRightInd/>
              <w:spacing w:line="360" w:lineRule="auto"/>
              <w:ind w:left="0" w:lef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国籍</w:t>
            </w:r>
          </w:p>
        </w:tc>
        <w:tc>
          <w:tcPr>
            <w:tcW w:w="1710" w:type="dxa"/>
            <w:vAlign w:val="center"/>
          </w:tcPr>
          <w:p w14:paraId="3CE52CE4">
            <w:pPr>
              <w:pageBreakBefore w:val="0"/>
              <w:widowControl/>
              <w:kinsoku/>
              <w:wordWrap/>
              <w:overflowPunct/>
              <w:topLinePunct w:val="0"/>
              <w:autoSpaceDE/>
              <w:autoSpaceDN/>
              <w:bidi w:val="0"/>
              <w:adjustRightInd/>
              <w:spacing w:line="360" w:lineRule="auto"/>
              <w:ind w:left="0" w:lef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统一社会信用代码（身份证号）</w:t>
            </w:r>
          </w:p>
        </w:tc>
        <w:tc>
          <w:tcPr>
            <w:tcW w:w="1290" w:type="dxa"/>
            <w:shd w:val="clear" w:color="auto" w:fill="auto"/>
            <w:vAlign w:val="center"/>
          </w:tcPr>
          <w:p w14:paraId="10FA2E38">
            <w:pPr>
              <w:pageBreakBefore w:val="0"/>
              <w:widowControl/>
              <w:kinsoku/>
              <w:wordWrap/>
              <w:overflowPunct/>
              <w:topLinePunct w:val="0"/>
              <w:autoSpaceDE/>
              <w:autoSpaceDN/>
              <w:bidi w:val="0"/>
              <w:adjustRightInd/>
              <w:spacing w:line="360" w:lineRule="auto"/>
              <w:ind w:left="0" w:lef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出资方式</w:t>
            </w:r>
          </w:p>
        </w:tc>
        <w:tc>
          <w:tcPr>
            <w:tcW w:w="1050" w:type="dxa"/>
            <w:shd w:val="clear" w:color="auto" w:fill="auto"/>
            <w:vAlign w:val="center"/>
          </w:tcPr>
          <w:p w14:paraId="38EB63DC">
            <w:pPr>
              <w:pageBreakBefore w:val="0"/>
              <w:widowControl/>
              <w:kinsoku/>
              <w:wordWrap/>
              <w:overflowPunct/>
              <w:topLinePunct w:val="0"/>
              <w:autoSpaceDE/>
              <w:autoSpaceDN/>
              <w:bidi w:val="0"/>
              <w:adjustRightInd/>
              <w:spacing w:line="360" w:lineRule="auto"/>
              <w:ind w:left="0" w:lef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出资金额</w:t>
            </w:r>
          </w:p>
        </w:tc>
        <w:tc>
          <w:tcPr>
            <w:tcW w:w="1320" w:type="dxa"/>
            <w:shd w:val="clear" w:color="auto" w:fill="auto"/>
            <w:vAlign w:val="center"/>
          </w:tcPr>
          <w:p w14:paraId="1B478E42">
            <w:pPr>
              <w:pageBreakBefore w:val="0"/>
              <w:widowControl/>
              <w:kinsoku/>
              <w:wordWrap/>
              <w:overflowPunct/>
              <w:topLinePunct w:val="0"/>
              <w:autoSpaceDE/>
              <w:autoSpaceDN/>
              <w:bidi w:val="0"/>
              <w:adjustRightInd/>
              <w:spacing w:line="360" w:lineRule="auto"/>
              <w:ind w:left="0" w:lef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占全部股份比例</w:t>
            </w:r>
          </w:p>
        </w:tc>
        <w:tc>
          <w:tcPr>
            <w:tcW w:w="1655" w:type="dxa"/>
            <w:shd w:val="clear" w:color="auto" w:fill="auto"/>
            <w:vAlign w:val="center"/>
          </w:tcPr>
          <w:p w14:paraId="35759953">
            <w:pPr>
              <w:pageBreakBefore w:val="0"/>
              <w:widowControl/>
              <w:kinsoku/>
              <w:wordWrap/>
              <w:overflowPunct/>
              <w:topLinePunct w:val="0"/>
              <w:autoSpaceDE/>
              <w:autoSpaceDN/>
              <w:bidi w:val="0"/>
              <w:adjustRightInd/>
              <w:spacing w:line="360" w:lineRule="auto"/>
              <w:ind w:left="0" w:lef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境外（</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含港澳台）永久居留权（有/无）</w:t>
            </w:r>
          </w:p>
        </w:tc>
      </w:tr>
      <w:tr w14:paraId="0564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4" w:type="dxa"/>
            <w:vAlign w:val="center"/>
          </w:tcPr>
          <w:p w14:paraId="3CE21CD9">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134" w:type="dxa"/>
            <w:vAlign w:val="center"/>
          </w:tcPr>
          <w:p w14:paraId="38F17FF1">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913" w:type="dxa"/>
          </w:tcPr>
          <w:p w14:paraId="081850B0">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710" w:type="dxa"/>
            <w:vAlign w:val="center"/>
          </w:tcPr>
          <w:p w14:paraId="163EE05B">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290" w:type="dxa"/>
            <w:shd w:val="clear" w:color="auto" w:fill="auto"/>
            <w:vAlign w:val="center"/>
          </w:tcPr>
          <w:p w14:paraId="32B6EB6F">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050" w:type="dxa"/>
            <w:shd w:val="clear" w:color="auto" w:fill="auto"/>
            <w:vAlign w:val="center"/>
          </w:tcPr>
          <w:p w14:paraId="56C316AE">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320" w:type="dxa"/>
            <w:shd w:val="clear" w:color="auto" w:fill="auto"/>
            <w:vAlign w:val="center"/>
          </w:tcPr>
          <w:p w14:paraId="6A510806">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655" w:type="dxa"/>
            <w:shd w:val="clear" w:color="auto" w:fill="auto"/>
            <w:vAlign w:val="center"/>
          </w:tcPr>
          <w:p w14:paraId="527C49B0">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r>
      <w:tr w14:paraId="0191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4" w:type="dxa"/>
            <w:vAlign w:val="center"/>
          </w:tcPr>
          <w:p w14:paraId="47CD12DC">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134" w:type="dxa"/>
            <w:vAlign w:val="center"/>
          </w:tcPr>
          <w:p w14:paraId="7E20E206">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913" w:type="dxa"/>
          </w:tcPr>
          <w:p w14:paraId="2C2515D0">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710" w:type="dxa"/>
            <w:vAlign w:val="center"/>
          </w:tcPr>
          <w:p w14:paraId="3C7F3D6E">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290" w:type="dxa"/>
            <w:shd w:val="clear" w:color="auto" w:fill="auto"/>
            <w:vAlign w:val="center"/>
          </w:tcPr>
          <w:p w14:paraId="3F405AE3">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050" w:type="dxa"/>
            <w:shd w:val="clear" w:color="auto" w:fill="auto"/>
            <w:vAlign w:val="center"/>
          </w:tcPr>
          <w:p w14:paraId="5AFE5513">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320" w:type="dxa"/>
            <w:shd w:val="clear" w:color="auto" w:fill="auto"/>
            <w:vAlign w:val="center"/>
          </w:tcPr>
          <w:p w14:paraId="29CEC263">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655" w:type="dxa"/>
            <w:shd w:val="clear" w:color="auto" w:fill="auto"/>
            <w:vAlign w:val="center"/>
          </w:tcPr>
          <w:p w14:paraId="38ECA99E">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r>
      <w:tr w14:paraId="6A64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4" w:type="dxa"/>
            <w:vAlign w:val="center"/>
          </w:tcPr>
          <w:p w14:paraId="0AAF39A6">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134" w:type="dxa"/>
            <w:vAlign w:val="center"/>
          </w:tcPr>
          <w:p w14:paraId="47341EAF">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913" w:type="dxa"/>
          </w:tcPr>
          <w:p w14:paraId="6EE0CBE8">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710" w:type="dxa"/>
            <w:vAlign w:val="center"/>
          </w:tcPr>
          <w:p w14:paraId="306EDE3B">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290" w:type="dxa"/>
            <w:shd w:val="clear" w:color="auto" w:fill="auto"/>
            <w:vAlign w:val="center"/>
          </w:tcPr>
          <w:p w14:paraId="264B5E6D">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050" w:type="dxa"/>
            <w:shd w:val="clear" w:color="auto" w:fill="auto"/>
            <w:vAlign w:val="center"/>
          </w:tcPr>
          <w:p w14:paraId="1352120D">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320" w:type="dxa"/>
            <w:shd w:val="clear" w:color="auto" w:fill="auto"/>
            <w:vAlign w:val="center"/>
          </w:tcPr>
          <w:p w14:paraId="691429FD">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c>
          <w:tcPr>
            <w:tcW w:w="1655" w:type="dxa"/>
            <w:shd w:val="clear" w:color="auto" w:fill="auto"/>
            <w:vAlign w:val="center"/>
          </w:tcPr>
          <w:p w14:paraId="30E64E75">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p>
        </w:tc>
      </w:tr>
    </w:tbl>
    <w:p w14:paraId="0D102DF4">
      <w:pPr>
        <w:pageBreakBefore w:val="0"/>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我单位承诺：以上信息真实可靠，且为非外资（含港澳台）独资或控股的实体。</w:t>
      </w:r>
    </w:p>
    <w:p w14:paraId="5D5943D0">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110A700F">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1.主要股东或出资人为法人的，填写法人全称及统一社会信用代码（尚未办理三证合一的填写组织机构代码）；为自然人的，填写自然人姓名和身份证号。</w:t>
      </w:r>
    </w:p>
    <w:p w14:paraId="6E65B2AD">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2.出资方式填写货币、实物、工艺产权和非专利技术、土地使用权等。</w:t>
      </w:r>
    </w:p>
    <w:p w14:paraId="151DB158">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3.投标人应按照占全部股份比例从大到小依次逐个股东填写，股东数量多于10个的，填写前10名，不足10个的全部填写。</w:t>
      </w:r>
    </w:p>
    <w:p w14:paraId="304FE54A">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4.事业单位提供主要负责人信息（姓名、职务、身份证号），主职领导、副职领导数量多于10人的，填写10人，不足10人的全部填写。</w:t>
      </w:r>
    </w:p>
    <w:p w14:paraId="394C1DE6">
      <w:pPr>
        <w:snapToGrid w:val="0"/>
        <w:spacing w:after="158" w:afterLines="50" w:line="360" w:lineRule="auto"/>
        <w:ind w:right="-30"/>
        <w:jc w:val="left"/>
        <w:outlineLvl w:val="1"/>
        <w:rPr>
          <w:rFonts w:hint="eastAsia" w:ascii="仿宋" w:hAnsi="仿宋" w:eastAsia="仿宋" w:cs="仿宋"/>
          <w:b/>
          <w:color w:val="auto"/>
          <w:sz w:val="30"/>
          <w:szCs w:val="20"/>
          <w:highlight w:val="none"/>
          <w:lang w:val="en-US" w:eastAsia="zh-CN"/>
        </w:rPr>
      </w:pPr>
    </w:p>
    <w:p w14:paraId="04A19132">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4C91457">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6906E535">
      <w:pPr>
        <w:snapToGrid w:val="0"/>
        <w:spacing w:after="158" w:afterLines="50" w:line="360" w:lineRule="auto"/>
        <w:ind w:right="-30"/>
        <w:jc w:val="left"/>
        <w:outlineLvl w:val="1"/>
        <w:rPr>
          <w:rFonts w:hint="eastAsia" w:ascii="仿宋" w:hAnsi="仿宋" w:eastAsia="仿宋" w:cs="仿宋"/>
          <w:color w:val="auto"/>
          <w:sz w:val="24"/>
          <w:szCs w:val="21"/>
          <w:highlight w:val="none"/>
          <w:u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1F90455C">
      <w:pPr>
        <w:ind w:right="-30"/>
        <w:jc w:val="center"/>
        <w:outlineLvl w:val="1"/>
        <w:rPr>
          <w:rFonts w:ascii="Times New Roman" w:hAnsi="Times New Roman" w:eastAsia="仿宋_GB2312" w:cstheme="minorBidi"/>
          <w:b/>
          <w:bCs/>
          <w:kern w:val="2"/>
          <w:sz w:val="28"/>
          <w:szCs w:val="21"/>
          <w:lang w:val="en-US" w:eastAsia="zh-CN" w:bidi="ar-SA"/>
        </w:rPr>
      </w:pPr>
    </w:p>
    <w:p w14:paraId="0A5A60FB">
      <w:pPr>
        <w:ind w:right="-30"/>
        <w:jc w:val="center"/>
        <w:outlineLvl w:val="1"/>
        <w:rPr>
          <w:rFonts w:hint="eastAsia" w:ascii="Times New Roman" w:hAnsi="Times New Roman" w:eastAsia="仿宋_GB2312" w:cstheme="minorBidi"/>
          <w:b/>
          <w:bCs/>
          <w:kern w:val="2"/>
          <w:sz w:val="28"/>
          <w:szCs w:val="21"/>
          <w:lang w:val="en-US" w:eastAsia="zh-CN" w:bidi="ar-SA"/>
        </w:rPr>
      </w:pPr>
      <w:r>
        <w:rPr>
          <w:rFonts w:ascii="Times New Roman" w:hAnsi="Times New Roman" w:eastAsia="仿宋_GB2312" w:cstheme="minorBidi"/>
          <w:b/>
          <w:bCs/>
          <w:kern w:val="2"/>
          <w:sz w:val="28"/>
          <w:szCs w:val="21"/>
          <w:lang w:val="en-US" w:eastAsia="zh-CN" w:bidi="ar-SA"/>
        </w:rPr>
        <w:t>附件</w:t>
      </w:r>
      <w:r>
        <w:rPr>
          <w:rFonts w:hint="eastAsia" w:ascii="Times New Roman" w:hAnsi="Times New Roman" w:eastAsia="仿宋_GB2312" w:cstheme="minorBidi"/>
          <w:b/>
          <w:bCs/>
          <w:kern w:val="2"/>
          <w:sz w:val="28"/>
          <w:szCs w:val="21"/>
          <w:lang w:val="en-US" w:eastAsia="zh-CN" w:bidi="ar-SA"/>
        </w:rPr>
        <w:t>8 保密承诺书</w:t>
      </w:r>
    </w:p>
    <w:p w14:paraId="7094E750">
      <w:pPr>
        <w:pStyle w:val="8"/>
        <w:rPr>
          <w:rFonts w:hint="eastAsia"/>
        </w:rPr>
      </w:pPr>
    </w:p>
    <w:p w14:paraId="17261735">
      <w:pPr>
        <w:spacing w:line="360" w:lineRule="auto"/>
        <w:ind w:right="-30" w:firstLine="56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保密承诺书</w:t>
      </w:r>
    </w:p>
    <w:p w14:paraId="1AB0C84E">
      <w:pPr>
        <w:adjustRightInd w:val="0"/>
        <w:snapToGrid w:val="0"/>
        <w:spacing w:line="360" w:lineRule="auto"/>
        <w:ind w:right="-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采购代理机构：</w:t>
      </w:r>
    </w:p>
    <w:p w14:paraId="41C7A4DC">
      <w:pPr>
        <w:adjustRightInd w:val="0"/>
        <w:snapToGrid w:val="0"/>
        <w:spacing w:line="360" w:lineRule="auto"/>
        <w:ind w:right="-3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就</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项目</w:t>
      </w:r>
      <w:r>
        <w:rPr>
          <w:rFonts w:hint="eastAsia" w:ascii="仿宋" w:hAnsi="仿宋" w:eastAsia="仿宋" w:cs="仿宋"/>
          <w:color w:val="auto"/>
          <w:sz w:val="24"/>
          <w:szCs w:val="24"/>
          <w:highlight w:val="none"/>
          <w:u w:val="single"/>
          <w:lang w:val="en-US" w:eastAsia="zh-CN"/>
        </w:rPr>
        <w:t xml:space="preserve">名称，项目编号：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，我方特做如下保密承诺：</w:t>
      </w:r>
    </w:p>
    <w:p w14:paraId="6C9B0BCD">
      <w:pPr>
        <w:adjustRightInd w:val="0"/>
        <w:snapToGrid w:val="0"/>
        <w:spacing w:line="360" w:lineRule="auto"/>
        <w:ind w:right="-3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论响应成功与否，对因上述项目我方所获取的与该项目有关的技术文件以及由采购人提供的所有内部资料、技术文档和信息予以保密严格进行保密，并保证不以任何形式（复印或扫描等）进行复制；同时对参与本项目响应的所有有关人员在使用上述信息、资料文件时进行登记备案；未经采购人书面许可，供应商不得以任何形式向第三方透露本项目</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以及本项目的任何内容；如我方成交，在后续的合同期间及其结束后，未经采购人书面同意，保证不将与本项目有关的任何资料用于发表和公布，或对外泄露。</w:t>
      </w:r>
    </w:p>
    <w:p w14:paraId="54B52A8F">
      <w:pPr>
        <w:adjustRightInd w:val="0"/>
        <w:snapToGrid w:val="0"/>
        <w:spacing w:line="360" w:lineRule="auto"/>
        <w:ind w:right="-3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一旦发现或有举报我方人员出现泄密或其他违约行为，经证实后我方除对有关责任人员及时予以内部处分外，完全愿意接受贵方的处理意见并负责承担由此而产生的一切后果与法律责任。</w:t>
      </w:r>
    </w:p>
    <w:p w14:paraId="63713445">
      <w:pPr>
        <w:adjustRightInd w:val="0"/>
        <w:snapToGrid w:val="0"/>
        <w:spacing w:line="360" w:lineRule="auto"/>
        <w:ind w:right="-30" w:firstLine="480"/>
        <w:rPr>
          <w:rFonts w:hint="eastAsia" w:ascii="仿宋" w:hAnsi="仿宋" w:eastAsia="仿宋" w:cs="仿宋"/>
          <w:color w:val="auto"/>
          <w:sz w:val="24"/>
          <w:szCs w:val="24"/>
          <w:highlight w:val="none"/>
        </w:rPr>
      </w:pPr>
    </w:p>
    <w:p w14:paraId="575689B3">
      <w:pPr>
        <w:adjustRightInd w:val="0"/>
        <w:snapToGrid w:val="0"/>
        <w:spacing w:line="360" w:lineRule="auto"/>
        <w:ind w:right="-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1F105DBD">
      <w:pPr>
        <w:adjustRightInd w:val="0"/>
        <w:snapToGrid w:val="0"/>
        <w:spacing w:line="360" w:lineRule="auto"/>
        <w:ind w:right="-30" w:firstLine="480"/>
        <w:rPr>
          <w:rFonts w:hint="eastAsia" w:ascii="仿宋" w:hAnsi="仿宋" w:eastAsia="仿宋" w:cs="仿宋"/>
          <w:color w:val="auto"/>
          <w:sz w:val="24"/>
          <w:szCs w:val="24"/>
          <w:highlight w:val="none"/>
        </w:rPr>
      </w:pPr>
    </w:p>
    <w:p w14:paraId="721F8738">
      <w:pPr>
        <w:adjustRightInd w:val="0"/>
        <w:snapToGrid w:val="0"/>
        <w:spacing w:line="360" w:lineRule="auto"/>
        <w:ind w:right="-30" w:firstLine="480"/>
        <w:rPr>
          <w:rFonts w:hint="eastAsia" w:ascii="仿宋" w:hAnsi="仿宋" w:eastAsia="仿宋" w:cs="仿宋"/>
          <w:color w:val="auto"/>
          <w:sz w:val="24"/>
          <w:szCs w:val="24"/>
          <w:highlight w:val="none"/>
        </w:rPr>
      </w:pPr>
    </w:p>
    <w:p w14:paraId="340C3C8E">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1C8D437F">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7FB7A4BB">
      <w:pPr>
        <w:tabs>
          <w:tab w:val="left" w:leader="underscore" w:pos="3600"/>
          <w:tab w:val="left" w:leader="underscore" w:pos="5400"/>
        </w:tabs>
        <w:spacing w:line="360" w:lineRule="auto"/>
        <w:ind w:right="-30"/>
        <w:jc w:val="both"/>
        <w:rPr>
          <w:rFonts w:hint="eastAsia" w:ascii="仿宋" w:hAnsi="仿宋" w:eastAsia="仿宋" w:cs="仿宋"/>
          <w:color w:val="auto"/>
          <w:sz w:val="24"/>
          <w:szCs w:val="21"/>
          <w:highlight w:val="none"/>
          <w:u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E157D67">
      <w:pPr>
        <w:rPr>
          <w:rFonts w:hint="eastAsia"/>
          <w:lang w:eastAsia="zh-CN"/>
        </w:rPr>
      </w:pPr>
    </w:p>
    <w:p w14:paraId="0A75488B">
      <w:pPr>
        <w:pStyle w:val="3"/>
        <w:bidi w:val="0"/>
        <w:rPr>
          <w:rFonts w:hint="eastAsia"/>
        </w:rPr>
      </w:pPr>
    </w:p>
    <w:p w14:paraId="02429072">
      <w:pPr>
        <w:pageBreakBefore/>
        <w:snapToGrid w:val="0"/>
        <w:spacing w:after="158" w:afterLines="50" w:line="360" w:lineRule="auto"/>
        <w:ind w:left="0" w:leftChars="0" w:right="-30" w:firstLine="0" w:firstLineChars="0"/>
        <w:jc w:val="center"/>
        <w:outlineLvl w:val="1"/>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lang w:eastAsia="zh-CN"/>
        </w:rPr>
        <w:t>附件</w:t>
      </w:r>
      <w:r>
        <w:rPr>
          <w:rFonts w:hint="eastAsia" w:ascii="仿宋" w:hAnsi="仿宋" w:eastAsia="仿宋" w:cs="仿宋"/>
          <w:b/>
          <w:color w:val="auto"/>
          <w:sz w:val="30"/>
          <w:szCs w:val="20"/>
          <w:highlight w:val="none"/>
          <w:lang w:val="en-US" w:eastAsia="zh-CN"/>
        </w:rPr>
        <w:t xml:space="preserve">9 </w:t>
      </w:r>
      <w:r>
        <w:rPr>
          <w:rFonts w:hint="eastAsia" w:ascii="仿宋" w:hAnsi="仿宋" w:eastAsia="仿宋" w:cs="仿宋"/>
          <w:b/>
          <w:color w:val="auto"/>
          <w:sz w:val="30"/>
          <w:szCs w:val="20"/>
          <w:highlight w:val="none"/>
        </w:rPr>
        <w:t>廉政承诺书</w:t>
      </w:r>
    </w:p>
    <w:p w14:paraId="0C5822E7">
      <w:pPr>
        <w:overflowPunct w:val="0"/>
        <w:spacing w:line="360" w:lineRule="auto"/>
        <w:ind w:right="-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鹰潭一八四医院</w:t>
      </w:r>
      <w:r>
        <w:rPr>
          <w:rFonts w:hint="eastAsia" w:ascii="仿宋" w:hAnsi="仿宋" w:eastAsia="仿宋" w:cs="仿宋"/>
          <w:color w:val="auto"/>
          <w:sz w:val="24"/>
          <w:szCs w:val="24"/>
          <w:highlight w:val="none"/>
        </w:rPr>
        <w:t>：</w:t>
      </w:r>
    </w:p>
    <w:p w14:paraId="36CB84B8">
      <w:pPr>
        <w:overflowPunct w:val="0"/>
        <w:spacing w:line="360" w:lineRule="auto"/>
        <w:ind w:right="-3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为加强党风廉政建设和反腐败工作，杜绝商业贿赂，根据国家法律法规和反腐倡廉相关规定，我方自愿签订本承诺书，并严格执行。</w:t>
      </w:r>
    </w:p>
    <w:p w14:paraId="574FC91E">
      <w:pPr>
        <w:overflowPunct w:val="0"/>
        <w:spacing w:line="360" w:lineRule="auto"/>
        <w:ind w:right="-3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一、参与你单位采购工作时，我方将严格遵守国家法律法规以及党风廉政建设和反腐败各项规定。</w:t>
      </w:r>
    </w:p>
    <w:p w14:paraId="7BF770CE">
      <w:pPr>
        <w:overflowPunct w:val="0"/>
        <w:spacing w:line="360" w:lineRule="auto"/>
        <w:ind w:right="-3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二、遵循公开、公平、公正、诚实信用原则，不搞不正当竞争行为。</w:t>
      </w:r>
    </w:p>
    <w:p w14:paraId="6B9A759A">
      <w:pPr>
        <w:overflowPunct w:val="0"/>
        <w:spacing w:line="360" w:lineRule="auto"/>
        <w:ind w:right="-3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三、不与你单位相关人员及其他供应商私下串通协商，进行围标、串标、抬标、控制投标价格等行为。</w:t>
      </w:r>
    </w:p>
    <w:p w14:paraId="5F5612D2">
      <w:pPr>
        <w:overflowPunct w:val="0"/>
        <w:spacing w:line="360" w:lineRule="auto"/>
        <w:ind w:right="-3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你单位有关人员保持正常业务交往，绝不进行任何利益输送；不赠送礼金礼品、有价证券、回扣、感谢费等；不为有关人员或单位报销应由对方支付的费用；不为有关人员或单位安排可能影响采购活动的宴请、娱乐等活动；不暗示为有关人员的住房装修、婚丧嫁娶、亲属的工作安排以及出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、旅游等提供方便；以及提供其他影响采购的不正当利益。</w:t>
      </w:r>
    </w:p>
    <w:p w14:paraId="032C34C5">
      <w:pPr>
        <w:overflowPunct w:val="0"/>
        <w:spacing w:line="360" w:lineRule="auto"/>
        <w:ind w:right="-3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五、不接受采购或采购人介绍的与采购项目有关的物资采购、工程分包、劳务等经济活动。</w:t>
      </w:r>
    </w:p>
    <w:p w14:paraId="6E07B36D">
      <w:pPr>
        <w:overflowPunct w:val="0"/>
        <w:spacing w:line="360" w:lineRule="auto"/>
        <w:ind w:right="-3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六、严格执行采购合同，自觉按合同办事，诚实守信，合法经营，坚决抵制违法违纪行为。</w:t>
      </w:r>
    </w:p>
    <w:p w14:paraId="6D388F5D">
      <w:pPr>
        <w:overflowPunct w:val="0"/>
        <w:spacing w:line="360" w:lineRule="auto"/>
        <w:ind w:right="-3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七、发现采购工作以及项目实施过程中各方当事人有违规、违纪、违法行为的，及时提醒对方；情节严重的，主动向其主管部门或纪检监察机构举报。</w:t>
      </w:r>
    </w:p>
    <w:p w14:paraId="4C141B8F">
      <w:pPr>
        <w:overflowPunct w:val="0"/>
        <w:spacing w:line="360" w:lineRule="auto"/>
        <w:ind w:right="-3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如违反上述承诺，你单位有权立即取消我单位投标、中标资格，并有权向相关执纪执法部门通报，由此引起的相应损失均由我单位承担。</w:t>
      </w:r>
    </w:p>
    <w:p w14:paraId="4C62E733">
      <w:pPr>
        <w:overflowPunct w:val="0"/>
        <w:ind w:right="-30" w:firstLine="560" w:firstLineChars="200"/>
        <w:rPr>
          <w:rFonts w:hint="eastAsia" w:ascii="仿宋" w:hAnsi="仿宋" w:eastAsia="仿宋" w:cs="仿宋"/>
          <w:color w:val="auto"/>
          <w:highlight w:val="none"/>
        </w:rPr>
      </w:pPr>
    </w:p>
    <w:p w14:paraId="15452562">
      <w:pPr>
        <w:overflowPunct w:val="0"/>
        <w:ind w:right="-30" w:firstLine="560" w:firstLineChars="200"/>
        <w:rPr>
          <w:rFonts w:hint="eastAsia" w:ascii="仿宋" w:hAnsi="仿宋" w:eastAsia="仿宋" w:cs="仿宋"/>
          <w:color w:val="auto"/>
          <w:highlight w:val="none"/>
        </w:rPr>
      </w:pPr>
    </w:p>
    <w:p w14:paraId="21A9D150">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5C4FE309">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6143C876">
      <w:pPr>
        <w:pStyle w:val="8"/>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9E0BB11">
      <w:pPr>
        <w:rPr>
          <w:rFonts w:hint="eastAsia"/>
        </w:rPr>
      </w:pPr>
    </w:p>
    <w:p w14:paraId="72B7B148">
      <w:pPr>
        <w:pStyle w:val="3"/>
        <w:bidi w:val="0"/>
        <w:rPr>
          <w:rFonts w:hint="eastAsia"/>
        </w:rPr>
      </w:pPr>
      <w:r>
        <w:rPr>
          <w:rFonts w:hint="eastAsia"/>
        </w:rPr>
        <w:t>附件</w:t>
      </w:r>
      <w:r>
        <w:rPr>
          <w:rFonts w:hint="eastAsia"/>
          <w:lang w:val="en-US" w:eastAsia="zh-CN"/>
        </w:rPr>
        <w:t>10</w:t>
      </w:r>
      <w:r>
        <w:rPr>
          <w:rFonts w:hint="eastAsia"/>
        </w:rPr>
        <w:t xml:space="preserve"> </w:t>
      </w:r>
      <w:r>
        <w:rPr>
          <w:rFonts w:hint="eastAsia"/>
          <w:lang w:eastAsia="zh-CN"/>
        </w:rPr>
        <w:t>比质比价</w:t>
      </w:r>
      <w:r>
        <w:rPr>
          <w:rFonts w:hint="eastAsia"/>
        </w:rPr>
        <w:t>文件中规定的其他文件（格式自拟）</w:t>
      </w:r>
    </w:p>
    <w:p w14:paraId="6EF0F721">
      <w:pPr>
        <w:pStyle w:val="8"/>
        <w:rPr>
          <w:rFonts w:hint="eastAsia"/>
          <w:b/>
          <w:bCs/>
        </w:rPr>
      </w:pPr>
    </w:p>
    <w:p w14:paraId="0937E377">
      <w:pPr>
        <w:rPr>
          <w:rFonts w:hint="eastAsia"/>
          <w:b/>
          <w:bCs/>
        </w:rPr>
      </w:pPr>
    </w:p>
    <w:p w14:paraId="323A810B">
      <w:pPr>
        <w:pStyle w:val="8"/>
        <w:rPr>
          <w:rFonts w:hint="eastAsia"/>
          <w:b/>
          <w:bCs/>
        </w:rPr>
      </w:pPr>
    </w:p>
    <w:p w14:paraId="2C7A9D2D">
      <w:pPr>
        <w:rPr>
          <w:rFonts w:hint="eastAsia"/>
          <w:b/>
          <w:bCs/>
        </w:rPr>
      </w:pPr>
    </w:p>
    <w:p w14:paraId="02FB0C9D">
      <w:pPr>
        <w:pStyle w:val="8"/>
        <w:rPr>
          <w:rFonts w:hint="eastAsia"/>
          <w:b/>
          <w:bCs/>
        </w:rPr>
      </w:pPr>
    </w:p>
    <w:p w14:paraId="7CE290DD">
      <w:pPr>
        <w:rPr>
          <w:rFonts w:hint="eastAsia"/>
          <w:b/>
          <w:bCs/>
        </w:rPr>
      </w:pPr>
    </w:p>
    <w:p w14:paraId="4E858578">
      <w:pPr>
        <w:pStyle w:val="8"/>
        <w:rPr>
          <w:rFonts w:hint="eastAsia"/>
          <w:b/>
          <w:bCs/>
        </w:rPr>
      </w:pPr>
    </w:p>
    <w:p w14:paraId="025FB917">
      <w:pPr>
        <w:rPr>
          <w:rFonts w:hint="eastAsia"/>
          <w:b/>
          <w:bCs/>
        </w:rPr>
      </w:pPr>
    </w:p>
    <w:p w14:paraId="4B309AB2">
      <w:pPr>
        <w:pStyle w:val="8"/>
        <w:rPr>
          <w:rFonts w:hint="eastAsia"/>
          <w:b/>
          <w:bCs/>
        </w:rPr>
      </w:pPr>
    </w:p>
    <w:p w14:paraId="7802A4CC">
      <w:pPr>
        <w:rPr>
          <w:rFonts w:hint="eastAsia"/>
        </w:rPr>
      </w:pPr>
    </w:p>
    <w:p w14:paraId="2FE26A98">
      <w:pPr>
        <w:pStyle w:val="3"/>
        <w:bidi w:val="0"/>
        <w:rPr>
          <w:rFonts w:hint="eastAsia"/>
          <w:lang w:eastAsia="zh-CN"/>
        </w:rPr>
      </w:pPr>
      <w:r>
        <w:rPr>
          <w:rFonts w:hint="eastAsia"/>
        </w:rPr>
        <w:t>附件</w:t>
      </w:r>
      <w:r>
        <w:rPr>
          <w:rFonts w:hint="eastAsia"/>
          <w:lang w:val="en-US" w:eastAsia="zh-CN"/>
        </w:rPr>
        <w:t xml:space="preserve">11 </w:t>
      </w:r>
      <w:r>
        <w:rPr>
          <w:rFonts w:hint="eastAsia"/>
        </w:rPr>
        <w:t>供应商认为需要提供的其他资料（如有）</w:t>
      </w:r>
    </w:p>
    <w:sectPr>
      <w:headerReference r:id="rId20" w:type="default"/>
      <w:footerReference r:id="rId21" w:type="default"/>
      <w:pgSz w:w="11906" w:h="16838"/>
      <w:pgMar w:top="1440" w:right="1080" w:bottom="1440" w:left="1080" w:header="850" w:footer="992" w:gutter="0"/>
      <w:pgNumType w:fmt="decimal"/>
      <w:cols w:space="0" w:num="1"/>
      <w:rtlGutter w:val="0"/>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MingLiU">
    <w:panose1 w:val="02020309000000000000"/>
    <w:charset w:val="88"/>
    <w:family w:val="modern"/>
    <w:pitch w:val="default"/>
    <w:sig w:usb0="00000003" w:usb1="082E0000" w:usb2="00000016" w:usb3="00000000" w:csb0="0010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15A79">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6AC9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16AC99">
                    <w:pPr>
                      <w:pStyle w:val="14"/>
                    </w:pPr>
                    <w:r>
                      <w:fldChar w:fldCharType="begin"/>
                    </w:r>
                    <w:r>
                      <w:instrText xml:space="preserve"> PAGE  \* MERGEFORMAT </w:instrText>
                    </w:r>
                    <w:r>
                      <w:fldChar w:fldCharType="separate"/>
                    </w:r>
                    <w:r>
                      <w:t>1</w:t>
                    </w:r>
                    <w:r>
                      <w:fldChar w:fldCharType="end"/>
                    </w:r>
                  </w:p>
                </w:txbxContent>
              </v:textbox>
            </v:shape>
          </w:pict>
        </mc:Fallback>
      </mc:AlternateContent>
    </w:r>
    <w:sdt>
      <w:sdtPr>
        <w:id w:val="461855773"/>
        <w:showingPlcHdr/>
        <w:docPartObj>
          <w:docPartGallery w:val="autotext"/>
        </w:docPartObj>
      </w:sdtPr>
      <w:sdtContent>
        <w:r>
          <w:rPr>
            <w:rFonts w:hint="eastAsia"/>
            <w:lang w:eastAsia="zh-CN"/>
          </w:rPr>
          <w:t xml:space="preserve">     </w:t>
        </w:r>
      </w:sdtContent>
    </w:sdt>
  </w:p>
  <w:p w14:paraId="252E6B57">
    <w:pPr>
      <w:pStyle w:val="14"/>
      <w:rPr>
        <w:rStyle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8515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49D9">
    <w:pPr>
      <w:pStyle w:val="14"/>
      <w:tabs>
        <w:tab w:val="left" w:pos="889"/>
        <w:tab w:val="center" w:pos="4766"/>
      </w:tabs>
      <w:jc w:val="lef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00922">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0700922">
                    <w:pPr>
                      <w:pStyle w:val="14"/>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lang w:eastAsia="zh-CN"/>
      </w:rPr>
      <w:tab/>
    </w:r>
    <w:sdt>
      <w:sdtPr>
        <w:id w:val="1007330268"/>
        <w:docPartObj>
          <w:docPartGallery w:val="autotext"/>
        </w:docPartObj>
      </w:sdtPr>
      <w:sdtContent>
        <w:r>
          <w:rPr>
            <w:rFonts w:hint="eastAsia"/>
            <w:lang w:eastAsia="zh-CN"/>
          </w:rPr>
          <w:tab/>
        </w:r>
      </w:sdtContent>
    </w:sdt>
  </w:p>
  <w:p w14:paraId="5FE89892">
    <w:pPr>
      <w:pStyle w:val="14"/>
      <w:jc w:val="center"/>
      <w:rPr>
        <w:rStyle w:val="3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1C4A">
    <w:pPr>
      <w:pStyle w:val="14"/>
      <w:tabs>
        <w:tab w:val="left"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95899">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495899">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A4CC7">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7F984">
                          <w:pPr>
                            <w:pStyle w:val="14"/>
                            <w:rPr>
                              <w:rStyle w:val="27"/>
                            </w:rPr>
                          </w:pPr>
                          <w:r>
                            <w:fldChar w:fldCharType="begin"/>
                          </w:r>
                          <w:r>
                            <w:rPr>
                              <w:rStyle w:val="27"/>
                            </w:rPr>
                            <w:instrText xml:space="preserve">PAGE  </w:instrText>
                          </w:r>
                          <w:r>
                            <w:fldChar w:fldCharType="separate"/>
                          </w:r>
                          <w:r>
                            <w:rPr>
                              <w:rStyle w:val="27"/>
                            </w:rP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17F984">
                    <w:pPr>
                      <w:pStyle w:val="14"/>
                      <w:rPr>
                        <w:rStyle w:val="27"/>
                      </w:rPr>
                    </w:pPr>
                    <w:r>
                      <w:fldChar w:fldCharType="begin"/>
                    </w:r>
                    <w:r>
                      <w:rPr>
                        <w:rStyle w:val="27"/>
                      </w:rPr>
                      <w:instrText xml:space="preserve">PAGE  </w:instrText>
                    </w:r>
                    <w:r>
                      <w:fldChar w:fldCharType="separate"/>
                    </w:r>
                    <w:r>
                      <w:rPr>
                        <w:rStyle w:val="27"/>
                      </w:rP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048C5">
    <w:pPr>
      <w:pStyle w:val="14"/>
      <w:tabs>
        <w:tab w:val="left" w:pos="4762"/>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50BEC">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0E50BEC">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52BC6">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10EFA">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1E10EFA">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4557E">
    <w:pPr>
      <w:spacing w:before="57" w:line="184" w:lineRule="auto"/>
      <w:ind w:firstLine="3686"/>
      <w:rPr>
        <w:rFonts w:ascii="宋体" w:hAnsi="宋体" w:eastAsia="宋体" w:cs="宋体"/>
        <w:sz w:val="18"/>
        <w:szCs w:val="1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A6647">
                          <w:pPr>
                            <w:pStyle w:val="1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9A6647">
                    <w:pPr>
                      <w:pStyle w:val="14"/>
                    </w:pPr>
                    <w:r>
                      <w:fldChar w:fldCharType="begin"/>
                    </w:r>
                    <w:r>
                      <w:instrText xml:space="preserve"> PAGE  \* MERGEFORMAT </w:instrText>
                    </w:r>
                    <w:r>
                      <w:fldChar w:fldCharType="separate"/>
                    </w:r>
                    <w:r>
                      <w:t>76</w:t>
                    </w:r>
                    <w:r>
                      <w:fldChar w:fldCharType="end"/>
                    </w:r>
                  </w:p>
                </w:txbxContent>
              </v:textbox>
            </v:shape>
          </w:pict>
        </mc:Fallback>
      </mc:AlternateContent>
    </w:r>
    <w:r>
      <w:drawing>
        <wp:anchor distT="0" distB="0" distL="0" distR="0" simplePos="0" relativeHeight="251659264" behindDoc="0" locked="0" layoutInCell="0" allowOverlap="1">
          <wp:simplePos x="0" y="0"/>
          <wp:positionH relativeFrom="page">
            <wp:posOffset>900430</wp:posOffset>
          </wp:positionH>
          <wp:positionV relativeFrom="page">
            <wp:posOffset>10108565</wp:posOffset>
          </wp:positionV>
          <wp:extent cx="5759450" cy="635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5759450" cy="6350"/>
                  </a:xfrm>
                  <a:prstGeom prst="rect">
                    <a:avLst/>
                  </a:prstGeom>
                </pic:spPr>
              </pic:pic>
            </a:graphicData>
          </a:graphic>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1049C">
    <w:pPr>
      <w:pStyle w:val="14"/>
      <w:jc w:val="center"/>
      <w:rPr>
        <w:rStyle w:val="30"/>
        <w:rFonts w:ascii="Arial" w:hAnsi="Arial"/>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128E2">
                          <w:pPr>
                            <w:pStyle w:val="14"/>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8128E2">
                    <w:pPr>
                      <w:pStyle w:val="14"/>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25F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AAA2">
    <w:pPr>
      <w:pStyle w:val="16"/>
      <w:pBdr>
        <w:bottom w:val="none" w:color="auto" w:sz="0" w:space="0"/>
      </w:pBdr>
      <w:rPr>
        <w:rStyle w:val="3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7D47B">
    <w:pPr>
      <w:autoSpaceDE w:val="0"/>
      <w:autoSpaceDN w:val="0"/>
      <w:spacing w:line="580" w:lineRule="exact"/>
      <w:ind w:left="641" w:firstLine="560" w:firstLineChars="200"/>
      <w:jc w:val="right"/>
      <w:rPr>
        <w:rFonts w:hint="eastAsia" w:eastAsia="仿宋_GB2312"/>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18170">
    <w:pPr>
      <w:pBdr>
        <w:bottom w:val="none" w:color="auto" w:sz="0" w:space="0"/>
      </w:pBdr>
      <w:autoSpaceDE w:val="0"/>
      <w:autoSpaceDN w:val="0"/>
      <w:spacing w:line="580" w:lineRule="exact"/>
      <w:ind w:left="641" w:firstLine="560" w:firstLineChars="200"/>
      <w:jc w:val="right"/>
      <w:rPr>
        <w:rFonts w:hint="eastAsia" w:eastAsia="仿宋_GB2312"/>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5D1BA">
    <w:pPr>
      <w:jc w:val="right"/>
      <w:rPr>
        <w:rFonts w:hint="eastAsia"/>
        <w:lang w:val="en-US" w:eastAsia="zh-CN"/>
      </w:rPr>
    </w:pPr>
    <w:r>
      <w:rPr>
        <w:rFonts w:ascii="Times New Roman" w:hAnsi="Times New Roman" w:eastAsia="仿宋_GB2312" w:cs="Times New Roman"/>
        <w:kern w:val="0"/>
        <w:sz w:val="24"/>
      </w:rPr>
      <w:t>合同编号∶</w:t>
    </w:r>
    <w:r>
      <w:rPr>
        <w:rFonts w:hint="eastAsia" w:ascii="Times New Roman" w:hAnsi="Times New Roman" w:eastAsia="仿宋_GB2312" w:cs="Times New Roman"/>
        <w:kern w:val="0"/>
        <w:sz w:val="24"/>
        <w:lang w:val="en-US" w:eastAsia="zh-CN"/>
      </w:rPr>
      <w:t>YT184-YXGC-ZC-2025-</w:t>
    </w:r>
    <w:r>
      <w:rPr>
        <w:rFonts w:hint="eastAsia" w:ascii="Times New Roman" w:hAnsi="Times New Roman" w:eastAsia="仿宋_GB2312" w:cs="Times New Roman"/>
        <w:kern w:val="0"/>
        <w:sz w:val="24"/>
        <w:highlight w:val="yellow"/>
        <w:lang w:val="en-US" w:eastAsia="zh-CN"/>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B46A2">
    <w:pPr>
      <w:autoSpaceDE w:val="0"/>
      <w:autoSpaceDN w:val="0"/>
      <w:spacing w:line="580" w:lineRule="exact"/>
      <w:ind w:left="641" w:firstLine="560" w:firstLineChars="20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6C3E9">
    <w:pPr>
      <w:pStyle w:val="16"/>
      <w:pBdr>
        <w:bottom w:val="none" w:color="auto" w:sz="0" w:space="0"/>
      </w:pBdr>
      <w:jc w:val="both"/>
      <w:rPr>
        <w:rStyle w:val="3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C82B3">
    <w:pPr>
      <w:pStyle w:val="16"/>
      <w:pBdr>
        <w:bottom w:val="none" w:color="auto" w:sz="0" w:space="0"/>
      </w:pBdr>
      <w:jc w:val="both"/>
      <w:rPr>
        <w:rStyle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68199"/>
    <w:multiLevelType w:val="singleLevel"/>
    <w:tmpl w:val="C3268199"/>
    <w:lvl w:ilvl="0" w:tentative="0">
      <w:start w:val="1"/>
      <w:numFmt w:val="chineseCounting"/>
      <w:suff w:val="nothing"/>
      <w:lvlText w:val="（%1）"/>
      <w:lvlJc w:val="left"/>
      <w:rPr>
        <w:rFonts w:hint="eastAsia"/>
      </w:rPr>
    </w:lvl>
  </w:abstractNum>
  <w:abstractNum w:abstractNumId="1">
    <w:nsid w:val="EE4F2A29"/>
    <w:multiLevelType w:val="singleLevel"/>
    <w:tmpl w:val="EE4F2A29"/>
    <w:lvl w:ilvl="0" w:tentative="0">
      <w:start w:val="1"/>
      <w:numFmt w:val="chineseCounting"/>
      <w:suff w:val="nothing"/>
      <w:lvlText w:val="%1、"/>
      <w:lvlJc w:val="left"/>
      <w:rPr>
        <w:rFonts w:hint="eastAsia"/>
      </w:rPr>
    </w:lvl>
  </w:abstractNum>
  <w:abstractNum w:abstractNumId="2">
    <w:nsid w:val="FF5A3E23"/>
    <w:multiLevelType w:val="singleLevel"/>
    <w:tmpl w:val="FF5A3E23"/>
    <w:lvl w:ilvl="0" w:tentative="0">
      <w:start w:val="4"/>
      <w:numFmt w:val="chineseCounting"/>
      <w:suff w:val="space"/>
      <w:lvlText w:val="第%1章"/>
      <w:lvlJc w:val="left"/>
      <w:rPr>
        <w:rFonts w:hint="eastAsia"/>
      </w:rPr>
    </w:lvl>
  </w:abstractNum>
  <w:abstractNum w:abstractNumId="3">
    <w:nsid w:val="FFFFFFFB"/>
    <w:multiLevelType w:val="multilevel"/>
    <w:tmpl w:val="FFFFFFFB"/>
    <w:lvl w:ilvl="0" w:tentative="0">
      <w:start w:val="1"/>
      <w:numFmt w:val="decimal"/>
      <w:lvlText w:val="%1."/>
      <w:legacy w:legacy="1" w:legacySpace="0" w:legacyIndent="0"/>
      <w:lvlJc w:val="left"/>
      <w:pPr>
        <w:ind w:left="425" w:hanging="425"/>
        <w:textAlignment w:val="baseline"/>
      </w:pPr>
    </w:lvl>
    <w:lvl w:ilvl="1" w:tentative="0">
      <w:start w:val="1"/>
      <w:numFmt w:val="decimal"/>
      <w:lvlText w:val="%1.%2."/>
      <w:legacy w:legacy="1" w:legacySpace="0" w:legacyIndent="0"/>
      <w:lvlJc w:val="left"/>
      <w:pPr>
        <w:ind w:left="720" w:hanging="425"/>
        <w:textAlignment w:val="baseline"/>
      </w:pPr>
    </w:lvl>
    <w:lvl w:ilvl="2" w:tentative="0">
      <w:start w:val="1"/>
      <w:numFmt w:val="decimal"/>
      <w:lvlText w:val="%1.%2.%3."/>
      <w:legacy w:legacy="1" w:legacySpace="0" w:legacyIndent="0"/>
      <w:lvlJc w:val="left"/>
      <w:pPr>
        <w:ind w:left="425" w:hanging="425"/>
        <w:textAlignment w:val="baseline"/>
      </w:pPr>
    </w:lvl>
    <w:lvl w:ilvl="3" w:tentative="0">
      <w:start w:val="1"/>
      <w:numFmt w:val="decimal"/>
      <w:lvlText w:val="%1.%2.%3.%4."/>
      <w:legacy w:legacy="1" w:legacySpace="0" w:legacyIndent="0"/>
      <w:lvlJc w:val="left"/>
      <w:pPr>
        <w:ind w:left="1440" w:hanging="425"/>
        <w:textAlignment w:val="baseline"/>
      </w:pPr>
    </w:lvl>
    <w:lvl w:ilvl="4" w:tentative="0">
      <w:start w:val="1"/>
      <w:numFmt w:val="decimal"/>
      <w:pStyle w:val="35"/>
      <w:lvlText w:val="%1.%2.%3.%4.%5."/>
      <w:legacy w:legacy="1" w:legacySpace="0" w:legacyIndent="0"/>
      <w:lvlJc w:val="left"/>
      <w:pPr>
        <w:ind w:left="1080" w:hanging="425"/>
        <w:textAlignment w:val="baseline"/>
      </w:pPr>
    </w:lvl>
    <w:lvl w:ilvl="5" w:tentative="0">
      <w:start w:val="1"/>
      <w:numFmt w:val="decimal"/>
      <w:pStyle w:val="36"/>
      <w:lvlText w:val="%1.%2.%3.%4.%5.%6."/>
      <w:legacy w:legacy="1" w:legacySpace="0" w:legacyIndent="0"/>
      <w:lvlJc w:val="left"/>
      <w:pPr>
        <w:ind w:left="2550" w:hanging="425"/>
        <w:textAlignment w:val="baseline"/>
      </w:pPr>
    </w:lvl>
    <w:lvl w:ilvl="6" w:tentative="0">
      <w:start w:val="1"/>
      <w:numFmt w:val="decimal"/>
      <w:pStyle w:val="37"/>
      <w:lvlText w:val="%1.%2.%3.%4.%5.%6.%7."/>
      <w:legacy w:legacy="1" w:legacySpace="0" w:legacyIndent="0"/>
      <w:lvlJc w:val="left"/>
      <w:pPr>
        <w:ind w:left="2975" w:hanging="425"/>
        <w:textAlignment w:val="baseline"/>
      </w:pPr>
    </w:lvl>
    <w:lvl w:ilvl="7" w:tentative="0">
      <w:start w:val="1"/>
      <w:numFmt w:val="decimal"/>
      <w:pStyle w:val="38"/>
      <w:lvlText w:val="%1.%2.%3.%4.%5.%6.%7.%8."/>
      <w:legacy w:legacy="1" w:legacySpace="0" w:legacyIndent="0"/>
      <w:lvlJc w:val="left"/>
      <w:pPr>
        <w:ind w:left="3400" w:hanging="425"/>
        <w:textAlignment w:val="baseline"/>
      </w:pPr>
    </w:lvl>
    <w:lvl w:ilvl="8" w:tentative="0">
      <w:start w:val="1"/>
      <w:numFmt w:val="decimal"/>
      <w:pStyle w:val="39"/>
      <w:lvlText w:val="%1.%2.%3.%4.%5.%6.%7.%8.%9."/>
      <w:legacy w:legacy="1" w:legacySpace="0" w:legacyIndent="0"/>
      <w:lvlJc w:val="left"/>
      <w:pPr>
        <w:ind w:left="3825" w:hanging="425"/>
        <w:textAlignment w:val="baseline"/>
      </w:pPr>
    </w:lvl>
  </w:abstractNum>
  <w:abstractNum w:abstractNumId="4">
    <w:nsid w:val="00000012"/>
    <w:multiLevelType w:val="singleLevel"/>
    <w:tmpl w:val="00000012"/>
    <w:lvl w:ilvl="0" w:tentative="0">
      <w:start w:val="1"/>
      <w:numFmt w:val="decimal"/>
      <w:pStyle w:val="82"/>
      <w:lvlText w:val="%1."/>
      <w:lvlJc w:val="left"/>
      <w:pPr>
        <w:tabs>
          <w:tab w:val="left" w:pos="964"/>
        </w:tabs>
        <w:ind w:left="964" w:hanging="482"/>
        <w:textAlignment w:val="baseline"/>
      </w:pPr>
      <w:rPr>
        <w:rFonts w:ascii="Arial" w:hAnsi="Arial"/>
        <w:b w:val="0"/>
        <w:bCs w:val="0"/>
        <w:i w:val="0"/>
        <w:iCs w:val="0"/>
        <w:sz w:val="24"/>
        <w:szCs w:val="24"/>
      </w:rPr>
    </w:lvl>
  </w:abstractNum>
  <w:abstractNum w:abstractNumId="5">
    <w:nsid w:val="0000002F"/>
    <w:multiLevelType w:val="multilevel"/>
    <w:tmpl w:val="0000002F"/>
    <w:lvl w:ilvl="0" w:tentative="0">
      <w:start w:val="1"/>
      <w:numFmt w:val="decimal"/>
      <w:lvlText w:val="%1."/>
      <w:lvlJc w:val="left"/>
      <w:pPr>
        <w:tabs>
          <w:tab w:val="left" w:pos="425"/>
        </w:tabs>
        <w:ind w:left="425" w:hanging="425"/>
      </w:pPr>
      <w:rPr>
        <w:rFonts w:hint="default"/>
      </w:rPr>
    </w:lvl>
    <w:lvl w:ilvl="1" w:tentative="0">
      <w:start w:val="1"/>
      <w:numFmt w:val="decimal"/>
      <w:isLgl/>
      <w:lvlText w:val="%1.%2"/>
      <w:lvlJc w:val="left"/>
      <w:pPr>
        <w:ind w:left="705" w:hanging="705"/>
      </w:pPr>
      <w:rPr>
        <w:rFonts w:hint="default" w:cs="Segoe UI Symbol"/>
      </w:rPr>
    </w:lvl>
    <w:lvl w:ilvl="2" w:tentative="0">
      <w:start w:val="3"/>
      <w:numFmt w:val="decimal"/>
      <w:isLgl/>
      <w:lvlText w:val="%1.%2.%3"/>
      <w:lvlJc w:val="left"/>
      <w:pPr>
        <w:ind w:left="720" w:hanging="720"/>
      </w:pPr>
      <w:rPr>
        <w:rFonts w:hint="default" w:cs="Segoe UI Symbol"/>
      </w:rPr>
    </w:lvl>
    <w:lvl w:ilvl="3" w:tentative="0">
      <w:start w:val="1"/>
      <w:numFmt w:val="decimal"/>
      <w:isLgl/>
      <w:lvlText w:val="%1.%2.%3.%4"/>
      <w:lvlJc w:val="left"/>
      <w:pPr>
        <w:ind w:left="1080" w:hanging="1080"/>
      </w:pPr>
      <w:rPr>
        <w:rFonts w:hint="default" w:cs="Segoe UI Symbol"/>
      </w:rPr>
    </w:lvl>
    <w:lvl w:ilvl="4" w:tentative="0">
      <w:start w:val="1"/>
      <w:numFmt w:val="decimal"/>
      <w:isLgl/>
      <w:lvlText w:val="%1.%2.%3.%4.%5"/>
      <w:lvlJc w:val="left"/>
      <w:pPr>
        <w:ind w:left="1080" w:hanging="1080"/>
      </w:pPr>
      <w:rPr>
        <w:rFonts w:hint="default" w:cs="Segoe UI Symbol"/>
      </w:rPr>
    </w:lvl>
    <w:lvl w:ilvl="5" w:tentative="0">
      <w:start w:val="1"/>
      <w:numFmt w:val="decimal"/>
      <w:isLgl/>
      <w:lvlText w:val="%1.%2.%3.%4.%5.%6"/>
      <w:lvlJc w:val="left"/>
      <w:pPr>
        <w:ind w:left="1440" w:hanging="1440"/>
      </w:pPr>
      <w:rPr>
        <w:rFonts w:hint="default" w:cs="Segoe UI Symbol"/>
      </w:rPr>
    </w:lvl>
    <w:lvl w:ilvl="6" w:tentative="0">
      <w:start w:val="1"/>
      <w:numFmt w:val="decimal"/>
      <w:isLgl/>
      <w:lvlText w:val="%1.%2.%3.%4.%5.%6.%7"/>
      <w:lvlJc w:val="left"/>
      <w:pPr>
        <w:ind w:left="1800" w:hanging="1800"/>
      </w:pPr>
      <w:rPr>
        <w:rFonts w:hint="default" w:cs="Segoe UI Symbol"/>
      </w:rPr>
    </w:lvl>
    <w:lvl w:ilvl="7" w:tentative="0">
      <w:start w:val="1"/>
      <w:numFmt w:val="decimal"/>
      <w:isLgl/>
      <w:lvlText w:val="%1.%2.%3.%4.%5.%6.%7.%8"/>
      <w:lvlJc w:val="left"/>
      <w:pPr>
        <w:ind w:left="1800" w:hanging="1800"/>
      </w:pPr>
      <w:rPr>
        <w:rFonts w:hint="default" w:cs="Segoe UI Symbol"/>
      </w:rPr>
    </w:lvl>
    <w:lvl w:ilvl="8" w:tentative="0">
      <w:start w:val="1"/>
      <w:numFmt w:val="decimal"/>
      <w:isLgl/>
      <w:lvlText w:val="%1.%2.%3.%4.%5.%6.%7.%8.%9"/>
      <w:lvlJc w:val="left"/>
      <w:pPr>
        <w:ind w:left="2160" w:hanging="2160"/>
      </w:pPr>
      <w:rPr>
        <w:rFonts w:hint="default" w:cs="Segoe UI Symbol"/>
      </w:rPr>
    </w:lvl>
  </w:abstractNum>
  <w:abstractNum w:abstractNumId="6">
    <w:nsid w:val="14D96E65"/>
    <w:multiLevelType w:val="multilevel"/>
    <w:tmpl w:val="14D96E65"/>
    <w:lvl w:ilvl="0" w:tentative="0">
      <w:start w:val="1"/>
      <w:numFmt w:val="bullet"/>
      <w:lvlText w:val=""/>
      <w:lvlJc w:val="left"/>
      <w:pPr>
        <w:tabs>
          <w:tab w:val="left" w:pos="420"/>
        </w:tabs>
        <w:ind w:left="420" w:hanging="420"/>
        <w:textAlignment w:val="baseline"/>
      </w:pPr>
      <w:rPr>
        <w:rFonts w:ascii="Wingdings" w:hAnsi="Wingdings"/>
      </w:rPr>
    </w:lvl>
    <w:lvl w:ilvl="1" w:tentative="0">
      <w:start w:val="1"/>
      <w:numFmt w:val="bullet"/>
      <w:pStyle w:val="97"/>
      <w:lvlText w:val=""/>
      <w:lvlJc w:val="left"/>
      <w:pPr>
        <w:tabs>
          <w:tab w:val="left" w:pos="780"/>
        </w:tabs>
        <w:ind w:left="250" w:firstLine="170"/>
        <w:textAlignment w:val="baseline"/>
      </w:pPr>
      <w:rPr>
        <w:rFonts w:ascii="Wingdings" w:hAnsi="Wingdings"/>
      </w:rPr>
    </w:lvl>
    <w:lvl w:ilvl="2" w:tentative="0">
      <w:start w:val="1"/>
      <w:numFmt w:val="bullet"/>
      <w:lvlText w:val=""/>
      <w:lvlJc w:val="left"/>
      <w:pPr>
        <w:tabs>
          <w:tab w:val="left" w:pos="1200"/>
        </w:tabs>
        <w:ind w:left="670" w:firstLine="170"/>
        <w:textAlignment w:val="baseline"/>
      </w:pPr>
      <w:rPr>
        <w:rFonts w:ascii="Wingdings" w:hAnsi="Wingdings"/>
      </w:rPr>
    </w:lvl>
    <w:lvl w:ilvl="3" w:tentative="0">
      <w:start w:val="1"/>
      <w:numFmt w:val="bullet"/>
      <w:lvlText w:val=""/>
      <w:lvlJc w:val="left"/>
      <w:pPr>
        <w:tabs>
          <w:tab w:val="left" w:pos="1680"/>
        </w:tabs>
        <w:ind w:left="1680" w:hanging="420"/>
        <w:textAlignment w:val="baseline"/>
      </w:pPr>
      <w:rPr>
        <w:rFonts w:ascii="Wingdings" w:hAnsi="Wingdings"/>
      </w:rPr>
    </w:lvl>
    <w:lvl w:ilvl="4" w:tentative="0">
      <w:start w:val="1"/>
      <w:numFmt w:val="bullet"/>
      <w:lvlText w:val=""/>
      <w:lvlJc w:val="left"/>
      <w:pPr>
        <w:tabs>
          <w:tab w:val="left" w:pos="2100"/>
        </w:tabs>
        <w:ind w:left="2100" w:hanging="420"/>
        <w:textAlignment w:val="baseline"/>
      </w:pPr>
      <w:rPr>
        <w:rFonts w:ascii="Wingdings" w:hAnsi="Wingdings"/>
      </w:rPr>
    </w:lvl>
    <w:lvl w:ilvl="5" w:tentative="0">
      <w:start w:val="1"/>
      <w:numFmt w:val="bullet"/>
      <w:lvlText w:val=""/>
      <w:lvlJc w:val="left"/>
      <w:pPr>
        <w:tabs>
          <w:tab w:val="left" w:pos="2520"/>
        </w:tabs>
        <w:ind w:left="2520" w:hanging="420"/>
        <w:textAlignment w:val="baseline"/>
      </w:pPr>
      <w:rPr>
        <w:rFonts w:ascii="Wingdings" w:hAnsi="Wingdings"/>
      </w:rPr>
    </w:lvl>
    <w:lvl w:ilvl="6" w:tentative="0">
      <w:start w:val="1"/>
      <w:numFmt w:val="bullet"/>
      <w:lvlText w:val=""/>
      <w:lvlJc w:val="left"/>
      <w:pPr>
        <w:tabs>
          <w:tab w:val="left" w:pos="2940"/>
        </w:tabs>
        <w:ind w:left="2940" w:hanging="420"/>
        <w:textAlignment w:val="baseline"/>
      </w:pPr>
      <w:rPr>
        <w:rFonts w:ascii="Wingdings" w:hAnsi="Wingdings"/>
      </w:rPr>
    </w:lvl>
    <w:lvl w:ilvl="7" w:tentative="0">
      <w:start w:val="1"/>
      <w:numFmt w:val="bullet"/>
      <w:lvlText w:val=""/>
      <w:lvlJc w:val="left"/>
      <w:pPr>
        <w:tabs>
          <w:tab w:val="left" w:pos="3360"/>
        </w:tabs>
        <w:ind w:left="3360" w:hanging="420"/>
        <w:textAlignment w:val="baseline"/>
      </w:pPr>
      <w:rPr>
        <w:rFonts w:ascii="Wingdings" w:hAnsi="Wingdings"/>
      </w:rPr>
    </w:lvl>
    <w:lvl w:ilvl="8" w:tentative="0">
      <w:start w:val="1"/>
      <w:numFmt w:val="bullet"/>
      <w:lvlText w:val=""/>
      <w:lvlJc w:val="left"/>
      <w:pPr>
        <w:tabs>
          <w:tab w:val="left" w:pos="3780"/>
        </w:tabs>
        <w:ind w:left="3780" w:hanging="420"/>
        <w:textAlignment w:val="baseline"/>
      </w:pPr>
      <w:rPr>
        <w:rFonts w:ascii="Wingdings" w:hAnsi="Wingdings"/>
      </w:rPr>
    </w:lvl>
  </w:abstractNum>
  <w:abstractNum w:abstractNumId="7">
    <w:nsid w:val="3700838E"/>
    <w:multiLevelType w:val="singleLevel"/>
    <w:tmpl w:val="3700838E"/>
    <w:lvl w:ilvl="0" w:tentative="0">
      <w:start w:val="1"/>
      <w:numFmt w:val="chineseCounting"/>
      <w:suff w:val="nothing"/>
      <w:lvlText w:val="（%1）"/>
      <w:lvlJc w:val="left"/>
      <w:pPr>
        <w:ind w:left="0" w:firstLine="420"/>
      </w:pPr>
      <w:rPr>
        <w:rFonts w:hint="eastAsia"/>
      </w:rPr>
    </w:lvl>
  </w:abstractNum>
  <w:abstractNum w:abstractNumId="8">
    <w:nsid w:val="3A6582FB"/>
    <w:multiLevelType w:val="singleLevel"/>
    <w:tmpl w:val="3A6582FB"/>
    <w:lvl w:ilvl="0" w:tentative="0">
      <w:start w:val="1"/>
      <w:numFmt w:val="chineseCounting"/>
      <w:suff w:val="nothing"/>
      <w:lvlText w:val="（%1）"/>
      <w:lvlJc w:val="left"/>
      <w:rPr>
        <w:rFonts w:hint="eastAsia"/>
      </w:rPr>
    </w:lvl>
  </w:abstractNum>
  <w:abstractNum w:abstractNumId="9">
    <w:nsid w:val="5FB82509"/>
    <w:multiLevelType w:val="singleLevel"/>
    <w:tmpl w:val="5FB82509"/>
    <w:lvl w:ilvl="0" w:tentative="0">
      <w:start w:val="1"/>
      <w:numFmt w:val="decimal"/>
      <w:suff w:val="space"/>
      <w:lvlText w:val="%1."/>
      <w:lvlJc w:val="left"/>
    </w:lvl>
  </w:abstractNum>
  <w:num w:numId="1">
    <w:abstractNumId w:val="3"/>
  </w:num>
  <w:num w:numId="2">
    <w:abstractNumId w:val="4"/>
  </w:num>
  <w:num w:numId="3">
    <w:abstractNumId w:val="6"/>
  </w:num>
  <w:num w:numId="4">
    <w:abstractNumId w:val="2"/>
  </w:num>
  <w:num w:numId="5">
    <w:abstractNumId w:val="1"/>
  </w:num>
  <w:num w:numId="6">
    <w:abstractNumId w:val="7"/>
  </w:num>
  <w:num w:numId="7">
    <w:abstractNumId w:val="8"/>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N2MwNjQzYWRkMjUxYWYxMDUyM2ZiM2Y0NTI3MmIifQ=="/>
  </w:docVars>
  <w:rsids>
    <w:rsidRoot w:val="00172A27"/>
    <w:rsid w:val="000219FD"/>
    <w:rsid w:val="00035355"/>
    <w:rsid w:val="000361B5"/>
    <w:rsid w:val="00036844"/>
    <w:rsid w:val="00040852"/>
    <w:rsid w:val="000511D8"/>
    <w:rsid w:val="0005280D"/>
    <w:rsid w:val="000613C1"/>
    <w:rsid w:val="00065943"/>
    <w:rsid w:val="00092590"/>
    <w:rsid w:val="000B016E"/>
    <w:rsid w:val="000D306A"/>
    <w:rsid w:val="001031A1"/>
    <w:rsid w:val="00127302"/>
    <w:rsid w:val="001736B2"/>
    <w:rsid w:val="0018294A"/>
    <w:rsid w:val="0019720F"/>
    <w:rsid w:val="001C656F"/>
    <w:rsid w:val="001D233D"/>
    <w:rsid w:val="001D4F57"/>
    <w:rsid w:val="00214D4A"/>
    <w:rsid w:val="00230366"/>
    <w:rsid w:val="002334A1"/>
    <w:rsid w:val="00245726"/>
    <w:rsid w:val="002524D8"/>
    <w:rsid w:val="00252C5B"/>
    <w:rsid w:val="00252DA8"/>
    <w:rsid w:val="00254442"/>
    <w:rsid w:val="002556D4"/>
    <w:rsid w:val="00280042"/>
    <w:rsid w:val="002A3CE2"/>
    <w:rsid w:val="002C50F4"/>
    <w:rsid w:val="002C5852"/>
    <w:rsid w:val="002D1422"/>
    <w:rsid w:val="002D1BD1"/>
    <w:rsid w:val="002D2645"/>
    <w:rsid w:val="00305900"/>
    <w:rsid w:val="003323C1"/>
    <w:rsid w:val="003434B0"/>
    <w:rsid w:val="003468D6"/>
    <w:rsid w:val="003574B5"/>
    <w:rsid w:val="00380DDB"/>
    <w:rsid w:val="00391AFC"/>
    <w:rsid w:val="003B0E4F"/>
    <w:rsid w:val="003C4380"/>
    <w:rsid w:val="003F48FD"/>
    <w:rsid w:val="00400D73"/>
    <w:rsid w:val="00403F09"/>
    <w:rsid w:val="00413360"/>
    <w:rsid w:val="004278D3"/>
    <w:rsid w:val="004304CF"/>
    <w:rsid w:val="00445AC4"/>
    <w:rsid w:val="004667A8"/>
    <w:rsid w:val="00474986"/>
    <w:rsid w:val="004D0D79"/>
    <w:rsid w:val="004D2CA1"/>
    <w:rsid w:val="004F7D08"/>
    <w:rsid w:val="0051572E"/>
    <w:rsid w:val="00540B3F"/>
    <w:rsid w:val="00566C88"/>
    <w:rsid w:val="00577230"/>
    <w:rsid w:val="00585A16"/>
    <w:rsid w:val="005A3F3B"/>
    <w:rsid w:val="005B091A"/>
    <w:rsid w:val="005C7B75"/>
    <w:rsid w:val="005E5575"/>
    <w:rsid w:val="005F1A16"/>
    <w:rsid w:val="005F78D9"/>
    <w:rsid w:val="00603EA4"/>
    <w:rsid w:val="00626BAC"/>
    <w:rsid w:val="00651AAC"/>
    <w:rsid w:val="006718F5"/>
    <w:rsid w:val="006C0895"/>
    <w:rsid w:val="006D10B7"/>
    <w:rsid w:val="006D444B"/>
    <w:rsid w:val="006F2685"/>
    <w:rsid w:val="00700BCA"/>
    <w:rsid w:val="00702FA2"/>
    <w:rsid w:val="00705E93"/>
    <w:rsid w:val="00722A52"/>
    <w:rsid w:val="007302AB"/>
    <w:rsid w:val="00740A0C"/>
    <w:rsid w:val="00754BF1"/>
    <w:rsid w:val="00780426"/>
    <w:rsid w:val="0079348D"/>
    <w:rsid w:val="007E2818"/>
    <w:rsid w:val="007F5B92"/>
    <w:rsid w:val="00801241"/>
    <w:rsid w:val="008218F6"/>
    <w:rsid w:val="0085510A"/>
    <w:rsid w:val="00863497"/>
    <w:rsid w:val="008B68CA"/>
    <w:rsid w:val="008E6283"/>
    <w:rsid w:val="008F0F6C"/>
    <w:rsid w:val="0091720E"/>
    <w:rsid w:val="00926E7C"/>
    <w:rsid w:val="0093041F"/>
    <w:rsid w:val="009422FC"/>
    <w:rsid w:val="009543FD"/>
    <w:rsid w:val="009644CC"/>
    <w:rsid w:val="00967D10"/>
    <w:rsid w:val="00974EFD"/>
    <w:rsid w:val="009A5BEA"/>
    <w:rsid w:val="009B6DB0"/>
    <w:rsid w:val="009B6DCB"/>
    <w:rsid w:val="009D32BE"/>
    <w:rsid w:val="009D46C9"/>
    <w:rsid w:val="009E5896"/>
    <w:rsid w:val="00A05396"/>
    <w:rsid w:val="00A134F4"/>
    <w:rsid w:val="00A20C5C"/>
    <w:rsid w:val="00A30C53"/>
    <w:rsid w:val="00A71B89"/>
    <w:rsid w:val="00AA5097"/>
    <w:rsid w:val="00AC4483"/>
    <w:rsid w:val="00AC7E33"/>
    <w:rsid w:val="00AD2590"/>
    <w:rsid w:val="00AE0A87"/>
    <w:rsid w:val="00AE27B3"/>
    <w:rsid w:val="00B017DD"/>
    <w:rsid w:val="00B16BA8"/>
    <w:rsid w:val="00B17623"/>
    <w:rsid w:val="00B27E2E"/>
    <w:rsid w:val="00B42F0D"/>
    <w:rsid w:val="00B64A15"/>
    <w:rsid w:val="00B654A1"/>
    <w:rsid w:val="00B723FF"/>
    <w:rsid w:val="00B83013"/>
    <w:rsid w:val="00B938BB"/>
    <w:rsid w:val="00BC0F93"/>
    <w:rsid w:val="00BD0A3F"/>
    <w:rsid w:val="00BF2340"/>
    <w:rsid w:val="00C04250"/>
    <w:rsid w:val="00C136F7"/>
    <w:rsid w:val="00C239A7"/>
    <w:rsid w:val="00C533B8"/>
    <w:rsid w:val="00C92483"/>
    <w:rsid w:val="00C9277F"/>
    <w:rsid w:val="00D1194E"/>
    <w:rsid w:val="00D1460A"/>
    <w:rsid w:val="00D65DF2"/>
    <w:rsid w:val="00D665D3"/>
    <w:rsid w:val="00D85B0E"/>
    <w:rsid w:val="00D86B08"/>
    <w:rsid w:val="00DA3656"/>
    <w:rsid w:val="00DB52D4"/>
    <w:rsid w:val="00DC6480"/>
    <w:rsid w:val="00DC6E8C"/>
    <w:rsid w:val="00DD0EB2"/>
    <w:rsid w:val="00DE3DB4"/>
    <w:rsid w:val="00DF444E"/>
    <w:rsid w:val="00DF668C"/>
    <w:rsid w:val="00E0647F"/>
    <w:rsid w:val="00E17450"/>
    <w:rsid w:val="00E205F4"/>
    <w:rsid w:val="00E77121"/>
    <w:rsid w:val="00EA0472"/>
    <w:rsid w:val="00EC04E1"/>
    <w:rsid w:val="00ED0ED5"/>
    <w:rsid w:val="00EF7829"/>
    <w:rsid w:val="00F218BC"/>
    <w:rsid w:val="00F23048"/>
    <w:rsid w:val="00F25A5E"/>
    <w:rsid w:val="00F509F0"/>
    <w:rsid w:val="00F56892"/>
    <w:rsid w:val="00F67A34"/>
    <w:rsid w:val="00F76B00"/>
    <w:rsid w:val="00F836AA"/>
    <w:rsid w:val="00FA5076"/>
    <w:rsid w:val="00FC6DFC"/>
    <w:rsid w:val="00FF5CEE"/>
    <w:rsid w:val="01915078"/>
    <w:rsid w:val="02824F85"/>
    <w:rsid w:val="03725D80"/>
    <w:rsid w:val="03851211"/>
    <w:rsid w:val="04425FE9"/>
    <w:rsid w:val="045F303F"/>
    <w:rsid w:val="049E6F20"/>
    <w:rsid w:val="04F17C1F"/>
    <w:rsid w:val="05E6432B"/>
    <w:rsid w:val="06444FCF"/>
    <w:rsid w:val="068B2925"/>
    <w:rsid w:val="06FD08ED"/>
    <w:rsid w:val="070B0F5F"/>
    <w:rsid w:val="073F2CB4"/>
    <w:rsid w:val="07AD6AD3"/>
    <w:rsid w:val="082425D6"/>
    <w:rsid w:val="083C1202"/>
    <w:rsid w:val="083C4B4C"/>
    <w:rsid w:val="0889727B"/>
    <w:rsid w:val="08C47915"/>
    <w:rsid w:val="08EE04EE"/>
    <w:rsid w:val="091E569B"/>
    <w:rsid w:val="09B71227"/>
    <w:rsid w:val="09ED0F63"/>
    <w:rsid w:val="0A3621EA"/>
    <w:rsid w:val="0A404F52"/>
    <w:rsid w:val="0A714B20"/>
    <w:rsid w:val="0A780F32"/>
    <w:rsid w:val="0AED425D"/>
    <w:rsid w:val="0B1001F9"/>
    <w:rsid w:val="0B2C17A1"/>
    <w:rsid w:val="0B394322"/>
    <w:rsid w:val="0B6E204E"/>
    <w:rsid w:val="0B99231A"/>
    <w:rsid w:val="0BA40F65"/>
    <w:rsid w:val="0BB71DE1"/>
    <w:rsid w:val="0BEF1F03"/>
    <w:rsid w:val="0C6541F6"/>
    <w:rsid w:val="0CE916F8"/>
    <w:rsid w:val="0D9854C7"/>
    <w:rsid w:val="0DA2020C"/>
    <w:rsid w:val="0DEB5944"/>
    <w:rsid w:val="0E0A401C"/>
    <w:rsid w:val="0E0D58BA"/>
    <w:rsid w:val="0E403413"/>
    <w:rsid w:val="0E934EF9"/>
    <w:rsid w:val="0EA46032"/>
    <w:rsid w:val="0F4B06AB"/>
    <w:rsid w:val="0F8E4B8E"/>
    <w:rsid w:val="0FE94483"/>
    <w:rsid w:val="0FED59A3"/>
    <w:rsid w:val="10496B31"/>
    <w:rsid w:val="106C594E"/>
    <w:rsid w:val="10A1178B"/>
    <w:rsid w:val="10FC2F21"/>
    <w:rsid w:val="112A6028"/>
    <w:rsid w:val="11B76268"/>
    <w:rsid w:val="11DE770D"/>
    <w:rsid w:val="11FB4122"/>
    <w:rsid w:val="12401309"/>
    <w:rsid w:val="130A294F"/>
    <w:rsid w:val="136A432C"/>
    <w:rsid w:val="13D133D8"/>
    <w:rsid w:val="13F50945"/>
    <w:rsid w:val="14181987"/>
    <w:rsid w:val="146975C2"/>
    <w:rsid w:val="147C4E53"/>
    <w:rsid w:val="149E455F"/>
    <w:rsid w:val="14CA633A"/>
    <w:rsid w:val="14E949FC"/>
    <w:rsid w:val="15AC7766"/>
    <w:rsid w:val="16021A3F"/>
    <w:rsid w:val="166F47AE"/>
    <w:rsid w:val="167345BF"/>
    <w:rsid w:val="16754F3F"/>
    <w:rsid w:val="169243E3"/>
    <w:rsid w:val="16C94036"/>
    <w:rsid w:val="16D43419"/>
    <w:rsid w:val="16E544A5"/>
    <w:rsid w:val="173051DB"/>
    <w:rsid w:val="17342109"/>
    <w:rsid w:val="17AC34FA"/>
    <w:rsid w:val="17C818A3"/>
    <w:rsid w:val="188C4DE8"/>
    <w:rsid w:val="18DF1DBE"/>
    <w:rsid w:val="191A70DD"/>
    <w:rsid w:val="194365DD"/>
    <w:rsid w:val="198D78AF"/>
    <w:rsid w:val="199F38AE"/>
    <w:rsid w:val="19A6322D"/>
    <w:rsid w:val="1AE84E4A"/>
    <w:rsid w:val="1C2623FF"/>
    <w:rsid w:val="1C4A5679"/>
    <w:rsid w:val="1C812855"/>
    <w:rsid w:val="1C986C96"/>
    <w:rsid w:val="1C9909DE"/>
    <w:rsid w:val="1D0738A6"/>
    <w:rsid w:val="1D156539"/>
    <w:rsid w:val="1DF625A8"/>
    <w:rsid w:val="1E4976CD"/>
    <w:rsid w:val="1F0709AA"/>
    <w:rsid w:val="1F2216B7"/>
    <w:rsid w:val="1F9D39D8"/>
    <w:rsid w:val="1FE54021"/>
    <w:rsid w:val="206D462E"/>
    <w:rsid w:val="20A87599"/>
    <w:rsid w:val="2158623E"/>
    <w:rsid w:val="21D335AF"/>
    <w:rsid w:val="21E70FAC"/>
    <w:rsid w:val="223C1526"/>
    <w:rsid w:val="22791318"/>
    <w:rsid w:val="23615763"/>
    <w:rsid w:val="238A33FF"/>
    <w:rsid w:val="23B26485"/>
    <w:rsid w:val="23F006E2"/>
    <w:rsid w:val="23F50B96"/>
    <w:rsid w:val="23F5677C"/>
    <w:rsid w:val="24822706"/>
    <w:rsid w:val="24A44001"/>
    <w:rsid w:val="26212D15"/>
    <w:rsid w:val="26D71E4A"/>
    <w:rsid w:val="272C72D5"/>
    <w:rsid w:val="27CD718F"/>
    <w:rsid w:val="27F111CE"/>
    <w:rsid w:val="285A432E"/>
    <w:rsid w:val="2A3D0E7D"/>
    <w:rsid w:val="2C456710"/>
    <w:rsid w:val="2C997991"/>
    <w:rsid w:val="2CAB665A"/>
    <w:rsid w:val="2D285A76"/>
    <w:rsid w:val="2D4B9E5A"/>
    <w:rsid w:val="2D64187B"/>
    <w:rsid w:val="2D6E108A"/>
    <w:rsid w:val="2D87270A"/>
    <w:rsid w:val="2DC32F62"/>
    <w:rsid w:val="2DF126AA"/>
    <w:rsid w:val="2E340973"/>
    <w:rsid w:val="2F1A5D9A"/>
    <w:rsid w:val="2F4607D4"/>
    <w:rsid w:val="2F76676B"/>
    <w:rsid w:val="2FAE184B"/>
    <w:rsid w:val="2FEB4B8B"/>
    <w:rsid w:val="30414D3E"/>
    <w:rsid w:val="3062163D"/>
    <w:rsid w:val="30D065A7"/>
    <w:rsid w:val="30E21B4C"/>
    <w:rsid w:val="317A4765"/>
    <w:rsid w:val="321E639F"/>
    <w:rsid w:val="32307A9A"/>
    <w:rsid w:val="32666C37"/>
    <w:rsid w:val="32B67A1F"/>
    <w:rsid w:val="32EB76C8"/>
    <w:rsid w:val="33381316"/>
    <w:rsid w:val="336B76DA"/>
    <w:rsid w:val="33927FA5"/>
    <w:rsid w:val="33956827"/>
    <w:rsid w:val="33CE3CE5"/>
    <w:rsid w:val="33DD4FA2"/>
    <w:rsid w:val="35401A7A"/>
    <w:rsid w:val="355A2AEC"/>
    <w:rsid w:val="3579793F"/>
    <w:rsid w:val="36C02C1A"/>
    <w:rsid w:val="36DA1DF1"/>
    <w:rsid w:val="37677539"/>
    <w:rsid w:val="37F20CF7"/>
    <w:rsid w:val="3802126A"/>
    <w:rsid w:val="380A4EFA"/>
    <w:rsid w:val="38B449B7"/>
    <w:rsid w:val="38E452E6"/>
    <w:rsid w:val="39023608"/>
    <w:rsid w:val="3B702E61"/>
    <w:rsid w:val="3C835C34"/>
    <w:rsid w:val="3C9B3DA4"/>
    <w:rsid w:val="3CD70CBD"/>
    <w:rsid w:val="3D0C5419"/>
    <w:rsid w:val="3D4424B6"/>
    <w:rsid w:val="3DBD3ADF"/>
    <w:rsid w:val="3E633E94"/>
    <w:rsid w:val="3F603FA1"/>
    <w:rsid w:val="40026051"/>
    <w:rsid w:val="4024717F"/>
    <w:rsid w:val="41B50CEC"/>
    <w:rsid w:val="41DA0C19"/>
    <w:rsid w:val="421309EA"/>
    <w:rsid w:val="4252730A"/>
    <w:rsid w:val="428A5299"/>
    <w:rsid w:val="42A650F0"/>
    <w:rsid w:val="42D70A35"/>
    <w:rsid w:val="42EE1EB0"/>
    <w:rsid w:val="430F7AC1"/>
    <w:rsid w:val="4339622E"/>
    <w:rsid w:val="43CE4F2E"/>
    <w:rsid w:val="44056110"/>
    <w:rsid w:val="44B90760"/>
    <w:rsid w:val="44F711D4"/>
    <w:rsid w:val="453A28D5"/>
    <w:rsid w:val="454A4722"/>
    <w:rsid w:val="454E162C"/>
    <w:rsid w:val="45822063"/>
    <w:rsid w:val="45E22BAD"/>
    <w:rsid w:val="464A60D1"/>
    <w:rsid w:val="465D2233"/>
    <w:rsid w:val="46B07121"/>
    <w:rsid w:val="46D819B7"/>
    <w:rsid w:val="46E92ED3"/>
    <w:rsid w:val="47CA7D9C"/>
    <w:rsid w:val="482D2BEA"/>
    <w:rsid w:val="48684B15"/>
    <w:rsid w:val="486F26F2"/>
    <w:rsid w:val="499B6C2D"/>
    <w:rsid w:val="4A7227CC"/>
    <w:rsid w:val="4A764FA2"/>
    <w:rsid w:val="4BB95AA7"/>
    <w:rsid w:val="4BDE5541"/>
    <w:rsid w:val="4BFF13E0"/>
    <w:rsid w:val="4C3D1913"/>
    <w:rsid w:val="4C4335D0"/>
    <w:rsid w:val="4CD46FC7"/>
    <w:rsid w:val="4D775534"/>
    <w:rsid w:val="4DD67367"/>
    <w:rsid w:val="4E0A1657"/>
    <w:rsid w:val="4E9D38B6"/>
    <w:rsid w:val="4EBF6FC0"/>
    <w:rsid w:val="4ED89EA8"/>
    <w:rsid w:val="4EF02665"/>
    <w:rsid w:val="4F9111A0"/>
    <w:rsid w:val="4F9C226C"/>
    <w:rsid w:val="4FF42C86"/>
    <w:rsid w:val="4FF47B02"/>
    <w:rsid w:val="502B2A4C"/>
    <w:rsid w:val="50A27AF9"/>
    <w:rsid w:val="50A71612"/>
    <w:rsid w:val="518A0D40"/>
    <w:rsid w:val="51EA1D46"/>
    <w:rsid w:val="5219304A"/>
    <w:rsid w:val="522E0CC5"/>
    <w:rsid w:val="524D13AE"/>
    <w:rsid w:val="52C77608"/>
    <w:rsid w:val="52FD13BA"/>
    <w:rsid w:val="530D78AB"/>
    <w:rsid w:val="536836B9"/>
    <w:rsid w:val="53CB2ED2"/>
    <w:rsid w:val="540545BE"/>
    <w:rsid w:val="542C4630"/>
    <w:rsid w:val="54C21C8D"/>
    <w:rsid w:val="55173EF5"/>
    <w:rsid w:val="55C7165F"/>
    <w:rsid w:val="55D34BE5"/>
    <w:rsid w:val="5616335A"/>
    <w:rsid w:val="562D3E25"/>
    <w:rsid w:val="562F490A"/>
    <w:rsid w:val="56521DB3"/>
    <w:rsid w:val="56AF6757"/>
    <w:rsid w:val="57316FB5"/>
    <w:rsid w:val="573F24CF"/>
    <w:rsid w:val="57A9647A"/>
    <w:rsid w:val="580E2E33"/>
    <w:rsid w:val="5814296E"/>
    <w:rsid w:val="58403763"/>
    <w:rsid w:val="58496ABB"/>
    <w:rsid w:val="589917F1"/>
    <w:rsid w:val="592F5F17"/>
    <w:rsid w:val="59794525"/>
    <w:rsid w:val="59A34332"/>
    <w:rsid w:val="5A677211"/>
    <w:rsid w:val="5AE445EB"/>
    <w:rsid w:val="5B2F58ED"/>
    <w:rsid w:val="5C4C43C2"/>
    <w:rsid w:val="5C7165E1"/>
    <w:rsid w:val="5CB309A7"/>
    <w:rsid w:val="5D521DF5"/>
    <w:rsid w:val="5DB22BB3"/>
    <w:rsid w:val="5DDE22DE"/>
    <w:rsid w:val="5E0B72EA"/>
    <w:rsid w:val="5E221A0D"/>
    <w:rsid w:val="5E6D304E"/>
    <w:rsid w:val="5EB3797C"/>
    <w:rsid w:val="5EDD61AF"/>
    <w:rsid w:val="5F7761D6"/>
    <w:rsid w:val="5F8C07ED"/>
    <w:rsid w:val="5FF63F5A"/>
    <w:rsid w:val="603B43A7"/>
    <w:rsid w:val="60A20170"/>
    <w:rsid w:val="60AC432A"/>
    <w:rsid w:val="60E03D35"/>
    <w:rsid w:val="60ED1182"/>
    <w:rsid w:val="61120392"/>
    <w:rsid w:val="612956DC"/>
    <w:rsid w:val="62032444"/>
    <w:rsid w:val="623A07EF"/>
    <w:rsid w:val="629076A8"/>
    <w:rsid w:val="62D130BE"/>
    <w:rsid w:val="63715118"/>
    <w:rsid w:val="639D5F0D"/>
    <w:rsid w:val="640D55F9"/>
    <w:rsid w:val="640F6E0B"/>
    <w:rsid w:val="647D6053"/>
    <w:rsid w:val="64CD16CA"/>
    <w:rsid w:val="65467CD5"/>
    <w:rsid w:val="65FC28AE"/>
    <w:rsid w:val="662F72F1"/>
    <w:rsid w:val="66AB6B83"/>
    <w:rsid w:val="66DB7679"/>
    <w:rsid w:val="67247BB3"/>
    <w:rsid w:val="674548F2"/>
    <w:rsid w:val="677E60F9"/>
    <w:rsid w:val="67987BFC"/>
    <w:rsid w:val="68207885"/>
    <w:rsid w:val="684421A2"/>
    <w:rsid w:val="68ED421D"/>
    <w:rsid w:val="692103FE"/>
    <w:rsid w:val="69410B01"/>
    <w:rsid w:val="695847B0"/>
    <w:rsid w:val="69C30282"/>
    <w:rsid w:val="6A8A2868"/>
    <w:rsid w:val="6B1449B0"/>
    <w:rsid w:val="6B596BBE"/>
    <w:rsid w:val="6B6F5DC4"/>
    <w:rsid w:val="6B722972"/>
    <w:rsid w:val="6C6067E2"/>
    <w:rsid w:val="6C931EAF"/>
    <w:rsid w:val="6CFA1CDB"/>
    <w:rsid w:val="6D5D7A00"/>
    <w:rsid w:val="6D873312"/>
    <w:rsid w:val="6DD501E0"/>
    <w:rsid w:val="6E12220C"/>
    <w:rsid w:val="6EDB6860"/>
    <w:rsid w:val="6EE10043"/>
    <w:rsid w:val="6EE54EAC"/>
    <w:rsid w:val="6EF5072D"/>
    <w:rsid w:val="6F170BC0"/>
    <w:rsid w:val="6F576252"/>
    <w:rsid w:val="6FAF0CD7"/>
    <w:rsid w:val="6FC21F67"/>
    <w:rsid w:val="706E792F"/>
    <w:rsid w:val="70BB79D3"/>
    <w:rsid w:val="70D2341B"/>
    <w:rsid w:val="70DF2F5F"/>
    <w:rsid w:val="71020071"/>
    <w:rsid w:val="717824BF"/>
    <w:rsid w:val="71C254BD"/>
    <w:rsid w:val="71CF792F"/>
    <w:rsid w:val="71FD64F5"/>
    <w:rsid w:val="72CC557C"/>
    <w:rsid w:val="73036C7F"/>
    <w:rsid w:val="7367334C"/>
    <w:rsid w:val="73830C7C"/>
    <w:rsid w:val="741236BC"/>
    <w:rsid w:val="74A81950"/>
    <w:rsid w:val="751956F6"/>
    <w:rsid w:val="751A73BE"/>
    <w:rsid w:val="755415BF"/>
    <w:rsid w:val="75ED1E38"/>
    <w:rsid w:val="76C44CDC"/>
    <w:rsid w:val="77103F92"/>
    <w:rsid w:val="774300DD"/>
    <w:rsid w:val="77770AF7"/>
    <w:rsid w:val="77E51F05"/>
    <w:rsid w:val="77FC3216"/>
    <w:rsid w:val="78412EB3"/>
    <w:rsid w:val="78F53DC5"/>
    <w:rsid w:val="79344981"/>
    <w:rsid w:val="79587431"/>
    <w:rsid w:val="79D00993"/>
    <w:rsid w:val="7A66105B"/>
    <w:rsid w:val="7BFB7A69"/>
    <w:rsid w:val="7C2D4CD4"/>
    <w:rsid w:val="7C9932BE"/>
    <w:rsid w:val="7CF5799B"/>
    <w:rsid w:val="7D33726F"/>
    <w:rsid w:val="7D684C1B"/>
    <w:rsid w:val="7E0602CD"/>
    <w:rsid w:val="7E1A154D"/>
    <w:rsid w:val="7ED147D8"/>
    <w:rsid w:val="7F001CCE"/>
    <w:rsid w:val="7F0145AF"/>
    <w:rsid w:val="7F4F7E35"/>
    <w:rsid w:val="7FA801D8"/>
    <w:rsid w:val="7FE3C5DE"/>
    <w:rsid w:val="7FFFF73B"/>
    <w:rsid w:val="B7AFF473"/>
    <w:rsid w:val="DFFB56AA"/>
    <w:rsid w:val="E7B21AE9"/>
    <w:rsid w:val="F5F5DBE4"/>
    <w:rsid w:val="F7F7226B"/>
    <w:rsid w:val="FAFFF192"/>
    <w:rsid w:val="FEEB393B"/>
    <w:rsid w:val="FF417D46"/>
    <w:rsid w:val="FFF733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
    <w:qFormat/>
    <w:uiPriority w:val="0"/>
    <w:pPr>
      <w:spacing w:line="500" w:lineRule="exact"/>
      <w:ind w:firstLine="643"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link w:val="120"/>
    <w:qFormat/>
    <w:uiPriority w:val="0"/>
    <w:pPr>
      <w:keepNext/>
      <w:keepLines/>
      <w:spacing w:line="579" w:lineRule="exact"/>
      <w:ind w:firstLine="0" w:firstLineChars="0"/>
      <w:jc w:val="center"/>
      <w:outlineLvl w:val="0"/>
    </w:pPr>
    <w:rPr>
      <w:rFonts w:ascii="Times New Roman" w:hAnsi="Times New Roman" w:eastAsia="方正小标宋简体"/>
      <w:kern w:val="44"/>
      <w:sz w:val="32"/>
    </w:rPr>
  </w:style>
  <w:style w:type="paragraph" w:styleId="3">
    <w:name w:val="heading 2"/>
    <w:basedOn w:val="1"/>
    <w:next w:val="1"/>
    <w:link w:val="31"/>
    <w:unhideWhenUsed/>
    <w:qFormat/>
    <w:uiPriority w:val="0"/>
    <w:pPr>
      <w:ind w:firstLine="0" w:firstLineChars="0"/>
      <w:jc w:val="center"/>
      <w:outlineLvl w:val="1"/>
    </w:pPr>
    <w:rPr>
      <w:b/>
      <w:bCs/>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1400" w:leftChars="1400"/>
    </w:pPr>
    <w:rPr>
      <w:rFonts w:ascii="Times New Roman" w:hAnsi="Times New Roman"/>
      <w:szCs w:val="24"/>
    </w:rPr>
  </w:style>
  <w:style w:type="paragraph" w:styleId="6">
    <w:name w:val="Normal Indent"/>
    <w:basedOn w:val="1"/>
    <w:unhideWhenUsed/>
    <w:qFormat/>
    <w:uiPriority w:val="99"/>
    <w:pPr>
      <w:ind w:firstLine="420" w:firstLineChars="200"/>
    </w:pPr>
  </w:style>
  <w:style w:type="paragraph" w:styleId="7">
    <w:name w:val="annotation text"/>
    <w:basedOn w:val="1"/>
    <w:link w:val="104"/>
    <w:qFormat/>
    <w:uiPriority w:val="0"/>
    <w:pPr>
      <w:jc w:val="left"/>
    </w:pPr>
  </w:style>
  <w:style w:type="paragraph" w:styleId="8">
    <w:name w:val="Body Text"/>
    <w:basedOn w:val="1"/>
    <w:next w:val="1"/>
    <w:link w:val="106"/>
    <w:unhideWhenUsed/>
    <w:qFormat/>
    <w:uiPriority w:val="0"/>
    <w:pPr>
      <w:widowControl w:val="0"/>
      <w:spacing w:after="120"/>
      <w:textAlignment w:val="auto"/>
    </w:pPr>
    <w:rPr>
      <w:rFonts w:cs="Times New Roman"/>
      <w:szCs w:val="24"/>
    </w:rPr>
  </w:style>
  <w:style w:type="paragraph" w:styleId="9">
    <w:name w:val="Body Text Indent"/>
    <w:basedOn w:val="1"/>
    <w:qFormat/>
    <w:uiPriority w:val="0"/>
    <w:pPr>
      <w:ind w:firstLine="479" w:firstLineChars="228"/>
    </w:pPr>
    <w:rPr>
      <w:rFonts w:ascii="宋体"/>
      <w:szCs w:val="18"/>
    </w:rPr>
  </w:style>
  <w:style w:type="paragraph" w:styleId="10">
    <w:name w:val="Plain Text"/>
    <w:basedOn w:val="1"/>
    <w:next w:val="1"/>
    <w:qFormat/>
    <w:uiPriority w:val="0"/>
    <w:rPr>
      <w:rFonts w:ascii="宋体" w:hAnsi="Courier New"/>
      <w:kern w:val="10"/>
    </w:rPr>
  </w:style>
  <w:style w:type="paragraph" w:styleId="11">
    <w:name w:val="toc 8"/>
    <w:basedOn w:val="1"/>
    <w:next w:val="1"/>
    <w:semiHidden/>
    <w:unhideWhenUsed/>
    <w:qFormat/>
    <w:uiPriority w:val="39"/>
    <w:pPr>
      <w:ind w:left="2940" w:leftChars="1400"/>
    </w:pPr>
  </w:style>
  <w:style w:type="paragraph" w:styleId="12">
    <w:name w:val="Body Text Indent 2"/>
    <w:basedOn w:val="1"/>
    <w:qFormat/>
    <w:uiPriority w:val="0"/>
    <w:pPr>
      <w:ind w:left="360" w:firstLine="540"/>
    </w:pPr>
    <w:rPr>
      <w:rFonts w:hint="eastAsia" w:ascii="宋体" w:hAnsi="宋体" w:eastAsia="宋体" w:cs="Times New Roman"/>
      <w:sz w:val="20"/>
      <w:szCs w:val="20"/>
    </w:rPr>
  </w:style>
  <w:style w:type="paragraph" w:styleId="13">
    <w:name w:val="Balloon Text"/>
    <w:basedOn w:val="1"/>
    <w:link w:val="102"/>
    <w:qFormat/>
    <w:uiPriority w:val="0"/>
    <w:rPr>
      <w:sz w:val="18"/>
      <w:szCs w:val="18"/>
    </w:rPr>
  </w:style>
  <w:style w:type="paragraph" w:styleId="14">
    <w:name w:val="footer"/>
    <w:basedOn w:val="1"/>
    <w:link w:val="47"/>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widowControl w:val="0"/>
      <w:snapToGrid w:val="0"/>
    </w:pPr>
    <w:rPr>
      <w:rFonts w:ascii="Arial" w:hAnsi="Arial"/>
      <w:szCs w:val="24"/>
    </w:rPr>
  </w:style>
  <w:style w:type="paragraph" w:styleId="16">
    <w:name w:val="header"/>
    <w:basedOn w:val="1"/>
    <w:link w:val="45"/>
    <w:qFormat/>
    <w:uiPriority w:val="0"/>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Subtitle"/>
    <w:basedOn w:val="1"/>
    <w:next w:val="1"/>
    <w:link w:val="55"/>
    <w:qFormat/>
    <w:locked/>
    <w:uiPriority w:val="0"/>
    <w:pPr>
      <w:spacing w:before="240" w:after="60" w:line="312" w:lineRule="auto"/>
      <w:jc w:val="center"/>
    </w:pPr>
    <w:rPr>
      <w:rFonts w:ascii="Cambria" w:hAnsi="Cambria" w:cs="黑体"/>
      <w:b/>
      <w:bCs/>
      <w:kern w:val="28"/>
      <w:sz w:val="32"/>
      <w:szCs w:val="32"/>
    </w:rPr>
  </w:style>
  <w:style w:type="paragraph" w:styleId="19">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paragraph" w:styleId="20">
    <w:name w:val="annotation subject"/>
    <w:basedOn w:val="7"/>
    <w:next w:val="7"/>
    <w:link w:val="105"/>
    <w:qFormat/>
    <w:uiPriority w:val="0"/>
    <w:rPr>
      <w:b/>
      <w:bCs/>
    </w:rPr>
  </w:style>
  <w:style w:type="paragraph" w:styleId="21">
    <w:name w:val="Body Text First Indent"/>
    <w:basedOn w:val="8"/>
    <w:unhideWhenUsed/>
    <w:qFormat/>
    <w:uiPriority w:val="99"/>
    <w:pPr>
      <w:ind w:firstLine="420" w:firstLineChars="100"/>
    </w:pPr>
    <w:rPr>
      <w:kern w:val="0"/>
      <w:sz w:val="20"/>
      <w:szCs w:val="20"/>
    </w:rPr>
  </w:style>
  <w:style w:type="paragraph" w:styleId="22">
    <w:name w:val="Body Text First Indent 2"/>
    <w:basedOn w:val="9"/>
    <w:qFormat/>
    <w:uiPriority w:val="99"/>
    <w:pPr>
      <w:ind w:firstLine="420" w:firstLineChars="20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rPr>
      <w:rFonts w:ascii="Calibri" w:hAnsi="Calibri" w:eastAsia="宋体" w:cs="Times New Roman"/>
    </w:rPr>
  </w:style>
  <w:style w:type="character" w:styleId="28">
    <w:name w:val="Hyperlink"/>
    <w:qFormat/>
    <w:uiPriority w:val="0"/>
    <w:rPr>
      <w:color w:val="0000FF"/>
      <w:u w:val="single"/>
    </w:rPr>
  </w:style>
  <w:style w:type="character" w:styleId="29">
    <w:name w:val="annotation reference"/>
    <w:basedOn w:val="25"/>
    <w:qFormat/>
    <w:uiPriority w:val="0"/>
    <w:rPr>
      <w:sz w:val="21"/>
      <w:szCs w:val="21"/>
    </w:rPr>
  </w:style>
  <w:style w:type="character" w:customStyle="1" w:styleId="30">
    <w:name w:val="NormalCharacter"/>
    <w:link w:val="1"/>
    <w:qFormat/>
    <w:uiPriority w:val="0"/>
    <w:rPr>
      <w:rFonts w:ascii="Times New Roman" w:hAnsi="Times New Roman" w:eastAsia="仿宋_GB2312" w:cstheme="minorBidi"/>
      <w:kern w:val="2"/>
      <w:sz w:val="28"/>
      <w:szCs w:val="21"/>
      <w:lang w:val="en-US" w:eastAsia="zh-CN" w:bidi="ar-SA"/>
    </w:rPr>
  </w:style>
  <w:style w:type="character" w:customStyle="1" w:styleId="31">
    <w:name w:val="标题 2 Char"/>
    <w:link w:val="3"/>
    <w:semiHidden/>
    <w:qFormat/>
    <w:uiPriority w:val="0"/>
    <w:rPr>
      <w:rFonts w:ascii="Times New Roman" w:hAnsi="Times New Roman" w:eastAsia="仿宋_GB2312" w:cstheme="minorBidi"/>
      <w:b/>
      <w:bCs/>
      <w:kern w:val="2"/>
      <w:sz w:val="28"/>
      <w:szCs w:val="21"/>
      <w:lang w:val="en-US" w:eastAsia="zh-CN" w:bidi="ar-SA"/>
    </w:rPr>
  </w:style>
  <w:style w:type="paragraph" w:customStyle="1" w:styleId="32">
    <w:name w:val="Heading1"/>
    <w:basedOn w:val="1"/>
    <w:next w:val="1"/>
    <w:link w:val="48"/>
    <w:qFormat/>
    <w:uiPriority w:val="0"/>
    <w:pPr>
      <w:keepNext/>
      <w:keepLines/>
      <w:spacing w:before="120" w:after="120" w:line="360" w:lineRule="auto"/>
      <w:jc w:val="center"/>
    </w:pPr>
    <w:rPr>
      <w:rFonts w:cs="Times New Roman"/>
      <w:b/>
      <w:bCs/>
      <w:kern w:val="44"/>
      <w:sz w:val="32"/>
      <w:szCs w:val="32"/>
    </w:rPr>
  </w:style>
  <w:style w:type="paragraph" w:customStyle="1" w:styleId="33">
    <w:name w:val="Heading2"/>
    <w:basedOn w:val="1"/>
    <w:next w:val="1"/>
    <w:link w:val="67"/>
    <w:qFormat/>
    <w:locked/>
    <w:uiPriority w:val="0"/>
    <w:pPr>
      <w:keepNext/>
      <w:keepLines/>
      <w:spacing w:before="260" w:after="260" w:line="416" w:lineRule="auto"/>
    </w:pPr>
    <w:rPr>
      <w:rFonts w:ascii="Cambria" w:hAnsi="Cambria" w:cs="黑体"/>
      <w:b/>
      <w:bCs/>
      <w:sz w:val="32"/>
      <w:szCs w:val="32"/>
    </w:rPr>
  </w:style>
  <w:style w:type="paragraph" w:customStyle="1" w:styleId="34">
    <w:name w:val="Heading3"/>
    <w:basedOn w:val="1"/>
    <w:next w:val="1"/>
    <w:link w:val="74"/>
    <w:qFormat/>
    <w:locked/>
    <w:uiPriority w:val="0"/>
    <w:pPr>
      <w:keepNext/>
      <w:keepLines/>
      <w:spacing w:before="260" w:after="260" w:line="416" w:lineRule="auto"/>
    </w:pPr>
    <w:rPr>
      <w:rFonts w:cs="Times New Roman"/>
      <w:b/>
      <w:bCs/>
      <w:sz w:val="32"/>
      <w:szCs w:val="32"/>
    </w:rPr>
  </w:style>
  <w:style w:type="paragraph" w:customStyle="1" w:styleId="35">
    <w:name w:val="Heading5"/>
    <w:basedOn w:val="1"/>
    <w:next w:val="1"/>
    <w:link w:val="43"/>
    <w:qFormat/>
    <w:locked/>
    <w:uiPriority w:val="0"/>
    <w:pPr>
      <w:keepNext/>
      <w:keepLines/>
      <w:numPr>
        <w:ilvl w:val="4"/>
        <w:numId w:val="1"/>
      </w:numPr>
      <w:spacing w:before="280" w:after="290" w:line="376" w:lineRule="atLeast"/>
      <w:ind w:left="0" w:firstLine="0"/>
    </w:pPr>
    <w:rPr>
      <w:b/>
      <w:kern w:val="0"/>
      <w:sz w:val="28"/>
      <w:szCs w:val="20"/>
    </w:rPr>
  </w:style>
  <w:style w:type="paragraph" w:customStyle="1" w:styleId="36">
    <w:name w:val="Heading6"/>
    <w:basedOn w:val="1"/>
    <w:next w:val="1"/>
    <w:link w:val="61"/>
    <w:qFormat/>
    <w:locked/>
    <w:uiPriority w:val="0"/>
    <w:pPr>
      <w:keepNext/>
      <w:keepLines/>
      <w:numPr>
        <w:ilvl w:val="5"/>
        <w:numId w:val="1"/>
      </w:numPr>
      <w:spacing w:before="240" w:after="64" w:line="320" w:lineRule="atLeast"/>
      <w:ind w:left="0" w:firstLine="0"/>
    </w:pPr>
    <w:rPr>
      <w:rFonts w:ascii="Arial" w:hAnsi="Arial" w:eastAsia="黑体"/>
      <w:b/>
      <w:kern w:val="0"/>
      <w:sz w:val="24"/>
      <w:szCs w:val="20"/>
    </w:rPr>
  </w:style>
  <w:style w:type="paragraph" w:customStyle="1" w:styleId="37">
    <w:name w:val="Heading7"/>
    <w:basedOn w:val="1"/>
    <w:next w:val="1"/>
    <w:link w:val="77"/>
    <w:qFormat/>
    <w:locked/>
    <w:uiPriority w:val="0"/>
    <w:pPr>
      <w:keepNext/>
      <w:keepLines/>
      <w:numPr>
        <w:ilvl w:val="6"/>
        <w:numId w:val="1"/>
      </w:numPr>
      <w:spacing w:before="240" w:after="64" w:line="320" w:lineRule="atLeast"/>
      <w:ind w:left="0" w:firstLine="0"/>
    </w:pPr>
    <w:rPr>
      <w:b/>
      <w:kern w:val="0"/>
      <w:sz w:val="24"/>
      <w:szCs w:val="20"/>
    </w:rPr>
  </w:style>
  <w:style w:type="paragraph" w:customStyle="1" w:styleId="38">
    <w:name w:val="Heading8"/>
    <w:basedOn w:val="1"/>
    <w:next w:val="1"/>
    <w:link w:val="66"/>
    <w:qFormat/>
    <w:locked/>
    <w:uiPriority w:val="0"/>
    <w:pPr>
      <w:keepNext/>
      <w:keepLines/>
      <w:numPr>
        <w:ilvl w:val="7"/>
        <w:numId w:val="1"/>
      </w:numPr>
      <w:spacing w:before="240" w:after="64" w:line="320" w:lineRule="atLeast"/>
      <w:ind w:left="0" w:firstLine="0"/>
    </w:pPr>
    <w:rPr>
      <w:rFonts w:ascii="Arial" w:hAnsi="Arial" w:eastAsia="黑体"/>
      <w:kern w:val="0"/>
      <w:sz w:val="24"/>
      <w:szCs w:val="20"/>
    </w:rPr>
  </w:style>
  <w:style w:type="paragraph" w:customStyle="1" w:styleId="39">
    <w:name w:val="Heading9"/>
    <w:basedOn w:val="1"/>
    <w:next w:val="1"/>
    <w:link w:val="65"/>
    <w:qFormat/>
    <w:locked/>
    <w:uiPriority w:val="0"/>
    <w:pPr>
      <w:keepNext/>
      <w:keepLines/>
      <w:numPr>
        <w:ilvl w:val="8"/>
        <w:numId w:val="1"/>
      </w:numPr>
      <w:spacing w:before="240" w:after="64" w:line="320" w:lineRule="atLeast"/>
      <w:ind w:left="0" w:firstLine="0"/>
    </w:pPr>
    <w:rPr>
      <w:rFonts w:ascii="Arial" w:hAnsi="Arial" w:eastAsia="黑体"/>
      <w:kern w:val="0"/>
      <w:szCs w:val="20"/>
    </w:rPr>
  </w:style>
  <w:style w:type="table" w:customStyle="1" w:styleId="40">
    <w:name w:val="TableNormal"/>
    <w:qFormat/>
    <w:uiPriority w:val="0"/>
    <w:tblPr>
      <w:tblCellMar>
        <w:top w:w="0" w:type="dxa"/>
        <w:left w:w="0" w:type="dxa"/>
        <w:bottom w:w="0" w:type="dxa"/>
        <w:right w:w="0" w:type="dxa"/>
      </w:tblCellMar>
    </w:tblPr>
  </w:style>
  <w:style w:type="character" w:customStyle="1" w:styleId="41">
    <w:name w:val="UserStyle_0"/>
    <w:link w:val="42"/>
    <w:semiHidden/>
    <w:qFormat/>
    <w:uiPriority w:val="0"/>
    <w:rPr>
      <w:kern w:val="2"/>
      <w:sz w:val="21"/>
      <w:szCs w:val="21"/>
    </w:rPr>
  </w:style>
  <w:style w:type="paragraph" w:customStyle="1" w:styleId="42">
    <w:name w:val="BodyText2"/>
    <w:basedOn w:val="1"/>
    <w:link w:val="41"/>
    <w:qFormat/>
    <w:locked/>
    <w:uiPriority w:val="0"/>
    <w:pPr>
      <w:spacing w:after="120" w:line="480" w:lineRule="auto"/>
    </w:pPr>
  </w:style>
  <w:style w:type="character" w:customStyle="1" w:styleId="43">
    <w:name w:val="UserStyle_1"/>
    <w:link w:val="35"/>
    <w:qFormat/>
    <w:uiPriority w:val="0"/>
    <w:rPr>
      <w:b/>
      <w:sz w:val="28"/>
    </w:rPr>
  </w:style>
  <w:style w:type="character" w:customStyle="1" w:styleId="44">
    <w:name w:val="PageNumber"/>
    <w:basedOn w:val="30"/>
    <w:qFormat/>
    <w:uiPriority w:val="0"/>
  </w:style>
  <w:style w:type="character" w:customStyle="1" w:styleId="45">
    <w:name w:val="页眉 Char"/>
    <w:link w:val="16"/>
    <w:qFormat/>
    <w:locked/>
    <w:uiPriority w:val="0"/>
    <w:rPr>
      <w:kern w:val="2"/>
      <w:sz w:val="18"/>
      <w:szCs w:val="18"/>
    </w:rPr>
  </w:style>
  <w:style w:type="character" w:customStyle="1" w:styleId="46">
    <w:name w:val="AnnotationReference"/>
    <w:qFormat/>
    <w:locked/>
    <w:uiPriority w:val="0"/>
    <w:rPr>
      <w:sz w:val="21"/>
      <w:szCs w:val="21"/>
    </w:rPr>
  </w:style>
  <w:style w:type="character" w:customStyle="1" w:styleId="47">
    <w:name w:val="页脚 Char"/>
    <w:link w:val="14"/>
    <w:qFormat/>
    <w:locked/>
    <w:uiPriority w:val="99"/>
    <w:rPr>
      <w:kern w:val="2"/>
      <w:sz w:val="18"/>
      <w:szCs w:val="18"/>
    </w:rPr>
  </w:style>
  <w:style w:type="character" w:customStyle="1" w:styleId="48">
    <w:name w:val="UserStyle_4"/>
    <w:link w:val="32"/>
    <w:qFormat/>
    <w:locked/>
    <w:uiPriority w:val="0"/>
    <w:rPr>
      <w:rFonts w:cs="Times New Roman"/>
      <w:b/>
      <w:bCs/>
      <w:kern w:val="44"/>
      <w:sz w:val="44"/>
      <w:szCs w:val="44"/>
    </w:rPr>
  </w:style>
  <w:style w:type="character" w:customStyle="1" w:styleId="49">
    <w:name w:val="UserStyle_5"/>
    <w:link w:val="50"/>
    <w:qFormat/>
    <w:uiPriority w:val="0"/>
    <w:rPr>
      <w:kern w:val="2"/>
      <w:sz w:val="16"/>
      <w:szCs w:val="16"/>
    </w:rPr>
  </w:style>
  <w:style w:type="paragraph" w:customStyle="1" w:styleId="50">
    <w:name w:val="BodyTextIndent3"/>
    <w:basedOn w:val="1"/>
    <w:link w:val="49"/>
    <w:qFormat/>
    <w:locked/>
    <w:uiPriority w:val="0"/>
    <w:pPr>
      <w:spacing w:after="120"/>
      <w:ind w:left="420" w:leftChars="200"/>
    </w:pPr>
    <w:rPr>
      <w:sz w:val="16"/>
      <w:szCs w:val="16"/>
    </w:rPr>
  </w:style>
  <w:style w:type="character" w:customStyle="1" w:styleId="51">
    <w:name w:val="UserStyle_6"/>
    <w:link w:val="52"/>
    <w:qFormat/>
    <w:uiPriority w:val="0"/>
    <w:rPr>
      <w:rFonts w:cs="Times New Roman"/>
      <w:b/>
      <w:bCs/>
      <w:kern w:val="2"/>
      <w:sz w:val="24"/>
      <w:szCs w:val="24"/>
    </w:rPr>
  </w:style>
  <w:style w:type="paragraph" w:customStyle="1" w:styleId="52">
    <w:name w:val="UserStyle_7"/>
    <w:basedOn w:val="1"/>
    <w:link w:val="51"/>
    <w:qFormat/>
    <w:uiPriority w:val="0"/>
    <w:pPr>
      <w:spacing w:line="300" w:lineRule="auto"/>
      <w:jc w:val="center"/>
    </w:pPr>
    <w:rPr>
      <w:rFonts w:cs="Times New Roman"/>
      <w:b/>
      <w:bCs/>
      <w:sz w:val="24"/>
      <w:szCs w:val="24"/>
    </w:rPr>
  </w:style>
  <w:style w:type="character" w:customStyle="1" w:styleId="53">
    <w:name w:val="UserStyle_8"/>
    <w:link w:val="54"/>
    <w:semiHidden/>
    <w:qFormat/>
    <w:locked/>
    <w:uiPriority w:val="0"/>
    <w:rPr>
      <w:sz w:val="2"/>
      <w:szCs w:val="2"/>
    </w:rPr>
  </w:style>
  <w:style w:type="paragraph" w:customStyle="1" w:styleId="54">
    <w:name w:val="Acetate"/>
    <w:basedOn w:val="1"/>
    <w:link w:val="53"/>
    <w:semiHidden/>
    <w:qFormat/>
    <w:uiPriority w:val="0"/>
    <w:rPr>
      <w:sz w:val="18"/>
      <w:szCs w:val="18"/>
    </w:rPr>
  </w:style>
  <w:style w:type="character" w:customStyle="1" w:styleId="55">
    <w:name w:val="副标题 Char"/>
    <w:link w:val="18"/>
    <w:qFormat/>
    <w:uiPriority w:val="0"/>
    <w:rPr>
      <w:rFonts w:ascii="Cambria" w:hAnsi="Cambria" w:cs="黑体"/>
      <w:b/>
      <w:bCs/>
      <w:kern w:val="28"/>
      <w:sz w:val="32"/>
      <w:szCs w:val="32"/>
    </w:rPr>
  </w:style>
  <w:style w:type="character" w:customStyle="1" w:styleId="56">
    <w:name w:val="UserStyle_10"/>
    <w:link w:val="57"/>
    <w:qFormat/>
    <w:locked/>
    <w:uiPriority w:val="0"/>
    <w:rPr>
      <w:rFonts w:ascii="宋体" w:hAnsi="Courier New"/>
      <w:kern w:val="2"/>
      <w:sz w:val="21"/>
      <w:szCs w:val="21"/>
    </w:rPr>
  </w:style>
  <w:style w:type="paragraph" w:customStyle="1" w:styleId="57">
    <w:name w:val="PlainText"/>
    <w:basedOn w:val="1"/>
    <w:link w:val="56"/>
    <w:qFormat/>
    <w:uiPriority w:val="0"/>
    <w:rPr>
      <w:rFonts w:ascii="宋体" w:hAnsi="Courier New"/>
    </w:rPr>
  </w:style>
  <w:style w:type="character" w:customStyle="1" w:styleId="58">
    <w:name w:val="UserStyle_11"/>
    <w:link w:val="59"/>
    <w:qFormat/>
    <w:locked/>
    <w:uiPriority w:val="0"/>
    <w:rPr>
      <w:rFonts w:cs="Times New Roman"/>
      <w:b/>
      <w:bCs/>
      <w:kern w:val="2"/>
      <w:sz w:val="21"/>
      <w:szCs w:val="21"/>
    </w:rPr>
  </w:style>
  <w:style w:type="paragraph" w:customStyle="1" w:styleId="59">
    <w:name w:val="UserStyle_12"/>
    <w:basedOn w:val="60"/>
    <w:next w:val="60"/>
    <w:link w:val="58"/>
    <w:qFormat/>
    <w:uiPriority w:val="0"/>
    <w:rPr>
      <w:rFonts w:cs="Times New Roman"/>
      <w:b/>
      <w:bCs/>
    </w:rPr>
  </w:style>
  <w:style w:type="paragraph" w:customStyle="1" w:styleId="60">
    <w:name w:val="UserStyle_16"/>
    <w:basedOn w:val="1"/>
    <w:link w:val="64"/>
    <w:qFormat/>
    <w:uiPriority w:val="0"/>
    <w:pPr>
      <w:jc w:val="left"/>
    </w:pPr>
  </w:style>
  <w:style w:type="character" w:customStyle="1" w:styleId="61">
    <w:name w:val="UserStyle_13"/>
    <w:link w:val="36"/>
    <w:qFormat/>
    <w:uiPriority w:val="0"/>
    <w:rPr>
      <w:rFonts w:ascii="Arial" w:hAnsi="Arial" w:eastAsia="黑体"/>
      <w:b/>
      <w:sz w:val="24"/>
    </w:rPr>
  </w:style>
  <w:style w:type="character" w:customStyle="1" w:styleId="62">
    <w:name w:val="UserStyle_14"/>
    <w:link w:val="63"/>
    <w:semiHidden/>
    <w:qFormat/>
    <w:uiPriority w:val="0"/>
    <w:rPr>
      <w:kern w:val="2"/>
      <w:sz w:val="16"/>
      <w:szCs w:val="16"/>
    </w:rPr>
  </w:style>
  <w:style w:type="paragraph" w:customStyle="1" w:styleId="63">
    <w:name w:val="BodyText3"/>
    <w:basedOn w:val="1"/>
    <w:link w:val="62"/>
    <w:qFormat/>
    <w:locked/>
    <w:uiPriority w:val="0"/>
    <w:pPr>
      <w:spacing w:after="120"/>
    </w:pPr>
    <w:rPr>
      <w:sz w:val="16"/>
      <w:szCs w:val="16"/>
    </w:rPr>
  </w:style>
  <w:style w:type="character" w:customStyle="1" w:styleId="64">
    <w:name w:val="UserStyle_15"/>
    <w:link w:val="60"/>
    <w:qFormat/>
    <w:locked/>
    <w:uiPriority w:val="0"/>
    <w:rPr>
      <w:kern w:val="2"/>
      <w:sz w:val="21"/>
      <w:szCs w:val="21"/>
    </w:rPr>
  </w:style>
  <w:style w:type="character" w:customStyle="1" w:styleId="65">
    <w:name w:val="UserStyle_17"/>
    <w:link w:val="39"/>
    <w:qFormat/>
    <w:uiPriority w:val="0"/>
    <w:rPr>
      <w:rFonts w:ascii="Arial" w:hAnsi="Arial" w:eastAsia="黑体"/>
      <w:sz w:val="21"/>
    </w:rPr>
  </w:style>
  <w:style w:type="character" w:customStyle="1" w:styleId="66">
    <w:name w:val="UserStyle_18"/>
    <w:link w:val="38"/>
    <w:qFormat/>
    <w:uiPriority w:val="0"/>
    <w:rPr>
      <w:rFonts w:ascii="Arial" w:hAnsi="Arial" w:eastAsia="黑体"/>
      <w:sz w:val="24"/>
    </w:rPr>
  </w:style>
  <w:style w:type="character" w:customStyle="1" w:styleId="67">
    <w:name w:val="UserStyle_19"/>
    <w:link w:val="33"/>
    <w:qFormat/>
    <w:uiPriority w:val="0"/>
    <w:rPr>
      <w:rFonts w:ascii="Cambria" w:hAnsi="Cambria" w:eastAsia="宋体" w:cs="黑体"/>
      <w:b/>
      <w:bCs/>
      <w:kern w:val="2"/>
      <w:sz w:val="32"/>
      <w:szCs w:val="32"/>
    </w:rPr>
  </w:style>
  <w:style w:type="character" w:customStyle="1" w:styleId="68">
    <w:name w:val="UserStyle_20"/>
    <w:link w:val="69"/>
    <w:semiHidden/>
    <w:qFormat/>
    <w:uiPriority w:val="0"/>
    <w:rPr>
      <w:rFonts w:cs="Times New Roman"/>
      <w:b/>
      <w:bCs/>
      <w:kern w:val="2"/>
      <w:sz w:val="21"/>
      <w:szCs w:val="21"/>
    </w:rPr>
  </w:style>
  <w:style w:type="paragraph" w:customStyle="1" w:styleId="69">
    <w:name w:val="AnnotationSubject"/>
    <w:basedOn w:val="70"/>
    <w:next w:val="70"/>
    <w:link w:val="68"/>
    <w:qFormat/>
    <w:locked/>
    <w:uiPriority w:val="0"/>
    <w:rPr>
      <w:rFonts w:cs="Times New Roman"/>
      <w:b/>
      <w:bCs/>
    </w:rPr>
  </w:style>
  <w:style w:type="paragraph" w:customStyle="1" w:styleId="70">
    <w:name w:val="AnnotationText"/>
    <w:basedOn w:val="1"/>
    <w:link w:val="73"/>
    <w:qFormat/>
    <w:locked/>
    <w:uiPriority w:val="0"/>
    <w:pPr>
      <w:jc w:val="left"/>
    </w:pPr>
  </w:style>
  <w:style w:type="character" w:customStyle="1" w:styleId="71">
    <w:name w:val="UserStyle_21"/>
    <w:link w:val="72"/>
    <w:qFormat/>
    <w:uiPriority w:val="0"/>
    <w:rPr>
      <w:kern w:val="2"/>
      <w:sz w:val="21"/>
      <w:szCs w:val="21"/>
    </w:rPr>
  </w:style>
  <w:style w:type="paragraph" w:customStyle="1" w:styleId="72">
    <w:name w:val="179"/>
    <w:basedOn w:val="1"/>
    <w:link w:val="71"/>
    <w:qFormat/>
    <w:uiPriority w:val="0"/>
    <w:pPr>
      <w:ind w:firstLine="420" w:firstLineChars="200"/>
    </w:pPr>
  </w:style>
  <w:style w:type="character" w:customStyle="1" w:styleId="73">
    <w:name w:val="UserStyle_22"/>
    <w:link w:val="70"/>
    <w:semiHidden/>
    <w:qFormat/>
    <w:uiPriority w:val="0"/>
    <w:rPr>
      <w:kern w:val="2"/>
      <w:sz w:val="21"/>
      <w:szCs w:val="21"/>
    </w:rPr>
  </w:style>
  <w:style w:type="character" w:customStyle="1" w:styleId="74">
    <w:name w:val="UserStyle_23"/>
    <w:link w:val="34"/>
    <w:qFormat/>
    <w:uiPriority w:val="0"/>
    <w:rPr>
      <w:rFonts w:cs="Times New Roman"/>
      <w:b/>
      <w:bCs/>
      <w:kern w:val="2"/>
      <w:sz w:val="32"/>
      <w:szCs w:val="32"/>
    </w:rPr>
  </w:style>
  <w:style w:type="character" w:customStyle="1" w:styleId="75">
    <w:name w:val="UserStyle_24"/>
    <w:link w:val="76"/>
    <w:qFormat/>
    <w:uiPriority w:val="0"/>
    <w:rPr>
      <w:rFonts w:ascii="Cambria" w:hAnsi="Cambria"/>
      <w:sz w:val="21"/>
    </w:rPr>
  </w:style>
  <w:style w:type="paragraph" w:customStyle="1" w:styleId="76">
    <w:name w:val="BodyTextIndent"/>
    <w:basedOn w:val="1"/>
    <w:link w:val="75"/>
    <w:qFormat/>
    <w:locked/>
    <w:uiPriority w:val="0"/>
    <w:pPr>
      <w:ind w:firstLine="420" w:firstLineChars="200"/>
    </w:pPr>
    <w:rPr>
      <w:rFonts w:ascii="Cambria" w:hAnsi="Cambria"/>
      <w:kern w:val="0"/>
      <w:szCs w:val="20"/>
    </w:rPr>
  </w:style>
  <w:style w:type="character" w:customStyle="1" w:styleId="77">
    <w:name w:val="UserStyle_25"/>
    <w:link w:val="37"/>
    <w:qFormat/>
    <w:uiPriority w:val="0"/>
    <w:rPr>
      <w:b/>
      <w:sz w:val="24"/>
    </w:rPr>
  </w:style>
  <w:style w:type="paragraph" w:customStyle="1" w:styleId="78">
    <w:name w:val="TOC2"/>
    <w:basedOn w:val="1"/>
    <w:next w:val="1"/>
    <w:qFormat/>
    <w:locked/>
    <w:uiPriority w:val="0"/>
    <w:pPr>
      <w:ind w:left="420" w:leftChars="200"/>
    </w:pPr>
  </w:style>
  <w:style w:type="paragraph" w:customStyle="1" w:styleId="79">
    <w:name w:val="TOC1"/>
    <w:basedOn w:val="1"/>
    <w:next w:val="1"/>
    <w:qFormat/>
    <w:uiPriority w:val="0"/>
  </w:style>
  <w:style w:type="paragraph" w:customStyle="1" w:styleId="80">
    <w:name w:val="NormalIndent"/>
    <w:basedOn w:val="1"/>
    <w:qFormat/>
    <w:uiPriority w:val="0"/>
    <w:pPr>
      <w:ind w:firstLine="420"/>
    </w:pPr>
  </w:style>
  <w:style w:type="paragraph" w:customStyle="1" w:styleId="81">
    <w:name w:val="HtmlNormal"/>
    <w:basedOn w:val="1"/>
    <w:qFormat/>
    <w:uiPriority w:val="0"/>
    <w:rPr>
      <w:sz w:val="24"/>
      <w:szCs w:val="24"/>
    </w:rPr>
  </w:style>
  <w:style w:type="paragraph" w:customStyle="1" w:styleId="82">
    <w:name w:val="UserStyle_26"/>
    <w:basedOn w:val="1"/>
    <w:qFormat/>
    <w:uiPriority w:val="0"/>
    <w:pPr>
      <w:numPr>
        <w:ilvl w:val="0"/>
        <w:numId w:val="2"/>
      </w:numPr>
      <w:spacing w:line="360" w:lineRule="auto"/>
    </w:pPr>
    <w:rPr>
      <w:rFonts w:ascii="宋体" w:hAnsi="宋体"/>
      <w:color w:val="000000"/>
      <w:sz w:val="28"/>
      <w:szCs w:val="28"/>
    </w:rPr>
  </w:style>
  <w:style w:type="paragraph" w:customStyle="1" w:styleId="83">
    <w:name w:val="UserStyle_27"/>
    <w:basedOn w:val="1"/>
    <w:qFormat/>
    <w:uiPriority w:val="0"/>
    <w:pPr>
      <w:ind w:firstLine="420" w:firstLineChars="200"/>
    </w:pPr>
    <w:rPr>
      <w:szCs w:val="24"/>
    </w:rPr>
  </w:style>
  <w:style w:type="paragraph" w:customStyle="1" w:styleId="84">
    <w:name w:val="UserStyle_28"/>
    <w:basedOn w:val="1"/>
    <w:qFormat/>
    <w:uiPriority w:val="0"/>
    <w:pPr>
      <w:spacing w:line="300" w:lineRule="auto"/>
    </w:pPr>
    <w:rPr>
      <w:rFonts w:ascii="宋体"/>
      <w:sz w:val="24"/>
      <w:szCs w:val="24"/>
    </w:rPr>
  </w:style>
  <w:style w:type="paragraph" w:customStyle="1" w:styleId="85">
    <w:name w:val="UserStyle_29"/>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86">
    <w:name w:val="UserStyle_30"/>
    <w:basedOn w:val="1"/>
    <w:qFormat/>
    <w:uiPriority w:val="0"/>
    <w:pPr>
      <w:ind w:firstLine="420" w:firstLineChars="200"/>
    </w:pPr>
  </w:style>
  <w:style w:type="paragraph" w:customStyle="1" w:styleId="87">
    <w:name w:val="UserStyle_31"/>
    <w:basedOn w:val="1"/>
    <w:qFormat/>
    <w:uiPriority w:val="0"/>
    <w:pPr>
      <w:ind w:left="420" w:hanging="420"/>
    </w:pPr>
  </w:style>
  <w:style w:type="paragraph" w:customStyle="1" w:styleId="88">
    <w:name w:val="UserStyle_32"/>
    <w:basedOn w:val="1"/>
    <w:qFormat/>
    <w:uiPriority w:val="0"/>
    <w:pPr>
      <w:keepNext/>
      <w:keepLines/>
      <w:spacing w:before="240"/>
    </w:pPr>
    <w:rPr>
      <w:rFonts w:ascii="宋体" w:hAnsi="宋体" w:cs="宋体"/>
      <w:b/>
      <w:bCs/>
      <w:kern w:val="0"/>
    </w:rPr>
  </w:style>
  <w:style w:type="paragraph" w:customStyle="1" w:styleId="89">
    <w:name w:val="UserStyle_33"/>
    <w:basedOn w:val="1"/>
    <w:qFormat/>
    <w:uiPriority w:val="0"/>
    <w:pPr>
      <w:snapToGrid w:val="0"/>
      <w:jc w:val="left"/>
    </w:pPr>
    <w:rPr>
      <w:rFonts w:ascii="宋体" w:hAnsi="宋体"/>
      <w:color w:val="000000"/>
      <w:kern w:val="0"/>
      <w:sz w:val="24"/>
      <w:szCs w:val="24"/>
    </w:rPr>
  </w:style>
  <w:style w:type="paragraph" w:customStyle="1" w:styleId="90">
    <w:name w:val="UserStyle_34"/>
    <w:basedOn w:val="1"/>
    <w:qFormat/>
    <w:uiPriority w:val="0"/>
    <w:pPr>
      <w:jc w:val="center"/>
    </w:pPr>
    <w:rPr>
      <w:rFonts w:cs="Times New Roman"/>
      <w:b/>
      <w:bCs/>
      <w:sz w:val="32"/>
      <w:szCs w:val="32"/>
    </w:rPr>
  </w:style>
  <w:style w:type="paragraph" w:customStyle="1" w:styleId="91">
    <w:name w:val="UserStyle_35"/>
    <w:semiHidden/>
    <w:qFormat/>
    <w:uiPriority w:val="0"/>
    <w:pPr>
      <w:textAlignment w:val="baseline"/>
    </w:pPr>
    <w:rPr>
      <w:rFonts w:ascii="Times New Roman" w:hAnsi="Times New Roman" w:eastAsia="宋体" w:cstheme="minorBidi"/>
      <w:kern w:val="2"/>
      <w:sz w:val="21"/>
      <w:szCs w:val="21"/>
      <w:lang w:val="en-US" w:eastAsia="zh-CN" w:bidi="ar-SA"/>
    </w:rPr>
  </w:style>
  <w:style w:type="paragraph" w:customStyle="1" w:styleId="92">
    <w:name w:val="UserStyle_36"/>
    <w:basedOn w:val="1"/>
    <w:qFormat/>
    <w:uiPriority w:val="0"/>
    <w:pPr>
      <w:tabs>
        <w:tab w:val="left" w:pos="960"/>
      </w:tabs>
      <w:spacing w:line="300" w:lineRule="auto"/>
      <w:ind w:left="840" w:hanging="240"/>
      <w:jc w:val="left"/>
    </w:pPr>
    <w:rPr>
      <w:kern w:val="0"/>
      <w:sz w:val="24"/>
      <w:szCs w:val="20"/>
    </w:rPr>
  </w:style>
  <w:style w:type="paragraph" w:customStyle="1" w:styleId="93">
    <w:name w:val="UserStyle_37"/>
    <w:basedOn w:val="1"/>
    <w:qFormat/>
    <w:uiPriority w:val="0"/>
    <w:pPr>
      <w:jc w:val="center"/>
    </w:pPr>
    <w:rPr>
      <w:rFonts w:cs="Times New Roman"/>
      <w:b/>
      <w:bCs/>
      <w:sz w:val="32"/>
      <w:szCs w:val="32"/>
    </w:rPr>
  </w:style>
  <w:style w:type="paragraph" w:customStyle="1" w:styleId="94">
    <w:name w:val="UserStyle_38"/>
    <w:qFormat/>
    <w:uiPriority w:val="0"/>
    <w:pPr>
      <w:jc w:val="both"/>
      <w:textAlignment w:val="baseline"/>
    </w:pPr>
    <w:rPr>
      <w:rFonts w:ascii="Arial Unicode MS" w:hAnsi="Arial Unicode MS" w:eastAsia="Arial Unicode MS" w:cstheme="minorBidi"/>
      <w:color w:val="000000"/>
      <w:kern w:val="2"/>
      <w:sz w:val="21"/>
      <w:szCs w:val="21"/>
      <w:lang w:val="en-US" w:eastAsia="zh-CN" w:bidi="ar-SA"/>
    </w:rPr>
  </w:style>
  <w:style w:type="paragraph" w:customStyle="1" w:styleId="95">
    <w:name w:val="UserStyle_39"/>
    <w:basedOn w:val="1"/>
    <w:qFormat/>
    <w:uiPriority w:val="0"/>
    <w:pPr>
      <w:snapToGrid w:val="0"/>
      <w:spacing w:after="50" w:line="360" w:lineRule="auto"/>
    </w:pPr>
    <w:rPr>
      <w:sz w:val="24"/>
      <w:szCs w:val="24"/>
    </w:rPr>
  </w:style>
  <w:style w:type="paragraph" w:customStyle="1" w:styleId="96">
    <w:name w:val="UserStyle_40"/>
    <w:basedOn w:val="1"/>
    <w:qFormat/>
    <w:uiPriority w:val="0"/>
    <w:rPr>
      <w:rFonts w:ascii="宋体" w:hAnsi="Courier New"/>
    </w:rPr>
  </w:style>
  <w:style w:type="paragraph" w:customStyle="1" w:styleId="97">
    <w:name w:val="UserStyle_41"/>
    <w:basedOn w:val="1"/>
    <w:qFormat/>
    <w:uiPriority w:val="0"/>
    <w:pPr>
      <w:numPr>
        <w:ilvl w:val="1"/>
        <w:numId w:val="3"/>
      </w:numPr>
      <w:spacing w:after="156" w:line="360" w:lineRule="exact"/>
      <w:jc w:val="left"/>
    </w:pPr>
    <w:rPr>
      <w:rFonts w:ascii="宋体" w:hAnsi="宋体"/>
      <w:kern w:val="0"/>
      <w:sz w:val="24"/>
      <w:szCs w:val="24"/>
    </w:rPr>
  </w:style>
  <w:style w:type="paragraph" w:customStyle="1" w:styleId="98">
    <w:name w:val="UserStyle_42"/>
    <w:qFormat/>
    <w:uiPriority w:val="0"/>
    <w:pPr>
      <w:spacing w:line="360" w:lineRule="auto"/>
      <w:ind w:firstLine="454"/>
      <w:textAlignment w:val="baseline"/>
    </w:pPr>
    <w:rPr>
      <w:rFonts w:ascii="Times New Roman" w:hAnsi="Times New Roman" w:eastAsia="宋体" w:cstheme="minorBidi"/>
      <w:sz w:val="24"/>
      <w:lang w:val="en-US" w:eastAsia="zh-CN" w:bidi="ar-SA"/>
    </w:rPr>
  </w:style>
  <w:style w:type="paragraph" w:customStyle="1" w:styleId="99">
    <w:name w:val="UserStyle_43"/>
    <w:basedOn w:val="1"/>
    <w:qFormat/>
    <w:uiPriority w:val="0"/>
    <w:pPr>
      <w:ind w:firstLine="420" w:firstLineChars="200"/>
    </w:pPr>
  </w:style>
  <w:style w:type="paragraph" w:customStyle="1" w:styleId="100">
    <w:name w:val="列出段落1"/>
    <w:basedOn w:val="1"/>
    <w:qFormat/>
    <w:uiPriority w:val="34"/>
    <w:pPr>
      <w:ind w:firstLine="420" w:firstLineChars="200"/>
    </w:pPr>
  </w:style>
  <w:style w:type="paragraph" w:customStyle="1" w:styleId="101">
    <w:name w:val="列表段落1"/>
    <w:basedOn w:val="1"/>
    <w:qFormat/>
    <w:uiPriority w:val="34"/>
    <w:pPr>
      <w:ind w:firstLine="420" w:firstLineChars="200"/>
    </w:pPr>
    <w:rPr>
      <w:rFonts w:asciiTheme="minorHAnsi" w:hAnsiTheme="minorHAnsi" w:eastAsiaTheme="minorEastAsia"/>
      <w:szCs w:val="22"/>
    </w:rPr>
  </w:style>
  <w:style w:type="character" w:customStyle="1" w:styleId="102">
    <w:name w:val="批注框文本 Char"/>
    <w:basedOn w:val="25"/>
    <w:link w:val="13"/>
    <w:qFormat/>
    <w:uiPriority w:val="0"/>
    <w:rPr>
      <w:kern w:val="2"/>
      <w:sz w:val="18"/>
      <w:szCs w:val="18"/>
    </w:rPr>
  </w:style>
  <w:style w:type="paragraph" w:styleId="103">
    <w:name w:val="List Paragraph"/>
    <w:basedOn w:val="1"/>
    <w:unhideWhenUsed/>
    <w:qFormat/>
    <w:uiPriority w:val="34"/>
    <w:pPr>
      <w:ind w:firstLine="420" w:firstLineChars="200"/>
    </w:pPr>
  </w:style>
  <w:style w:type="character" w:customStyle="1" w:styleId="104">
    <w:name w:val="批注文字 Char"/>
    <w:basedOn w:val="25"/>
    <w:link w:val="7"/>
    <w:qFormat/>
    <w:uiPriority w:val="0"/>
    <w:rPr>
      <w:kern w:val="2"/>
      <w:sz w:val="21"/>
      <w:szCs w:val="21"/>
    </w:rPr>
  </w:style>
  <w:style w:type="character" w:customStyle="1" w:styleId="105">
    <w:name w:val="批注主题 Char"/>
    <w:basedOn w:val="104"/>
    <w:link w:val="20"/>
    <w:qFormat/>
    <w:uiPriority w:val="0"/>
    <w:rPr>
      <w:b/>
      <w:bCs/>
      <w:kern w:val="2"/>
      <w:sz w:val="21"/>
      <w:szCs w:val="21"/>
    </w:rPr>
  </w:style>
  <w:style w:type="character" w:customStyle="1" w:styleId="106">
    <w:name w:val="正文文本 Char"/>
    <w:basedOn w:val="25"/>
    <w:link w:val="8"/>
    <w:qFormat/>
    <w:uiPriority w:val="0"/>
    <w:rPr>
      <w:rFonts w:cs="Times New Roman"/>
      <w:kern w:val="2"/>
      <w:sz w:val="21"/>
      <w:szCs w:val="24"/>
    </w:rPr>
  </w:style>
  <w:style w:type="table" w:customStyle="1" w:styleId="107">
    <w:name w:val="Table Normal"/>
    <w:qFormat/>
    <w:uiPriority w:val="0"/>
    <w:pPr>
      <w:pBdr>
        <w:top w:val="none" w:color="auto" w:sz="0" w:space="0"/>
        <w:left w:val="none" w:color="auto" w:sz="0" w:space="0"/>
        <w:bottom w:val="none" w:color="auto" w:sz="0" w:space="0"/>
        <w:right w:val="none" w:color="auto" w:sz="0" w:space="0"/>
        <w:between w:val="none" w:color="auto" w:sz="0" w:space="0"/>
      </w:pBdr>
    </w:pPr>
    <w:rPr>
      <w:rFonts w:cs="Times New Roman" w:eastAsiaTheme="minorEastAsia"/>
    </w:rPr>
    <w:tblPr>
      <w:tblCellMar>
        <w:top w:w="0" w:type="dxa"/>
        <w:left w:w="0" w:type="dxa"/>
        <w:bottom w:w="0" w:type="dxa"/>
        <w:right w:w="0" w:type="dxa"/>
      </w:tblCellMar>
    </w:tblPr>
  </w:style>
  <w:style w:type="paragraph" w:customStyle="1" w:styleId="108">
    <w:name w:val="列出段落2"/>
    <w:basedOn w:val="1"/>
    <w:qFormat/>
    <w:uiPriority w:val="0"/>
    <w:pPr>
      <w:widowControl/>
      <w:ind w:left="720"/>
      <w:jc w:val="left"/>
    </w:pPr>
    <w:rPr>
      <w:rFonts w:ascii="Arial" w:hAnsi="Arial" w:eastAsia="黑体" w:cs="Arial"/>
      <w:kern w:val="0"/>
      <w:sz w:val="24"/>
      <w:lang w:val="zh-CN" w:eastAsia="en-US"/>
    </w:rPr>
  </w:style>
  <w:style w:type="paragraph" w:customStyle="1" w:styleId="109">
    <w:name w:val="_Style 15"/>
    <w:basedOn w:val="1"/>
    <w:next w:val="103"/>
    <w:qFormat/>
    <w:uiPriority w:val="34"/>
    <w:pPr>
      <w:ind w:firstLine="420" w:firstLineChars="200"/>
    </w:pPr>
  </w:style>
  <w:style w:type="paragraph" w:customStyle="1" w:styleId="110">
    <w:name w:val="正文文本1"/>
    <w:basedOn w:val="1"/>
    <w:qFormat/>
    <w:uiPriority w:val="0"/>
    <w:pPr>
      <w:widowControl w:val="0"/>
      <w:shd w:val="clear" w:color="auto" w:fill="auto"/>
      <w:spacing w:line="276" w:lineRule="auto"/>
      <w:ind w:firstLine="400"/>
    </w:pPr>
    <w:rPr>
      <w:rFonts w:ascii="微软雅黑" w:hAnsi="微软雅黑" w:eastAsia="微软雅黑" w:cs="微软雅黑"/>
      <w:u w:val="none"/>
      <w:lang w:val="zh-CN" w:eastAsia="zh-CN" w:bidi="zh-CN"/>
    </w:rPr>
  </w:style>
  <w:style w:type="character" w:customStyle="1" w:styleId="111">
    <w:name w:val="font41"/>
    <w:basedOn w:val="25"/>
    <w:qFormat/>
    <w:uiPriority w:val="0"/>
    <w:rPr>
      <w:rFonts w:hint="default" w:ascii="仿宋_GB2312" w:eastAsia="仿宋_GB2312" w:cs="仿宋_GB2312"/>
      <w:color w:val="000000"/>
      <w:sz w:val="22"/>
      <w:szCs w:val="22"/>
      <w:u w:val="none"/>
    </w:rPr>
  </w:style>
  <w:style w:type="character" w:customStyle="1" w:styleId="112">
    <w:name w:val="font31"/>
    <w:basedOn w:val="25"/>
    <w:qFormat/>
    <w:uiPriority w:val="0"/>
    <w:rPr>
      <w:rFonts w:hint="eastAsia" w:ascii="宋体" w:hAnsi="宋体" w:eastAsia="宋体" w:cs="宋体"/>
      <w:color w:val="000000"/>
      <w:sz w:val="22"/>
      <w:szCs w:val="22"/>
      <w:u w:val="none"/>
    </w:rPr>
  </w:style>
  <w:style w:type="character" w:customStyle="1" w:styleId="113">
    <w:name w:val="font81"/>
    <w:basedOn w:val="25"/>
    <w:qFormat/>
    <w:uiPriority w:val="0"/>
    <w:rPr>
      <w:rFonts w:hint="eastAsia" w:ascii="宋体" w:hAnsi="宋体" w:eastAsia="宋体" w:cs="宋体"/>
      <w:color w:val="000000"/>
      <w:sz w:val="22"/>
      <w:szCs w:val="22"/>
      <w:u w:val="none"/>
      <w:vertAlign w:val="superscript"/>
    </w:rPr>
  </w:style>
  <w:style w:type="paragraph" w:customStyle="1" w:styleId="114">
    <w:name w:val="style4"/>
    <w:basedOn w:val="1"/>
    <w:next w:val="115"/>
    <w:qFormat/>
    <w:uiPriority w:val="0"/>
    <w:pPr>
      <w:widowControl/>
      <w:spacing w:before="280" w:after="280"/>
    </w:pPr>
    <w:rPr>
      <w:rFonts w:ascii="宋体"/>
      <w:sz w:val="18"/>
    </w:rPr>
  </w:style>
  <w:style w:type="paragraph" w:customStyle="1" w:styleId="115">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16">
    <w:name w:val="font61"/>
    <w:basedOn w:val="25"/>
    <w:qFormat/>
    <w:uiPriority w:val="0"/>
    <w:rPr>
      <w:rFonts w:hint="eastAsia" w:ascii="宋体" w:hAnsi="宋体" w:eastAsia="宋体" w:cs="宋体"/>
      <w:color w:val="000000"/>
      <w:sz w:val="22"/>
      <w:szCs w:val="22"/>
      <w:u w:val="none"/>
    </w:rPr>
  </w:style>
  <w:style w:type="character" w:customStyle="1" w:styleId="117">
    <w:name w:val="font121"/>
    <w:basedOn w:val="25"/>
    <w:qFormat/>
    <w:uiPriority w:val="0"/>
    <w:rPr>
      <w:rFonts w:hint="default" w:ascii="Arial" w:hAnsi="Arial" w:cs="Arial"/>
      <w:color w:val="000000"/>
      <w:sz w:val="24"/>
      <w:szCs w:val="24"/>
      <w:u w:val="none"/>
    </w:rPr>
  </w:style>
  <w:style w:type="paragraph" w:customStyle="1" w:styleId="1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9">
    <w:name w:val="WPSOffice手动目录 1"/>
    <w:qFormat/>
    <w:uiPriority w:val="0"/>
    <w:pPr>
      <w:ind w:leftChars="0"/>
    </w:pPr>
    <w:rPr>
      <w:rFonts w:ascii="Times New Roman" w:hAnsi="Times New Roman" w:eastAsia="宋体" w:cs="Times New Roman"/>
      <w:sz w:val="20"/>
      <w:szCs w:val="20"/>
    </w:rPr>
  </w:style>
  <w:style w:type="character" w:customStyle="1" w:styleId="120">
    <w:name w:val="标题 1 Char"/>
    <w:link w:val="2"/>
    <w:qFormat/>
    <w:uiPriority w:val="0"/>
    <w:rPr>
      <w:rFonts w:ascii="Times New Roman" w:hAnsi="Times New Roman" w:eastAsia="方正小标宋简体"/>
      <w:kern w:val="44"/>
      <w:sz w:val="32"/>
    </w:rPr>
  </w:style>
  <w:style w:type="paragraph" w:customStyle="1" w:styleId="121">
    <w:name w:val="正文一"/>
    <w:basedOn w:val="1"/>
    <w:qFormat/>
    <w:uiPriority w:val="0"/>
    <w:pPr>
      <w:widowControl/>
      <w:ind w:firstLine="200" w:firstLineChars="200"/>
      <w:jc w:val="left"/>
      <w:textAlignment w:val="baseline"/>
    </w:pPr>
    <w:rPr>
      <w:rFonts w:eastAsia="楷体_GB2312"/>
      <w:kern w:val="0"/>
      <w:sz w:val="24"/>
      <w:szCs w:val="20"/>
    </w:rPr>
  </w:style>
  <w:style w:type="paragraph" w:customStyle="1" w:styleId="122">
    <w:name w:val="Plain Text1"/>
    <w:basedOn w:val="1"/>
    <w:qFormat/>
    <w:uiPriority w:val="99"/>
    <w:pPr>
      <w:widowControl/>
      <w:adjustRightInd w:val="0"/>
      <w:spacing w:line="312" w:lineRule="atLeast"/>
      <w:textAlignment w:val="baseline"/>
    </w:pPr>
    <w:rPr>
      <w:rFonts w:ascii="宋体" w:hAnsi="Courier New" w:eastAsia="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05FD7-011E-477D-97CD-F83EEEDD480C}">
  <ds:schemaRefs/>
</ds:datastoreItem>
</file>

<file path=docProps/app.xml><?xml version="1.0" encoding="utf-8"?>
<Properties xmlns="http://schemas.openxmlformats.org/officeDocument/2006/extended-properties" xmlns:vt="http://schemas.openxmlformats.org/officeDocument/2006/docPropsVTypes">
  <Template>Normal</Template>
  <Pages>53</Pages>
  <Words>11793</Words>
  <Characters>13056</Characters>
  <Lines>110</Lines>
  <Paragraphs>30</Paragraphs>
  <TotalTime>148</TotalTime>
  <ScaleCrop>false</ScaleCrop>
  <LinksUpToDate>false</LinksUpToDate>
  <CharactersWithSpaces>13125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2021-03-26T07:16:00Z</dcterms:created>
  <dc:creator>Data</dc:creator>
  <cp:lastModifiedBy>Administrator</cp:lastModifiedBy>
  <cp:lastPrinted>2025-11-10T06:45:00Z</cp:lastPrinted>
  <dcterms:modified xsi:type="dcterms:W3CDTF">2025-11-14T01:59:03Z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CC2A33B67D2443529DCD48308196E3A1</vt:lpwstr>
  </property>
  <property fmtid="{D5CDD505-2E9C-101B-9397-08002B2CF9AE}" pid="4" name="KSOTemplateDocerSaveRecord">
    <vt:lpwstr>eyJoZGlkIjoiMmY4ZThhZDA2ZTllYzAwYmYxYWE3NzZkYmU5N2Q0NzUifQ==</vt:lpwstr>
  </property>
</Properties>
</file>