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1A71DF">
      <w:pPr>
        <w:keepNext w:val="0"/>
        <w:keepLines w:val="0"/>
        <w:pageBreakBefore w:val="0"/>
        <w:kinsoku/>
        <w:wordWrap/>
        <w:overflowPunct/>
        <w:topLinePunct w:val="0"/>
        <w:autoSpaceDE/>
        <w:autoSpaceDN/>
        <w:bidi w:val="0"/>
        <w:adjustRightInd/>
        <w:snapToGrid/>
        <w:spacing w:line="578" w:lineRule="exact"/>
        <w:ind w:firstLine="640" w:firstLineChars="200"/>
        <w:jc w:val="center"/>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鹰潭一八四医院共享柜机充电宝便民服务</w:t>
      </w:r>
    </w:p>
    <w:p w14:paraId="3BB62FA8">
      <w:pPr>
        <w:keepNext w:val="0"/>
        <w:keepLines w:val="0"/>
        <w:pageBreakBefore w:val="0"/>
        <w:kinsoku/>
        <w:wordWrap/>
        <w:overflowPunct/>
        <w:topLinePunct w:val="0"/>
        <w:autoSpaceDE/>
        <w:autoSpaceDN/>
        <w:bidi w:val="0"/>
        <w:adjustRightInd/>
        <w:snapToGrid/>
        <w:spacing w:line="578" w:lineRule="exact"/>
        <w:ind w:firstLine="640" w:firstLineChars="200"/>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lang w:val="en-US" w:eastAsia="zh-CN"/>
        </w:rPr>
        <w:t>采购项目</w:t>
      </w:r>
      <w:r>
        <w:rPr>
          <w:rFonts w:hint="eastAsia" w:ascii="方正小标宋简体" w:hAnsi="方正小标宋简体" w:eastAsia="方正小标宋简体" w:cs="方正小标宋简体"/>
          <w:sz w:val="32"/>
          <w:szCs w:val="32"/>
          <w:lang w:eastAsia="zh-CN"/>
        </w:rPr>
        <w:t>竞价</w:t>
      </w:r>
      <w:r>
        <w:rPr>
          <w:rFonts w:hint="eastAsia" w:ascii="方正小标宋简体" w:hAnsi="方正小标宋简体" w:eastAsia="方正小标宋简体" w:cs="方正小标宋简体"/>
          <w:sz w:val="32"/>
          <w:szCs w:val="32"/>
        </w:rPr>
        <w:t>公告</w:t>
      </w:r>
    </w:p>
    <w:p w14:paraId="26283B5F">
      <w:pPr>
        <w:pStyle w:val="4"/>
        <w:keepNext w:val="0"/>
        <w:keepLines w:val="0"/>
        <w:pageBreakBefore w:val="0"/>
        <w:widowControl w:val="0"/>
        <w:numPr>
          <w:ilvl w:val="0"/>
          <w:numId w:val="1"/>
        </w:numPr>
        <w:kinsoku/>
        <w:wordWrap/>
        <w:overflowPunct/>
        <w:topLinePunct w:val="0"/>
        <w:autoSpaceDE/>
        <w:autoSpaceDN/>
        <w:bidi w:val="0"/>
        <w:adjustRightInd/>
        <w:snapToGrid/>
        <w:spacing w:line="578" w:lineRule="exact"/>
        <w:ind w:left="0" w:firstLine="560" w:firstLineChars="200"/>
        <w:textAlignment w:val="auto"/>
        <w:rPr>
          <w:rFonts w:hint="eastAsia" w:ascii="仿宋_GB2312" w:hAnsi="仿宋_GB2312" w:eastAsia="仿宋_GB2312" w:cs="仿宋_GB2312"/>
          <w:sz w:val="28"/>
          <w:szCs w:val="28"/>
          <w:highlight w:val="none"/>
          <w:lang w:val="zh-CN" w:eastAsia="zh-CN"/>
        </w:rPr>
      </w:pPr>
      <w:r>
        <w:rPr>
          <w:rFonts w:hint="eastAsia" w:ascii="黑体" w:hAnsi="黑体" w:eastAsia="黑体" w:cs="黑体"/>
          <w:sz w:val="28"/>
          <w:szCs w:val="28"/>
          <w:highlight w:val="none"/>
          <w:lang w:val="en-US" w:eastAsia="zh-CN"/>
        </w:rPr>
        <w:t>采购需求</w:t>
      </w:r>
    </w:p>
    <w:p w14:paraId="6FB7A196">
      <w:pPr>
        <w:keepNext w:val="0"/>
        <w:keepLines w:val="0"/>
        <w:pageBreakBefore w:val="0"/>
        <w:widowControl w:val="0"/>
        <w:kinsoku/>
        <w:wordWrap/>
        <w:overflowPunct/>
        <w:topLinePunct w:val="0"/>
        <w:autoSpaceDE/>
        <w:autoSpaceDN/>
        <w:bidi w:val="0"/>
        <w:adjustRightInd/>
        <w:snapToGrid/>
        <w:spacing w:line="578" w:lineRule="exact"/>
        <w:ind w:left="559" w:leftChars="266" w:firstLine="0" w:firstLineChars="0"/>
        <w:jc w:val="left"/>
        <w:textAlignment w:val="auto"/>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w:t>
      </w:r>
      <w:r>
        <w:rPr>
          <w:rFonts w:hint="eastAsia" w:ascii="仿宋_GB2312" w:hAnsi="仿宋_GB2312" w:eastAsia="仿宋_GB2312" w:cs="仿宋_GB2312"/>
          <w:sz w:val="28"/>
          <w:szCs w:val="28"/>
          <w:highlight w:val="none"/>
          <w:lang w:val="zh-CN" w:eastAsia="zh-CN"/>
        </w:rPr>
        <w:t>项目名称：</w:t>
      </w:r>
      <w:r>
        <w:rPr>
          <w:rFonts w:hint="eastAsia" w:ascii="仿宋_GB2312" w:hAnsi="仿宋_GB2312" w:eastAsia="仿宋_GB2312" w:cs="仿宋_GB2312"/>
          <w:sz w:val="28"/>
          <w:szCs w:val="28"/>
          <w:highlight w:val="none"/>
          <w:lang w:val="en-US" w:eastAsia="zh-CN"/>
        </w:rPr>
        <w:t>鹰潭一八四医院共享柜机充电宝便民服务采购项目2.</w:t>
      </w:r>
      <w:r>
        <w:rPr>
          <w:rFonts w:hint="eastAsia" w:ascii="仿宋_GB2312" w:hAnsi="仿宋_GB2312" w:eastAsia="仿宋_GB2312" w:cs="仿宋_GB2312"/>
          <w:sz w:val="28"/>
          <w:szCs w:val="28"/>
          <w:highlight w:val="none"/>
          <w:lang w:val="zh-CN" w:eastAsia="zh-CN"/>
        </w:rPr>
        <w:t>项目编号：</w:t>
      </w:r>
      <w:r>
        <w:rPr>
          <w:rFonts w:hint="eastAsia" w:ascii="仿宋_GB2312" w:hAnsi="仿宋_GB2312" w:eastAsia="仿宋_GB2312" w:cs="仿宋_GB2312"/>
          <w:sz w:val="28"/>
          <w:szCs w:val="28"/>
          <w:highlight w:val="none"/>
          <w:lang w:val="en-US" w:eastAsia="zh-CN"/>
        </w:rPr>
        <w:t>RTYL-184YY-018</w:t>
      </w:r>
    </w:p>
    <w:p w14:paraId="40FB816B">
      <w:pPr>
        <w:keepNext w:val="0"/>
        <w:keepLines w:val="0"/>
        <w:widowControl/>
        <w:suppressLineNumbers w:val="0"/>
        <w:ind w:firstLine="560" w:firstLineChars="200"/>
        <w:jc w:val="left"/>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3.</w:t>
      </w:r>
      <w:r>
        <w:rPr>
          <w:rFonts w:hint="eastAsia" w:ascii="仿宋_GB2312" w:hAnsi="仿宋_GB2312" w:eastAsia="仿宋_GB2312" w:cs="仿宋_GB2312"/>
          <w:sz w:val="28"/>
          <w:szCs w:val="28"/>
          <w:highlight w:val="none"/>
          <w:lang w:val="zh-CN" w:eastAsia="zh-CN"/>
        </w:rPr>
        <w:t>预算金额：</w:t>
      </w:r>
      <w:r>
        <w:rPr>
          <w:rFonts w:hint="eastAsia" w:ascii="仿宋_GB2312" w:hAnsi="仿宋_GB2312" w:eastAsia="仿宋_GB2312" w:cs="仿宋_GB2312"/>
          <w:sz w:val="28"/>
          <w:szCs w:val="28"/>
          <w:highlight w:val="none"/>
          <w:lang w:val="en-US" w:eastAsia="zh-CN"/>
        </w:rPr>
        <w:t>本项目收取场地使用管理费和电费，场地使用管理费按每台设备200</w:t>
      </w:r>
      <w:r>
        <w:rPr>
          <w:rFonts w:hint="default" w:ascii="仿宋_GB2312" w:hAnsi="仿宋_GB2312" w:eastAsia="仿宋_GB2312" w:cs="仿宋_GB2312"/>
          <w:sz w:val="28"/>
          <w:szCs w:val="28"/>
          <w:highlight w:val="none"/>
          <w:lang w:val="en-US" w:eastAsia="zh-CN"/>
        </w:rPr>
        <w:t>元/月起拍</w:t>
      </w:r>
      <w:r>
        <w:rPr>
          <w:rFonts w:hint="eastAsia" w:ascii="仿宋_GB2312" w:hAnsi="仿宋_GB2312" w:eastAsia="仿宋_GB2312" w:cs="仿宋_GB2312"/>
          <w:sz w:val="28"/>
          <w:szCs w:val="28"/>
          <w:highlight w:val="none"/>
          <w:lang w:val="en-US" w:eastAsia="zh-CN"/>
        </w:rPr>
        <w:t>，电费按实际发生收取。</w:t>
      </w:r>
    </w:p>
    <w:p w14:paraId="56F27019">
      <w:pPr>
        <w:keepNext w:val="0"/>
        <w:keepLines w:val="0"/>
        <w:pageBreakBefore w:val="0"/>
        <w:widowControl w:val="0"/>
        <w:kinsoku/>
        <w:wordWrap/>
        <w:overflowPunct/>
        <w:topLinePunct w:val="0"/>
        <w:autoSpaceDE/>
        <w:autoSpaceDN/>
        <w:bidi w:val="0"/>
        <w:adjustRightInd/>
        <w:snapToGrid/>
        <w:spacing w:line="578" w:lineRule="exact"/>
        <w:ind w:firstLine="560" w:firstLineChars="200"/>
        <w:jc w:val="left"/>
        <w:textAlignment w:val="auto"/>
        <w:rPr>
          <w:rFonts w:hint="default"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sz w:val="28"/>
          <w:szCs w:val="28"/>
          <w:highlight w:val="none"/>
          <w:lang w:val="en-US" w:eastAsia="zh-CN"/>
        </w:rPr>
        <w:t>4.服务期:3年，合同一年一签，合作方在每年合同期满前需提前1个月申请下一年度续约，经医院考核合格后续签。</w:t>
      </w:r>
    </w:p>
    <w:p w14:paraId="3E4BDDC4">
      <w:pPr>
        <w:keepNext w:val="0"/>
        <w:keepLines w:val="0"/>
        <w:pageBreakBefore w:val="0"/>
        <w:kinsoku/>
        <w:wordWrap/>
        <w:overflowPunct/>
        <w:topLinePunct w:val="0"/>
        <w:autoSpaceDE/>
        <w:autoSpaceDN/>
        <w:bidi w:val="0"/>
        <w:adjustRightInd/>
        <w:snapToGrid/>
        <w:spacing w:line="578" w:lineRule="exact"/>
        <w:ind w:firstLine="560" w:firstLineChars="200"/>
        <w:jc w:val="both"/>
        <w:rPr>
          <w:rFonts w:hint="eastAsia" w:ascii="仿宋_GB2312" w:hAnsi="仿宋_GB2312" w:eastAsia="仿宋_GB2312" w:cs="仿宋_GB2312"/>
          <w:sz w:val="30"/>
          <w:szCs w:val="30"/>
          <w:lang w:eastAsia="zh-CN"/>
        </w:rPr>
      </w:pPr>
      <w:r>
        <w:rPr>
          <w:rFonts w:hint="eastAsia" w:ascii="黑体" w:hAnsi="黑体" w:eastAsia="黑体" w:cs="黑体"/>
          <w:color w:val="auto"/>
          <w:sz w:val="28"/>
          <w:szCs w:val="28"/>
          <w:highlight w:val="none"/>
          <w:lang w:val="en-US" w:eastAsia="zh-CN"/>
        </w:rPr>
        <w:t>二、供应商条件要求</w:t>
      </w:r>
    </w:p>
    <w:p w14:paraId="10446419">
      <w:pPr>
        <w:pStyle w:val="4"/>
        <w:keepNext w:val="0"/>
        <w:keepLines w:val="0"/>
        <w:pageBreakBefore w:val="0"/>
        <w:widowControl w:val="0"/>
        <w:kinsoku/>
        <w:wordWrap/>
        <w:overflowPunct/>
        <w:topLinePunct w:val="0"/>
        <w:autoSpaceDE/>
        <w:autoSpaceDN/>
        <w:bidi w:val="0"/>
        <w:adjustRightInd/>
        <w:snapToGrid/>
        <w:spacing w:line="578" w:lineRule="exact"/>
        <w:ind w:left="0" w:firstLine="560" w:firstLineChars="200"/>
        <w:textAlignment w:val="auto"/>
        <w:rPr>
          <w:rFonts w:hint="eastAsia" w:ascii="仿宋_GB2312" w:hAnsi="仿宋_GB2312" w:eastAsia="仿宋_GB2312" w:cs="仿宋_GB2312"/>
          <w:sz w:val="28"/>
          <w:szCs w:val="28"/>
          <w:highlight w:val="none"/>
          <w:lang w:val="zh-CN" w:eastAsia="zh-CN"/>
        </w:rPr>
      </w:pPr>
      <w:r>
        <w:rPr>
          <w:rFonts w:hint="eastAsia" w:ascii="仿宋_GB2312" w:hAnsi="仿宋_GB2312" w:eastAsia="仿宋_GB2312" w:cs="仿宋_GB2312"/>
          <w:sz w:val="28"/>
          <w:szCs w:val="28"/>
          <w:highlight w:val="none"/>
          <w:lang w:val="zh-CN" w:eastAsia="zh-CN"/>
        </w:rPr>
        <w:t>1.供应商资格要求</w:t>
      </w:r>
    </w:p>
    <w:p w14:paraId="72906CC5">
      <w:pPr>
        <w:pStyle w:val="4"/>
        <w:keepNext w:val="0"/>
        <w:keepLines w:val="0"/>
        <w:pageBreakBefore w:val="0"/>
        <w:widowControl w:val="0"/>
        <w:kinsoku/>
        <w:wordWrap/>
        <w:overflowPunct/>
        <w:topLinePunct w:val="0"/>
        <w:autoSpaceDE/>
        <w:autoSpaceDN/>
        <w:bidi w:val="0"/>
        <w:adjustRightInd/>
        <w:snapToGrid/>
        <w:spacing w:line="578" w:lineRule="exact"/>
        <w:ind w:left="0" w:firstLine="560" w:firstLineChars="200"/>
        <w:textAlignment w:val="auto"/>
        <w:rPr>
          <w:rFonts w:hint="eastAsia" w:ascii="仿宋_GB2312" w:hAnsi="仿宋_GB2312" w:eastAsia="仿宋_GB2312" w:cs="仿宋_GB2312"/>
          <w:sz w:val="28"/>
          <w:szCs w:val="28"/>
          <w:highlight w:val="none"/>
          <w:lang w:val="zh-CN" w:eastAsia="zh-CN"/>
        </w:rPr>
      </w:pPr>
      <w:r>
        <w:rPr>
          <w:rFonts w:hint="eastAsia" w:ascii="仿宋_GB2312" w:hAnsi="仿宋_GB2312" w:eastAsia="仿宋_GB2312" w:cs="仿宋_GB2312"/>
          <w:sz w:val="28"/>
          <w:szCs w:val="28"/>
          <w:highlight w:val="none"/>
          <w:lang w:val="zh-CN" w:eastAsia="zh-CN"/>
        </w:rPr>
        <w:t>（1）满足法律法规的要求，包括：</w:t>
      </w:r>
    </w:p>
    <w:p w14:paraId="277FDEB4">
      <w:pPr>
        <w:pStyle w:val="4"/>
        <w:keepNext w:val="0"/>
        <w:keepLines w:val="0"/>
        <w:pageBreakBefore w:val="0"/>
        <w:widowControl w:val="0"/>
        <w:kinsoku/>
        <w:wordWrap/>
        <w:overflowPunct/>
        <w:topLinePunct w:val="0"/>
        <w:autoSpaceDE/>
        <w:autoSpaceDN/>
        <w:bidi w:val="0"/>
        <w:adjustRightInd/>
        <w:snapToGrid/>
        <w:spacing w:line="578" w:lineRule="exact"/>
        <w:ind w:left="0" w:firstLine="560" w:firstLineChars="200"/>
        <w:textAlignment w:val="auto"/>
        <w:rPr>
          <w:rFonts w:hint="eastAsia" w:ascii="仿宋_GB2312" w:hAnsi="仿宋_GB2312" w:eastAsia="仿宋_GB2312" w:cs="仿宋_GB2312"/>
          <w:sz w:val="28"/>
          <w:szCs w:val="28"/>
          <w:highlight w:val="none"/>
          <w:lang w:val="zh-CN" w:eastAsia="zh-CN"/>
        </w:rPr>
      </w:pPr>
      <w:r>
        <w:rPr>
          <w:rFonts w:hint="eastAsia" w:ascii="仿宋_GB2312" w:hAnsi="仿宋_GB2312" w:eastAsia="仿宋_GB2312" w:cs="仿宋_GB2312"/>
          <w:sz w:val="28"/>
          <w:szCs w:val="28"/>
          <w:highlight w:val="none"/>
          <w:lang w:val="zh-CN" w:eastAsia="zh-CN"/>
        </w:rPr>
        <w:t>在中华人民共和国注册并合法经营，具有独立承担民事责任的能力；</w:t>
      </w:r>
    </w:p>
    <w:p w14:paraId="02FB308F">
      <w:pPr>
        <w:pStyle w:val="4"/>
        <w:keepNext w:val="0"/>
        <w:keepLines w:val="0"/>
        <w:pageBreakBefore w:val="0"/>
        <w:widowControl w:val="0"/>
        <w:kinsoku/>
        <w:wordWrap/>
        <w:overflowPunct/>
        <w:topLinePunct w:val="0"/>
        <w:autoSpaceDE/>
        <w:autoSpaceDN/>
        <w:bidi w:val="0"/>
        <w:adjustRightInd/>
        <w:snapToGrid/>
        <w:spacing w:line="578" w:lineRule="exact"/>
        <w:ind w:left="0" w:firstLine="560" w:firstLineChars="200"/>
        <w:textAlignment w:val="auto"/>
        <w:rPr>
          <w:rFonts w:hint="eastAsia" w:ascii="仿宋_GB2312" w:hAnsi="仿宋_GB2312" w:eastAsia="仿宋_GB2312" w:cs="仿宋_GB2312"/>
          <w:sz w:val="28"/>
          <w:szCs w:val="28"/>
          <w:highlight w:val="none"/>
          <w:lang w:val="zh-CN" w:eastAsia="zh-CN"/>
        </w:rPr>
      </w:pPr>
      <w:r>
        <w:rPr>
          <w:rFonts w:hint="eastAsia" w:ascii="仿宋_GB2312" w:hAnsi="仿宋_GB2312" w:eastAsia="仿宋_GB2312" w:cs="仿宋_GB2312"/>
          <w:sz w:val="28"/>
          <w:szCs w:val="28"/>
          <w:highlight w:val="none"/>
          <w:lang w:val="zh-CN" w:eastAsia="zh-CN"/>
        </w:rPr>
        <w:t>具有良好的商业信誉和健全的财务会计制度；</w:t>
      </w:r>
    </w:p>
    <w:p w14:paraId="5F796B07">
      <w:pPr>
        <w:pStyle w:val="4"/>
        <w:keepNext w:val="0"/>
        <w:keepLines w:val="0"/>
        <w:pageBreakBefore w:val="0"/>
        <w:widowControl w:val="0"/>
        <w:kinsoku/>
        <w:wordWrap/>
        <w:overflowPunct/>
        <w:topLinePunct w:val="0"/>
        <w:autoSpaceDE/>
        <w:autoSpaceDN/>
        <w:bidi w:val="0"/>
        <w:adjustRightInd/>
        <w:snapToGrid/>
        <w:spacing w:line="578" w:lineRule="exact"/>
        <w:ind w:left="0" w:firstLine="560" w:firstLineChars="200"/>
        <w:textAlignment w:val="auto"/>
        <w:rPr>
          <w:rFonts w:hint="eastAsia" w:ascii="仿宋_GB2312" w:hAnsi="仿宋_GB2312" w:eastAsia="仿宋_GB2312" w:cs="仿宋_GB2312"/>
          <w:sz w:val="28"/>
          <w:szCs w:val="28"/>
          <w:highlight w:val="none"/>
          <w:lang w:val="zh-CN" w:eastAsia="zh-CN"/>
        </w:rPr>
      </w:pPr>
      <w:r>
        <w:rPr>
          <w:rFonts w:hint="eastAsia" w:ascii="仿宋_GB2312" w:hAnsi="仿宋_GB2312" w:eastAsia="仿宋_GB2312" w:cs="仿宋_GB2312"/>
          <w:sz w:val="28"/>
          <w:szCs w:val="28"/>
          <w:highlight w:val="none"/>
          <w:lang w:val="zh-CN" w:eastAsia="zh-CN"/>
        </w:rPr>
        <w:t>具有依法缴纳税收的良好记录；</w:t>
      </w:r>
    </w:p>
    <w:p w14:paraId="4FE57659">
      <w:pPr>
        <w:pStyle w:val="4"/>
        <w:keepNext w:val="0"/>
        <w:keepLines w:val="0"/>
        <w:pageBreakBefore w:val="0"/>
        <w:widowControl w:val="0"/>
        <w:kinsoku/>
        <w:wordWrap/>
        <w:overflowPunct/>
        <w:topLinePunct w:val="0"/>
        <w:autoSpaceDE/>
        <w:autoSpaceDN/>
        <w:bidi w:val="0"/>
        <w:adjustRightInd/>
        <w:snapToGrid/>
        <w:spacing w:line="578" w:lineRule="exact"/>
        <w:ind w:left="0" w:firstLine="560" w:firstLineChars="200"/>
        <w:textAlignment w:val="auto"/>
        <w:rPr>
          <w:rFonts w:hint="eastAsia" w:ascii="仿宋_GB2312" w:hAnsi="仿宋_GB2312" w:eastAsia="仿宋_GB2312" w:cs="仿宋_GB2312"/>
          <w:sz w:val="28"/>
          <w:szCs w:val="28"/>
          <w:highlight w:val="none"/>
          <w:lang w:val="zh-CN" w:eastAsia="zh-CN"/>
        </w:rPr>
      </w:pPr>
      <w:r>
        <w:rPr>
          <w:rFonts w:hint="eastAsia" w:ascii="仿宋_GB2312" w:hAnsi="仿宋_GB2312" w:eastAsia="仿宋_GB2312" w:cs="仿宋_GB2312"/>
          <w:sz w:val="28"/>
          <w:szCs w:val="28"/>
          <w:highlight w:val="none"/>
          <w:lang w:val="zh-CN" w:eastAsia="zh-CN"/>
        </w:rPr>
        <w:t>具有履行合同所必须的设备和专业技术能力；</w:t>
      </w:r>
    </w:p>
    <w:p w14:paraId="0E20C8E2">
      <w:pPr>
        <w:pStyle w:val="4"/>
        <w:keepNext w:val="0"/>
        <w:keepLines w:val="0"/>
        <w:pageBreakBefore w:val="0"/>
        <w:widowControl w:val="0"/>
        <w:kinsoku/>
        <w:wordWrap/>
        <w:overflowPunct/>
        <w:topLinePunct w:val="0"/>
        <w:autoSpaceDE/>
        <w:autoSpaceDN/>
        <w:bidi w:val="0"/>
        <w:adjustRightInd/>
        <w:snapToGrid/>
        <w:spacing w:line="578" w:lineRule="exact"/>
        <w:ind w:left="0" w:firstLine="560" w:firstLineChars="200"/>
        <w:textAlignment w:val="auto"/>
        <w:rPr>
          <w:rFonts w:hint="eastAsia" w:ascii="仿宋_GB2312" w:hAnsi="仿宋_GB2312" w:eastAsia="仿宋_GB2312" w:cs="仿宋_GB2312"/>
          <w:sz w:val="28"/>
          <w:szCs w:val="28"/>
          <w:highlight w:val="none"/>
          <w:lang w:val="zh-CN" w:eastAsia="zh-CN"/>
        </w:rPr>
      </w:pPr>
      <w:r>
        <w:rPr>
          <w:rFonts w:hint="eastAsia" w:ascii="仿宋_GB2312" w:hAnsi="仿宋_GB2312" w:eastAsia="仿宋_GB2312" w:cs="仿宋_GB2312"/>
          <w:sz w:val="28"/>
          <w:szCs w:val="28"/>
          <w:highlight w:val="none"/>
          <w:lang w:val="zh-CN" w:eastAsia="zh-CN"/>
        </w:rPr>
        <w:t>参加此采购活动前三年内，在经营活动中没有重大违法记录；</w:t>
      </w:r>
    </w:p>
    <w:p w14:paraId="4F49EA12">
      <w:pPr>
        <w:pStyle w:val="4"/>
        <w:keepNext w:val="0"/>
        <w:keepLines w:val="0"/>
        <w:pageBreakBefore w:val="0"/>
        <w:widowControl w:val="0"/>
        <w:kinsoku/>
        <w:wordWrap/>
        <w:overflowPunct/>
        <w:topLinePunct w:val="0"/>
        <w:autoSpaceDE/>
        <w:autoSpaceDN/>
        <w:bidi w:val="0"/>
        <w:adjustRightInd/>
        <w:snapToGrid/>
        <w:spacing w:line="578" w:lineRule="exact"/>
        <w:ind w:left="0" w:firstLine="560" w:firstLineChars="200"/>
        <w:textAlignment w:val="auto"/>
        <w:rPr>
          <w:rFonts w:hint="eastAsia" w:ascii="仿宋_GB2312" w:hAnsi="仿宋_GB2312" w:eastAsia="仿宋_GB2312" w:cs="仿宋_GB2312"/>
          <w:sz w:val="28"/>
          <w:szCs w:val="28"/>
          <w:highlight w:val="none"/>
          <w:lang w:val="zh-CN" w:eastAsia="zh-CN"/>
        </w:rPr>
      </w:pPr>
      <w:r>
        <w:rPr>
          <w:rFonts w:hint="eastAsia" w:ascii="仿宋_GB2312" w:hAnsi="仿宋_GB2312" w:eastAsia="仿宋_GB2312" w:cs="仿宋_GB2312"/>
          <w:sz w:val="28"/>
          <w:szCs w:val="28"/>
          <w:highlight w:val="none"/>
          <w:lang w:val="zh-CN" w:eastAsia="zh-CN"/>
        </w:rPr>
        <w:t>符合法律、法规规定的其他条件。</w:t>
      </w:r>
    </w:p>
    <w:p w14:paraId="7CCF8378">
      <w:pPr>
        <w:pStyle w:val="4"/>
        <w:keepNext w:val="0"/>
        <w:keepLines w:val="0"/>
        <w:pageBreakBefore w:val="0"/>
        <w:widowControl w:val="0"/>
        <w:kinsoku/>
        <w:wordWrap/>
        <w:overflowPunct/>
        <w:topLinePunct w:val="0"/>
        <w:autoSpaceDE/>
        <w:autoSpaceDN/>
        <w:bidi w:val="0"/>
        <w:adjustRightInd/>
        <w:snapToGrid/>
        <w:spacing w:line="578" w:lineRule="exact"/>
        <w:ind w:left="0" w:firstLine="560" w:firstLineChars="200"/>
        <w:textAlignment w:val="auto"/>
        <w:rPr>
          <w:rFonts w:hint="eastAsia" w:ascii="仿宋_GB2312" w:hAnsi="仿宋_GB2312" w:eastAsia="仿宋_GB2312" w:cs="仿宋_GB2312"/>
          <w:sz w:val="28"/>
          <w:szCs w:val="28"/>
          <w:highlight w:val="none"/>
          <w:lang w:val="zh-CN" w:eastAsia="zh-CN"/>
        </w:rPr>
      </w:pPr>
      <w:r>
        <w:rPr>
          <w:rFonts w:hint="eastAsia" w:ascii="仿宋_GB2312" w:hAnsi="仿宋_GB2312" w:eastAsia="仿宋_GB2312" w:cs="仿宋_GB2312"/>
          <w:sz w:val="28"/>
          <w:szCs w:val="28"/>
          <w:highlight w:val="none"/>
          <w:lang w:val="zh-CN" w:eastAsia="zh-CN"/>
        </w:rPr>
        <w:t>提供相关有效资质：</w:t>
      </w:r>
      <w:r>
        <w:rPr>
          <w:rFonts w:hint="eastAsia" w:ascii="仿宋_GB2312" w:hAnsi="仿宋_GB2312" w:eastAsia="仿宋_GB2312" w:cs="仿宋_GB2312"/>
          <w:sz w:val="28"/>
          <w:szCs w:val="28"/>
          <w:highlight w:val="none"/>
          <w:lang w:val="en-US" w:eastAsia="zh-CN"/>
        </w:rPr>
        <w:t>供应商</w:t>
      </w:r>
      <w:r>
        <w:rPr>
          <w:rFonts w:hint="eastAsia" w:ascii="仿宋_GB2312" w:hAnsi="仿宋_GB2312" w:eastAsia="仿宋_GB2312" w:cs="仿宋_GB2312"/>
          <w:sz w:val="28"/>
          <w:szCs w:val="28"/>
          <w:highlight w:val="none"/>
          <w:lang w:val="zh-CN" w:eastAsia="zh-CN"/>
        </w:rPr>
        <w:t>需具有合法有效的营业执照，明确经营范围包含与共享充电宝相关的业务，如 “电子产品租赁”“共享充电宝服务” 等，以符合工商登记管理规定。</w:t>
      </w:r>
    </w:p>
    <w:p w14:paraId="15496194">
      <w:pPr>
        <w:pStyle w:val="4"/>
        <w:keepNext w:val="0"/>
        <w:keepLines w:val="0"/>
        <w:pageBreakBefore w:val="0"/>
        <w:widowControl w:val="0"/>
        <w:kinsoku/>
        <w:wordWrap/>
        <w:overflowPunct/>
        <w:topLinePunct w:val="0"/>
        <w:autoSpaceDE/>
        <w:autoSpaceDN/>
        <w:bidi w:val="0"/>
        <w:adjustRightInd/>
        <w:snapToGrid/>
        <w:spacing w:line="578" w:lineRule="exact"/>
        <w:ind w:left="0" w:firstLine="560" w:firstLineChars="200"/>
        <w:textAlignment w:val="auto"/>
        <w:rPr>
          <w:rFonts w:hint="eastAsia" w:ascii="仿宋_GB2312" w:hAnsi="仿宋_GB2312" w:eastAsia="仿宋_GB2312" w:cs="仿宋_GB2312"/>
          <w:sz w:val="28"/>
          <w:szCs w:val="28"/>
          <w:highlight w:val="none"/>
          <w:lang w:val="zh-CN" w:eastAsia="zh-CN"/>
        </w:rPr>
      </w:pPr>
      <w:r>
        <w:rPr>
          <w:rFonts w:hint="eastAsia" w:ascii="仿宋_GB2312" w:hAnsi="仿宋_GB2312" w:eastAsia="仿宋_GB2312" w:cs="仿宋_GB2312"/>
          <w:sz w:val="28"/>
          <w:szCs w:val="28"/>
          <w:highlight w:val="none"/>
          <w:lang w:val="zh-CN" w:eastAsia="zh-CN"/>
        </w:rPr>
        <w:t>（</w:t>
      </w:r>
      <w:r>
        <w:rPr>
          <w:rFonts w:hint="eastAsia" w:ascii="仿宋_GB2312" w:hAnsi="仿宋_GB2312" w:eastAsia="仿宋_GB2312" w:cs="仿宋_GB2312"/>
          <w:sz w:val="28"/>
          <w:szCs w:val="28"/>
          <w:highlight w:val="none"/>
          <w:lang w:val="en-US" w:eastAsia="zh-CN"/>
        </w:rPr>
        <w:t>2</w:t>
      </w:r>
      <w:r>
        <w:rPr>
          <w:rFonts w:hint="eastAsia" w:ascii="仿宋_GB2312" w:hAnsi="仿宋_GB2312" w:eastAsia="仿宋_GB2312" w:cs="仿宋_GB2312"/>
          <w:sz w:val="28"/>
          <w:szCs w:val="28"/>
          <w:highlight w:val="none"/>
          <w:lang w:val="zh-CN" w:eastAsia="zh-CN"/>
        </w:rPr>
        <w:t>）</w:t>
      </w:r>
      <w:r>
        <w:rPr>
          <w:rFonts w:hint="eastAsia" w:ascii="仿宋_GB2312" w:hAnsi="仿宋_GB2312" w:eastAsia="仿宋_GB2312" w:cs="仿宋_GB2312"/>
          <w:sz w:val="28"/>
          <w:szCs w:val="28"/>
          <w:highlight w:val="none"/>
          <w:lang w:val="en-US" w:eastAsia="zh-CN"/>
        </w:rPr>
        <w:t>符合融通相关保密要求</w:t>
      </w:r>
    </w:p>
    <w:p w14:paraId="5A5750E6">
      <w:pPr>
        <w:pStyle w:val="4"/>
        <w:keepNext w:val="0"/>
        <w:keepLines w:val="0"/>
        <w:pageBreakBefore w:val="0"/>
        <w:widowControl w:val="0"/>
        <w:kinsoku/>
        <w:wordWrap/>
        <w:overflowPunct/>
        <w:topLinePunct w:val="0"/>
        <w:autoSpaceDE/>
        <w:autoSpaceDN/>
        <w:bidi w:val="0"/>
        <w:adjustRightInd/>
        <w:snapToGrid/>
        <w:spacing w:line="578" w:lineRule="exact"/>
        <w:ind w:left="0" w:firstLine="560" w:firstLineChars="200"/>
        <w:textAlignment w:val="auto"/>
        <w:rPr>
          <w:rFonts w:hint="eastAsia" w:ascii="仿宋_GB2312" w:hAnsi="仿宋_GB2312" w:eastAsia="仿宋_GB2312" w:cs="仿宋_GB2312"/>
          <w:sz w:val="28"/>
          <w:szCs w:val="28"/>
          <w:highlight w:val="none"/>
          <w:lang w:val="zh-CN" w:eastAsia="zh-CN"/>
        </w:rPr>
      </w:pPr>
      <w:r>
        <w:rPr>
          <w:rFonts w:hint="eastAsia" w:ascii="仿宋_GB2312" w:hAnsi="仿宋_GB2312" w:eastAsia="仿宋_GB2312" w:cs="仿宋_GB2312"/>
          <w:sz w:val="28"/>
          <w:szCs w:val="28"/>
          <w:highlight w:val="none"/>
          <w:lang w:val="en-US" w:eastAsia="zh-CN"/>
        </w:rPr>
        <w:t>（3）</w:t>
      </w:r>
      <w:r>
        <w:rPr>
          <w:rFonts w:hint="eastAsia" w:ascii="仿宋_GB2312" w:hAnsi="仿宋_GB2312" w:eastAsia="仿宋_GB2312" w:cs="仿宋_GB2312"/>
          <w:sz w:val="28"/>
          <w:szCs w:val="28"/>
          <w:highlight w:val="none"/>
          <w:lang w:val="zh-CN" w:eastAsia="zh-CN"/>
        </w:rPr>
        <w:t>供应商无不良信用记录（供应商至应答截止时间前未被中国政府采购网（www.ccgp.gov.cn）列入政府采购严重违法失信行为记录名单，未在中国融通电子商务平台（https://www.ronghw.cn）和军队采购网（www.plap.mil.cn）军队采购暂停名单处罚范围内或军队采购失信名单禁入处罚期和处罚范围内，以及未被“信用中国”（www.creditchina.gov.cn）列入严重失信主体名单或国家企业信用信息公示系统（www.gsxt.gov.cn）列入严重违法失信名单（处罚期内）。</w:t>
      </w:r>
    </w:p>
    <w:p w14:paraId="6C3459D3">
      <w:pPr>
        <w:pStyle w:val="4"/>
        <w:keepNext w:val="0"/>
        <w:keepLines w:val="0"/>
        <w:pageBreakBefore w:val="0"/>
        <w:widowControl w:val="0"/>
        <w:kinsoku/>
        <w:wordWrap/>
        <w:overflowPunct/>
        <w:topLinePunct w:val="0"/>
        <w:autoSpaceDE/>
        <w:autoSpaceDN/>
        <w:bidi w:val="0"/>
        <w:adjustRightInd/>
        <w:snapToGrid/>
        <w:spacing w:line="578" w:lineRule="exact"/>
        <w:ind w:left="0" w:firstLine="560" w:firstLineChars="200"/>
        <w:textAlignment w:val="auto"/>
        <w:rPr>
          <w:rFonts w:hint="eastAsia" w:ascii="仿宋_GB2312" w:hAnsi="仿宋_GB2312" w:eastAsia="仿宋_GB2312" w:cs="仿宋_GB2312"/>
          <w:sz w:val="28"/>
          <w:szCs w:val="28"/>
          <w:highlight w:val="none"/>
          <w:lang w:val="zh-CN" w:eastAsia="zh-CN"/>
        </w:rPr>
      </w:pPr>
      <w:r>
        <w:rPr>
          <w:rFonts w:hint="eastAsia" w:ascii="仿宋_GB2312" w:hAnsi="仿宋_GB2312" w:eastAsia="仿宋_GB2312" w:cs="仿宋_GB2312"/>
          <w:sz w:val="28"/>
          <w:szCs w:val="28"/>
          <w:highlight w:val="none"/>
          <w:lang w:val="zh-CN" w:eastAsia="zh-CN"/>
        </w:rPr>
        <w:t>2.供应商不得存在下列情形之一</w:t>
      </w:r>
    </w:p>
    <w:p w14:paraId="7D081B65">
      <w:pPr>
        <w:pStyle w:val="4"/>
        <w:keepNext w:val="0"/>
        <w:keepLines w:val="0"/>
        <w:pageBreakBefore w:val="0"/>
        <w:widowControl w:val="0"/>
        <w:kinsoku/>
        <w:wordWrap/>
        <w:overflowPunct/>
        <w:topLinePunct w:val="0"/>
        <w:autoSpaceDE/>
        <w:autoSpaceDN/>
        <w:bidi w:val="0"/>
        <w:adjustRightInd/>
        <w:snapToGrid/>
        <w:spacing w:line="578" w:lineRule="exact"/>
        <w:ind w:left="0" w:firstLine="560" w:firstLineChars="200"/>
        <w:textAlignment w:val="auto"/>
        <w:rPr>
          <w:rFonts w:hint="eastAsia" w:ascii="仿宋_GB2312" w:hAnsi="仿宋_GB2312" w:eastAsia="仿宋_GB2312" w:cs="仿宋_GB2312"/>
          <w:sz w:val="28"/>
          <w:szCs w:val="28"/>
          <w:highlight w:val="none"/>
          <w:lang w:val="zh-CN" w:eastAsia="zh-CN"/>
        </w:rPr>
      </w:pPr>
      <w:r>
        <w:rPr>
          <w:rFonts w:hint="eastAsia" w:ascii="仿宋_GB2312" w:hAnsi="仿宋_GB2312" w:eastAsia="仿宋_GB2312" w:cs="仿宋_GB2312"/>
          <w:sz w:val="28"/>
          <w:szCs w:val="28"/>
          <w:highlight w:val="none"/>
          <w:lang w:val="zh-CN" w:eastAsia="zh-CN"/>
        </w:rPr>
        <w:t>（1）与本项目其他供应商的单位负责人为同一人。</w:t>
      </w:r>
    </w:p>
    <w:p w14:paraId="7DEFB8A4">
      <w:pPr>
        <w:pStyle w:val="4"/>
        <w:keepNext w:val="0"/>
        <w:keepLines w:val="0"/>
        <w:pageBreakBefore w:val="0"/>
        <w:widowControl w:val="0"/>
        <w:kinsoku/>
        <w:wordWrap/>
        <w:overflowPunct/>
        <w:topLinePunct w:val="0"/>
        <w:autoSpaceDE/>
        <w:autoSpaceDN/>
        <w:bidi w:val="0"/>
        <w:adjustRightInd/>
        <w:snapToGrid/>
        <w:spacing w:line="578" w:lineRule="exact"/>
        <w:ind w:left="0" w:firstLine="560" w:firstLineChars="200"/>
        <w:textAlignment w:val="auto"/>
        <w:rPr>
          <w:rFonts w:hint="eastAsia" w:ascii="仿宋_GB2312" w:hAnsi="仿宋_GB2312" w:eastAsia="仿宋_GB2312" w:cs="仿宋_GB2312"/>
          <w:sz w:val="28"/>
          <w:szCs w:val="28"/>
          <w:highlight w:val="none"/>
          <w:lang w:val="zh-CN" w:eastAsia="zh-CN"/>
        </w:rPr>
      </w:pPr>
      <w:r>
        <w:rPr>
          <w:rFonts w:hint="eastAsia" w:ascii="仿宋_GB2312" w:hAnsi="仿宋_GB2312" w:eastAsia="仿宋_GB2312" w:cs="仿宋_GB2312"/>
          <w:sz w:val="28"/>
          <w:szCs w:val="28"/>
          <w:highlight w:val="none"/>
          <w:lang w:val="zh-CN" w:eastAsia="zh-CN"/>
        </w:rPr>
        <w:t>（2）与本项目其他供应商存在直接控股或管理关系。</w:t>
      </w:r>
    </w:p>
    <w:p w14:paraId="488AA51B">
      <w:pPr>
        <w:pStyle w:val="4"/>
        <w:keepNext w:val="0"/>
        <w:keepLines w:val="0"/>
        <w:pageBreakBefore w:val="0"/>
        <w:widowControl w:val="0"/>
        <w:kinsoku/>
        <w:wordWrap/>
        <w:overflowPunct/>
        <w:topLinePunct w:val="0"/>
        <w:autoSpaceDE/>
        <w:autoSpaceDN/>
        <w:bidi w:val="0"/>
        <w:adjustRightInd/>
        <w:snapToGrid/>
        <w:spacing w:line="578" w:lineRule="exact"/>
        <w:ind w:left="0" w:firstLine="560" w:firstLineChars="200"/>
        <w:textAlignment w:val="auto"/>
        <w:rPr>
          <w:rFonts w:hint="eastAsia" w:ascii="仿宋_GB2312" w:hAnsi="仿宋_GB2312" w:eastAsia="仿宋_GB2312" w:cs="仿宋_GB2312"/>
          <w:sz w:val="28"/>
          <w:szCs w:val="28"/>
          <w:highlight w:val="none"/>
          <w:lang w:val="zh-CN" w:eastAsia="zh-CN"/>
        </w:rPr>
      </w:pPr>
      <w:r>
        <w:rPr>
          <w:rFonts w:hint="eastAsia" w:ascii="仿宋_GB2312" w:hAnsi="仿宋_GB2312" w:eastAsia="仿宋_GB2312" w:cs="仿宋_GB2312"/>
          <w:sz w:val="28"/>
          <w:szCs w:val="28"/>
          <w:highlight w:val="none"/>
          <w:lang w:val="zh-CN" w:eastAsia="zh-CN"/>
        </w:rPr>
        <w:t>（3）近三年内在经营活动中存在以下严重不良情形：</w:t>
      </w:r>
    </w:p>
    <w:p w14:paraId="7AEDCC54">
      <w:pPr>
        <w:pStyle w:val="4"/>
        <w:keepNext w:val="0"/>
        <w:keepLines w:val="0"/>
        <w:pageBreakBefore w:val="0"/>
        <w:widowControl w:val="0"/>
        <w:kinsoku/>
        <w:wordWrap/>
        <w:overflowPunct/>
        <w:topLinePunct w:val="0"/>
        <w:autoSpaceDE/>
        <w:autoSpaceDN/>
        <w:bidi w:val="0"/>
        <w:adjustRightInd/>
        <w:snapToGrid/>
        <w:spacing w:line="578" w:lineRule="exact"/>
        <w:ind w:left="0" w:firstLine="560" w:firstLineChars="200"/>
        <w:textAlignment w:val="auto"/>
        <w:rPr>
          <w:rFonts w:hint="eastAsia" w:ascii="仿宋_GB2312" w:hAnsi="仿宋_GB2312" w:eastAsia="仿宋_GB2312" w:cs="仿宋_GB2312"/>
          <w:sz w:val="28"/>
          <w:szCs w:val="28"/>
          <w:highlight w:val="none"/>
          <w:lang w:val="zh-CN" w:eastAsia="zh-CN"/>
        </w:rPr>
      </w:pPr>
      <w:r>
        <w:rPr>
          <w:rFonts w:hint="eastAsia" w:ascii="仿宋_GB2312" w:hAnsi="仿宋_GB2312" w:eastAsia="仿宋_GB2312" w:cs="仿宋_GB2312"/>
          <w:sz w:val="28"/>
          <w:szCs w:val="28"/>
          <w:highlight w:val="none"/>
          <w:lang w:val="zh-CN" w:eastAsia="zh-CN"/>
        </w:rPr>
        <w:t>①被本项目所在地省级以上行业主管部门依法暂停、取消投标成绩并禁止参加采购活动的。</w:t>
      </w:r>
    </w:p>
    <w:p w14:paraId="0589B672">
      <w:pPr>
        <w:pStyle w:val="4"/>
        <w:keepNext w:val="0"/>
        <w:keepLines w:val="0"/>
        <w:pageBreakBefore w:val="0"/>
        <w:widowControl w:val="0"/>
        <w:kinsoku/>
        <w:wordWrap/>
        <w:overflowPunct/>
        <w:topLinePunct w:val="0"/>
        <w:autoSpaceDE/>
        <w:autoSpaceDN/>
        <w:bidi w:val="0"/>
        <w:adjustRightInd/>
        <w:snapToGrid/>
        <w:spacing w:line="578" w:lineRule="exact"/>
        <w:ind w:left="0" w:firstLine="560" w:firstLineChars="200"/>
        <w:textAlignment w:val="auto"/>
        <w:rPr>
          <w:rFonts w:hint="eastAsia" w:ascii="仿宋_GB2312" w:hAnsi="仿宋_GB2312" w:eastAsia="仿宋_GB2312" w:cs="仿宋_GB2312"/>
          <w:sz w:val="28"/>
          <w:szCs w:val="28"/>
          <w:highlight w:val="none"/>
          <w:lang w:val="zh-CN" w:eastAsia="zh-CN"/>
        </w:rPr>
      </w:pPr>
      <w:r>
        <w:rPr>
          <w:rFonts w:hint="eastAsia" w:ascii="仿宋_GB2312" w:hAnsi="仿宋_GB2312" w:eastAsia="仿宋_GB2312" w:cs="仿宋_GB2312"/>
          <w:sz w:val="28"/>
          <w:szCs w:val="28"/>
          <w:highlight w:val="none"/>
          <w:lang w:val="zh-CN" w:eastAsia="zh-CN"/>
        </w:rPr>
        <w:t>②处于被责令停产停业、暂扣或者吊销执照、暂扣或者吊销许可证、吊销资质证书状态。</w:t>
      </w:r>
    </w:p>
    <w:p w14:paraId="2ACE03F7">
      <w:pPr>
        <w:pStyle w:val="4"/>
        <w:keepNext w:val="0"/>
        <w:keepLines w:val="0"/>
        <w:pageBreakBefore w:val="0"/>
        <w:widowControl w:val="0"/>
        <w:kinsoku/>
        <w:wordWrap/>
        <w:overflowPunct/>
        <w:topLinePunct w:val="0"/>
        <w:autoSpaceDE/>
        <w:autoSpaceDN/>
        <w:bidi w:val="0"/>
        <w:adjustRightInd/>
        <w:snapToGrid/>
        <w:spacing w:line="578" w:lineRule="exact"/>
        <w:ind w:left="0" w:firstLine="560" w:firstLineChars="200"/>
        <w:textAlignment w:val="auto"/>
        <w:rPr>
          <w:rFonts w:hint="eastAsia" w:ascii="仿宋_GB2312" w:hAnsi="仿宋_GB2312" w:eastAsia="仿宋_GB2312" w:cs="仿宋_GB2312"/>
          <w:sz w:val="28"/>
          <w:szCs w:val="28"/>
          <w:highlight w:val="none"/>
          <w:lang w:val="zh-CN" w:eastAsia="zh-CN"/>
        </w:rPr>
      </w:pPr>
      <w:r>
        <w:rPr>
          <w:rFonts w:hint="eastAsia" w:ascii="仿宋_GB2312" w:hAnsi="仿宋_GB2312" w:eastAsia="仿宋_GB2312" w:cs="仿宋_GB2312"/>
          <w:sz w:val="28"/>
          <w:szCs w:val="28"/>
          <w:highlight w:val="none"/>
          <w:lang w:val="zh-CN" w:eastAsia="zh-CN"/>
        </w:rPr>
        <w:t>③进入清算程序，或被宣告破产，或其他丧失履约能力情形的。</w:t>
      </w:r>
    </w:p>
    <w:p w14:paraId="62D380D8">
      <w:pPr>
        <w:pStyle w:val="4"/>
        <w:keepNext w:val="0"/>
        <w:keepLines w:val="0"/>
        <w:pageBreakBefore w:val="0"/>
        <w:widowControl w:val="0"/>
        <w:kinsoku/>
        <w:wordWrap/>
        <w:overflowPunct/>
        <w:topLinePunct w:val="0"/>
        <w:autoSpaceDE/>
        <w:autoSpaceDN/>
        <w:bidi w:val="0"/>
        <w:adjustRightInd/>
        <w:snapToGrid/>
        <w:spacing w:line="578" w:lineRule="exact"/>
        <w:ind w:left="0" w:firstLine="560" w:firstLineChars="200"/>
        <w:textAlignment w:val="auto"/>
        <w:rPr>
          <w:rFonts w:hint="eastAsia" w:ascii="仿宋_GB2312" w:hAnsi="仿宋_GB2312" w:eastAsia="仿宋_GB2312" w:cs="仿宋_GB2312"/>
          <w:sz w:val="28"/>
          <w:szCs w:val="28"/>
          <w:highlight w:val="none"/>
          <w:lang w:val="zh-CN" w:eastAsia="zh-CN"/>
        </w:rPr>
      </w:pPr>
      <w:r>
        <w:rPr>
          <w:rFonts w:hint="eastAsia" w:ascii="仿宋_GB2312" w:hAnsi="仿宋_GB2312" w:eastAsia="仿宋_GB2312" w:cs="仿宋_GB2312"/>
          <w:sz w:val="28"/>
          <w:szCs w:val="28"/>
          <w:highlight w:val="none"/>
          <w:lang w:val="zh-CN" w:eastAsia="zh-CN"/>
        </w:rPr>
        <w:t>④根据公司供应商管理要求，被禁止参与采购活动且处于有效期内的。</w:t>
      </w:r>
    </w:p>
    <w:p w14:paraId="1DFD3ECE">
      <w:pPr>
        <w:pStyle w:val="4"/>
        <w:keepNext w:val="0"/>
        <w:keepLines w:val="0"/>
        <w:pageBreakBefore w:val="0"/>
        <w:widowControl w:val="0"/>
        <w:kinsoku/>
        <w:wordWrap/>
        <w:overflowPunct/>
        <w:topLinePunct w:val="0"/>
        <w:autoSpaceDE/>
        <w:autoSpaceDN/>
        <w:bidi w:val="0"/>
        <w:adjustRightInd/>
        <w:snapToGrid/>
        <w:spacing w:line="578" w:lineRule="exact"/>
        <w:ind w:left="0" w:firstLine="560" w:firstLineChars="200"/>
        <w:textAlignment w:val="auto"/>
        <w:rPr>
          <w:rFonts w:hint="eastAsia" w:ascii="仿宋_GB2312" w:hAnsi="仿宋_GB2312" w:eastAsia="仿宋_GB2312" w:cs="仿宋_GB2312"/>
          <w:sz w:val="28"/>
          <w:szCs w:val="28"/>
          <w:highlight w:val="none"/>
          <w:lang w:val="zh-CN" w:eastAsia="zh-CN"/>
        </w:rPr>
      </w:pPr>
      <w:r>
        <w:rPr>
          <w:rFonts w:hint="eastAsia" w:ascii="仿宋_GB2312" w:hAnsi="仿宋_GB2312" w:eastAsia="仿宋_GB2312" w:cs="仿宋_GB2312"/>
          <w:sz w:val="28"/>
          <w:szCs w:val="28"/>
          <w:highlight w:val="none"/>
          <w:lang w:val="zh-CN" w:eastAsia="zh-CN"/>
        </w:rPr>
        <w:t>⑤被列入中国融通资产管理集团有限公司商业活动“黑名单”。</w:t>
      </w:r>
    </w:p>
    <w:p w14:paraId="730D75D8">
      <w:pPr>
        <w:keepNext w:val="0"/>
        <w:keepLines w:val="0"/>
        <w:pageBreakBefore w:val="0"/>
        <w:kinsoku/>
        <w:wordWrap/>
        <w:overflowPunct/>
        <w:topLinePunct w:val="0"/>
        <w:autoSpaceDE/>
        <w:autoSpaceDN/>
        <w:bidi w:val="0"/>
        <w:adjustRightInd/>
        <w:snapToGrid/>
        <w:spacing w:line="578" w:lineRule="exact"/>
        <w:ind w:firstLine="560" w:firstLineChars="200"/>
        <w:jc w:val="both"/>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28"/>
          <w:szCs w:val="28"/>
          <w:highlight w:val="none"/>
          <w:lang w:val="en-US" w:eastAsia="zh-CN"/>
        </w:rPr>
        <w:t>3.</w:t>
      </w:r>
      <w:r>
        <w:rPr>
          <w:rFonts w:hint="eastAsia" w:ascii="仿宋_GB2312" w:hAnsi="仿宋_GB2312" w:eastAsia="仿宋_GB2312" w:cs="仿宋_GB2312"/>
          <w:sz w:val="28"/>
          <w:szCs w:val="28"/>
          <w:highlight w:val="none"/>
          <w:lang w:val="zh-CN" w:eastAsia="zh-CN"/>
        </w:rPr>
        <w:t>本项目不接受联合体参加采购活动。</w:t>
      </w:r>
    </w:p>
    <w:p w14:paraId="006FA660">
      <w:pPr>
        <w:keepNext w:val="0"/>
        <w:keepLines w:val="0"/>
        <w:pageBreakBefore w:val="0"/>
        <w:kinsoku/>
        <w:wordWrap/>
        <w:overflowPunct/>
        <w:topLinePunct w:val="0"/>
        <w:autoSpaceDE/>
        <w:autoSpaceDN/>
        <w:bidi w:val="0"/>
        <w:adjustRightInd/>
        <w:snapToGrid/>
        <w:spacing w:line="578" w:lineRule="exact"/>
        <w:ind w:firstLine="560" w:firstLineChars="200"/>
        <w:jc w:val="both"/>
        <w:rPr>
          <w:rFonts w:hint="eastAsia" w:ascii="黑体" w:hAnsi="黑体" w:eastAsia="黑体" w:cs="黑体"/>
          <w:color w:val="auto"/>
          <w:sz w:val="28"/>
          <w:szCs w:val="28"/>
          <w:highlight w:val="none"/>
          <w:lang w:val="en-US" w:eastAsia="zh-CN"/>
        </w:rPr>
      </w:pPr>
      <w:r>
        <w:rPr>
          <w:rFonts w:hint="eastAsia" w:ascii="黑体" w:hAnsi="黑体" w:eastAsia="黑体" w:cs="黑体"/>
          <w:color w:val="auto"/>
          <w:sz w:val="28"/>
          <w:szCs w:val="28"/>
          <w:highlight w:val="none"/>
          <w:lang w:val="en-US" w:eastAsia="zh-CN"/>
        </w:rPr>
        <w:t>三、投放点位及参数</w:t>
      </w:r>
    </w:p>
    <w:p w14:paraId="751C0857">
      <w:pPr>
        <w:keepNext w:val="0"/>
        <w:keepLines w:val="0"/>
        <w:pageBreakBefore w:val="0"/>
        <w:kinsoku/>
        <w:wordWrap/>
        <w:overflowPunct/>
        <w:topLinePunct w:val="0"/>
        <w:autoSpaceDE/>
        <w:autoSpaceDN/>
        <w:bidi w:val="0"/>
        <w:adjustRightInd/>
        <w:snapToGrid/>
        <w:spacing w:line="578" w:lineRule="exact"/>
        <w:jc w:val="both"/>
        <w:rPr>
          <w:rFonts w:hint="default" w:ascii="黑体" w:hAnsi="黑体" w:eastAsia="黑体" w:cs="黑体"/>
          <w:color w:val="auto"/>
          <w:sz w:val="28"/>
          <w:szCs w:val="28"/>
          <w:highlight w:val="none"/>
          <w:lang w:val="en-US" w:eastAsia="zh-CN"/>
        </w:rPr>
      </w:pPr>
    </w:p>
    <w:p w14:paraId="1EB505D6">
      <w:pPr>
        <w:keepNext w:val="0"/>
        <w:keepLines w:val="0"/>
        <w:pageBreakBefore w:val="0"/>
        <w:kinsoku/>
        <w:wordWrap/>
        <w:overflowPunct/>
        <w:topLinePunct w:val="0"/>
        <w:autoSpaceDE/>
        <w:autoSpaceDN/>
        <w:bidi w:val="0"/>
        <w:adjustRightInd/>
        <w:snapToGrid/>
        <w:spacing w:line="578" w:lineRule="exact"/>
        <w:ind w:firstLine="560" w:firstLineChars="200"/>
        <w:jc w:val="both"/>
        <w:rPr>
          <w:rFonts w:hint="default" w:ascii="黑体" w:hAnsi="黑体" w:eastAsia="黑体" w:cs="黑体"/>
          <w:color w:val="auto"/>
          <w:sz w:val="28"/>
          <w:szCs w:val="28"/>
          <w:highlight w:val="none"/>
          <w:lang w:val="en-US" w:eastAsia="zh-CN"/>
        </w:rPr>
      </w:pPr>
    </w:p>
    <w:tbl>
      <w:tblPr>
        <w:tblStyle w:val="5"/>
        <w:tblW w:w="84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9"/>
        <w:gridCol w:w="2300"/>
        <w:gridCol w:w="3644"/>
        <w:gridCol w:w="1450"/>
      </w:tblGrid>
      <w:tr w14:paraId="6770C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8403" w:type="dxa"/>
            <w:gridSpan w:val="4"/>
            <w:tcBorders>
              <w:top w:val="single" w:color="auto" w:sz="4" w:space="0"/>
            </w:tcBorders>
            <w:noWrap/>
            <w:vAlign w:val="center"/>
          </w:tcPr>
          <w:p w14:paraId="1330EBDE">
            <w:pPr>
              <w:jc w:val="center"/>
              <w:rPr>
                <w:rFonts w:hint="eastAsia" w:ascii="宋体" w:hAnsi="宋体" w:eastAsia="宋体" w:cs="宋体"/>
                <w:sz w:val="24"/>
                <w:lang w:eastAsia="zh-CN"/>
              </w:rPr>
            </w:pPr>
            <w:r>
              <w:rPr>
                <w:rFonts w:hint="eastAsia" w:ascii="楷体_GB2312" w:hAnsi="楷体_GB2312" w:eastAsia="楷体_GB2312" w:cs="楷体_GB2312"/>
                <w:sz w:val="28"/>
                <w:szCs w:val="28"/>
                <w:lang w:val="en-US" w:eastAsia="zh-CN"/>
              </w:rPr>
              <w:t xml:space="preserve">   </w:t>
            </w:r>
            <w:r>
              <w:rPr>
                <w:rFonts w:hint="eastAsia" w:ascii="仿宋_GB2312" w:hAnsi="仿宋_GB2312" w:eastAsia="仿宋_GB2312" w:cs="仿宋_GB2312"/>
                <w:kern w:val="2"/>
                <w:sz w:val="28"/>
                <w:szCs w:val="28"/>
                <w:highlight w:val="none"/>
                <w:lang w:val="en-US" w:eastAsia="zh-CN" w:bidi="ar-SA"/>
              </w:rPr>
              <w:t xml:space="preserve"> 投放点位</w:t>
            </w:r>
            <w:r>
              <w:rPr>
                <w:rFonts w:hint="eastAsia" w:ascii="楷体_GB2312" w:hAnsi="楷体_GB2312" w:eastAsia="楷体_GB2312" w:cs="楷体_GB2312"/>
                <w:sz w:val="28"/>
                <w:szCs w:val="28"/>
                <w:lang w:val="en-US" w:eastAsia="zh-CN"/>
              </w:rPr>
              <w:t xml:space="preserve">                    </w:t>
            </w:r>
          </w:p>
        </w:tc>
      </w:tr>
      <w:tr w14:paraId="3BA61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009" w:type="dxa"/>
            <w:noWrap/>
            <w:vAlign w:val="center"/>
          </w:tcPr>
          <w:p w14:paraId="290407CE">
            <w:pPr>
              <w:jc w:val="center"/>
              <w:rPr>
                <w:rFonts w:ascii="宋体" w:hAnsi="宋体" w:eastAsia="宋体" w:cs="宋体"/>
                <w:sz w:val="22"/>
              </w:rPr>
            </w:pPr>
            <w:r>
              <w:rPr>
                <w:rFonts w:hint="eastAsia" w:ascii="楷体_GB2312" w:hAnsi="楷体_GB2312" w:eastAsia="楷体_GB2312" w:cs="楷体_GB2312"/>
                <w:b/>
                <w:bCs/>
                <w:sz w:val="28"/>
                <w:szCs w:val="28"/>
                <w:vertAlign w:val="baseline"/>
                <w:lang w:eastAsia="zh-CN"/>
              </w:rPr>
              <w:t>序号</w:t>
            </w:r>
          </w:p>
        </w:tc>
        <w:tc>
          <w:tcPr>
            <w:tcW w:w="2300" w:type="dxa"/>
            <w:noWrap/>
            <w:vAlign w:val="center"/>
          </w:tcPr>
          <w:p w14:paraId="6154796A">
            <w:pPr>
              <w:jc w:val="center"/>
              <w:rPr>
                <w:rFonts w:ascii="宋体" w:hAnsi="宋体" w:eastAsia="宋体" w:cs="宋体"/>
                <w:sz w:val="22"/>
              </w:rPr>
            </w:pPr>
            <w:r>
              <w:rPr>
                <w:rFonts w:hint="eastAsia" w:ascii="楷体_GB2312" w:hAnsi="楷体_GB2312" w:eastAsia="楷体_GB2312" w:cs="楷体_GB2312"/>
                <w:b/>
                <w:bCs/>
                <w:sz w:val="28"/>
                <w:szCs w:val="28"/>
                <w:vertAlign w:val="baseline"/>
                <w:lang w:eastAsia="zh-CN"/>
              </w:rPr>
              <w:t>设备</w:t>
            </w:r>
          </w:p>
        </w:tc>
        <w:tc>
          <w:tcPr>
            <w:tcW w:w="3644" w:type="dxa"/>
            <w:noWrap/>
            <w:vAlign w:val="center"/>
          </w:tcPr>
          <w:p w14:paraId="2014B8D2">
            <w:pPr>
              <w:jc w:val="center"/>
              <w:rPr>
                <w:rFonts w:ascii="宋体" w:hAnsi="宋体" w:eastAsia="宋体" w:cs="宋体"/>
                <w:sz w:val="22"/>
              </w:rPr>
            </w:pPr>
            <w:r>
              <w:rPr>
                <w:rFonts w:hint="eastAsia" w:ascii="楷体_GB2312" w:hAnsi="楷体_GB2312" w:eastAsia="楷体_GB2312" w:cs="楷体_GB2312"/>
                <w:b/>
                <w:bCs/>
                <w:sz w:val="28"/>
                <w:szCs w:val="28"/>
                <w:vertAlign w:val="baseline"/>
                <w:lang w:eastAsia="zh-CN"/>
              </w:rPr>
              <w:t>投放点位</w:t>
            </w:r>
          </w:p>
        </w:tc>
        <w:tc>
          <w:tcPr>
            <w:tcW w:w="1450" w:type="dxa"/>
            <w:noWrap/>
            <w:vAlign w:val="center"/>
          </w:tcPr>
          <w:p w14:paraId="075068E2">
            <w:pPr>
              <w:jc w:val="center"/>
              <w:rPr>
                <w:rFonts w:ascii="宋体" w:hAnsi="宋体" w:eastAsia="宋体" w:cs="宋体"/>
                <w:sz w:val="22"/>
              </w:rPr>
            </w:pPr>
            <w:r>
              <w:rPr>
                <w:rFonts w:hint="eastAsia" w:ascii="楷体_GB2312" w:hAnsi="楷体_GB2312" w:eastAsia="楷体_GB2312" w:cs="楷体_GB2312"/>
                <w:b/>
                <w:bCs/>
                <w:sz w:val="28"/>
                <w:szCs w:val="28"/>
                <w:vertAlign w:val="baseline"/>
                <w:lang w:eastAsia="zh-CN"/>
              </w:rPr>
              <w:t>预计数量</w:t>
            </w:r>
          </w:p>
        </w:tc>
      </w:tr>
      <w:tr w14:paraId="44125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009" w:type="dxa"/>
            <w:noWrap/>
            <w:vAlign w:val="center"/>
          </w:tcPr>
          <w:p w14:paraId="32E7AF50">
            <w:pPr>
              <w:jc w:val="center"/>
              <w:rPr>
                <w:rFonts w:ascii="宋体" w:hAnsi="宋体" w:eastAsia="宋体" w:cs="宋体"/>
                <w:sz w:val="22"/>
              </w:rPr>
            </w:pPr>
            <w:r>
              <w:rPr>
                <w:rFonts w:hint="eastAsia" w:ascii="仿宋_GB2312" w:hAnsi="仿宋_GB2312" w:eastAsia="仿宋_GB2312" w:cs="仿宋_GB2312"/>
                <w:sz w:val="24"/>
                <w:szCs w:val="24"/>
                <w:vertAlign w:val="baseline"/>
                <w:lang w:val="en-US" w:eastAsia="zh-CN"/>
              </w:rPr>
              <w:t>1</w:t>
            </w:r>
          </w:p>
        </w:tc>
        <w:tc>
          <w:tcPr>
            <w:tcW w:w="2300" w:type="dxa"/>
            <w:noWrap/>
            <w:vAlign w:val="center"/>
          </w:tcPr>
          <w:p w14:paraId="716880FF">
            <w:pPr>
              <w:jc w:val="center"/>
              <w:rPr>
                <w:rFonts w:ascii="宋体" w:hAnsi="宋体" w:eastAsia="宋体" w:cs="宋体"/>
                <w:sz w:val="22"/>
              </w:rPr>
            </w:pPr>
            <w:r>
              <w:rPr>
                <w:rFonts w:hint="eastAsia" w:ascii="仿宋_GB2312" w:hAnsi="仿宋_GB2312" w:eastAsia="仿宋_GB2312" w:cs="仿宋_GB2312"/>
                <w:sz w:val="24"/>
                <w:szCs w:val="24"/>
                <w:vertAlign w:val="baseline"/>
                <w:lang w:val="en-US" w:eastAsia="zh-CN"/>
              </w:rPr>
              <w:t>共享充电宝</w:t>
            </w:r>
          </w:p>
        </w:tc>
        <w:tc>
          <w:tcPr>
            <w:tcW w:w="3644" w:type="dxa"/>
            <w:noWrap/>
            <w:vAlign w:val="center"/>
          </w:tcPr>
          <w:p w14:paraId="4F6708D6">
            <w:pPr>
              <w:jc w:val="center"/>
              <w:rPr>
                <w:rFonts w:ascii="宋体" w:hAnsi="宋体" w:eastAsia="宋体" w:cs="宋体"/>
                <w:sz w:val="22"/>
              </w:rPr>
            </w:pPr>
            <w:r>
              <w:rPr>
                <w:rFonts w:hint="eastAsia" w:ascii="仿宋_GB2312" w:hAnsi="仿宋_GB2312" w:eastAsia="仿宋_GB2312" w:cs="仿宋_GB2312"/>
                <w:sz w:val="24"/>
                <w:szCs w:val="24"/>
                <w:vertAlign w:val="baseline"/>
                <w:lang w:eastAsia="zh-CN"/>
              </w:rPr>
              <w:t>门诊一楼</w:t>
            </w:r>
          </w:p>
        </w:tc>
        <w:tc>
          <w:tcPr>
            <w:tcW w:w="1450" w:type="dxa"/>
            <w:noWrap/>
            <w:vAlign w:val="center"/>
          </w:tcPr>
          <w:p w14:paraId="56B20EC4">
            <w:pPr>
              <w:jc w:val="center"/>
              <w:rPr>
                <w:rFonts w:ascii="宋体" w:hAnsi="宋体" w:eastAsia="宋体" w:cs="宋体"/>
                <w:sz w:val="22"/>
              </w:rPr>
            </w:pPr>
            <w:r>
              <w:rPr>
                <w:rFonts w:hint="eastAsia" w:ascii="仿宋_GB2312" w:hAnsi="仿宋_GB2312" w:eastAsia="仿宋_GB2312" w:cs="仿宋_GB2312"/>
                <w:sz w:val="24"/>
                <w:szCs w:val="24"/>
                <w:vertAlign w:val="baseline"/>
                <w:lang w:val="en-US" w:eastAsia="zh-CN"/>
              </w:rPr>
              <w:t>1</w:t>
            </w:r>
          </w:p>
        </w:tc>
      </w:tr>
      <w:tr w14:paraId="63EB7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009" w:type="dxa"/>
            <w:noWrap/>
            <w:vAlign w:val="center"/>
          </w:tcPr>
          <w:p w14:paraId="3B1BEDD5">
            <w:pPr>
              <w:jc w:val="center"/>
              <w:rPr>
                <w:rFonts w:ascii="宋体" w:hAnsi="宋体" w:eastAsia="宋体" w:cs="宋体"/>
                <w:sz w:val="22"/>
              </w:rPr>
            </w:pPr>
            <w:r>
              <w:rPr>
                <w:rFonts w:hint="eastAsia" w:ascii="仿宋_GB2312" w:hAnsi="仿宋_GB2312" w:eastAsia="仿宋_GB2312" w:cs="仿宋_GB2312"/>
                <w:sz w:val="24"/>
                <w:szCs w:val="24"/>
                <w:vertAlign w:val="baseline"/>
                <w:lang w:val="en-US" w:eastAsia="zh-CN"/>
              </w:rPr>
              <w:t>2</w:t>
            </w:r>
          </w:p>
        </w:tc>
        <w:tc>
          <w:tcPr>
            <w:tcW w:w="2300" w:type="dxa"/>
            <w:noWrap/>
            <w:vAlign w:val="center"/>
          </w:tcPr>
          <w:p w14:paraId="1C687865">
            <w:pPr>
              <w:jc w:val="center"/>
              <w:rPr>
                <w:rFonts w:ascii="宋体" w:hAnsi="宋体" w:eastAsia="宋体" w:cs="宋体"/>
                <w:sz w:val="22"/>
              </w:rPr>
            </w:pPr>
            <w:r>
              <w:rPr>
                <w:rFonts w:hint="eastAsia" w:ascii="仿宋_GB2312" w:hAnsi="仿宋_GB2312" w:eastAsia="仿宋_GB2312" w:cs="仿宋_GB2312"/>
                <w:sz w:val="24"/>
                <w:szCs w:val="24"/>
                <w:vertAlign w:val="baseline"/>
                <w:lang w:val="en-US" w:eastAsia="zh-CN"/>
              </w:rPr>
              <w:t>共享充电宝</w:t>
            </w:r>
          </w:p>
        </w:tc>
        <w:tc>
          <w:tcPr>
            <w:tcW w:w="3644" w:type="dxa"/>
            <w:noWrap/>
            <w:vAlign w:val="center"/>
          </w:tcPr>
          <w:p w14:paraId="06731E33">
            <w:pPr>
              <w:jc w:val="center"/>
              <w:rPr>
                <w:rFonts w:ascii="宋体" w:hAnsi="宋体" w:eastAsia="宋体" w:cs="宋体"/>
                <w:sz w:val="22"/>
              </w:rPr>
            </w:pPr>
            <w:r>
              <w:rPr>
                <w:rFonts w:hint="eastAsia" w:ascii="仿宋_GB2312" w:hAnsi="仿宋_GB2312" w:eastAsia="仿宋_GB2312" w:cs="仿宋_GB2312"/>
                <w:sz w:val="24"/>
                <w:szCs w:val="24"/>
                <w:vertAlign w:val="baseline"/>
                <w:lang w:eastAsia="zh-CN"/>
              </w:rPr>
              <w:t>门诊</w:t>
            </w:r>
            <w:r>
              <w:rPr>
                <w:rFonts w:hint="eastAsia" w:ascii="仿宋_GB2312" w:hAnsi="仿宋_GB2312" w:eastAsia="仿宋_GB2312" w:cs="仿宋_GB2312"/>
                <w:sz w:val="24"/>
                <w:szCs w:val="24"/>
                <w:vertAlign w:val="baseline"/>
                <w:lang w:val="en-US" w:eastAsia="zh-CN"/>
              </w:rPr>
              <w:t>二</w:t>
            </w:r>
            <w:r>
              <w:rPr>
                <w:rFonts w:hint="eastAsia" w:ascii="仿宋_GB2312" w:hAnsi="仿宋_GB2312" w:eastAsia="仿宋_GB2312" w:cs="仿宋_GB2312"/>
                <w:sz w:val="24"/>
                <w:szCs w:val="24"/>
                <w:vertAlign w:val="baseline"/>
                <w:lang w:eastAsia="zh-CN"/>
              </w:rPr>
              <w:t>楼</w:t>
            </w:r>
          </w:p>
        </w:tc>
        <w:tc>
          <w:tcPr>
            <w:tcW w:w="1450" w:type="dxa"/>
            <w:noWrap/>
            <w:vAlign w:val="center"/>
          </w:tcPr>
          <w:p w14:paraId="3C980615">
            <w:pPr>
              <w:jc w:val="center"/>
              <w:rPr>
                <w:rFonts w:hint="default" w:ascii="宋体" w:hAnsi="宋体" w:eastAsia="宋体" w:cs="宋体"/>
                <w:sz w:val="22"/>
                <w:lang w:val="en-US"/>
              </w:rPr>
            </w:pPr>
            <w:r>
              <w:rPr>
                <w:rFonts w:hint="eastAsia" w:ascii="仿宋_GB2312" w:hAnsi="仿宋_GB2312" w:eastAsia="仿宋_GB2312" w:cs="仿宋_GB2312"/>
                <w:sz w:val="24"/>
                <w:szCs w:val="24"/>
                <w:vertAlign w:val="baseline"/>
                <w:lang w:val="en-US" w:eastAsia="zh-CN"/>
              </w:rPr>
              <w:t xml:space="preserve">1 </w:t>
            </w:r>
          </w:p>
        </w:tc>
      </w:tr>
      <w:tr w14:paraId="32F13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009" w:type="dxa"/>
            <w:noWrap/>
            <w:vAlign w:val="center"/>
          </w:tcPr>
          <w:p w14:paraId="73556244">
            <w:pPr>
              <w:jc w:val="center"/>
              <w:rPr>
                <w:rFonts w:ascii="宋体" w:hAnsi="宋体" w:eastAsia="宋体" w:cs="宋体"/>
                <w:sz w:val="22"/>
              </w:rPr>
            </w:pPr>
            <w:r>
              <w:rPr>
                <w:rFonts w:hint="eastAsia" w:ascii="仿宋_GB2312" w:hAnsi="仿宋_GB2312" w:eastAsia="仿宋_GB2312" w:cs="仿宋_GB2312"/>
                <w:sz w:val="24"/>
                <w:szCs w:val="24"/>
                <w:vertAlign w:val="baseline"/>
                <w:lang w:val="en-US" w:eastAsia="zh-CN"/>
              </w:rPr>
              <w:t>3</w:t>
            </w:r>
          </w:p>
        </w:tc>
        <w:tc>
          <w:tcPr>
            <w:tcW w:w="2300" w:type="dxa"/>
            <w:noWrap/>
            <w:vAlign w:val="center"/>
          </w:tcPr>
          <w:p w14:paraId="2B421412">
            <w:pPr>
              <w:jc w:val="center"/>
              <w:rPr>
                <w:rFonts w:ascii="宋体" w:hAnsi="宋体" w:eastAsia="宋体" w:cs="宋体"/>
                <w:sz w:val="22"/>
              </w:rPr>
            </w:pPr>
            <w:r>
              <w:rPr>
                <w:rFonts w:hint="eastAsia" w:ascii="仿宋_GB2312" w:hAnsi="仿宋_GB2312" w:eastAsia="仿宋_GB2312" w:cs="仿宋_GB2312"/>
                <w:sz w:val="24"/>
                <w:szCs w:val="24"/>
                <w:vertAlign w:val="baseline"/>
                <w:lang w:val="en-US" w:eastAsia="zh-CN"/>
              </w:rPr>
              <w:t>共享充电宝</w:t>
            </w:r>
          </w:p>
        </w:tc>
        <w:tc>
          <w:tcPr>
            <w:tcW w:w="3644" w:type="dxa"/>
            <w:noWrap/>
            <w:vAlign w:val="center"/>
          </w:tcPr>
          <w:p w14:paraId="14EA227C">
            <w:pPr>
              <w:jc w:val="center"/>
              <w:rPr>
                <w:rFonts w:ascii="宋体" w:hAnsi="宋体" w:eastAsia="宋体" w:cs="宋体"/>
                <w:sz w:val="22"/>
              </w:rPr>
            </w:pPr>
            <w:r>
              <w:rPr>
                <w:rFonts w:hint="eastAsia" w:ascii="仿宋_GB2312" w:hAnsi="仿宋_GB2312" w:eastAsia="仿宋_GB2312" w:cs="仿宋_GB2312"/>
                <w:sz w:val="24"/>
                <w:szCs w:val="24"/>
                <w:vertAlign w:val="baseline"/>
                <w:lang w:eastAsia="zh-CN"/>
              </w:rPr>
              <w:t>门诊</w:t>
            </w:r>
            <w:r>
              <w:rPr>
                <w:rFonts w:hint="eastAsia" w:ascii="仿宋_GB2312" w:hAnsi="仿宋_GB2312" w:eastAsia="仿宋_GB2312" w:cs="仿宋_GB2312"/>
                <w:sz w:val="24"/>
                <w:szCs w:val="24"/>
                <w:vertAlign w:val="baseline"/>
                <w:lang w:val="en-US" w:eastAsia="zh-CN"/>
              </w:rPr>
              <w:t>三</w:t>
            </w:r>
            <w:r>
              <w:rPr>
                <w:rFonts w:hint="eastAsia" w:ascii="仿宋_GB2312" w:hAnsi="仿宋_GB2312" w:eastAsia="仿宋_GB2312" w:cs="仿宋_GB2312"/>
                <w:sz w:val="24"/>
                <w:szCs w:val="24"/>
                <w:vertAlign w:val="baseline"/>
                <w:lang w:eastAsia="zh-CN"/>
              </w:rPr>
              <w:t>楼</w:t>
            </w:r>
          </w:p>
        </w:tc>
        <w:tc>
          <w:tcPr>
            <w:tcW w:w="1450" w:type="dxa"/>
            <w:noWrap/>
            <w:vAlign w:val="center"/>
          </w:tcPr>
          <w:p w14:paraId="455586E7">
            <w:pPr>
              <w:jc w:val="center"/>
              <w:rPr>
                <w:rFonts w:ascii="宋体" w:hAnsi="宋体" w:eastAsia="宋体" w:cs="宋体"/>
                <w:sz w:val="22"/>
              </w:rPr>
            </w:pPr>
            <w:r>
              <w:rPr>
                <w:rFonts w:hint="eastAsia" w:ascii="仿宋_GB2312" w:hAnsi="仿宋_GB2312" w:eastAsia="仿宋_GB2312" w:cs="仿宋_GB2312"/>
                <w:sz w:val="24"/>
                <w:szCs w:val="24"/>
                <w:vertAlign w:val="baseline"/>
                <w:lang w:val="en-US" w:eastAsia="zh-CN"/>
              </w:rPr>
              <w:t>1</w:t>
            </w:r>
          </w:p>
        </w:tc>
      </w:tr>
      <w:tr w14:paraId="70DB9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009" w:type="dxa"/>
            <w:noWrap/>
            <w:vAlign w:val="center"/>
          </w:tcPr>
          <w:p w14:paraId="47A889CA">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4</w:t>
            </w:r>
          </w:p>
        </w:tc>
        <w:tc>
          <w:tcPr>
            <w:tcW w:w="2300" w:type="dxa"/>
            <w:noWrap/>
            <w:vAlign w:val="center"/>
          </w:tcPr>
          <w:p w14:paraId="6C1E445C">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共享充电宝</w:t>
            </w:r>
          </w:p>
        </w:tc>
        <w:tc>
          <w:tcPr>
            <w:tcW w:w="3644" w:type="dxa"/>
            <w:noWrap/>
            <w:vAlign w:val="center"/>
          </w:tcPr>
          <w:p w14:paraId="119817CF">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门诊</w:t>
            </w:r>
            <w:r>
              <w:rPr>
                <w:rFonts w:hint="eastAsia" w:ascii="仿宋_GB2312" w:hAnsi="仿宋_GB2312" w:eastAsia="仿宋_GB2312" w:cs="仿宋_GB2312"/>
                <w:sz w:val="24"/>
                <w:szCs w:val="24"/>
                <w:vertAlign w:val="baseline"/>
                <w:lang w:val="en-US" w:eastAsia="zh-CN"/>
              </w:rPr>
              <w:t>四</w:t>
            </w:r>
            <w:r>
              <w:rPr>
                <w:rFonts w:hint="eastAsia" w:ascii="仿宋_GB2312" w:hAnsi="仿宋_GB2312" w:eastAsia="仿宋_GB2312" w:cs="仿宋_GB2312"/>
                <w:sz w:val="24"/>
                <w:szCs w:val="24"/>
                <w:vertAlign w:val="baseline"/>
                <w:lang w:eastAsia="zh-CN"/>
              </w:rPr>
              <w:t>楼</w:t>
            </w:r>
          </w:p>
        </w:tc>
        <w:tc>
          <w:tcPr>
            <w:tcW w:w="1450" w:type="dxa"/>
            <w:noWrap/>
            <w:vAlign w:val="center"/>
          </w:tcPr>
          <w:p w14:paraId="6BC6B3ED">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r>
      <w:tr w14:paraId="379F2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009" w:type="dxa"/>
            <w:noWrap/>
            <w:vAlign w:val="center"/>
          </w:tcPr>
          <w:p w14:paraId="56B50EAE">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5</w:t>
            </w:r>
          </w:p>
        </w:tc>
        <w:tc>
          <w:tcPr>
            <w:tcW w:w="2300" w:type="dxa"/>
            <w:noWrap/>
            <w:vAlign w:val="center"/>
          </w:tcPr>
          <w:p w14:paraId="0162DD3D">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共享充电宝</w:t>
            </w:r>
          </w:p>
        </w:tc>
        <w:tc>
          <w:tcPr>
            <w:tcW w:w="3644" w:type="dxa"/>
            <w:noWrap/>
            <w:vAlign w:val="center"/>
          </w:tcPr>
          <w:p w14:paraId="4DC27154">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住院部</w:t>
            </w:r>
          </w:p>
        </w:tc>
        <w:tc>
          <w:tcPr>
            <w:tcW w:w="1450" w:type="dxa"/>
            <w:noWrap/>
            <w:vAlign w:val="center"/>
          </w:tcPr>
          <w:p w14:paraId="52BADCA0">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4</w:t>
            </w:r>
          </w:p>
        </w:tc>
      </w:tr>
      <w:tr w14:paraId="6AD3B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009" w:type="dxa"/>
            <w:noWrap/>
            <w:vAlign w:val="center"/>
          </w:tcPr>
          <w:p w14:paraId="18B3718D">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6</w:t>
            </w:r>
          </w:p>
        </w:tc>
        <w:tc>
          <w:tcPr>
            <w:tcW w:w="2300" w:type="dxa"/>
            <w:noWrap/>
            <w:vAlign w:val="center"/>
          </w:tcPr>
          <w:p w14:paraId="4616460F">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共享充电宝</w:t>
            </w:r>
          </w:p>
        </w:tc>
        <w:tc>
          <w:tcPr>
            <w:tcW w:w="3644" w:type="dxa"/>
            <w:noWrap/>
            <w:vAlign w:val="center"/>
          </w:tcPr>
          <w:p w14:paraId="794D91F6">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住院部</w:t>
            </w:r>
            <w:r>
              <w:rPr>
                <w:rFonts w:hint="eastAsia" w:ascii="仿宋_GB2312" w:hAnsi="仿宋_GB2312" w:eastAsia="仿宋_GB2312" w:cs="仿宋_GB2312"/>
                <w:sz w:val="24"/>
                <w:szCs w:val="24"/>
                <w:vertAlign w:val="baseline"/>
                <w:lang w:val="en-US" w:eastAsia="zh-CN"/>
              </w:rPr>
              <w:t>11楼麻醉科候诊室</w:t>
            </w:r>
          </w:p>
        </w:tc>
        <w:tc>
          <w:tcPr>
            <w:tcW w:w="1450" w:type="dxa"/>
            <w:noWrap/>
            <w:vAlign w:val="center"/>
          </w:tcPr>
          <w:p w14:paraId="3B4AEE0E">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r>
      <w:tr w14:paraId="7D561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009" w:type="dxa"/>
            <w:noWrap/>
            <w:vAlign w:val="center"/>
          </w:tcPr>
          <w:p w14:paraId="1C42A437">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7</w:t>
            </w:r>
          </w:p>
        </w:tc>
        <w:tc>
          <w:tcPr>
            <w:tcW w:w="2300" w:type="dxa"/>
            <w:noWrap/>
            <w:vAlign w:val="center"/>
          </w:tcPr>
          <w:p w14:paraId="0E71C146">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共享充电宝</w:t>
            </w:r>
          </w:p>
        </w:tc>
        <w:tc>
          <w:tcPr>
            <w:tcW w:w="3644" w:type="dxa"/>
            <w:noWrap/>
            <w:vAlign w:val="center"/>
          </w:tcPr>
          <w:p w14:paraId="5C719DCA">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新建康复大楼</w:t>
            </w:r>
          </w:p>
        </w:tc>
        <w:tc>
          <w:tcPr>
            <w:tcW w:w="1450" w:type="dxa"/>
            <w:noWrap/>
            <w:vAlign w:val="center"/>
          </w:tcPr>
          <w:p w14:paraId="6BA15B01">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r>
      <w:tr w14:paraId="4976E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009" w:type="dxa"/>
            <w:noWrap/>
            <w:vAlign w:val="center"/>
          </w:tcPr>
          <w:p w14:paraId="543B5CDC">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8</w:t>
            </w:r>
          </w:p>
        </w:tc>
        <w:tc>
          <w:tcPr>
            <w:tcW w:w="2300" w:type="dxa"/>
            <w:noWrap/>
            <w:vAlign w:val="center"/>
          </w:tcPr>
          <w:p w14:paraId="437D5440">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共享充电宝</w:t>
            </w:r>
          </w:p>
        </w:tc>
        <w:tc>
          <w:tcPr>
            <w:tcW w:w="3644" w:type="dxa"/>
            <w:noWrap/>
            <w:vAlign w:val="center"/>
          </w:tcPr>
          <w:p w14:paraId="2A3C14C9">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医学影像二部</w:t>
            </w:r>
          </w:p>
        </w:tc>
        <w:tc>
          <w:tcPr>
            <w:tcW w:w="1450" w:type="dxa"/>
            <w:noWrap/>
            <w:vAlign w:val="center"/>
          </w:tcPr>
          <w:p w14:paraId="0D0A8D30">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r>
      <w:tr w14:paraId="08F99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009" w:type="dxa"/>
            <w:noWrap/>
            <w:vAlign w:val="center"/>
          </w:tcPr>
          <w:p w14:paraId="00D59C2C">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9</w:t>
            </w:r>
          </w:p>
        </w:tc>
        <w:tc>
          <w:tcPr>
            <w:tcW w:w="2300" w:type="dxa"/>
            <w:noWrap/>
            <w:vAlign w:val="center"/>
          </w:tcPr>
          <w:p w14:paraId="184E0B0C">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共享充电宝</w:t>
            </w:r>
          </w:p>
        </w:tc>
        <w:tc>
          <w:tcPr>
            <w:tcW w:w="3644" w:type="dxa"/>
            <w:noWrap/>
            <w:vAlign w:val="center"/>
          </w:tcPr>
          <w:p w14:paraId="728393B8">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体检中心</w:t>
            </w:r>
          </w:p>
        </w:tc>
        <w:tc>
          <w:tcPr>
            <w:tcW w:w="1450" w:type="dxa"/>
            <w:noWrap/>
            <w:vAlign w:val="center"/>
          </w:tcPr>
          <w:p w14:paraId="64B78750">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r>
      <w:tr w14:paraId="62AC9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009" w:type="dxa"/>
            <w:noWrap/>
            <w:vAlign w:val="center"/>
          </w:tcPr>
          <w:p w14:paraId="38BBAD39">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10</w:t>
            </w:r>
          </w:p>
        </w:tc>
        <w:tc>
          <w:tcPr>
            <w:tcW w:w="2300" w:type="dxa"/>
            <w:noWrap/>
            <w:vAlign w:val="center"/>
          </w:tcPr>
          <w:p w14:paraId="7B8E90AD">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共享充电宝</w:t>
            </w:r>
          </w:p>
        </w:tc>
        <w:tc>
          <w:tcPr>
            <w:tcW w:w="3644" w:type="dxa"/>
            <w:noWrap/>
            <w:vAlign w:val="center"/>
          </w:tcPr>
          <w:p w14:paraId="37071586">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公共卫生中心</w:t>
            </w:r>
          </w:p>
        </w:tc>
        <w:tc>
          <w:tcPr>
            <w:tcW w:w="1450" w:type="dxa"/>
            <w:noWrap/>
            <w:vAlign w:val="center"/>
          </w:tcPr>
          <w:p w14:paraId="02A6BF88">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r>
      <w:tr w14:paraId="208B4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009" w:type="dxa"/>
            <w:noWrap/>
            <w:vAlign w:val="center"/>
          </w:tcPr>
          <w:p w14:paraId="74E82583">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11</w:t>
            </w:r>
          </w:p>
        </w:tc>
        <w:tc>
          <w:tcPr>
            <w:tcW w:w="2300" w:type="dxa"/>
            <w:noWrap/>
            <w:vAlign w:val="center"/>
          </w:tcPr>
          <w:p w14:paraId="034189A2">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共享充电宝</w:t>
            </w:r>
          </w:p>
        </w:tc>
        <w:tc>
          <w:tcPr>
            <w:tcW w:w="3644" w:type="dxa"/>
            <w:noWrap/>
            <w:vAlign w:val="center"/>
          </w:tcPr>
          <w:p w14:paraId="16AC8A3E">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为军服务科</w:t>
            </w:r>
          </w:p>
        </w:tc>
        <w:tc>
          <w:tcPr>
            <w:tcW w:w="1450" w:type="dxa"/>
            <w:noWrap/>
            <w:vAlign w:val="center"/>
          </w:tcPr>
          <w:p w14:paraId="07C2BDFF">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r>
      <w:tr w14:paraId="1A006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009" w:type="dxa"/>
            <w:noWrap/>
            <w:vAlign w:val="center"/>
          </w:tcPr>
          <w:p w14:paraId="0A4C963E">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12</w:t>
            </w:r>
          </w:p>
        </w:tc>
        <w:tc>
          <w:tcPr>
            <w:tcW w:w="2300" w:type="dxa"/>
            <w:noWrap/>
            <w:vAlign w:val="center"/>
          </w:tcPr>
          <w:p w14:paraId="4A9BA989">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共享充电宝</w:t>
            </w:r>
          </w:p>
        </w:tc>
        <w:tc>
          <w:tcPr>
            <w:tcW w:w="3644" w:type="dxa"/>
            <w:noWrap/>
            <w:vAlign w:val="center"/>
          </w:tcPr>
          <w:p w14:paraId="791B2011">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eastAsia="zh-CN"/>
              </w:rPr>
              <w:t>非固定点位</w:t>
            </w:r>
          </w:p>
        </w:tc>
        <w:tc>
          <w:tcPr>
            <w:tcW w:w="1450" w:type="dxa"/>
            <w:noWrap/>
            <w:vAlign w:val="center"/>
          </w:tcPr>
          <w:p w14:paraId="2E47AE63">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w:t>
            </w:r>
          </w:p>
        </w:tc>
      </w:tr>
      <w:tr w14:paraId="5EABC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3309" w:type="dxa"/>
            <w:gridSpan w:val="2"/>
            <w:noWrap/>
            <w:vAlign w:val="center"/>
          </w:tcPr>
          <w:p w14:paraId="1E2636D1">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b/>
                <w:bCs/>
                <w:sz w:val="24"/>
                <w:szCs w:val="24"/>
                <w:vertAlign w:val="baseline"/>
                <w:lang w:eastAsia="zh-CN"/>
              </w:rPr>
              <w:t>合计</w:t>
            </w:r>
          </w:p>
        </w:tc>
        <w:tc>
          <w:tcPr>
            <w:tcW w:w="5094" w:type="dxa"/>
            <w:gridSpan w:val="2"/>
            <w:noWrap/>
            <w:vAlign w:val="center"/>
          </w:tcPr>
          <w:p w14:paraId="147BF84A">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16</w:t>
            </w:r>
          </w:p>
        </w:tc>
      </w:tr>
      <w:tr w14:paraId="7D4A6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8403" w:type="dxa"/>
            <w:gridSpan w:val="4"/>
            <w:noWrap/>
            <w:vAlign w:val="center"/>
          </w:tcPr>
          <w:p w14:paraId="190EA1E5">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注：具体摆放位置将由双方协商确定，最终以甲方意见为准。</w:t>
            </w:r>
          </w:p>
        </w:tc>
      </w:tr>
    </w:tbl>
    <w:p w14:paraId="38358C1F">
      <w:pPr>
        <w:keepNext w:val="0"/>
        <w:keepLines w:val="0"/>
        <w:pageBreakBefore w:val="0"/>
        <w:kinsoku/>
        <w:wordWrap/>
        <w:overflowPunct/>
        <w:topLinePunct w:val="0"/>
        <w:autoSpaceDE/>
        <w:autoSpaceDN/>
        <w:bidi w:val="0"/>
        <w:adjustRightInd/>
        <w:snapToGrid/>
        <w:spacing w:line="578" w:lineRule="exact"/>
        <w:ind w:firstLine="560" w:firstLineChars="200"/>
        <w:jc w:val="both"/>
        <w:rPr>
          <w:rFonts w:hint="eastAsia" w:ascii="黑体" w:hAnsi="黑体" w:eastAsia="黑体" w:cs="黑体"/>
          <w:kern w:val="2"/>
          <w:sz w:val="28"/>
          <w:szCs w:val="28"/>
          <w:highlight w:val="none"/>
          <w:lang w:val="en-US" w:eastAsia="zh-CN" w:bidi="ar-SA"/>
        </w:rPr>
      </w:pPr>
    </w:p>
    <w:p w14:paraId="1A4EB1ED">
      <w:pPr>
        <w:keepNext w:val="0"/>
        <w:keepLines w:val="0"/>
        <w:pageBreakBefore w:val="0"/>
        <w:kinsoku/>
        <w:wordWrap/>
        <w:overflowPunct/>
        <w:topLinePunct w:val="0"/>
        <w:autoSpaceDE/>
        <w:autoSpaceDN/>
        <w:bidi w:val="0"/>
        <w:adjustRightInd/>
        <w:snapToGrid/>
        <w:spacing w:line="578" w:lineRule="exact"/>
        <w:ind w:firstLine="560" w:firstLineChars="200"/>
        <w:jc w:val="both"/>
        <w:rPr>
          <w:rFonts w:hint="eastAsia" w:ascii="黑体" w:hAnsi="黑体" w:eastAsia="黑体" w:cs="黑体"/>
          <w:kern w:val="2"/>
          <w:sz w:val="28"/>
          <w:szCs w:val="28"/>
          <w:highlight w:val="none"/>
          <w:lang w:val="en-US" w:eastAsia="zh-CN" w:bidi="ar-SA"/>
        </w:rPr>
      </w:pPr>
    </w:p>
    <w:p w14:paraId="1B78CAAF">
      <w:pPr>
        <w:keepNext w:val="0"/>
        <w:keepLines w:val="0"/>
        <w:pageBreakBefore w:val="0"/>
        <w:kinsoku/>
        <w:wordWrap/>
        <w:overflowPunct/>
        <w:topLinePunct w:val="0"/>
        <w:autoSpaceDE/>
        <w:autoSpaceDN/>
        <w:bidi w:val="0"/>
        <w:adjustRightInd/>
        <w:snapToGrid/>
        <w:spacing w:line="578" w:lineRule="exact"/>
        <w:ind w:firstLine="560" w:firstLineChars="200"/>
        <w:jc w:val="both"/>
        <w:rPr>
          <w:rFonts w:hint="eastAsia" w:ascii="黑体" w:hAnsi="黑体" w:eastAsia="黑体" w:cs="黑体"/>
          <w:kern w:val="2"/>
          <w:sz w:val="28"/>
          <w:szCs w:val="28"/>
          <w:highlight w:val="none"/>
          <w:lang w:val="en-US" w:eastAsia="zh-CN" w:bidi="ar-SA"/>
        </w:rPr>
      </w:pPr>
    </w:p>
    <w:tbl>
      <w:tblPr>
        <w:tblStyle w:val="5"/>
        <w:tblW w:w="84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6"/>
        <w:gridCol w:w="2275"/>
        <w:gridCol w:w="5075"/>
      </w:tblGrid>
      <w:tr w14:paraId="6778F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8426" w:type="dxa"/>
            <w:gridSpan w:val="3"/>
            <w:noWrap/>
            <w:vAlign w:val="center"/>
          </w:tcPr>
          <w:p w14:paraId="27360250">
            <w:pPr>
              <w:jc w:val="center"/>
              <w:rPr>
                <w:rFonts w:ascii="宋体" w:hAnsi="宋体" w:eastAsia="宋体" w:cs="宋体"/>
                <w:sz w:val="24"/>
              </w:rPr>
            </w:pPr>
            <w:r>
              <w:rPr>
                <w:rFonts w:hint="eastAsia" w:ascii="仿宋_GB2312" w:hAnsi="仿宋_GB2312" w:eastAsia="仿宋_GB2312" w:cs="仿宋_GB2312"/>
                <w:kern w:val="2"/>
                <w:sz w:val="28"/>
                <w:szCs w:val="28"/>
                <w:highlight w:val="none"/>
                <w:lang w:val="en-US" w:eastAsia="zh-CN" w:bidi="ar-SA"/>
              </w:rPr>
              <w:t>技术要求</w:t>
            </w:r>
          </w:p>
        </w:tc>
      </w:tr>
      <w:tr w14:paraId="2D08B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076" w:type="dxa"/>
            <w:noWrap/>
            <w:vAlign w:val="center"/>
          </w:tcPr>
          <w:p w14:paraId="66587001">
            <w:pPr>
              <w:jc w:val="center"/>
              <w:rPr>
                <w:rFonts w:hint="eastAsia" w:ascii="楷体_GB2312" w:hAnsi="楷体_GB2312" w:eastAsia="楷体_GB2312" w:cs="楷体_GB2312"/>
                <w:b/>
                <w:bCs/>
                <w:sz w:val="28"/>
                <w:szCs w:val="28"/>
                <w:vertAlign w:val="baseline"/>
                <w:lang w:eastAsia="zh-CN"/>
              </w:rPr>
            </w:pPr>
            <w:r>
              <w:rPr>
                <w:rFonts w:hint="eastAsia" w:ascii="楷体_GB2312" w:hAnsi="楷体_GB2312" w:eastAsia="楷体_GB2312" w:cs="楷体_GB2312"/>
                <w:b/>
                <w:bCs/>
                <w:sz w:val="28"/>
                <w:szCs w:val="28"/>
                <w:vertAlign w:val="baseline"/>
                <w:lang w:eastAsia="zh-CN"/>
              </w:rPr>
              <w:t>序号</w:t>
            </w:r>
          </w:p>
        </w:tc>
        <w:tc>
          <w:tcPr>
            <w:tcW w:w="2275" w:type="dxa"/>
            <w:noWrap/>
            <w:vAlign w:val="center"/>
          </w:tcPr>
          <w:p w14:paraId="7D01F643">
            <w:pPr>
              <w:jc w:val="center"/>
              <w:rPr>
                <w:rFonts w:hint="eastAsia" w:ascii="楷体_GB2312" w:hAnsi="楷体_GB2312" w:eastAsia="楷体_GB2312" w:cs="楷体_GB2312"/>
                <w:b/>
                <w:bCs/>
                <w:sz w:val="28"/>
                <w:szCs w:val="28"/>
                <w:vertAlign w:val="baseline"/>
                <w:lang w:eastAsia="zh-CN"/>
              </w:rPr>
            </w:pPr>
            <w:r>
              <w:rPr>
                <w:rFonts w:hint="eastAsia" w:ascii="楷体_GB2312" w:hAnsi="楷体_GB2312" w:eastAsia="楷体_GB2312" w:cs="楷体_GB2312"/>
                <w:b/>
                <w:bCs/>
                <w:sz w:val="28"/>
                <w:szCs w:val="28"/>
                <w:vertAlign w:val="baseline"/>
                <w:lang w:eastAsia="zh-CN"/>
              </w:rPr>
              <w:t>指标名称</w:t>
            </w:r>
          </w:p>
        </w:tc>
        <w:tc>
          <w:tcPr>
            <w:tcW w:w="5075" w:type="dxa"/>
            <w:noWrap/>
            <w:vAlign w:val="center"/>
          </w:tcPr>
          <w:p w14:paraId="0B663BE2">
            <w:pPr>
              <w:jc w:val="center"/>
              <w:rPr>
                <w:rFonts w:hint="eastAsia" w:ascii="楷体_GB2312" w:hAnsi="楷体_GB2312" w:eastAsia="楷体_GB2312" w:cs="楷体_GB2312"/>
                <w:b/>
                <w:bCs/>
                <w:sz w:val="28"/>
                <w:szCs w:val="28"/>
                <w:vertAlign w:val="baseline"/>
                <w:lang w:eastAsia="zh-CN"/>
              </w:rPr>
            </w:pPr>
            <w:r>
              <w:rPr>
                <w:rFonts w:hint="eastAsia" w:ascii="楷体_GB2312" w:hAnsi="楷体_GB2312" w:eastAsia="楷体_GB2312" w:cs="楷体_GB2312"/>
                <w:b/>
                <w:bCs/>
                <w:sz w:val="28"/>
                <w:szCs w:val="28"/>
                <w:vertAlign w:val="baseline"/>
                <w:lang w:eastAsia="zh-CN"/>
              </w:rPr>
              <w:t>技术参数</w:t>
            </w:r>
          </w:p>
        </w:tc>
      </w:tr>
      <w:tr w14:paraId="2C96F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076" w:type="dxa"/>
            <w:noWrap/>
            <w:vAlign w:val="center"/>
          </w:tcPr>
          <w:p w14:paraId="095A44EB">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2275" w:type="dxa"/>
            <w:noWrap/>
            <w:vAlign w:val="center"/>
          </w:tcPr>
          <w:p w14:paraId="4C14A455">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宣传屏</w:t>
            </w:r>
          </w:p>
        </w:tc>
        <w:tc>
          <w:tcPr>
            <w:tcW w:w="5075" w:type="dxa"/>
            <w:noWrap/>
            <w:vAlign w:val="center"/>
          </w:tcPr>
          <w:p w14:paraId="2D1EC6F1">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屏幕尺寸≥32寸</w:t>
            </w:r>
          </w:p>
        </w:tc>
      </w:tr>
      <w:tr w14:paraId="7EA33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exact"/>
          <w:jc w:val="center"/>
        </w:trPr>
        <w:tc>
          <w:tcPr>
            <w:tcW w:w="1076" w:type="dxa"/>
            <w:noWrap/>
            <w:vAlign w:val="center"/>
          </w:tcPr>
          <w:p w14:paraId="189E941E">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w:t>
            </w:r>
          </w:p>
        </w:tc>
        <w:tc>
          <w:tcPr>
            <w:tcW w:w="2275" w:type="dxa"/>
            <w:noWrap/>
            <w:vAlign w:val="center"/>
          </w:tcPr>
          <w:p w14:paraId="4FE45672">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电池仓位</w:t>
            </w:r>
          </w:p>
        </w:tc>
        <w:tc>
          <w:tcPr>
            <w:tcW w:w="5075" w:type="dxa"/>
            <w:noWrap/>
            <w:vAlign w:val="center"/>
          </w:tcPr>
          <w:p w14:paraId="2FB0DC6E">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适配≥12仓7台，适配≥24仓7台</w:t>
            </w:r>
          </w:p>
        </w:tc>
      </w:tr>
      <w:tr w14:paraId="581EA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exact"/>
          <w:jc w:val="center"/>
        </w:trPr>
        <w:tc>
          <w:tcPr>
            <w:tcW w:w="1076" w:type="dxa"/>
            <w:noWrap/>
            <w:vAlign w:val="center"/>
          </w:tcPr>
          <w:p w14:paraId="333CFCCC">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w:t>
            </w:r>
          </w:p>
        </w:tc>
        <w:tc>
          <w:tcPr>
            <w:tcW w:w="2275" w:type="dxa"/>
            <w:noWrap/>
            <w:vAlign w:val="center"/>
          </w:tcPr>
          <w:p w14:paraId="27FE84B7">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机身材质</w:t>
            </w:r>
          </w:p>
        </w:tc>
        <w:tc>
          <w:tcPr>
            <w:tcW w:w="5075" w:type="dxa"/>
            <w:noWrap/>
            <w:vAlign w:val="center"/>
          </w:tcPr>
          <w:p w14:paraId="52A6062A">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PS/ABS合金材料</w:t>
            </w:r>
          </w:p>
        </w:tc>
      </w:tr>
      <w:tr w14:paraId="5BB09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exact"/>
          <w:jc w:val="center"/>
        </w:trPr>
        <w:tc>
          <w:tcPr>
            <w:tcW w:w="1076" w:type="dxa"/>
            <w:noWrap/>
            <w:vAlign w:val="center"/>
          </w:tcPr>
          <w:p w14:paraId="2AC3E0C0">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4</w:t>
            </w:r>
          </w:p>
        </w:tc>
        <w:tc>
          <w:tcPr>
            <w:tcW w:w="2275" w:type="dxa"/>
            <w:noWrap/>
            <w:vAlign w:val="center"/>
          </w:tcPr>
          <w:p w14:paraId="131C76F2">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设备输入</w:t>
            </w:r>
          </w:p>
        </w:tc>
        <w:tc>
          <w:tcPr>
            <w:tcW w:w="5075" w:type="dxa"/>
            <w:noWrap/>
            <w:vAlign w:val="center"/>
          </w:tcPr>
          <w:p w14:paraId="6D8E3C83">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220V/1.0A 50/60HZ</w:t>
            </w:r>
          </w:p>
        </w:tc>
      </w:tr>
      <w:tr w14:paraId="3494E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exact"/>
          <w:jc w:val="center"/>
        </w:trPr>
        <w:tc>
          <w:tcPr>
            <w:tcW w:w="1076" w:type="dxa"/>
            <w:noWrap/>
            <w:vAlign w:val="center"/>
          </w:tcPr>
          <w:p w14:paraId="0C6AD8B7">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5</w:t>
            </w:r>
          </w:p>
        </w:tc>
        <w:tc>
          <w:tcPr>
            <w:tcW w:w="2275" w:type="dxa"/>
            <w:noWrap/>
            <w:vAlign w:val="center"/>
          </w:tcPr>
          <w:p w14:paraId="63EE8F5C">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输出接口(充电宝)</w:t>
            </w:r>
          </w:p>
        </w:tc>
        <w:tc>
          <w:tcPr>
            <w:tcW w:w="5075" w:type="dxa"/>
            <w:noWrap/>
            <w:vAlign w:val="center"/>
          </w:tcPr>
          <w:p w14:paraId="14BF13DE">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Type-C/Micro-USB/Lighting</w:t>
            </w:r>
          </w:p>
        </w:tc>
      </w:tr>
      <w:tr w14:paraId="0BE69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exact"/>
          <w:jc w:val="center"/>
        </w:trPr>
        <w:tc>
          <w:tcPr>
            <w:tcW w:w="1076" w:type="dxa"/>
            <w:noWrap/>
            <w:vAlign w:val="center"/>
          </w:tcPr>
          <w:p w14:paraId="74781CE7">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6</w:t>
            </w:r>
          </w:p>
        </w:tc>
        <w:tc>
          <w:tcPr>
            <w:tcW w:w="2275" w:type="dxa"/>
            <w:noWrap/>
            <w:vAlign w:val="center"/>
          </w:tcPr>
          <w:p w14:paraId="0C2C31B9">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输出参数</w:t>
            </w:r>
          </w:p>
        </w:tc>
        <w:tc>
          <w:tcPr>
            <w:tcW w:w="5075" w:type="dxa"/>
            <w:noWrap/>
            <w:vAlign w:val="center"/>
          </w:tcPr>
          <w:p w14:paraId="1FFBFECF">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 xml:space="preserve"> 5V/2.4A  Max=最大充电功率12W</w:t>
            </w:r>
          </w:p>
        </w:tc>
      </w:tr>
      <w:tr w14:paraId="4CE44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exact"/>
          <w:jc w:val="center"/>
        </w:trPr>
        <w:tc>
          <w:tcPr>
            <w:tcW w:w="1076" w:type="dxa"/>
            <w:noWrap/>
            <w:vAlign w:val="center"/>
          </w:tcPr>
          <w:p w14:paraId="72DF4C25">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7</w:t>
            </w:r>
          </w:p>
        </w:tc>
        <w:tc>
          <w:tcPr>
            <w:tcW w:w="2275" w:type="dxa"/>
            <w:noWrap/>
            <w:vAlign w:val="center"/>
          </w:tcPr>
          <w:p w14:paraId="41B068F8">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输入参数</w:t>
            </w:r>
          </w:p>
        </w:tc>
        <w:tc>
          <w:tcPr>
            <w:tcW w:w="5075" w:type="dxa"/>
            <w:noWrap/>
            <w:vAlign w:val="center"/>
          </w:tcPr>
          <w:p w14:paraId="175B57FE">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 xml:space="preserve"> DC5V/2.1A  Max=最大被充电功率10.5W</w:t>
            </w:r>
          </w:p>
        </w:tc>
      </w:tr>
      <w:tr w14:paraId="34745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exact"/>
          <w:jc w:val="center"/>
        </w:trPr>
        <w:tc>
          <w:tcPr>
            <w:tcW w:w="1076" w:type="dxa"/>
            <w:noWrap/>
            <w:vAlign w:val="center"/>
          </w:tcPr>
          <w:p w14:paraId="1AA99070">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8</w:t>
            </w:r>
          </w:p>
        </w:tc>
        <w:tc>
          <w:tcPr>
            <w:tcW w:w="2275" w:type="dxa"/>
            <w:noWrap/>
            <w:vAlign w:val="center"/>
          </w:tcPr>
          <w:p w14:paraId="0078C02C">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工作温度</w:t>
            </w:r>
          </w:p>
        </w:tc>
        <w:tc>
          <w:tcPr>
            <w:tcW w:w="5075" w:type="dxa"/>
            <w:noWrap/>
            <w:vAlign w:val="center"/>
          </w:tcPr>
          <w:p w14:paraId="364AF4F1">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0-60度</w:t>
            </w:r>
          </w:p>
        </w:tc>
      </w:tr>
      <w:tr w14:paraId="18C36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exact"/>
          <w:jc w:val="center"/>
        </w:trPr>
        <w:tc>
          <w:tcPr>
            <w:tcW w:w="1076" w:type="dxa"/>
            <w:noWrap/>
            <w:vAlign w:val="center"/>
          </w:tcPr>
          <w:p w14:paraId="4538DED4">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9</w:t>
            </w:r>
          </w:p>
        </w:tc>
        <w:tc>
          <w:tcPr>
            <w:tcW w:w="2275" w:type="dxa"/>
            <w:noWrap/>
            <w:vAlign w:val="center"/>
          </w:tcPr>
          <w:p w14:paraId="1F3D251D">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电池种类</w:t>
            </w:r>
          </w:p>
        </w:tc>
        <w:tc>
          <w:tcPr>
            <w:tcW w:w="5075" w:type="dxa"/>
            <w:noWrap/>
            <w:vAlign w:val="center"/>
          </w:tcPr>
          <w:p w14:paraId="06AFEC5A">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锂离子电池/锂聚合物电池</w:t>
            </w:r>
          </w:p>
        </w:tc>
      </w:tr>
      <w:tr w14:paraId="3AB6B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exact"/>
          <w:jc w:val="center"/>
        </w:trPr>
        <w:tc>
          <w:tcPr>
            <w:tcW w:w="1076" w:type="dxa"/>
            <w:noWrap/>
            <w:vAlign w:val="center"/>
          </w:tcPr>
          <w:p w14:paraId="790971DD">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10</w:t>
            </w:r>
          </w:p>
        </w:tc>
        <w:tc>
          <w:tcPr>
            <w:tcW w:w="2275" w:type="dxa"/>
            <w:noWrap/>
            <w:vAlign w:val="center"/>
          </w:tcPr>
          <w:p w14:paraId="5918D64B">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电池容量</w:t>
            </w:r>
          </w:p>
        </w:tc>
        <w:tc>
          <w:tcPr>
            <w:tcW w:w="5075" w:type="dxa"/>
            <w:noWrap/>
            <w:vAlign w:val="center"/>
          </w:tcPr>
          <w:p w14:paraId="63839114">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4500-5000mAh</w:t>
            </w:r>
          </w:p>
        </w:tc>
      </w:tr>
      <w:tr w14:paraId="1BE55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exact"/>
          <w:jc w:val="center"/>
        </w:trPr>
        <w:tc>
          <w:tcPr>
            <w:tcW w:w="1076" w:type="dxa"/>
            <w:noWrap/>
            <w:vAlign w:val="center"/>
          </w:tcPr>
          <w:p w14:paraId="1541CE8F">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11</w:t>
            </w:r>
          </w:p>
        </w:tc>
        <w:tc>
          <w:tcPr>
            <w:tcW w:w="2275" w:type="dxa"/>
            <w:noWrap/>
            <w:vAlign w:val="center"/>
          </w:tcPr>
          <w:p w14:paraId="7A6A4DDC">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电量显示</w:t>
            </w:r>
          </w:p>
        </w:tc>
        <w:tc>
          <w:tcPr>
            <w:tcW w:w="5075" w:type="dxa"/>
            <w:noWrap/>
            <w:vAlign w:val="center"/>
          </w:tcPr>
          <w:p w14:paraId="1DFFBC0A">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LED指示灯</w:t>
            </w:r>
          </w:p>
        </w:tc>
      </w:tr>
      <w:tr w14:paraId="35473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exact"/>
          <w:jc w:val="center"/>
        </w:trPr>
        <w:tc>
          <w:tcPr>
            <w:tcW w:w="1076" w:type="dxa"/>
            <w:noWrap/>
            <w:vAlign w:val="center"/>
          </w:tcPr>
          <w:p w14:paraId="62D16B5D">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12</w:t>
            </w:r>
          </w:p>
        </w:tc>
        <w:tc>
          <w:tcPr>
            <w:tcW w:w="2275" w:type="dxa"/>
            <w:noWrap/>
            <w:vAlign w:val="center"/>
          </w:tcPr>
          <w:p w14:paraId="51B0D269">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通讯模块</w:t>
            </w:r>
          </w:p>
        </w:tc>
        <w:tc>
          <w:tcPr>
            <w:tcW w:w="5075" w:type="dxa"/>
            <w:noWrap/>
            <w:vAlign w:val="center"/>
          </w:tcPr>
          <w:p w14:paraId="54752CF4">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4G网络/WiFi</w:t>
            </w:r>
          </w:p>
        </w:tc>
      </w:tr>
      <w:tr w14:paraId="4B9BC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exact"/>
          <w:jc w:val="center"/>
        </w:trPr>
        <w:tc>
          <w:tcPr>
            <w:tcW w:w="1076" w:type="dxa"/>
            <w:noWrap/>
            <w:vAlign w:val="center"/>
          </w:tcPr>
          <w:p w14:paraId="613D46D9">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13</w:t>
            </w:r>
          </w:p>
        </w:tc>
        <w:tc>
          <w:tcPr>
            <w:tcW w:w="2275" w:type="dxa"/>
            <w:noWrap/>
            <w:vAlign w:val="center"/>
          </w:tcPr>
          <w:p w14:paraId="223CD4E7">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支付方式</w:t>
            </w:r>
          </w:p>
        </w:tc>
        <w:tc>
          <w:tcPr>
            <w:tcW w:w="5075" w:type="dxa"/>
            <w:noWrap/>
            <w:vAlign w:val="center"/>
          </w:tcPr>
          <w:p w14:paraId="5311D800">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微信/支付宝</w:t>
            </w:r>
          </w:p>
        </w:tc>
      </w:tr>
      <w:tr w14:paraId="2B3E9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exact"/>
          <w:jc w:val="center"/>
        </w:trPr>
        <w:tc>
          <w:tcPr>
            <w:tcW w:w="1076" w:type="dxa"/>
            <w:noWrap/>
            <w:vAlign w:val="center"/>
          </w:tcPr>
          <w:p w14:paraId="7B7988FF">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14</w:t>
            </w:r>
          </w:p>
        </w:tc>
        <w:tc>
          <w:tcPr>
            <w:tcW w:w="2275" w:type="dxa"/>
            <w:noWrap/>
            <w:vAlign w:val="center"/>
          </w:tcPr>
          <w:p w14:paraId="33E71AB5">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安全认证</w:t>
            </w:r>
          </w:p>
        </w:tc>
        <w:tc>
          <w:tcPr>
            <w:tcW w:w="5075" w:type="dxa"/>
            <w:noWrap/>
            <w:vAlign w:val="center"/>
          </w:tcPr>
          <w:p w14:paraId="657EC81F">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SRRC /CCC/ CQC</w:t>
            </w:r>
          </w:p>
        </w:tc>
      </w:tr>
      <w:tr w14:paraId="51F62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exact"/>
          <w:jc w:val="center"/>
        </w:trPr>
        <w:tc>
          <w:tcPr>
            <w:tcW w:w="8426" w:type="dxa"/>
            <w:gridSpan w:val="3"/>
            <w:noWrap/>
            <w:vAlign w:val="center"/>
          </w:tcPr>
          <w:p w14:paraId="660F917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bCs/>
                <w:sz w:val="22"/>
                <w:szCs w:val="21"/>
              </w:rPr>
            </w:pPr>
            <w:r>
              <w:rPr>
                <w:rFonts w:hint="eastAsia" w:ascii="仿宋_GB2312" w:hAnsi="仿宋_GB2312" w:eastAsia="仿宋_GB2312" w:cs="仿宋_GB2312"/>
                <w:kern w:val="2"/>
                <w:sz w:val="24"/>
                <w:szCs w:val="24"/>
                <w:vertAlign w:val="baseline"/>
                <w:lang w:val="en-US" w:eastAsia="zh-CN" w:bidi="ar-SA"/>
              </w:rPr>
              <w:t>注：以上技术参数仅供参考，具体配置可结合实际应用场景进行适应性调整。所有投放的共享充电宝设备必须严格符合国家标准GB4943.1及GB31241的规范要求，并全面满足院方提出的各项功能需求与使用标准。</w:t>
            </w:r>
          </w:p>
        </w:tc>
      </w:tr>
    </w:tbl>
    <w:p w14:paraId="7281817E">
      <w:pPr>
        <w:keepNext w:val="0"/>
        <w:keepLines w:val="0"/>
        <w:pageBreakBefore w:val="0"/>
        <w:kinsoku/>
        <w:wordWrap/>
        <w:overflowPunct/>
        <w:topLinePunct w:val="0"/>
        <w:autoSpaceDE/>
        <w:autoSpaceDN/>
        <w:bidi w:val="0"/>
        <w:adjustRightInd/>
        <w:snapToGrid/>
        <w:spacing w:line="578" w:lineRule="exact"/>
        <w:ind w:firstLine="560" w:firstLineChars="200"/>
        <w:jc w:val="both"/>
        <w:rPr>
          <w:rFonts w:hint="eastAsia" w:ascii="黑体" w:hAnsi="黑体" w:eastAsia="黑体" w:cs="黑体"/>
          <w:kern w:val="2"/>
          <w:sz w:val="28"/>
          <w:szCs w:val="28"/>
          <w:highlight w:val="none"/>
          <w:lang w:val="en-US" w:eastAsia="zh-CN" w:bidi="ar-SA"/>
        </w:rPr>
      </w:pPr>
    </w:p>
    <w:p w14:paraId="35AAFAAF">
      <w:pPr>
        <w:keepNext w:val="0"/>
        <w:keepLines w:val="0"/>
        <w:pageBreakBefore w:val="0"/>
        <w:kinsoku/>
        <w:wordWrap/>
        <w:overflowPunct/>
        <w:topLinePunct w:val="0"/>
        <w:autoSpaceDE/>
        <w:autoSpaceDN/>
        <w:bidi w:val="0"/>
        <w:adjustRightInd/>
        <w:snapToGrid/>
        <w:spacing w:line="578" w:lineRule="exact"/>
        <w:jc w:val="both"/>
        <w:rPr>
          <w:rFonts w:hint="eastAsia" w:ascii="黑体" w:hAnsi="黑体" w:eastAsia="黑体" w:cs="黑体"/>
          <w:kern w:val="2"/>
          <w:sz w:val="28"/>
          <w:szCs w:val="28"/>
          <w:highlight w:val="none"/>
          <w:lang w:val="en-US" w:eastAsia="zh-CN" w:bidi="ar-SA"/>
        </w:rPr>
      </w:pPr>
    </w:p>
    <w:tbl>
      <w:tblPr>
        <w:tblStyle w:val="5"/>
        <w:tblW w:w="85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1487"/>
        <w:gridCol w:w="6225"/>
      </w:tblGrid>
      <w:tr w14:paraId="61141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jc w:val="center"/>
        </w:trPr>
        <w:tc>
          <w:tcPr>
            <w:tcW w:w="8515" w:type="dxa"/>
            <w:gridSpan w:val="3"/>
            <w:noWrap/>
            <w:vAlign w:val="center"/>
          </w:tcPr>
          <w:p w14:paraId="528D0C70">
            <w:pPr>
              <w:jc w:val="center"/>
              <w:rPr>
                <w:rFonts w:ascii="宋体" w:hAnsi="宋体" w:eastAsia="宋体" w:cs="宋体"/>
                <w:b/>
                <w:sz w:val="28"/>
                <w:szCs w:val="28"/>
              </w:rPr>
            </w:pPr>
            <w:r>
              <w:rPr>
                <w:rFonts w:hint="eastAsia" w:ascii="仿宋_GB2312" w:hAnsi="仿宋_GB2312" w:eastAsia="仿宋_GB2312" w:cs="仿宋_GB2312"/>
                <w:kern w:val="2"/>
                <w:sz w:val="28"/>
                <w:szCs w:val="28"/>
                <w:highlight w:val="none"/>
                <w:lang w:val="en-US" w:eastAsia="zh-CN" w:bidi="ar-SA"/>
              </w:rPr>
              <w:t>经济要求</w:t>
            </w:r>
          </w:p>
        </w:tc>
      </w:tr>
      <w:tr w14:paraId="1C3E0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exact"/>
          <w:jc w:val="center"/>
        </w:trPr>
        <w:tc>
          <w:tcPr>
            <w:tcW w:w="803" w:type="dxa"/>
            <w:noWrap/>
            <w:vAlign w:val="center"/>
          </w:tcPr>
          <w:p w14:paraId="4D55D7A4">
            <w:pPr>
              <w:jc w:val="center"/>
              <w:rPr>
                <w:rFonts w:hint="eastAsia" w:ascii="楷体_GB2312" w:hAnsi="楷体_GB2312" w:eastAsia="楷体_GB2312" w:cs="楷体_GB2312"/>
                <w:b/>
                <w:bCs/>
                <w:sz w:val="28"/>
                <w:szCs w:val="28"/>
                <w:vertAlign w:val="baseline"/>
                <w:lang w:eastAsia="zh-CN"/>
              </w:rPr>
            </w:pPr>
            <w:r>
              <w:rPr>
                <w:rFonts w:hint="eastAsia" w:ascii="楷体_GB2312" w:hAnsi="楷体_GB2312" w:eastAsia="楷体_GB2312" w:cs="楷体_GB2312"/>
                <w:b/>
                <w:bCs/>
                <w:sz w:val="28"/>
                <w:szCs w:val="28"/>
                <w:vertAlign w:val="baseline"/>
                <w:lang w:eastAsia="zh-CN"/>
              </w:rPr>
              <w:t>序号</w:t>
            </w:r>
          </w:p>
        </w:tc>
        <w:tc>
          <w:tcPr>
            <w:tcW w:w="1487" w:type="dxa"/>
            <w:noWrap/>
            <w:vAlign w:val="center"/>
          </w:tcPr>
          <w:p w14:paraId="3B52B197">
            <w:pPr>
              <w:jc w:val="center"/>
              <w:rPr>
                <w:rFonts w:hint="eastAsia" w:ascii="楷体_GB2312" w:hAnsi="楷体_GB2312" w:eastAsia="楷体_GB2312" w:cs="楷体_GB2312"/>
                <w:b/>
                <w:bCs/>
                <w:sz w:val="28"/>
                <w:szCs w:val="28"/>
                <w:vertAlign w:val="baseline"/>
                <w:lang w:eastAsia="zh-CN"/>
              </w:rPr>
            </w:pPr>
            <w:r>
              <w:rPr>
                <w:rFonts w:hint="eastAsia" w:ascii="楷体_GB2312" w:hAnsi="楷体_GB2312" w:eastAsia="楷体_GB2312" w:cs="楷体_GB2312"/>
                <w:b/>
                <w:bCs/>
                <w:sz w:val="28"/>
                <w:szCs w:val="28"/>
                <w:vertAlign w:val="baseline"/>
                <w:lang w:eastAsia="zh-CN"/>
              </w:rPr>
              <w:t>指标名称</w:t>
            </w:r>
          </w:p>
        </w:tc>
        <w:tc>
          <w:tcPr>
            <w:tcW w:w="6225" w:type="dxa"/>
            <w:noWrap/>
            <w:vAlign w:val="center"/>
          </w:tcPr>
          <w:p w14:paraId="75071EDB">
            <w:pPr>
              <w:jc w:val="center"/>
              <w:rPr>
                <w:rFonts w:hint="eastAsia" w:ascii="楷体_GB2312" w:hAnsi="楷体_GB2312" w:eastAsia="楷体_GB2312" w:cs="楷体_GB2312"/>
                <w:b/>
                <w:bCs/>
                <w:sz w:val="28"/>
                <w:szCs w:val="28"/>
                <w:vertAlign w:val="baseline"/>
                <w:lang w:eastAsia="zh-CN"/>
              </w:rPr>
            </w:pPr>
            <w:r>
              <w:rPr>
                <w:rFonts w:hint="eastAsia" w:ascii="楷体_GB2312" w:hAnsi="楷体_GB2312" w:eastAsia="楷体_GB2312" w:cs="楷体_GB2312"/>
                <w:b/>
                <w:bCs/>
                <w:sz w:val="28"/>
                <w:szCs w:val="28"/>
                <w:vertAlign w:val="baseline"/>
                <w:lang w:eastAsia="zh-CN"/>
              </w:rPr>
              <w:t>详细要求</w:t>
            </w:r>
          </w:p>
        </w:tc>
      </w:tr>
      <w:tr w14:paraId="2E3E7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exact"/>
          <w:jc w:val="center"/>
        </w:trPr>
        <w:tc>
          <w:tcPr>
            <w:tcW w:w="803" w:type="dxa"/>
            <w:noWrap/>
            <w:vAlign w:val="center"/>
          </w:tcPr>
          <w:p w14:paraId="4FC10858">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1487" w:type="dxa"/>
            <w:noWrap/>
            <w:vAlign w:val="center"/>
          </w:tcPr>
          <w:p w14:paraId="66DFEDE7">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采购数量</w:t>
            </w:r>
          </w:p>
        </w:tc>
        <w:tc>
          <w:tcPr>
            <w:tcW w:w="6225" w:type="dxa"/>
            <w:noWrap/>
            <w:vAlign w:val="center"/>
          </w:tcPr>
          <w:p w14:paraId="16D238DB">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16台</w:t>
            </w:r>
          </w:p>
        </w:tc>
      </w:tr>
      <w:tr w14:paraId="232BB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exact"/>
          <w:jc w:val="center"/>
        </w:trPr>
        <w:tc>
          <w:tcPr>
            <w:tcW w:w="803" w:type="dxa"/>
            <w:noWrap/>
            <w:vAlign w:val="center"/>
          </w:tcPr>
          <w:p w14:paraId="47D9531D">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w:t>
            </w:r>
          </w:p>
        </w:tc>
        <w:tc>
          <w:tcPr>
            <w:tcW w:w="1487" w:type="dxa"/>
            <w:noWrap/>
            <w:vAlign w:val="center"/>
          </w:tcPr>
          <w:p w14:paraId="51BADAA2">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充电宝租赁费用</w:t>
            </w:r>
          </w:p>
        </w:tc>
        <w:tc>
          <w:tcPr>
            <w:tcW w:w="6225" w:type="dxa"/>
            <w:noWrap/>
            <w:vAlign w:val="center"/>
          </w:tcPr>
          <w:p w14:paraId="432CA455">
            <w:pPr>
              <w:jc w:val="left"/>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不得高于3元/小时，免费充电时长不得低于5分钟</w:t>
            </w:r>
          </w:p>
        </w:tc>
      </w:tr>
      <w:tr w14:paraId="78150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exact"/>
          <w:jc w:val="center"/>
        </w:trPr>
        <w:tc>
          <w:tcPr>
            <w:tcW w:w="803" w:type="dxa"/>
            <w:noWrap/>
            <w:vAlign w:val="center"/>
          </w:tcPr>
          <w:p w14:paraId="495369B5">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w:t>
            </w:r>
          </w:p>
        </w:tc>
        <w:tc>
          <w:tcPr>
            <w:tcW w:w="1487" w:type="dxa"/>
            <w:noWrap/>
            <w:vAlign w:val="center"/>
          </w:tcPr>
          <w:p w14:paraId="15273743">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项目费用</w:t>
            </w:r>
          </w:p>
        </w:tc>
        <w:tc>
          <w:tcPr>
            <w:tcW w:w="6225" w:type="dxa"/>
            <w:noWrap/>
            <w:vAlign w:val="center"/>
          </w:tcPr>
          <w:p w14:paraId="40A9E02C">
            <w:p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本项目收取场地使用管理费和电费，电费按实际发生收取，投标人负责在采购人院内点位安装共享充电宝设备，为消费者提供自助式有偿使用共享充电宝服务，电源线路需更改时，材料设备需投标人提供安装。</w:t>
            </w:r>
          </w:p>
        </w:tc>
      </w:tr>
      <w:tr w14:paraId="1545F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exact"/>
          <w:jc w:val="center"/>
        </w:trPr>
        <w:tc>
          <w:tcPr>
            <w:tcW w:w="803" w:type="dxa"/>
            <w:noWrap/>
            <w:vAlign w:val="center"/>
          </w:tcPr>
          <w:p w14:paraId="629F7A52">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4</w:t>
            </w:r>
          </w:p>
        </w:tc>
        <w:tc>
          <w:tcPr>
            <w:tcW w:w="1487" w:type="dxa"/>
            <w:noWrap/>
            <w:vAlign w:val="center"/>
          </w:tcPr>
          <w:p w14:paraId="70F3D705">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交付或实施的时间和地点</w:t>
            </w:r>
          </w:p>
        </w:tc>
        <w:tc>
          <w:tcPr>
            <w:tcW w:w="6225" w:type="dxa"/>
            <w:noWrap/>
            <w:vAlign w:val="center"/>
          </w:tcPr>
          <w:p w14:paraId="2A3B6832">
            <w:p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依据合同约定按期交付至招标方指定地点，合同签订后7个工作日内到货安装调试。</w:t>
            </w:r>
          </w:p>
        </w:tc>
      </w:tr>
      <w:tr w14:paraId="66F5A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9" w:hRule="exact"/>
          <w:jc w:val="center"/>
        </w:trPr>
        <w:tc>
          <w:tcPr>
            <w:tcW w:w="803" w:type="dxa"/>
            <w:noWrap/>
            <w:vAlign w:val="center"/>
          </w:tcPr>
          <w:p w14:paraId="63EADFED">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5</w:t>
            </w:r>
          </w:p>
        </w:tc>
        <w:tc>
          <w:tcPr>
            <w:tcW w:w="1487" w:type="dxa"/>
            <w:noWrap/>
            <w:vAlign w:val="center"/>
          </w:tcPr>
          <w:p w14:paraId="6DE9A869">
            <w:pPr>
              <w:jc w:val="center"/>
              <w:rPr>
                <w:rFonts w:hint="eastAsia" w:ascii="仿宋_GB2312" w:hAnsi="仿宋_GB2312" w:eastAsia="仿宋_GB2312" w:cs="仿宋_GB2312"/>
                <w:sz w:val="24"/>
                <w:szCs w:val="24"/>
                <w:vertAlign w:val="baseline"/>
                <w:lang w:val="en-US" w:eastAsia="zh-CN"/>
              </w:rPr>
            </w:pPr>
          </w:p>
          <w:p w14:paraId="39FEB26A">
            <w:pPr>
              <w:jc w:val="center"/>
              <w:rPr>
                <w:rFonts w:hint="eastAsia" w:ascii="仿宋_GB2312" w:hAnsi="仿宋_GB2312" w:eastAsia="仿宋_GB2312" w:cs="仿宋_GB2312"/>
                <w:sz w:val="24"/>
                <w:szCs w:val="24"/>
                <w:vertAlign w:val="baseline"/>
                <w:lang w:val="en-US" w:eastAsia="zh-CN"/>
              </w:rPr>
            </w:pPr>
          </w:p>
          <w:p w14:paraId="4994569D">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售后服务</w:t>
            </w:r>
          </w:p>
          <w:p w14:paraId="022814F5">
            <w:pPr>
              <w:jc w:val="center"/>
              <w:rPr>
                <w:rFonts w:hint="eastAsia" w:ascii="仿宋_GB2312" w:hAnsi="仿宋_GB2312" w:eastAsia="仿宋_GB2312" w:cs="仿宋_GB2312"/>
                <w:sz w:val="24"/>
                <w:szCs w:val="24"/>
                <w:vertAlign w:val="baseline"/>
                <w:lang w:val="en-US" w:eastAsia="zh-CN"/>
              </w:rPr>
            </w:pPr>
          </w:p>
        </w:tc>
        <w:tc>
          <w:tcPr>
            <w:tcW w:w="6225" w:type="dxa"/>
            <w:noWrap/>
            <w:vAlign w:val="center"/>
          </w:tcPr>
          <w:p w14:paraId="735B8AC6">
            <w:p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1.服务响应：供应商需提供7*24小时售后电话响应；紧急故障如设备无法使用、系统崩溃等需在2小时内响应，一般问题如充电宝归还异常、支付故障等，需在24小时内解决；</w:t>
            </w:r>
          </w:p>
          <w:p w14:paraId="1FCB335D">
            <w:p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2.设备维护：每月对充电宝及机柜进行巡检，包括设备性能检测、清洁消毒等，确保所有设备运营状态正常，如有故障的应及时维修或更换；</w:t>
            </w:r>
          </w:p>
          <w:p w14:paraId="511395F2">
            <w:p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3.备件与库存：若设备需返厂维修，供应商应提供备用机；</w:t>
            </w:r>
          </w:p>
          <w:p w14:paraId="2C238860">
            <w:p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4.广告宣传根据甲方需求及时更新；</w:t>
            </w:r>
          </w:p>
          <w:p w14:paraId="3EDAC151">
            <w:p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5.服务质量：确保服务保障对象满意率达到85%（含）以上，招标方每季度组织一次面向服务保障对象的满意度测评，累计三次满意率低于85%时，招标方有权单方面终止合同；</w:t>
            </w:r>
          </w:p>
          <w:p w14:paraId="0004AF3C">
            <w:p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6.招标方每季度进行服务及价格市场调查，发现未按照合同约定执行优惠率的，根据情况进行相应处罚或终止合同。</w:t>
            </w:r>
          </w:p>
        </w:tc>
      </w:tr>
    </w:tbl>
    <w:p w14:paraId="4E4C69AF">
      <w:pPr>
        <w:keepNext w:val="0"/>
        <w:keepLines w:val="0"/>
        <w:pageBreakBefore w:val="0"/>
        <w:kinsoku/>
        <w:wordWrap/>
        <w:overflowPunct/>
        <w:topLinePunct w:val="0"/>
        <w:autoSpaceDE/>
        <w:autoSpaceDN/>
        <w:bidi w:val="0"/>
        <w:adjustRightInd/>
        <w:snapToGrid/>
        <w:spacing w:line="578" w:lineRule="exact"/>
        <w:ind w:firstLine="560" w:firstLineChars="200"/>
        <w:jc w:val="both"/>
        <w:rPr>
          <w:rFonts w:hint="eastAsia" w:ascii="黑体" w:hAnsi="黑体" w:eastAsia="黑体" w:cs="黑体"/>
          <w:kern w:val="2"/>
          <w:sz w:val="28"/>
          <w:szCs w:val="28"/>
          <w:highlight w:val="none"/>
          <w:lang w:val="en-US" w:eastAsia="zh-CN" w:bidi="ar-SA"/>
        </w:rPr>
      </w:pPr>
      <w:r>
        <w:rPr>
          <w:rFonts w:hint="eastAsia" w:ascii="黑体" w:hAnsi="黑体" w:eastAsia="黑体" w:cs="黑体"/>
          <w:kern w:val="2"/>
          <w:sz w:val="28"/>
          <w:szCs w:val="28"/>
          <w:highlight w:val="none"/>
          <w:lang w:val="en-US" w:eastAsia="zh-CN" w:bidi="ar-SA"/>
        </w:rPr>
        <w:t>三、获取采购文件</w:t>
      </w:r>
    </w:p>
    <w:p w14:paraId="7032AE99">
      <w:pPr>
        <w:keepNext w:val="0"/>
        <w:keepLines w:val="0"/>
        <w:pageBreakBefore w:val="0"/>
        <w:widowControl/>
        <w:numPr>
          <w:ilvl w:val="0"/>
          <w:numId w:val="0"/>
        </w:numPr>
        <w:kinsoku/>
        <w:wordWrap/>
        <w:overflowPunct/>
        <w:topLinePunct w:val="0"/>
        <w:autoSpaceDE/>
        <w:autoSpaceDN/>
        <w:bidi w:val="0"/>
        <w:adjustRightInd/>
        <w:snapToGrid/>
        <w:spacing w:line="578" w:lineRule="exact"/>
        <w:ind w:leftChars="200" w:firstLine="560" w:firstLineChars="200"/>
        <w:textAlignment w:val="baseline"/>
        <w:rPr>
          <w:rFonts w:hint="eastAsia" w:ascii="仿宋_GB2312" w:hAnsi="仿宋_GB2312" w:eastAsia="仿宋_GB2312" w:cs="仿宋_GB2312"/>
          <w:kern w:val="2"/>
          <w:sz w:val="28"/>
          <w:szCs w:val="28"/>
          <w:highlight w:val="none"/>
          <w:lang w:val="zh-CN" w:eastAsia="zh-CN" w:bidi="ar-SA"/>
        </w:rPr>
      </w:pPr>
      <w:r>
        <w:rPr>
          <w:rFonts w:hint="eastAsia" w:ascii="仿宋_GB2312" w:hAnsi="仿宋_GB2312" w:eastAsia="仿宋_GB2312" w:cs="仿宋_GB2312"/>
          <w:kern w:val="2"/>
          <w:sz w:val="28"/>
          <w:szCs w:val="28"/>
          <w:highlight w:val="none"/>
          <w:lang w:val="en-US" w:eastAsia="zh-CN" w:bidi="ar-SA"/>
        </w:rPr>
        <w:t>本项目无需获取采购文件，请按照本询价公示提供报名资料。</w:t>
      </w:r>
    </w:p>
    <w:p w14:paraId="4440EC99">
      <w:pPr>
        <w:keepNext w:val="0"/>
        <w:keepLines w:val="0"/>
        <w:pageBreakBefore w:val="0"/>
        <w:kinsoku/>
        <w:wordWrap/>
        <w:overflowPunct/>
        <w:topLinePunct w:val="0"/>
        <w:autoSpaceDE/>
        <w:autoSpaceDN/>
        <w:bidi w:val="0"/>
        <w:adjustRightInd/>
        <w:snapToGrid/>
        <w:spacing w:line="578" w:lineRule="exact"/>
        <w:ind w:firstLine="560" w:firstLineChars="200"/>
        <w:jc w:val="both"/>
        <w:rPr>
          <w:rFonts w:hint="eastAsia" w:ascii="黑体" w:hAnsi="黑体" w:eastAsia="黑体" w:cs="黑体"/>
          <w:kern w:val="2"/>
          <w:sz w:val="28"/>
          <w:szCs w:val="28"/>
          <w:highlight w:val="none"/>
          <w:lang w:val="en-US" w:eastAsia="zh-CN" w:bidi="ar-SA"/>
        </w:rPr>
      </w:pPr>
      <w:r>
        <w:rPr>
          <w:rFonts w:hint="eastAsia" w:ascii="黑体" w:hAnsi="黑体" w:eastAsia="黑体" w:cs="黑体"/>
          <w:kern w:val="2"/>
          <w:sz w:val="28"/>
          <w:szCs w:val="28"/>
          <w:highlight w:val="none"/>
          <w:lang w:val="en-US" w:eastAsia="zh-CN" w:bidi="ar-SA"/>
        </w:rPr>
        <w:t>四、询价须知</w:t>
      </w:r>
    </w:p>
    <w:p w14:paraId="60451E3A">
      <w:pPr>
        <w:keepNext w:val="0"/>
        <w:keepLines w:val="0"/>
        <w:pageBreakBefore w:val="0"/>
        <w:widowControl/>
        <w:kinsoku/>
        <w:wordWrap/>
        <w:overflowPunct/>
        <w:topLinePunct w:val="0"/>
        <w:autoSpaceDE/>
        <w:autoSpaceDN/>
        <w:bidi w:val="0"/>
        <w:adjustRightInd/>
        <w:snapToGrid/>
        <w:spacing w:line="578" w:lineRule="exact"/>
        <w:ind w:firstLine="560" w:firstLineChars="200"/>
        <w:textAlignment w:val="baseline"/>
        <w:rPr>
          <w:rFonts w:hint="eastAsia" w:ascii="仿宋_GB2312" w:hAnsi="仿宋_GB2312" w:eastAsia="仿宋_GB2312" w:cs="仿宋_GB2312"/>
          <w:color w:val="auto"/>
          <w:sz w:val="28"/>
          <w:szCs w:val="28"/>
          <w:highlight w:val="none"/>
        </w:rPr>
      </w:pPr>
      <w:r>
        <w:rPr>
          <w:rFonts w:hint="eastAsia" w:ascii="仿宋_GB2312" w:hAnsi="仿宋_GB2312" w:cs="仿宋_GB2312"/>
          <w:color w:val="auto"/>
          <w:sz w:val="28"/>
          <w:szCs w:val="28"/>
          <w:highlight w:val="none"/>
          <w:lang w:val="en-US" w:eastAsia="zh-CN"/>
        </w:rPr>
        <w:t>4</w:t>
      </w:r>
      <w:r>
        <w:rPr>
          <w:rFonts w:hint="eastAsia" w:ascii="仿宋_GB2312" w:hAnsi="仿宋_GB2312" w:eastAsia="仿宋_GB2312" w:cs="仿宋_GB2312"/>
          <w:color w:val="auto"/>
          <w:sz w:val="28"/>
          <w:szCs w:val="28"/>
          <w:highlight w:val="none"/>
        </w:rPr>
        <w:t>.1报名截止时间：</w:t>
      </w:r>
      <w:r>
        <w:rPr>
          <w:rFonts w:hint="eastAsia" w:ascii="仿宋_GB2312" w:hAnsi="仿宋_GB2312" w:eastAsia="仿宋_GB2312" w:cs="仿宋_GB2312"/>
          <w:color w:val="auto"/>
          <w:sz w:val="28"/>
          <w:szCs w:val="28"/>
          <w:highlight w:val="yellow"/>
        </w:rPr>
        <w:t>2025年</w:t>
      </w:r>
      <w:r>
        <w:rPr>
          <w:rFonts w:hint="eastAsia" w:ascii="仿宋_GB2312" w:hAnsi="仿宋_GB2312" w:cs="仿宋_GB2312"/>
          <w:color w:val="auto"/>
          <w:sz w:val="28"/>
          <w:szCs w:val="28"/>
          <w:highlight w:val="yellow"/>
          <w:lang w:val="en-US" w:eastAsia="zh-CN"/>
        </w:rPr>
        <w:t>10</w:t>
      </w:r>
      <w:r>
        <w:rPr>
          <w:rFonts w:hint="eastAsia" w:ascii="仿宋_GB2312" w:hAnsi="仿宋_GB2312" w:eastAsia="仿宋_GB2312" w:cs="仿宋_GB2312"/>
          <w:color w:val="auto"/>
          <w:sz w:val="28"/>
          <w:szCs w:val="28"/>
          <w:highlight w:val="yellow"/>
        </w:rPr>
        <w:t>月</w:t>
      </w:r>
      <w:r>
        <w:rPr>
          <w:rFonts w:hint="eastAsia" w:ascii="仿宋_GB2312" w:hAnsi="仿宋_GB2312" w:cs="仿宋_GB2312"/>
          <w:color w:val="auto"/>
          <w:sz w:val="28"/>
          <w:szCs w:val="28"/>
          <w:highlight w:val="yellow"/>
          <w:lang w:val="en-US" w:eastAsia="zh-CN"/>
        </w:rPr>
        <w:t>13</w:t>
      </w:r>
      <w:r>
        <w:rPr>
          <w:rFonts w:hint="eastAsia" w:ascii="仿宋_GB2312" w:hAnsi="仿宋_GB2312" w:eastAsia="仿宋_GB2312" w:cs="仿宋_GB2312"/>
          <w:color w:val="auto"/>
          <w:sz w:val="28"/>
          <w:szCs w:val="28"/>
          <w:highlight w:val="yellow"/>
        </w:rPr>
        <w:t>日</w:t>
      </w:r>
      <w:r>
        <w:rPr>
          <w:rFonts w:hint="eastAsia" w:ascii="仿宋_GB2312" w:hAnsi="仿宋_GB2312" w:cs="仿宋_GB2312"/>
          <w:color w:val="auto"/>
          <w:sz w:val="28"/>
          <w:szCs w:val="28"/>
          <w:highlight w:val="yellow"/>
          <w:lang w:val="en-US" w:eastAsia="zh-CN"/>
        </w:rPr>
        <w:t>15</w:t>
      </w:r>
      <w:r>
        <w:rPr>
          <w:rFonts w:hint="eastAsia" w:ascii="仿宋_GB2312" w:hAnsi="仿宋_GB2312" w:eastAsia="仿宋_GB2312" w:cs="仿宋_GB2312"/>
          <w:color w:val="auto"/>
          <w:sz w:val="28"/>
          <w:szCs w:val="28"/>
          <w:highlight w:val="yellow"/>
        </w:rPr>
        <w:t>时</w:t>
      </w:r>
      <w:r>
        <w:rPr>
          <w:rFonts w:hint="eastAsia" w:ascii="仿宋_GB2312" w:hAnsi="仿宋_GB2312" w:cs="仿宋_GB2312"/>
          <w:color w:val="auto"/>
          <w:sz w:val="28"/>
          <w:szCs w:val="28"/>
          <w:highlight w:val="yellow"/>
          <w:lang w:val="en-US" w:eastAsia="zh-CN"/>
        </w:rPr>
        <w:t>00</w:t>
      </w:r>
      <w:r>
        <w:rPr>
          <w:rFonts w:hint="eastAsia" w:ascii="仿宋_GB2312" w:hAnsi="仿宋_GB2312" w:eastAsia="仿宋_GB2312" w:cs="仿宋_GB2312"/>
          <w:color w:val="auto"/>
          <w:sz w:val="28"/>
          <w:szCs w:val="28"/>
          <w:highlight w:val="yellow"/>
        </w:rPr>
        <w:t>分</w:t>
      </w:r>
    </w:p>
    <w:p w14:paraId="178C40B7">
      <w:pPr>
        <w:keepNext w:val="0"/>
        <w:keepLines w:val="0"/>
        <w:pageBreakBefore w:val="0"/>
        <w:widowControl/>
        <w:kinsoku/>
        <w:wordWrap/>
        <w:overflowPunct/>
        <w:topLinePunct w:val="0"/>
        <w:autoSpaceDE/>
        <w:autoSpaceDN/>
        <w:bidi w:val="0"/>
        <w:adjustRightInd/>
        <w:snapToGrid/>
        <w:spacing w:line="578" w:lineRule="exact"/>
        <w:ind w:firstLine="560" w:firstLineChars="200"/>
        <w:textAlignment w:val="baseline"/>
        <w:rPr>
          <w:rFonts w:hint="default" w:ascii="仿宋_GB2312" w:hAnsi="仿宋_GB2312" w:eastAsia="仿宋_GB2312" w:cs="仿宋_GB2312"/>
          <w:b/>
          <w:bCs/>
          <w:color w:val="auto"/>
          <w:sz w:val="28"/>
          <w:szCs w:val="28"/>
          <w:highlight w:val="none"/>
          <w:lang w:val="en-US" w:eastAsia="zh-CN"/>
        </w:rPr>
      </w:pPr>
      <w:r>
        <w:rPr>
          <w:rFonts w:hint="eastAsia" w:ascii="仿宋_GB2312" w:hAnsi="仿宋_GB2312" w:cs="仿宋_GB2312"/>
          <w:color w:val="auto"/>
          <w:sz w:val="28"/>
          <w:szCs w:val="28"/>
          <w:highlight w:val="none"/>
          <w:lang w:val="en-US" w:eastAsia="zh-CN"/>
        </w:rPr>
        <w:t>4</w:t>
      </w:r>
      <w:r>
        <w:rPr>
          <w:rFonts w:hint="eastAsia" w:ascii="仿宋_GB2312" w:hAnsi="仿宋_GB2312" w:eastAsia="仿宋_GB2312" w:cs="仿宋_GB2312"/>
          <w:color w:val="auto"/>
          <w:sz w:val="28"/>
          <w:szCs w:val="28"/>
          <w:highlight w:val="none"/>
        </w:rPr>
        <w:t>.2供应商请于报价截止时间前将报价文件纸质原件加盖公章密封邮寄或送至</w:t>
      </w:r>
      <w:r>
        <w:rPr>
          <w:rFonts w:hint="eastAsia" w:ascii="仿宋_GB2312" w:hAnsi="仿宋_GB2312" w:eastAsia="仿宋_GB2312" w:cs="仿宋_GB2312"/>
          <w:color w:val="auto"/>
          <w:sz w:val="28"/>
          <w:szCs w:val="28"/>
          <w:highlight w:val="none"/>
          <w:lang w:eastAsia="zh-CN"/>
        </w:rPr>
        <w:t>江西省鹰潭市月湖区湖东路4号鹰潭一八四医院采购中心。</w:t>
      </w:r>
      <w:r>
        <w:rPr>
          <w:rFonts w:hint="eastAsia" w:ascii="仿宋_GB2312" w:hAnsi="仿宋_GB2312" w:eastAsia="仿宋_GB2312" w:cs="仿宋_GB2312"/>
          <w:b/>
          <w:bCs/>
          <w:color w:val="auto"/>
          <w:sz w:val="28"/>
          <w:szCs w:val="28"/>
          <w:highlight w:val="none"/>
          <w:lang w:val="en-US" w:eastAsia="zh-CN"/>
        </w:rPr>
        <w:t>(</w:t>
      </w:r>
      <w:r>
        <w:rPr>
          <w:rFonts w:hint="eastAsia" w:ascii="仿宋_GB2312" w:hAnsi="仿宋_GB2312" w:eastAsia="仿宋_GB2312" w:cs="仿宋_GB2312"/>
          <w:b/>
          <w:bCs/>
          <w:color w:val="auto"/>
          <w:sz w:val="28"/>
          <w:szCs w:val="28"/>
          <w:highlight w:val="none"/>
          <w:lang w:eastAsia="zh-CN"/>
        </w:rPr>
        <w:t>注意：报名材料封面须写明联系人及联系方式</w:t>
      </w:r>
      <w:r>
        <w:rPr>
          <w:rFonts w:hint="eastAsia" w:ascii="仿宋_GB2312" w:hAnsi="仿宋_GB2312" w:eastAsia="仿宋_GB2312" w:cs="仿宋_GB2312"/>
          <w:b/>
          <w:bCs/>
          <w:color w:val="auto"/>
          <w:sz w:val="28"/>
          <w:szCs w:val="28"/>
          <w:highlight w:val="none"/>
          <w:lang w:val="en-US" w:eastAsia="zh-CN"/>
        </w:rPr>
        <w:t>)</w:t>
      </w:r>
    </w:p>
    <w:p w14:paraId="6F06DB2C">
      <w:pPr>
        <w:keepNext w:val="0"/>
        <w:keepLines w:val="0"/>
        <w:pageBreakBefore w:val="0"/>
        <w:kinsoku/>
        <w:wordWrap/>
        <w:overflowPunct/>
        <w:topLinePunct w:val="0"/>
        <w:autoSpaceDE/>
        <w:autoSpaceDN/>
        <w:bidi w:val="0"/>
        <w:adjustRightInd/>
        <w:snapToGrid/>
        <w:spacing w:line="578" w:lineRule="exact"/>
        <w:ind w:firstLine="560" w:firstLineChars="200"/>
        <w:jc w:val="both"/>
        <w:rPr>
          <w:rFonts w:hint="eastAsia" w:ascii="黑体" w:hAnsi="黑体" w:eastAsia="黑体" w:cs="黑体"/>
          <w:color w:val="auto"/>
          <w:kern w:val="2"/>
          <w:sz w:val="28"/>
          <w:szCs w:val="28"/>
          <w:highlight w:val="none"/>
          <w:lang w:val="en-US" w:eastAsia="zh-CN" w:bidi="ar-SA"/>
        </w:rPr>
      </w:pPr>
      <w:r>
        <w:rPr>
          <w:rFonts w:hint="eastAsia" w:ascii="黑体" w:hAnsi="黑体" w:eastAsia="黑体" w:cs="黑体"/>
          <w:color w:val="auto"/>
          <w:kern w:val="2"/>
          <w:sz w:val="28"/>
          <w:szCs w:val="28"/>
          <w:highlight w:val="none"/>
          <w:lang w:val="en-US" w:eastAsia="zh-CN" w:bidi="ar-SA"/>
        </w:rPr>
        <w:t>五、评审方式</w:t>
      </w:r>
    </w:p>
    <w:p w14:paraId="2E1759C8">
      <w:pPr>
        <w:keepNext w:val="0"/>
        <w:keepLines w:val="0"/>
        <w:widowControl/>
        <w:suppressLineNumbers w:val="0"/>
        <w:ind w:firstLine="560" w:firstLineChars="200"/>
        <w:jc w:val="left"/>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经评审专家审核后通过资格审核的供应商方可进行竞价。</w:t>
      </w:r>
    </w:p>
    <w:p w14:paraId="1B948C07">
      <w:pPr>
        <w:keepNext w:val="0"/>
        <w:keepLines w:val="0"/>
        <w:widowControl/>
        <w:suppressLineNumbers w:val="0"/>
        <w:ind w:firstLine="560" w:firstLineChars="200"/>
        <w:jc w:val="left"/>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场地使用费竞价方式：起拍价为200元/月，每次加价必须是10的倍数。</w:t>
      </w:r>
    </w:p>
    <w:p w14:paraId="2BD111E3">
      <w:pPr>
        <w:keepNext w:val="0"/>
        <w:keepLines w:val="0"/>
        <w:widowControl/>
        <w:suppressLineNumbers w:val="0"/>
        <w:ind w:firstLine="560" w:firstLineChars="200"/>
        <w:jc w:val="left"/>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中标规则：经评审最终报价最高的确定为成交供应商，</w:t>
      </w:r>
      <w:r>
        <w:rPr>
          <w:rFonts w:hint="eastAsia" w:ascii="仿宋_GB2312" w:hAnsi="仿宋_GB2312" w:eastAsia="仿宋_GB2312" w:cs="仿宋_GB2312"/>
          <w:sz w:val="28"/>
          <w:szCs w:val="28"/>
          <w:highlight w:val="none"/>
          <w:lang w:val="en-US" w:eastAsia="zh-CN"/>
        </w:rPr>
        <w:t>电费则根据实际用量计算，由乙方负担，单价依照医院标准执行。</w:t>
      </w:r>
    </w:p>
    <w:p w14:paraId="5D70D123">
      <w:pPr>
        <w:keepNext w:val="0"/>
        <w:keepLines w:val="0"/>
        <w:pageBreakBefore w:val="0"/>
        <w:kinsoku/>
        <w:wordWrap/>
        <w:overflowPunct/>
        <w:topLinePunct w:val="0"/>
        <w:autoSpaceDE/>
        <w:autoSpaceDN/>
        <w:bidi w:val="0"/>
        <w:adjustRightInd/>
        <w:snapToGrid/>
        <w:spacing w:line="578" w:lineRule="exact"/>
        <w:ind w:firstLine="560" w:firstLineChars="200"/>
        <w:jc w:val="both"/>
        <w:rPr>
          <w:rFonts w:hint="eastAsia" w:ascii="黑体" w:hAnsi="黑体" w:eastAsia="黑体" w:cs="黑体"/>
          <w:kern w:val="2"/>
          <w:sz w:val="28"/>
          <w:szCs w:val="28"/>
          <w:highlight w:val="none"/>
          <w:lang w:val="en-US" w:eastAsia="zh-CN" w:bidi="ar-SA"/>
        </w:rPr>
      </w:pPr>
      <w:r>
        <w:rPr>
          <w:rFonts w:hint="eastAsia" w:ascii="黑体" w:hAnsi="黑体" w:eastAsia="黑体" w:cs="黑体"/>
          <w:kern w:val="2"/>
          <w:sz w:val="28"/>
          <w:szCs w:val="28"/>
          <w:highlight w:val="none"/>
          <w:lang w:val="en-US" w:eastAsia="zh-CN" w:bidi="ar-SA"/>
        </w:rPr>
        <w:t>六、开启</w:t>
      </w:r>
    </w:p>
    <w:p w14:paraId="6B0BA5E1">
      <w:pPr>
        <w:keepNext w:val="0"/>
        <w:keepLines w:val="0"/>
        <w:pageBreakBefore w:val="0"/>
        <w:widowControl/>
        <w:numPr>
          <w:ilvl w:val="0"/>
          <w:numId w:val="0"/>
        </w:numPr>
        <w:kinsoku/>
        <w:wordWrap/>
        <w:overflowPunct/>
        <w:topLinePunct w:val="0"/>
        <w:autoSpaceDE/>
        <w:autoSpaceDN/>
        <w:bidi w:val="0"/>
        <w:adjustRightInd/>
        <w:snapToGrid/>
        <w:spacing w:line="578" w:lineRule="exact"/>
        <w:ind w:leftChars="0" w:firstLine="560" w:firstLineChars="200"/>
        <w:textAlignment w:val="baseline"/>
        <w:rPr>
          <w:rFonts w:hint="eastAsia" w:ascii="仿宋_GB2312" w:hAnsi="仿宋_GB2312" w:eastAsia="仿宋_GB2312" w:cs="仿宋_GB2312"/>
          <w:kern w:val="2"/>
          <w:sz w:val="28"/>
          <w:szCs w:val="28"/>
          <w:highlight w:val="none"/>
          <w:lang w:val="zh-CN" w:eastAsia="zh-CN" w:bidi="ar-SA"/>
        </w:rPr>
      </w:pPr>
      <w:r>
        <w:rPr>
          <w:rFonts w:hint="eastAsia" w:ascii="仿宋_GB2312" w:hAnsi="仿宋_GB2312" w:eastAsia="仿宋_GB2312" w:cs="仿宋_GB2312"/>
          <w:kern w:val="2"/>
          <w:sz w:val="28"/>
          <w:szCs w:val="28"/>
          <w:highlight w:val="none"/>
          <w:lang w:val="en-US" w:eastAsia="zh-CN" w:bidi="ar-SA"/>
        </w:rPr>
        <w:t>6.1 时间：</w:t>
      </w:r>
      <w:r>
        <w:rPr>
          <w:rFonts w:hint="eastAsia" w:ascii="仿宋_GB2312" w:hAnsi="仿宋_GB2312" w:eastAsia="仿宋_GB2312" w:cs="仿宋_GB2312"/>
          <w:kern w:val="2"/>
          <w:sz w:val="28"/>
          <w:szCs w:val="28"/>
          <w:highlight w:val="none"/>
          <w:lang w:val="zh-CN" w:eastAsia="zh-CN" w:bidi="ar-SA"/>
        </w:rPr>
        <w:t>202</w:t>
      </w:r>
      <w:r>
        <w:rPr>
          <w:rFonts w:hint="eastAsia" w:ascii="仿宋_GB2312" w:hAnsi="仿宋_GB2312" w:eastAsia="仿宋_GB2312" w:cs="仿宋_GB2312"/>
          <w:kern w:val="2"/>
          <w:sz w:val="28"/>
          <w:szCs w:val="28"/>
          <w:highlight w:val="yellow"/>
          <w:lang w:val="zh-CN" w:eastAsia="zh-CN" w:bidi="ar-SA"/>
        </w:rPr>
        <w:t>5年</w:t>
      </w:r>
      <w:r>
        <w:rPr>
          <w:rFonts w:hint="eastAsia" w:ascii="仿宋_GB2312" w:hAnsi="仿宋_GB2312" w:eastAsia="仿宋_GB2312" w:cs="仿宋_GB2312"/>
          <w:kern w:val="2"/>
          <w:sz w:val="28"/>
          <w:szCs w:val="28"/>
          <w:highlight w:val="yellow"/>
          <w:lang w:val="en-US" w:eastAsia="zh-CN" w:bidi="ar-SA"/>
        </w:rPr>
        <w:t>10</w:t>
      </w:r>
      <w:r>
        <w:rPr>
          <w:rFonts w:hint="eastAsia" w:ascii="仿宋_GB2312" w:hAnsi="仿宋_GB2312" w:eastAsia="仿宋_GB2312" w:cs="仿宋_GB2312"/>
          <w:kern w:val="2"/>
          <w:sz w:val="28"/>
          <w:szCs w:val="28"/>
          <w:highlight w:val="yellow"/>
          <w:lang w:val="zh-CN" w:eastAsia="zh-CN" w:bidi="ar-SA"/>
        </w:rPr>
        <w:t>月</w:t>
      </w:r>
      <w:r>
        <w:rPr>
          <w:rFonts w:hint="eastAsia" w:ascii="仿宋_GB2312" w:hAnsi="仿宋_GB2312" w:eastAsia="仿宋_GB2312" w:cs="仿宋_GB2312"/>
          <w:kern w:val="2"/>
          <w:sz w:val="28"/>
          <w:szCs w:val="28"/>
          <w:highlight w:val="yellow"/>
          <w:lang w:val="en-US" w:eastAsia="zh-CN" w:bidi="ar-SA"/>
        </w:rPr>
        <w:t>13</w:t>
      </w:r>
      <w:r>
        <w:rPr>
          <w:rFonts w:hint="eastAsia" w:ascii="仿宋_GB2312" w:hAnsi="仿宋_GB2312" w:eastAsia="仿宋_GB2312" w:cs="仿宋_GB2312"/>
          <w:kern w:val="2"/>
          <w:sz w:val="28"/>
          <w:szCs w:val="28"/>
          <w:highlight w:val="yellow"/>
          <w:lang w:val="zh-CN" w:eastAsia="zh-CN" w:bidi="ar-SA"/>
        </w:rPr>
        <w:t>日</w:t>
      </w:r>
      <w:r>
        <w:rPr>
          <w:rFonts w:hint="eastAsia" w:ascii="仿宋_GB2312" w:hAnsi="仿宋_GB2312" w:eastAsia="仿宋_GB2312" w:cs="仿宋_GB2312"/>
          <w:kern w:val="2"/>
          <w:sz w:val="28"/>
          <w:szCs w:val="28"/>
          <w:highlight w:val="yellow"/>
          <w:lang w:val="en-US" w:eastAsia="zh-CN" w:bidi="ar-SA"/>
        </w:rPr>
        <w:t>15</w:t>
      </w:r>
      <w:r>
        <w:rPr>
          <w:rFonts w:hint="eastAsia" w:ascii="仿宋_GB2312" w:hAnsi="仿宋_GB2312" w:eastAsia="仿宋_GB2312" w:cs="仿宋_GB2312"/>
          <w:kern w:val="2"/>
          <w:sz w:val="28"/>
          <w:szCs w:val="28"/>
          <w:highlight w:val="yellow"/>
          <w:lang w:val="zh-CN" w:eastAsia="zh-CN" w:bidi="ar-SA"/>
        </w:rPr>
        <w:t>时</w:t>
      </w:r>
      <w:r>
        <w:rPr>
          <w:rFonts w:hint="eastAsia" w:ascii="仿宋_GB2312" w:hAnsi="仿宋_GB2312" w:eastAsia="仿宋_GB2312" w:cs="仿宋_GB2312"/>
          <w:kern w:val="2"/>
          <w:sz w:val="28"/>
          <w:szCs w:val="28"/>
          <w:highlight w:val="yellow"/>
          <w:lang w:val="en-US" w:eastAsia="zh-CN" w:bidi="ar-SA"/>
        </w:rPr>
        <w:t>00</w:t>
      </w:r>
      <w:r>
        <w:rPr>
          <w:rFonts w:hint="eastAsia" w:ascii="仿宋_GB2312" w:hAnsi="仿宋_GB2312" w:eastAsia="仿宋_GB2312" w:cs="仿宋_GB2312"/>
          <w:kern w:val="2"/>
          <w:sz w:val="28"/>
          <w:szCs w:val="28"/>
          <w:highlight w:val="yellow"/>
          <w:lang w:val="zh-CN" w:eastAsia="zh-CN" w:bidi="ar-SA"/>
        </w:rPr>
        <w:t>分</w:t>
      </w:r>
      <w:r>
        <w:rPr>
          <w:rFonts w:hint="eastAsia" w:ascii="仿宋_GB2312" w:hAnsi="仿宋_GB2312" w:eastAsia="仿宋_GB2312" w:cs="仿宋_GB2312"/>
          <w:kern w:val="2"/>
          <w:sz w:val="28"/>
          <w:szCs w:val="28"/>
          <w:highlight w:val="none"/>
          <w:lang w:val="zh-CN" w:eastAsia="zh-CN" w:bidi="ar-SA"/>
        </w:rPr>
        <w:t>（时间如有冲突另行通知）</w:t>
      </w:r>
    </w:p>
    <w:p w14:paraId="44C50D28">
      <w:pPr>
        <w:keepNext w:val="0"/>
        <w:keepLines w:val="0"/>
        <w:pageBreakBefore w:val="0"/>
        <w:widowControl/>
        <w:numPr>
          <w:ilvl w:val="0"/>
          <w:numId w:val="0"/>
        </w:numPr>
        <w:kinsoku/>
        <w:wordWrap/>
        <w:overflowPunct/>
        <w:topLinePunct w:val="0"/>
        <w:autoSpaceDE/>
        <w:autoSpaceDN/>
        <w:bidi w:val="0"/>
        <w:adjustRightInd/>
        <w:snapToGrid/>
        <w:spacing w:line="578" w:lineRule="exact"/>
        <w:ind w:firstLine="560" w:firstLineChars="200"/>
        <w:textAlignment w:val="baseline"/>
        <w:rPr>
          <w:rFonts w:hint="eastAsia" w:ascii="仿宋_GB2312" w:hAnsi="仿宋_GB2312" w:eastAsia="仿宋_GB2312" w:cs="仿宋_GB2312"/>
          <w:kern w:val="2"/>
          <w:sz w:val="28"/>
          <w:szCs w:val="28"/>
          <w:highlight w:val="none"/>
          <w:lang w:val="zh-CN" w:eastAsia="zh-CN" w:bidi="ar-SA"/>
        </w:rPr>
      </w:pPr>
      <w:r>
        <w:rPr>
          <w:rFonts w:hint="eastAsia" w:ascii="仿宋_GB2312" w:hAnsi="仿宋_GB2312" w:eastAsia="仿宋_GB2312" w:cs="仿宋_GB2312"/>
          <w:kern w:val="2"/>
          <w:sz w:val="28"/>
          <w:szCs w:val="28"/>
          <w:highlight w:val="none"/>
          <w:lang w:val="en-US" w:eastAsia="zh-CN" w:bidi="ar-SA"/>
        </w:rPr>
        <w:t>6.2 地点：</w:t>
      </w:r>
      <w:r>
        <w:rPr>
          <w:rFonts w:hint="eastAsia" w:ascii="仿宋_GB2312" w:hAnsi="仿宋_GB2312" w:eastAsia="仿宋_GB2312" w:cs="仿宋_GB2312"/>
          <w:kern w:val="2"/>
          <w:sz w:val="28"/>
          <w:szCs w:val="28"/>
          <w:highlight w:val="none"/>
          <w:lang w:val="zh-CN" w:eastAsia="zh-CN" w:bidi="ar-SA"/>
        </w:rPr>
        <w:t>江西省鹰潭市月湖区湖东路</w:t>
      </w:r>
      <w:r>
        <w:rPr>
          <w:rFonts w:hint="eastAsia" w:ascii="仿宋_GB2312" w:hAnsi="仿宋_GB2312" w:eastAsia="仿宋_GB2312" w:cs="仿宋_GB2312"/>
          <w:kern w:val="2"/>
          <w:sz w:val="28"/>
          <w:szCs w:val="28"/>
          <w:highlight w:val="none"/>
          <w:lang w:val="en-US" w:eastAsia="zh-CN" w:bidi="ar-SA"/>
        </w:rPr>
        <w:t>4号</w:t>
      </w:r>
      <w:r>
        <w:rPr>
          <w:rFonts w:hint="eastAsia" w:ascii="仿宋_GB2312" w:hAnsi="仿宋_GB2312" w:eastAsia="仿宋_GB2312" w:cs="仿宋_GB2312"/>
          <w:kern w:val="2"/>
          <w:sz w:val="28"/>
          <w:szCs w:val="28"/>
          <w:highlight w:val="none"/>
          <w:lang w:val="zh-CN" w:eastAsia="zh-CN" w:bidi="ar-SA"/>
        </w:rPr>
        <w:t>鹰潭一八四医院</w:t>
      </w:r>
    </w:p>
    <w:p w14:paraId="1F9148FB">
      <w:pPr>
        <w:keepNext w:val="0"/>
        <w:keepLines w:val="0"/>
        <w:pageBreakBefore w:val="0"/>
        <w:kinsoku/>
        <w:wordWrap/>
        <w:overflowPunct/>
        <w:topLinePunct w:val="0"/>
        <w:autoSpaceDE/>
        <w:autoSpaceDN/>
        <w:bidi w:val="0"/>
        <w:adjustRightInd/>
        <w:snapToGrid/>
        <w:spacing w:line="578" w:lineRule="exact"/>
        <w:ind w:firstLine="560" w:firstLineChars="200"/>
        <w:jc w:val="both"/>
        <w:rPr>
          <w:rFonts w:hint="eastAsia" w:ascii="黑体" w:hAnsi="黑体" w:eastAsia="黑体" w:cs="黑体"/>
          <w:kern w:val="2"/>
          <w:sz w:val="28"/>
          <w:szCs w:val="28"/>
          <w:highlight w:val="none"/>
          <w:lang w:val="en-US" w:eastAsia="zh-CN" w:bidi="ar-SA"/>
        </w:rPr>
      </w:pPr>
      <w:r>
        <w:rPr>
          <w:rFonts w:hint="eastAsia" w:ascii="黑体" w:hAnsi="黑体" w:eastAsia="黑体" w:cs="黑体"/>
          <w:kern w:val="2"/>
          <w:sz w:val="28"/>
          <w:szCs w:val="28"/>
          <w:highlight w:val="none"/>
          <w:lang w:val="en-US" w:eastAsia="zh-CN" w:bidi="ar-SA"/>
        </w:rPr>
        <w:t>七、公告期限</w:t>
      </w:r>
    </w:p>
    <w:p w14:paraId="2CCD2AE0">
      <w:pPr>
        <w:keepNext w:val="0"/>
        <w:keepLines w:val="0"/>
        <w:pageBreakBefore w:val="0"/>
        <w:widowControl/>
        <w:numPr>
          <w:ilvl w:val="0"/>
          <w:numId w:val="0"/>
        </w:numPr>
        <w:kinsoku/>
        <w:wordWrap/>
        <w:overflowPunct/>
        <w:topLinePunct w:val="0"/>
        <w:autoSpaceDE/>
        <w:autoSpaceDN/>
        <w:bidi w:val="0"/>
        <w:adjustRightInd/>
        <w:snapToGrid/>
        <w:spacing w:line="578" w:lineRule="exact"/>
        <w:ind w:firstLine="560" w:firstLineChars="200"/>
        <w:textAlignment w:val="baseline"/>
        <w:rPr>
          <w:rFonts w:hint="default" w:ascii="仿宋_GB2312" w:hAnsi="仿宋_GB2312" w:cs="仿宋_GB2312"/>
          <w:color w:val="auto"/>
          <w:sz w:val="28"/>
          <w:szCs w:val="28"/>
          <w:highlight w:val="none"/>
          <w:lang w:val="en-US" w:eastAsia="zh-CN"/>
        </w:rPr>
      </w:pPr>
      <w:r>
        <w:rPr>
          <w:rFonts w:hint="eastAsia" w:ascii="仿宋_GB2312" w:hAnsi="仿宋_GB2312" w:cs="仿宋_GB2312"/>
          <w:color w:val="auto"/>
          <w:sz w:val="28"/>
          <w:szCs w:val="28"/>
          <w:highlight w:val="none"/>
          <w:lang w:eastAsia="zh-CN"/>
        </w:rPr>
        <w:t>本公告发布之日起</w:t>
      </w:r>
      <w:r>
        <w:rPr>
          <w:rFonts w:hint="eastAsia" w:ascii="仿宋_GB2312" w:hAnsi="仿宋_GB2312" w:cs="仿宋_GB2312"/>
          <w:color w:val="auto"/>
          <w:sz w:val="28"/>
          <w:szCs w:val="28"/>
          <w:highlight w:val="none"/>
          <w:u w:val="single"/>
          <w:lang w:val="en-US" w:eastAsia="zh-CN"/>
        </w:rPr>
        <w:t xml:space="preserve"> 五 </w:t>
      </w:r>
      <w:r>
        <w:rPr>
          <w:rFonts w:hint="eastAsia" w:ascii="仿宋_GB2312" w:hAnsi="仿宋_GB2312" w:cs="仿宋_GB2312"/>
          <w:color w:val="auto"/>
          <w:sz w:val="28"/>
          <w:szCs w:val="28"/>
          <w:highlight w:val="none"/>
          <w:lang w:eastAsia="zh-CN"/>
        </w:rPr>
        <w:t>个工作日。</w:t>
      </w:r>
    </w:p>
    <w:p w14:paraId="5A22BD7F">
      <w:pPr>
        <w:keepNext w:val="0"/>
        <w:keepLines w:val="0"/>
        <w:pageBreakBefore w:val="0"/>
        <w:kinsoku/>
        <w:wordWrap/>
        <w:overflowPunct/>
        <w:topLinePunct w:val="0"/>
        <w:autoSpaceDE/>
        <w:autoSpaceDN/>
        <w:bidi w:val="0"/>
        <w:adjustRightInd/>
        <w:snapToGrid/>
        <w:spacing w:line="578" w:lineRule="exact"/>
        <w:ind w:firstLine="560" w:firstLineChars="200"/>
        <w:jc w:val="both"/>
        <w:rPr>
          <w:rFonts w:hint="eastAsia" w:ascii="黑体" w:hAnsi="黑体" w:eastAsia="黑体" w:cs="黑体"/>
          <w:kern w:val="2"/>
          <w:sz w:val="28"/>
          <w:szCs w:val="28"/>
          <w:highlight w:val="none"/>
          <w:lang w:val="en-US" w:eastAsia="zh-CN" w:bidi="ar-SA"/>
        </w:rPr>
      </w:pPr>
      <w:r>
        <w:rPr>
          <w:rFonts w:hint="eastAsia" w:ascii="黑体" w:hAnsi="黑体" w:eastAsia="黑体" w:cs="黑体"/>
          <w:kern w:val="2"/>
          <w:sz w:val="28"/>
          <w:szCs w:val="28"/>
          <w:highlight w:val="none"/>
          <w:lang w:val="en-US" w:eastAsia="zh-CN" w:bidi="ar-SA"/>
        </w:rPr>
        <w:t>八、其他补充事宜</w:t>
      </w:r>
    </w:p>
    <w:p w14:paraId="58860952">
      <w:pPr>
        <w:keepNext w:val="0"/>
        <w:keepLines w:val="0"/>
        <w:pageBreakBefore w:val="0"/>
        <w:widowControl/>
        <w:numPr>
          <w:ilvl w:val="0"/>
          <w:numId w:val="0"/>
        </w:numPr>
        <w:kinsoku/>
        <w:wordWrap/>
        <w:overflowPunct/>
        <w:topLinePunct w:val="0"/>
        <w:autoSpaceDE/>
        <w:autoSpaceDN/>
        <w:bidi w:val="0"/>
        <w:adjustRightInd/>
        <w:snapToGrid/>
        <w:spacing w:line="578" w:lineRule="exact"/>
        <w:ind w:leftChars="0" w:firstLine="560" w:firstLineChars="200"/>
        <w:textAlignment w:val="baseline"/>
        <w:rPr>
          <w:rFonts w:hint="eastAsia" w:ascii="仿宋_GB2312" w:hAnsi="仿宋_GB2312" w:eastAsia="仿宋_GB2312" w:cs="仿宋_GB2312"/>
          <w:kern w:val="2"/>
          <w:sz w:val="28"/>
          <w:szCs w:val="28"/>
          <w:highlight w:val="none"/>
          <w:lang w:val="zh-CN" w:eastAsia="zh-CN" w:bidi="ar-SA"/>
        </w:rPr>
      </w:pPr>
      <w:r>
        <w:rPr>
          <w:rFonts w:hint="eastAsia" w:ascii="仿宋_GB2312" w:hAnsi="仿宋_GB2312" w:eastAsia="仿宋_GB2312" w:cs="仿宋_GB2312"/>
          <w:kern w:val="2"/>
          <w:sz w:val="28"/>
          <w:szCs w:val="28"/>
          <w:highlight w:val="none"/>
          <w:lang w:val="zh-CN" w:eastAsia="zh-CN" w:bidi="ar-SA"/>
        </w:rPr>
        <w:t>本次询价公示及结果公示均在“江西省招标投标网（http://www.jxtb.org.cn/）和鹰潭一八四医院官网（https://www.yt184yy.com/）”发布。</w:t>
      </w:r>
    </w:p>
    <w:p w14:paraId="6D226AD6">
      <w:pPr>
        <w:keepNext w:val="0"/>
        <w:keepLines w:val="0"/>
        <w:pageBreakBefore w:val="0"/>
        <w:kinsoku/>
        <w:wordWrap/>
        <w:overflowPunct/>
        <w:topLinePunct w:val="0"/>
        <w:autoSpaceDE/>
        <w:autoSpaceDN/>
        <w:bidi w:val="0"/>
        <w:adjustRightInd/>
        <w:snapToGrid/>
        <w:spacing w:line="578" w:lineRule="exact"/>
        <w:ind w:firstLine="560" w:firstLineChars="200"/>
        <w:jc w:val="both"/>
        <w:rPr>
          <w:rFonts w:hint="eastAsia" w:ascii="黑体" w:hAnsi="黑体" w:eastAsia="黑体" w:cs="黑体"/>
          <w:kern w:val="2"/>
          <w:sz w:val="28"/>
          <w:szCs w:val="28"/>
          <w:highlight w:val="none"/>
          <w:lang w:val="en-US" w:eastAsia="zh-CN" w:bidi="ar-SA"/>
        </w:rPr>
      </w:pPr>
      <w:r>
        <w:rPr>
          <w:rFonts w:hint="eastAsia" w:ascii="黑体" w:hAnsi="黑体" w:eastAsia="黑体" w:cs="黑体"/>
          <w:kern w:val="2"/>
          <w:sz w:val="28"/>
          <w:szCs w:val="28"/>
          <w:highlight w:val="none"/>
          <w:lang w:val="en-US" w:eastAsia="zh-CN" w:bidi="ar-SA"/>
        </w:rPr>
        <w:t>九、联系方式</w:t>
      </w:r>
      <w:bookmarkStart w:id="0" w:name="_GoBack"/>
      <w:bookmarkEnd w:id="0"/>
    </w:p>
    <w:p w14:paraId="4FA367EE">
      <w:pPr>
        <w:keepNext w:val="0"/>
        <w:keepLines w:val="0"/>
        <w:pageBreakBefore w:val="0"/>
        <w:widowControl/>
        <w:kinsoku/>
        <w:wordWrap/>
        <w:overflowPunct/>
        <w:topLinePunct w:val="0"/>
        <w:autoSpaceDE/>
        <w:autoSpaceDN/>
        <w:bidi w:val="0"/>
        <w:adjustRightInd/>
        <w:snapToGrid/>
        <w:spacing w:line="578" w:lineRule="exact"/>
        <w:ind w:firstLine="560" w:firstLineChars="200"/>
        <w:textAlignment w:val="baseline"/>
        <w:rPr>
          <w:rFonts w:hint="eastAsia" w:ascii="仿宋_GB2312" w:hAnsi="仿宋_GB2312" w:eastAsia="仿宋_GB2312" w:cs="仿宋_GB2312"/>
          <w:kern w:val="2"/>
          <w:sz w:val="28"/>
          <w:szCs w:val="28"/>
          <w:highlight w:val="none"/>
          <w:lang w:val="zh-CN" w:eastAsia="zh-CN" w:bidi="ar-SA"/>
        </w:rPr>
      </w:pPr>
      <w:r>
        <w:rPr>
          <w:rFonts w:hint="eastAsia" w:ascii="仿宋_GB2312" w:hAnsi="仿宋_GB2312" w:eastAsia="仿宋_GB2312" w:cs="仿宋_GB2312"/>
          <w:kern w:val="2"/>
          <w:sz w:val="28"/>
          <w:szCs w:val="28"/>
          <w:highlight w:val="none"/>
          <w:lang w:val="zh-CN" w:eastAsia="zh-CN" w:bidi="ar-SA"/>
        </w:rPr>
        <w:t>地址：江西省鹰潭市月湖区湖东路</w:t>
      </w:r>
      <w:r>
        <w:rPr>
          <w:rFonts w:hint="eastAsia" w:ascii="仿宋_GB2312" w:hAnsi="仿宋_GB2312" w:eastAsia="仿宋_GB2312" w:cs="仿宋_GB2312"/>
          <w:kern w:val="2"/>
          <w:sz w:val="28"/>
          <w:szCs w:val="28"/>
          <w:highlight w:val="none"/>
          <w:lang w:val="en-US" w:eastAsia="zh-CN" w:bidi="ar-SA"/>
        </w:rPr>
        <w:t>4号</w:t>
      </w:r>
      <w:r>
        <w:rPr>
          <w:rFonts w:hint="eastAsia" w:ascii="仿宋_GB2312" w:hAnsi="仿宋_GB2312" w:eastAsia="仿宋_GB2312" w:cs="仿宋_GB2312"/>
          <w:kern w:val="2"/>
          <w:sz w:val="28"/>
          <w:szCs w:val="28"/>
          <w:highlight w:val="none"/>
          <w:lang w:val="zh-CN" w:eastAsia="zh-CN" w:bidi="ar-SA"/>
        </w:rPr>
        <w:t>鹰潭一八四医院采购中心</w:t>
      </w:r>
    </w:p>
    <w:p w14:paraId="21D07693">
      <w:pPr>
        <w:keepNext w:val="0"/>
        <w:keepLines w:val="0"/>
        <w:pageBreakBefore w:val="0"/>
        <w:widowControl/>
        <w:kinsoku/>
        <w:wordWrap/>
        <w:overflowPunct/>
        <w:topLinePunct w:val="0"/>
        <w:autoSpaceDE/>
        <w:autoSpaceDN/>
        <w:bidi w:val="0"/>
        <w:adjustRightInd/>
        <w:snapToGrid/>
        <w:spacing w:line="578" w:lineRule="exact"/>
        <w:ind w:firstLine="560" w:firstLineChars="200"/>
        <w:textAlignment w:val="baseline"/>
        <w:rPr>
          <w:rFonts w:hint="eastAsia" w:ascii="仿宋_GB2312" w:hAnsi="仿宋_GB2312" w:eastAsia="仿宋_GB2312" w:cs="仿宋_GB2312"/>
          <w:kern w:val="2"/>
          <w:sz w:val="28"/>
          <w:szCs w:val="28"/>
          <w:highlight w:val="none"/>
          <w:lang w:val="zh-CN" w:eastAsia="zh-CN" w:bidi="ar-SA"/>
        </w:rPr>
      </w:pPr>
      <w:r>
        <w:rPr>
          <w:rFonts w:hint="eastAsia" w:ascii="仿宋_GB2312" w:hAnsi="仿宋_GB2312" w:eastAsia="仿宋_GB2312" w:cs="仿宋_GB2312"/>
          <w:kern w:val="2"/>
          <w:sz w:val="28"/>
          <w:szCs w:val="28"/>
          <w:highlight w:val="none"/>
          <w:lang w:val="zh-CN" w:eastAsia="zh-CN" w:bidi="ar-SA"/>
        </w:rPr>
        <w:t>联系人：</w:t>
      </w:r>
      <w:r>
        <w:rPr>
          <w:rFonts w:hint="eastAsia" w:ascii="仿宋_GB2312" w:hAnsi="仿宋_GB2312" w:eastAsia="仿宋_GB2312" w:cs="仿宋_GB2312"/>
          <w:kern w:val="2"/>
          <w:sz w:val="28"/>
          <w:szCs w:val="28"/>
          <w:highlight w:val="none"/>
          <w:lang w:val="en-US" w:eastAsia="zh-CN" w:bidi="ar-SA"/>
        </w:rPr>
        <w:t>刘老师，何</w:t>
      </w:r>
      <w:r>
        <w:rPr>
          <w:rFonts w:hint="eastAsia" w:ascii="仿宋_GB2312" w:hAnsi="仿宋_GB2312" w:eastAsia="仿宋_GB2312" w:cs="仿宋_GB2312"/>
          <w:kern w:val="2"/>
          <w:sz w:val="28"/>
          <w:szCs w:val="28"/>
          <w:highlight w:val="none"/>
          <w:lang w:val="zh-CN" w:eastAsia="zh-CN" w:bidi="ar-SA"/>
        </w:rPr>
        <w:t>老师</w:t>
      </w:r>
    </w:p>
    <w:p w14:paraId="2BE4E37F">
      <w:pPr>
        <w:keepNext w:val="0"/>
        <w:keepLines w:val="0"/>
        <w:widowControl/>
        <w:suppressLineNumbers w:val="0"/>
        <w:ind w:firstLine="560" w:firstLineChars="200"/>
        <w:jc w:val="left"/>
        <w:rPr>
          <w:rFonts w:hint="default"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kern w:val="2"/>
          <w:sz w:val="28"/>
          <w:szCs w:val="28"/>
          <w:highlight w:val="none"/>
          <w:lang w:val="zh-CN" w:eastAsia="zh-CN" w:bidi="ar-SA"/>
        </w:rPr>
        <w:t>联系电话：</w:t>
      </w:r>
      <w:r>
        <w:rPr>
          <w:rFonts w:hint="eastAsia" w:ascii="仿宋_GB2312" w:hAnsi="仿宋_GB2312" w:eastAsia="仿宋_GB2312" w:cs="仿宋_GB2312"/>
          <w:kern w:val="2"/>
          <w:sz w:val="28"/>
          <w:szCs w:val="28"/>
          <w:highlight w:val="none"/>
          <w:lang w:val="en-US" w:eastAsia="zh-CN" w:bidi="ar-SA"/>
        </w:rPr>
        <w:t>18146661347，18296845093</w:t>
      </w:r>
    </w:p>
    <w:p w14:paraId="1C9211B2">
      <w:pPr>
        <w:keepNext w:val="0"/>
        <w:keepLines w:val="0"/>
        <w:pageBreakBefore w:val="0"/>
        <w:widowControl/>
        <w:shd w:val="clear" w:color="auto" w:fill="FFFFFF"/>
        <w:kinsoku/>
        <w:wordWrap/>
        <w:overflowPunct/>
        <w:topLinePunct w:val="0"/>
        <w:autoSpaceDE/>
        <w:autoSpaceDN/>
        <w:bidi w:val="0"/>
        <w:adjustRightInd/>
        <w:snapToGrid/>
        <w:spacing w:line="578" w:lineRule="exact"/>
        <w:ind w:left="0" w:leftChars="0" w:firstLine="560" w:firstLineChars="200"/>
        <w:jc w:val="left"/>
        <w:textAlignment w:val="auto"/>
        <w:rPr>
          <w:rFonts w:hint="eastAsia" w:ascii="仿宋_GB2312" w:hAnsi="仿宋_GB2312" w:eastAsia="仿宋_GB2312" w:cs="仿宋_GB2312"/>
          <w:kern w:val="2"/>
          <w:sz w:val="28"/>
          <w:szCs w:val="28"/>
          <w:highlight w:val="none"/>
          <w:lang w:val="zh-CN" w:eastAsia="zh-CN" w:bidi="ar-SA"/>
        </w:rPr>
      </w:pPr>
      <w:r>
        <w:rPr>
          <w:rFonts w:hint="eastAsia" w:ascii="仿宋_GB2312" w:hAnsi="仿宋_GB2312" w:eastAsia="仿宋_GB2312" w:cs="仿宋_GB2312"/>
          <w:kern w:val="2"/>
          <w:sz w:val="28"/>
          <w:szCs w:val="28"/>
          <w:highlight w:val="none"/>
          <w:lang w:val="en-US" w:eastAsia="zh-CN" w:bidi="ar-SA"/>
        </w:rPr>
        <w:t>投诉质疑电话：纪检工作部6636948</w:t>
      </w:r>
    </w:p>
    <w:p w14:paraId="6C6A70E5">
      <w:pPr>
        <w:rPr>
          <w:rFonts w:hint="eastAsia" w:ascii="方正小标宋简体" w:hAnsi="方正小标宋简体" w:eastAsia="方正小标宋简体" w:cs="方正小标宋简体"/>
          <w:sz w:val="32"/>
          <w:szCs w:val="32"/>
          <w:lang w:eastAsia="zh-CN"/>
        </w:rPr>
      </w:pPr>
      <w:r>
        <w:rPr>
          <w:rFonts w:hint="eastAsia" w:ascii="方正小标宋简体" w:hAnsi="方正小标宋简体" w:eastAsia="方正小标宋简体" w:cs="方正小标宋简体"/>
          <w:sz w:val="32"/>
          <w:szCs w:val="32"/>
          <w:lang w:eastAsia="zh-CN"/>
        </w:rPr>
        <w:br w:type="page"/>
      </w:r>
    </w:p>
    <w:p w14:paraId="439F0226">
      <w:pPr>
        <w:pStyle w:val="3"/>
        <w:rPr>
          <w:rFonts w:hint="eastAsia" w:ascii="仿宋_GB2312" w:hAnsi="仿宋_GB2312" w:eastAsia="仿宋_GB2312" w:cs="仿宋_GB2312"/>
          <w:kern w:val="2"/>
          <w:sz w:val="28"/>
          <w:szCs w:val="28"/>
          <w:highlight w:val="none"/>
          <w:lang w:val="en-US" w:eastAsia="zh-CN" w:bidi="ar-SA"/>
        </w:rPr>
      </w:pPr>
      <w:r>
        <w:rPr>
          <w:rFonts w:hint="eastAsia" w:ascii="黑体" w:hAnsi="黑体" w:eastAsia="黑体" w:cs="黑体"/>
          <w:kern w:val="2"/>
          <w:sz w:val="28"/>
          <w:szCs w:val="28"/>
          <w:highlight w:val="none"/>
          <w:lang w:val="en-US" w:eastAsia="zh-CN" w:bidi="ar-SA"/>
        </w:rPr>
        <w:t>附件：</w:t>
      </w:r>
      <w:r>
        <w:rPr>
          <w:rFonts w:hint="eastAsia" w:ascii="仿宋_GB2312" w:hAnsi="仿宋_GB2312" w:eastAsia="仿宋_GB2312" w:cs="仿宋_GB2312"/>
          <w:kern w:val="2"/>
          <w:sz w:val="28"/>
          <w:szCs w:val="28"/>
          <w:highlight w:val="none"/>
          <w:lang w:val="en-US" w:eastAsia="zh-CN" w:bidi="ar-SA"/>
        </w:rPr>
        <w:t>（</w:t>
      </w:r>
      <w:r>
        <w:rPr>
          <w:rFonts w:hint="eastAsia" w:ascii="仿宋_GB2312" w:hAnsi="仿宋_GB2312" w:eastAsia="仿宋_GB2312" w:cs="仿宋_GB2312"/>
          <w:b/>
          <w:bCs/>
          <w:kern w:val="2"/>
          <w:sz w:val="28"/>
          <w:szCs w:val="28"/>
          <w:highlight w:val="none"/>
          <w:lang w:val="en-US" w:eastAsia="zh-CN" w:bidi="ar-SA"/>
        </w:rPr>
        <w:t>所有材料须加盖公章，否则视为无效</w:t>
      </w:r>
      <w:r>
        <w:rPr>
          <w:rFonts w:hint="eastAsia" w:ascii="仿宋_GB2312" w:hAnsi="仿宋_GB2312" w:eastAsia="仿宋_GB2312" w:cs="仿宋_GB2312"/>
          <w:kern w:val="2"/>
          <w:sz w:val="28"/>
          <w:szCs w:val="28"/>
          <w:highlight w:val="none"/>
          <w:lang w:val="en-US" w:eastAsia="zh-CN" w:bidi="ar-SA"/>
        </w:rPr>
        <w:t>）</w:t>
      </w:r>
    </w:p>
    <w:p w14:paraId="60DE1C23">
      <w:pPr>
        <w:pStyle w:val="3"/>
        <w:rPr>
          <w:rStyle w:val="8"/>
          <w:rFonts w:hint="eastAsia" w:ascii="仿宋" w:hAnsi="仿宋" w:eastAsia="仿宋" w:cs="仿宋"/>
          <w:b/>
          <w:bCs/>
          <w:color w:val="auto"/>
          <w:kern w:val="2"/>
          <w:sz w:val="30"/>
          <w:szCs w:val="30"/>
          <w:highlight w:val="none"/>
          <w:lang w:val="en-US" w:eastAsia="zh-CN" w:bidi="ar-SA"/>
        </w:rPr>
      </w:pPr>
    </w:p>
    <w:p w14:paraId="7F34CC4B">
      <w:pPr>
        <w:snapToGrid w:val="0"/>
        <w:spacing w:after="158" w:afterLines="50" w:line="360" w:lineRule="auto"/>
        <w:ind w:right="-30"/>
        <w:jc w:val="both"/>
        <w:rPr>
          <w:rStyle w:val="8"/>
          <w:rFonts w:hint="eastAsia" w:ascii="仿宋" w:hAnsi="仿宋" w:eastAsia="仿宋" w:cs="仿宋"/>
          <w:b/>
          <w:bCs/>
          <w:color w:val="auto"/>
          <w:kern w:val="2"/>
          <w:sz w:val="30"/>
          <w:szCs w:val="30"/>
          <w:highlight w:val="none"/>
          <w:lang w:val="en-US" w:eastAsia="zh-CN" w:bidi="ar-SA"/>
        </w:rPr>
      </w:pPr>
      <w:r>
        <w:rPr>
          <w:rStyle w:val="8"/>
          <w:rFonts w:hint="eastAsia" w:ascii="仿宋" w:hAnsi="仿宋" w:eastAsia="仿宋" w:cs="仿宋"/>
          <w:b/>
          <w:bCs/>
          <w:color w:val="auto"/>
          <w:kern w:val="2"/>
          <w:sz w:val="30"/>
          <w:szCs w:val="30"/>
          <w:highlight w:val="none"/>
          <w:lang w:val="en-US" w:eastAsia="zh-CN" w:bidi="ar-SA"/>
        </w:rPr>
        <w:t>（一）法定代表人授权委托书</w:t>
      </w:r>
    </w:p>
    <w:p w14:paraId="2BCB7DF5">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本人</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（姓名）   </w:t>
      </w:r>
      <w:r>
        <w:rPr>
          <w:rFonts w:hint="eastAsia" w:ascii="仿宋" w:hAnsi="仿宋" w:eastAsia="仿宋" w:cs="仿宋"/>
          <w:color w:val="auto"/>
          <w:sz w:val="24"/>
          <w:szCs w:val="24"/>
          <w:highlight w:val="none"/>
        </w:rPr>
        <w:t>系</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（投标人名称）</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 xml:space="preserve"> 的法定代表人，现委托</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（姓名）   </w:t>
      </w:r>
      <w:r>
        <w:rPr>
          <w:rFonts w:hint="eastAsia" w:ascii="仿宋" w:hAnsi="仿宋" w:eastAsia="仿宋" w:cs="仿宋"/>
          <w:color w:val="auto"/>
          <w:sz w:val="24"/>
          <w:szCs w:val="24"/>
          <w:highlight w:val="none"/>
        </w:rPr>
        <w:t>为我方代理人。代理人根据授权，以我方名义签署、澄清、说明、补正、递交、撤回、修改</w:t>
      </w:r>
      <w:r>
        <w:rPr>
          <w:rFonts w:hint="eastAsia" w:ascii="仿宋" w:hAnsi="仿宋" w:eastAsia="仿宋" w:cs="仿宋"/>
          <w:color w:val="auto"/>
          <w:sz w:val="24"/>
          <w:szCs w:val="24"/>
          <w:highlight w:val="none"/>
          <w:u w:val="single"/>
        </w:rPr>
        <w:t xml:space="preserve">                        （项目</w:t>
      </w:r>
      <w:r>
        <w:rPr>
          <w:rFonts w:hint="eastAsia" w:ascii="仿宋" w:hAnsi="仿宋" w:eastAsia="仿宋" w:cs="仿宋"/>
          <w:color w:val="auto"/>
          <w:sz w:val="24"/>
          <w:szCs w:val="24"/>
          <w:highlight w:val="none"/>
          <w:u w:val="single"/>
          <w:lang w:val="en-US" w:eastAsia="zh-CN"/>
        </w:rPr>
        <w:t>名称</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rPr>
        <w:t>文件、签订合同和处理有关事宜，其法律后果由我方承担。</w:t>
      </w:r>
    </w:p>
    <w:p w14:paraId="2FD1D0D4">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bCs/>
          <w:color w:val="auto"/>
          <w:sz w:val="24"/>
          <w:highlight w:val="none"/>
        </w:rPr>
        <w:t>委托期限至本项目合同签订之日止结束。</w:t>
      </w:r>
    </w:p>
    <w:p w14:paraId="3362C1C4">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代理人无转委托权。</w:t>
      </w:r>
    </w:p>
    <w:p w14:paraId="4968D34F">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特此授权。</w:t>
      </w:r>
    </w:p>
    <w:p w14:paraId="0F01CD1B">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mc:AlternateContent>
          <mc:Choice Requires="wps">
            <w:drawing>
              <wp:anchor distT="0" distB="0" distL="114300" distR="114300" simplePos="0" relativeHeight="251659264" behindDoc="0" locked="0" layoutInCell="1" allowOverlap="1">
                <wp:simplePos x="0" y="0"/>
                <wp:positionH relativeFrom="column">
                  <wp:posOffset>419100</wp:posOffset>
                </wp:positionH>
                <wp:positionV relativeFrom="paragraph">
                  <wp:posOffset>272415</wp:posOffset>
                </wp:positionV>
                <wp:extent cx="4733925" cy="1668145"/>
                <wp:effectExtent l="5080" t="5080" r="4445" b="22225"/>
                <wp:wrapTopAndBottom/>
                <wp:docPr id="1" name="Rectangle 4"/>
                <wp:cNvGraphicFramePr/>
                <a:graphic xmlns:a="http://schemas.openxmlformats.org/drawingml/2006/main">
                  <a:graphicData uri="http://schemas.microsoft.com/office/word/2010/wordprocessingShape">
                    <wps:wsp>
                      <wps:cNvSpPr>
                        <a:spLocks noChangeArrowheads="1"/>
                      </wps:cNvSpPr>
                      <wps:spPr bwMode="auto">
                        <a:xfrm>
                          <a:off x="0" y="0"/>
                          <a:ext cx="4733925" cy="1668145"/>
                        </a:xfrm>
                        <a:prstGeom prst="rect">
                          <a:avLst/>
                        </a:prstGeom>
                        <a:solidFill>
                          <a:srgbClr val="FFFFFF"/>
                        </a:solidFill>
                        <a:ln w="9525">
                          <a:solidFill>
                            <a:srgbClr val="000000"/>
                          </a:solidFill>
                          <a:miter lim="800000"/>
                        </a:ln>
                      </wps:spPr>
                      <wps:txbx>
                        <w:txbxContent>
                          <w:p w14:paraId="5BD60451">
                            <w:pPr>
                              <w:jc w:val="center"/>
                              <w:rPr>
                                <w:color w:val="000000"/>
                                <w:sz w:val="24"/>
                              </w:rPr>
                            </w:pPr>
                          </w:p>
                          <w:p w14:paraId="11AF0E21">
                            <w:pPr>
                              <w:jc w:val="center"/>
                              <w:rPr>
                                <w:color w:val="000000"/>
                                <w:sz w:val="24"/>
                              </w:rPr>
                            </w:pPr>
                          </w:p>
                          <w:p w14:paraId="1EFC9F39">
                            <w:pPr>
                              <w:jc w:val="center"/>
                              <w:rPr>
                                <w:color w:val="000000"/>
                                <w:sz w:val="24"/>
                              </w:rPr>
                            </w:pPr>
                          </w:p>
                          <w:p w14:paraId="6AC22C81">
                            <w:pPr>
                              <w:jc w:val="center"/>
                              <w:rPr>
                                <w:color w:val="000000"/>
                                <w:sz w:val="24"/>
                              </w:rPr>
                            </w:pPr>
                          </w:p>
                          <w:p w14:paraId="5BB4F611">
                            <w:pPr>
                              <w:jc w:val="center"/>
                              <w:rPr>
                                <w:rFonts w:hint="eastAsia" w:ascii="仿宋" w:hAnsi="仿宋" w:eastAsia="仿宋" w:cs="仿宋"/>
                              </w:rPr>
                            </w:pPr>
                            <w:r>
                              <w:rPr>
                                <w:rFonts w:hint="eastAsia" w:ascii="仿宋" w:hAnsi="仿宋" w:eastAsia="仿宋" w:cs="仿宋"/>
                                <w:color w:val="auto"/>
                                <w:sz w:val="24"/>
                                <w:szCs w:val="24"/>
                                <w:highlight w:val="none"/>
                              </w:rPr>
                              <w:t>法定代表人</w:t>
                            </w:r>
                            <w:r>
                              <w:rPr>
                                <w:rFonts w:hint="eastAsia" w:ascii="仿宋" w:hAnsi="仿宋" w:eastAsia="仿宋" w:cs="仿宋"/>
                                <w:color w:val="auto"/>
                                <w:sz w:val="24"/>
                                <w:szCs w:val="24"/>
                                <w:highlight w:val="none"/>
                                <w:lang w:eastAsia="zh-CN"/>
                              </w:rPr>
                              <w:t>及</w:t>
                            </w:r>
                            <w:r>
                              <w:rPr>
                                <w:rFonts w:hint="eastAsia" w:ascii="仿宋" w:hAnsi="仿宋" w:eastAsia="仿宋" w:cs="仿宋"/>
                                <w:color w:val="000000"/>
                                <w:sz w:val="24"/>
                              </w:rPr>
                              <w:t>委托代理人身份证正</w:t>
                            </w:r>
                            <w:r>
                              <w:rPr>
                                <w:rFonts w:hint="eastAsia" w:ascii="仿宋" w:hAnsi="仿宋" w:eastAsia="仿宋" w:cs="仿宋"/>
                                <w:color w:val="000000"/>
                                <w:sz w:val="24"/>
                                <w:lang w:eastAsia="zh-CN"/>
                              </w:rPr>
                              <w:t>、</w:t>
                            </w:r>
                            <w:r>
                              <w:rPr>
                                <w:rFonts w:hint="eastAsia" w:ascii="仿宋" w:hAnsi="仿宋" w:eastAsia="仿宋" w:cs="仿宋"/>
                                <w:color w:val="000000"/>
                                <w:sz w:val="24"/>
                              </w:rPr>
                              <w:t>反面扫描件</w:t>
                            </w:r>
                          </w:p>
                        </w:txbxContent>
                      </wps:txbx>
                      <wps:bodyPr rot="0" vert="horz" wrap="square" lIns="91440" tIns="45720" rIns="91440" bIns="45720" anchor="t" anchorCtr="0" upright="1">
                        <a:noAutofit/>
                      </wps:bodyPr>
                    </wps:wsp>
                  </a:graphicData>
                </a:graphic>
              </wp:anchor>
            </w:drawing>
          </mc:Choice>
          <mc:Fallback>
            <w:pict>
              <v:rect id="Rectangle 4" o:spid="_x0000_s1026" o:spt="1" style="position:absolute;left:0pt;margin-left:33pt;margin-top:21.45pt;height:131.35pt;width:372.75pt;mso-wrap-distance-bottom:0pt;mso-wrap-distance-top:0pt;z-index:251659264;mso-width-relative:page;mso-height-relative:page;" fillcolor="#FFFFFF" filled="t" stroked="t" coordsize="21600,21600" o:gfxdata="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Dn3qQnYAAAACQEAAA8AAAAAAAAAAQAgAAAAIgAAAGRycy9kb3ducmV2LnhtbFBLAQIU&#10;ABQAAAAIAIdO4kB2QbuGLAIAAH4EAAAOAAAAAAAAAAEAIAAAACcBAABkcnMvZTJvRG9jLnhtbFBL&#10;BQYAAAAABgAGAFkBAADFBQAAAAA=&#10;">
                <v:fill on="t" focussize="0,0"/>
                <v:stroke color="#000000" miterlimit="8" joinstyle="miter"/>
                <v:imagedata o:title=""/>
                <o:lock v:ext="edit" aspectratio="f"/>
                <v:textbox>
                  <w:txbxContent>
                    <w:p w14:paraId="5BD60451">
                      <w:pPr>
                        <w:jc w:val="center"/>
                        <w:rPr>
                          <w:color w:val="000000"/>
                          <w:sz w:val="24"/>
                        </w:rPr>
                      </w:pPr>
                    </w:p>
                    <w:p w14:paraId="11AF0E21">
                      <w:pPr>
                        <w:jc w:val="center"/>
                        <w:rPr>
                          <w:color w:val="000000"/>
                          <w:sz w:val="24"/>
                        </w:rPr>
                      </w:pPr>
                    </w:p>
                    <w:p w14:paraId="1EFC9F39">
                      <w:pPr>
                        <w:jc w:val="center"/>
                        <w:rPr>
                          <w:color w:val="000000"/>
                          <w:sz w:val="24"/>
                        </w:rPr>
                      </w:pPr>
                    </w:p>
                    <w:p w14:paraId="6AC22C81">
                      <w:pPr>
                        <w:jc w:val="center"/>
                        <w:rPr>
                          <w:color w:val="000000"/>
                          <w:sz w:val="24"/>
                        </w:rPr>
                      </w:pPr>
                    </w:p>
                    <w:p w14:paraId="5BB4F611">
                      <w:pPr>
                        <w:jc w:val="center"/>
                        <w:rPr>
                          <w:rFonts w:hint="eastAsia" w:ascii="仿宋" w:hAnsi="仿宋" w:eastAsia="仿宋" w:cs="仿宋"/>
                        </w:rPr>
                      </w:pPr>
                      <w:r>
                        <w:rPr>
                          <w:rFonts w:hint="eastAsia" w:ascii="仿宋" w:hAnsi="仿宋" w:eastAsia="仿宋" w:cs="仿宋"/>
                          <w:color w:val="auto"/>
                          <w:sz w:val="24"/>
                          <w:szCs w:val="24"/>
                          <w:highlight w:val="none"/>
                        </w:rPr>
                        <w:t>法定代表人</w:t>
                      </w:r>
                      <w:r>
                        <w:rPr>
                          <w:rFonts w:hint="eastAsia" w:ascii="仿宋" w:hAnsi="仿宋" w:eastAsia="仿宋" w:cs="仿宋"/>
                          <w:color w:val="auto"/>
                          <w:sz w:val="24"/>
                          <w:szCs w:val="24"/>
                          <w:highlight w:val="none"/>
                          <w:lang w:eastAsia="zh-CN"/>
                        </w:rPr>
                        <w:t>及</w:t>
                      </w:r>
                      <w:r>
                        <w:rPr>
                          <w:rFonts w:hint="eastAsia" w:ascii="仿宋" w:hAnsi="仿宋" w:eastAsia="仿宋" w:cs="仿宋"/>
                          <w:color w:val="000000"/>
                          <w:sz w:val="24"/>
                        </w:rPr>
                        <w:t>委托代理人身份证正</w:t>
                      </w:r>
                      <w:r>
                        <w:rPr>
                          <w:rFonts w:hint="eastAsia" w:ascii="仿宋" w:hAnsi="仿宋" w:eastAsia="仿宋" w:cs="仿宋"/>
                          <w:color w:val="000000"/>
                          <w:sz w:val="24"/>
                          <w:lang w:eastAsia="zh-CN"/>
                        </w:rPr>
                        <w:t>、</w:t>
                      </w:r>
                      <w:r>
                        <w:rPr>
                          <w:rFonts w:hint="eastAsia" w:ascii="仿宋" w:hAnsi="仿宋" w:eastAsia="仿宋" w:cs="仿宋"/>
                          <w:color w:val="000000"/>
                          <w:sz w:val="24"/>
                        </w:rPr>
                        <w:t>反面扫描件</w:t>
                      </w:r>
                    </w:p>
                  </w:txbxContent>
                </v:textbox>
                <w10:wrap type="topAndBottom"/>
              </v:rect>
            </w:pict>
          </mc:Fallback>
        </mc:AlternateContent>
      </w:r>
    </w:p>
    <w:p w14:paraId="7DEE64A7">
      <w:pPr>
        <w:spacing w:line="4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投标人（公章）：</w:t>
      </w:r>
    </w:p>
    <w:p w14:paraId="2A09A190">
      <w:pPr>
        <w:spacing w:line="62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法定代表人（签字或盖章）：</w:t>
      </w:r>
    </w:p>
    <w:p w14:paraId="0A4DA461">
      <w:pPr>
        <w:spacing w:line="620" w:lineRule="exac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身份证件号码：</w:t>
      </w:r>
      <w:r>
        <w:rPr>
          <w:rFonts w:hint="eastAsia" w:ascii="仿宋" w:hAnsi="仿宋" w:eastAsia="仿宋" w:cs="仿宋"/>
          <w:color w:val="auto"/>
          <w:sz w:val="24"/>
          <w:szCs w:val="24"/>
          <w:highlight w:val="none"/>
          <w:u w:val="single"/>
        </w:rPr>
        <w:t xml:space="preserve">                       </w:t>
      </w:r>
    </w:p>
    <w:p w14:paraId="2F10A8EF">
      <w:pPr>
        <w:spacing w:line="62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委托代理人（签字或盖章）：</w:t>
      </w:r>
    </w:p>
    <w:p w14:paraId="16CA29BB">
      <w:pPr>
        <w:spacing w:line="62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身份证件号码：</w:t>
      </w:r>
      <w:r>
        <w:rPr>
          <w:rFonts w:hint="eastAsia" w:ascii="仿宋" w:hAnsi="仿宋" w:eastAsia="仿宋" w:cs="仿宋"/>
          <w:color w:val="auto"/>
          <w:sz w:val="24"/>
          <w:szCs w:val="24"/>
          <w:highlight w:val="none"/>
          <w:u w:val="single"/>
        </w:rPr>
        <w:t xml:space="preserve">                       </w:t>
      </w:r>
    </w:p>
    <w:p w14:paraId="542EAE35">
      <w:pPr>
        <w:spacing w:line="62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4B244768">
      <w:pPr>
        <w:pStyle w:val="3"/>
        <w:ind w:left="0" w:leftChars="0"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p>
    <w:p w14:paraId="15408E9B">
      <w:pPr>
        <w:pStyle w:val="3"/>
        <w:ind w:left="0" w:leftChars="0"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1、经本授权委托书授权的代理人可签署投标文件相关内容。</w:t>
      </w:r>
    </w:p>
    <w:p w14:paraId="59AC65E9">
      <w:pPr>
        <w:snapToGrid w:val="0"/>
        <w:spacing w:after="158" w:afterLines="50" w:line="360" w:lineRule="auto"/>
        <w:ind w:right="-30"/>
        <w:rPr>
          <w:rStyle w:val="8"/>
          <w:rFonts w:hint="eastAsia" w:ascii="仿宋" w:hAnsi="仿宋" w:eastAsia="仿宋" w:cs="仿宋"/>
          <w:color w:val="auto"/>
          <w:sz w:val="24"/>
          <w:highlight w:val="none"/>
        </w:rPr>
      </w:pPr>
      <w:r>
        <w:rPr>
          <w:rFonts w:hint="eastAsia" w:ascii="仿宋" w:hAnsi="仿宋" w:eastAsia="仿宋" w:cs="仿宋"/>
          <w:color w:val="auto"/>
          <w:sz w:val="24"/>
          <w:highlight w:val="none"/>
        </w:rPr>
        <w:t>2、投标文件由法定代表人签署的，</w:t>
      </w:r>
      <w:r>
        <w:rPr>
          <w:rFonts w:hint="eastAsia" w:ascii="仿宋" w:hAnsi="仿宋" w:eastAsia="仿宋" w:cs="仿宋"/>
          <w:color w:val="auto"/>
          <w:sz w:val="24"/>
          <w:highlight w:val="none"/>
          <w:lang w:val="en-US" w:eastAsia="zh-CN"/>
        </w:rPr>
        <w:t>可</w:t>
      </w:r>
      <w:r>
        <w:rPr>
          <w:rFonts w:hint="eastAsia" w:ascii="仿宋" w:hAnsi="仿宋" w:eastAsia="仿宋" w:cs="仿宋"/>
          <w:color w:val="auto"/>
          <w:sz w:val="24"/>
          <w:highlight w:val="none"/>
        </w:rPr>
        <w:t>无需递交本授权委托书。</w:t>
      </w:r>
      <w:r>
        <w:rPr>
          <w:rFonts w:hint="eastAsia" w:ascii="仿宋" w:hAnsi="仿宋" w:eastAsia="仿宋" w:cs="仿宋"/>
          <w:color w:val="auto"/>
          <w:sz w:val="24"/>
          <w:szCs w:val="20"/>
          <w:highlight w:val="none"/>
        </w:rPr>
        <w:br w:type="page"/>
      </w:r>
    </w:p>
    <w:p w14:paraId="490ABC9D">
      <w:pPr>
        <w:numPr>
          <w:ilvl w:val="0"/>
          <w:numId w:val="0"/>
        </w:numPr>
        <w:snapToGrid w:val="0"/>
        <w:spacing w:line="360" w:lineRule="auto"/>
        <w:ind w:right="-30" w:rightChars="0"/>
        <w:outlineLvl w:val="2"/>
        <w:rPr>
          <w:rStyle w:val="8"/>
          <w:rFonts w:hint="default" w:ascii="仿宋" w:hAnsi="仿宋" w:eastAsia="仿宋" w:cs="仿宋"/>
          <w:b/>
          <w:bCs/>
          <w:color w:val="auto"/>
          <w:sz w:val="30"/>
          <w:szCs w:val="30"/>
          <w:highlight w:val="none"/>
          <w:lang w:val="en-US" w:eastAsia="zh-CN"/>
        </w:rPr>
      </w:pPr>
      <w:r>
        <w:rPr>
          <w:rStyle w:val="8"/>
          <w:rFonts w:hint="eastAsia" w:ascii="仿宋" w:hAnsi="仿宋" w:eastAsia="仿宋" w:cs="仿宋"/>
          <w:b/>
          <w:bCs/>
          <w:color w:val="auto"/>
          <w:sz w:val="30"/>
          <w:szCs w:val="30"/>
          <w:highlight w:val="none"/>
          <w:lang w:val="en-US" w:eastAsia="zh-CN"/>
        </w:rPr>
        <w:t>（二）资格声明函</w:t>
      </w:r>
    </w:p>
    <w:p w14:paraId="35253ECC">
      <w:pPr>
        <w:snapToGrid w:val="0"/>
        <w:ind w:right="92" w:rightChars="44"/>
        <w:jc w:val="center"/>
        <w:rPr>
          <w:rFonts w:hint="eastAsia" w:ascii="仿宋" w:hAnsi="仿宋" w:eastAsia="仿宋" w:cs="仿宋"/>
          <w:b/>
          <w:bCs/>
          <w:color w:val="auto"/>
          <w:spacing w:val="6"/>
          <w:sz w:val="30"/>
          <w:szCs w:val="30"/>
          <w:highlight w:val="none"/>
        </w:rPr>
      </w:pPr>
      <w:r>
        <w:rPr>
          <w:rFonts w:hint="eastAsia" w:ascii="仿宋" w:hAnsi="仿宋" w:eastAsia="仿宋" w:cs="仿宋"/>
          <w:b/>
          <w:bCs/>
          <w:color w:val="auto"/>
          <w:spacing w:val="6"/>
          <w:sz w:val="30"/>
          <w:szCs w:val="30"/>
          <w:highlight w:val="none"/>
        </w:rPr>
        <w:t>资格声明函</w:t>
      </w:r>
    </w:p>
    <w:p w14:paraId="2E3F75E3">
      <w:pPr>
        <w:keepNext w:val="0"/>
        <w:keepLines w:val="0"/>
        <w:pageBreakBefore w:val="0"/>
        <w:widowControl w:val="0"/>
        <w:kinsoku/>
        <w:wordWrap/>
        <w:overflowPunct/>
        <w:topLinePunct w:val="0"/>
        <w:autoSpaceDE/>
        <w:autoSpaceDN/>
        <w:bidi w:val="0"/>
        <w:adjustRightInd/>
        <w:snapToGrid w:val="0"/>
        <w:ind w:right="92" w:rightChars="44"/>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致</w:t>
      </w:r>
      <w:r>
        <w:rPr>
          <w:rFonts w:hint="eastAsia" w:ascii="仿宋" w:hAnsi="仿宋" w:eastAsia="仿宋" w:cs="仿宋"/>
          <w:color w:val="auto"/>
          <w:spacing w:val="6"/>
          <w:sz w:val="24"/>
          <w:szCs w:val="24"/>
          <w:highlight w:val="none"/>
          <w:u w:val="single"/>
          <w:lang w:val="en-US" w:eastAsia="zh-CN"/>
        </w:rPr>
        <w:t xml:space="preserve"> </w:t>
      </w:r>
      <w:r>
        <w:rPr>
          <w:rFonts w:hint="eastAsia" w:ascii="仿宋" w:hAnsi="仿宋" w:eastAsia="仿宋" w:cs="仿宋"/>
          <w:color w:val="auto"/>
          <w:spacing w:val="6"/>
          <w:sz w:val="24"/>
          <w:szCs w:val="24"/>
          <w:highlight w:val="none"/>
          <w:u w:val="single"/>
        </w:rPr>
        <w:t>采购人</w:t>
      </w:r>
      <w:r>
        <w:rPr>
          <w:rFonts w:hint="eastAsia" w:ascii="仿宋" w:hAnsi="仿宋" w:eastAsia="仿宋" w:cs="仿宋"/>
          <w:color w:val="auto"/>
          <w:spacing w:val="6"/>
          <w:sz w:val="24"/>
          <w:szCs w:val="24"/>
          <w:highlight w:val="none"/>
          <w:u w:val="single"/>
          <w:lang w:val="en-US" w:eastAsia="zh-CN"/>
        </w:rPr>
        <w:t xml:space="preserve"> </w:t>
      </w:r>
      <w:r>
        <w:rPr>
          <w:rFonts w:hint="eastAsia" w:ascii="仿宋" w:hAnsi="仿宋" w:eastAsia="仿宋" w:cs="仿宋"/>
          <w:color w:val="auto"/>
          <w:spacing w:val="6"/>
          <w:sz w:val="24"/>
          <w:szCs w:val="24"/>
          <w:highlight w:val="none"/>
        </w:rPr>
        <w:t>：</w:t>
      </w:r>
    </w:p>
    <w:p w14:paraId="0D8DB3FA">
      <w:pPr>
        <w:keepNext w:val="0"/>
        <w:keepLines w:val="0"/>
        <w:pageBreakBefore w:val="0"/>
        <w:widowControl w:val="0"/>
        <w:numPr>
          <w:ilvl w:val="0"/>
          <w:numId w:val="0"/>
        </w:numPr>
        <w:kinsoku/>
        <w:wordWrap/>
        <w:overflowPunct/>
        <w:topLinePunct w:val="0"/>
        <w:autoSpaceDE/>
        <w:autoSpaceDN/>
        <w:bidi w:val="0"/>
        <w:adjustRightInd/>
        <w:snapToGrid w:val="0"/>
        <w:ind w:right="92" w:rightChars="44"/>
        <w:textAlignment w:val="auto"/>
        <w:rPr>
          <w:rFonts w:hint="eastAsia" w:ascii="仿宋" w:hAnsi="仿宋" w:eastAsia="仿宋" w:cs="仿宋"/>
          <w:color w:val="auto"/>
          <w:spacing w:val="6"/>
          <w:sz w:val="24"/>
          <w:szCs w:val="24"/>
          <w:highlight w:val="none"/>
          <w:lang w:val="en-US" w:eastAsia="zh-CN"/>
        </w:rPr>
      </w:pPr>
      <w:r>
        <w:rPr>
          <w:rFonts w:hint="eastAsia" w:ascii="仿宋" w:hAnsi="仿宋" w:eastAsia="仿宋" w:cs="仿宋"/>
          <w:color w:val="auto"/>
          <w:spacing w:val="6"/>
          <w:sz w:val="24"/>
          <w:szCs w:val="24"/>
          <w:highlight w:val="none"/>
          <w:lang w:val="en-US" w:eastAsia="zh-CN"/>
        </w:rPr>
        <w:t>（一）我单位符合《中华人民共和国政府采购法》第二十二条资格条件：</w:t>
      </w:r>
    </w:p>
    <w:p w14:paraId="7C3B8A61">
      <w:pPr>
        <w:keepNext w:val="0"/>
        <w:keepLines w:val="0"/>
        <w:pageBreakBefore w:val="0"/>
        <w:widowControl w:val="0"/>
        <w:numPr>
          <w:ilvl w:val="0"/>
          <w:numId w:val="0"/>
        </w:numPr>
        <w:kinsoku/>
        <w:wordWrap/>
        <w:overflowPunct/>
        <w:topLinePunct w:val="0"/>
        <w:autoSpaceDE/>
        <w:autoSpaceDN/>
        <w:bidi w:val="0"/>
        <w:adjustRightInd/>
        <w:snapToGrid w:val="0"/>
        <w:ind w:right="92" w:rightChars="44"/>
        <w:textAlignment w:val="auto"/>
        <w:rPr>
          <w:rFonts w:hint="eastAsia" w:ascii="仿宋" w:hAnsi="仿宋" w:eastAsia="仿宋" w:cs="仿宋"/>
          <w:color w:val="auto"/>
          <w:spacing w:val="6"/>
          <w:sz w:val="24"/>
          <w:szCs w:val="24"/>
          <w:highlight w:val="none"/>
          <w:lang w:val="en-US" w:eastAsia="zh-CN"/>
        </w:rPr>
      </w:pPr>
      <w:r>
        <w:rPr>
          <w:rFonts w:hint="eastAsia" w:ascii="仿宋" w:hAnsi="仿宋" w:eastAsia="仿宋" w:cs="仿宋"/>
          <w:color w:val="auto"/>
          <w:spacing w:val="6"/>
          <w:sz w:val="24"/>
          <w:szCs w:val="24"/>
          <w:highlight w:val="none"/>
          <w:lang w:val="en-US" w:eastAsia="zh-CN"/>
        </w:rPr>
        <w:t>1、具有独立承担民事责任的能力；</w:t>
      </w:r>
    </w:p>
    <w:p w14:paraId="402DABF5">
      <w:pPr>
        <w:keepNext w:val="0"/>
        <w:keepLines w:val="0"/>
        <w:pageBreakBefore w:val="0"/>
        <w:widowControl w:val="0"/>
        <w:numPr>
          <w:ilvl w:val="0"/>
          <w:numId w:val="0"/>
        </w:numPr>
        <w:kinsoku/>
        <w:wordWrap/>
        <w:overflowPunct/>
        <w:topLinePunct w:val="0"/>
        <w:autoSpaceDE/>
        <w:autoSpaceDN/>
        <w:bidi w:val="0"/>
        <w:adjustRightInd/>
        <w:snapToGrid w:val="0"/>
        <w:ind w:right="92" w:rightChars="44"/>
        <w:textAlignment w:val="auto"/>
        <w:rPr>
          <w:rFonts w:hint="eastAsia" w:ascii="仿宋" w:hAnsi="仿宋" w:eastAsia="仿宋" w:cs="仿宋"/>
          <w:color w:val="auto"/>
          <w:spacing w:val="6"/>
          <w:sz w:val="24"/>
          <w:szCs w:val="24"/>
          <w:highlight w:val="none"/>
          <w:lang w:val="en-US" w:eastAsia="zh-CN"/>
        </w:rPr>
      </w:pPr>
      <w:r>
        <w:rPr>
          <w:rFonts w:hint="eastAsia" w:ascii="仿宋" w:hAnsi="仿宋" w:eastAsia="仿宋" w:cs="仿宋"/>
          <w:color w:val="auto"/>
          <w:spacing w:val="6"/>
          <w:sz w:val="24"/>
          <w:szCs w:val="24"/>
          <w:highlight w:val="none"/>
          <w:lang w:val="en-US" w:eastAsia="zh-CN"/>
        </w:rPr>
        <w:t>2、具有良好的商业信誉和健全的财务会计制度；</w:t>
      </w:r>
    </w:p>
    <w:p w14:paraId="4E0FF37C">
      <w:pPr>
        <w:keepNext w:val="0"/>
        <w:keepLines w:val="0"/>
        <w:pageBreakBefore w:val="0"/>
        <w:widowControl w:val="0"/>
        <w:numPr>
          <w:ilvl w:val="0"/>
          <w:numId w:val="0"/>
        </w:numPr>
        <w:kinsoku/>
        <w:wordWrap/>
        <w:overflowPunct/>
        <w:topLinePunct w:val="0"/>
        <w:autoSpaceDE/>
        <w:autoSpaceDN/>
        <w:bidi w:val="0"/>
        <w:adjustRightInd/>
        <w:snapToGrid w:val="0"/>
        <w:ind w:right="92" w:rightChars="44"/>
        <w:textAlignment w:val="auto"/>
        <w:rPr>
          <w:rFonts w:hint="eastAsia" w:ascii="仿宋" w:hAnsi="仿宋" w:eastAsia="仿宋" w:cs="仿宋"/>
          <w:color w:val="auto"/>
          <w:spacing w:val="6"/>
          <w:sz w:val="24"/>
          <w:szCs w:val="24"/>
          <w:highlight w:val="none"/>
          <w:lang w:val="en-US" w:eastAsia="zh-CN"/>
        </w:rPr>
      </w:pPr>
      <w:r>
        <w:rPr>
          <w:rFonts w:hint="eastAsia" w:ascii="仿宋" w:hAnsi="仿宋" w:eastAsia="仿宋" w:cs="仿宋"/>
          <w:color w:val="auto"/>
          <w:spacing w:val="6"/>
          <w:sz w:val="24"/>
          <w:szCs w:val="24"/>
          <w:highlight w:val="none"/>
          <w:lang w:val="en-US" w:eastAsia="zh-CN"/>
        </w:rPr>
        <w:t>3、具有履行合同所必需的设备和专业技术能力；</w:t>
      </w:r>
    </w:p>
    <w:p w14:paraId="227E3450">
      <w:pPr>
        <w:keepNext w:val="0"/>
        <w:keepLines w:val="0"/>
        <w:pageBreakBefore w:val="0"/>
        <w:widowControl w:val="0"/>
        <w:numPr>
          <w:ilvl w:val="0"/>
          <w:numId w:val="0"/>
        </w:numPr>
        <w:kinsoku/>
        <w:wordWrap/>
        <w:overflowPunct/>
        <w:topLinePunct w:val="0"/>
        <w:autoSpaceDE/>
        <w:autoSpaceDN/>
        <w:bidi w:val="0"/>
        <w:adjustRightInd/>
        <w:snapToGrid w:val="0"/>
        <w:ind w:right="92" w:rightChars="44"/>
        <w:textAlignment w:val="auto"/>
        <w:rPr>
          <w:rFonts w:hint="default" w:ascii="仿宋" w:hAnsi="仿宋" w:eastAsia="仿宋" w:cs="仿宋"/>
          <w:color w:val="auto"/>
          <w:spacing w:val="6"/>
          <w:sz w:val="24"/>
          <w:szCs w:val="24"/>
          <w:highlight w:val="none"/>
          <w:lang w:val="en-US" w:eastAsia="zh-CN"/>
        </w:rPr>
      </w:pPr>
      <w:r>
        <w:rPr>
          <w:rFonts w:hint="eastAsia" w:ascii="仿宋" w:hAnsi="仿宋" w:eastAsia="仿宋" w:cs="仿宋"/>
          <w:color w:val="auto"/>
          <w:spacing w:val="6"/>
          <w:sz w:val="24"/>
          <w:szCs w:val="24"/>
          <w:highlight w:val="none"/>
          <w:lang w:val="en-US" w:eastAsia="zh-CN"/>
        </w:rPr>
        <w:t>4、有依法缴纳税收和社会保障资金的良好记录；</w:t>
      </w:r>
    </w:p>
    <w:p w14:paraId="206CEF99">
      <w:pPr>
        <w:keepNext w:val="0"/>
        <w:keepLines w:val="0"/>
        <w:pageBreakBefore w:val="0"/>
        <w:widowControl w:val="0"/>
        <w:numPr>
          <w:ilvl w:val="0"/>
          <w:numId w:val="0"/>
        </w:numPr>
        <w:kinsoku/>
        <w:wordWrap/>
        <w:overflowPunct/>
        <w:topLinePunct w:val="0"/>
        <w:autoSpaceDE/>
        <w:autoSpaceDN/>
        <w:bidi w:val="0"/>
        <w:adjustRightInd/>
        <w:snapToGrid w:val="0"/>
        <w:ind w:right="92" w:rightChars="44"/>
        <w:textAlignment w:val="auto"/>
        <w:rPr>
          <w:rFonts w:hint="eastAsia" w:ascii="仿宋" w:hAnsi="仿宋" w:eastAsia="仿宋" w:cs="仿宋"/>
          <w:color w:val="auto"/>
          <w:spacing w:val="6"/>
          <w:sz w:val="24"/>
          <w:szCs w:val="24"/>
          <w:highlight w:val="none"/>
          <w:lang w:val="en-US" w:eastAsia="zh-CN"/>
        </w:rPr>
      </w:pPr>
      <w:r>
        <w:rPr>
          <w:rFonts w:hint="eastAsia" w:ascii="仿宋" w:hAnsi="仿宋" w:eastAsia="仿宋" w:cs="仿宋"/>
          <w:color w:val="auto"/>
          <w:spacing w:val="6"/>
          <w:sz w:val="24"/>
          <w:szCs w:val="24"/>
          <w:highlight w:val="none"/>
          <w:lang w:val="en-US" w:eastAsia="zh-CN"/>
        </w:rPr>
        <w:t>5、参加政府采购活动前3年内，在经营活动中没有重大违法记录；</w:t>
      </w:r>
    </w:p>
    <w:p w14:paraId="19181833">
      <w:pPr>
        <w:keepNext w:val="0"/>
        <w:keepLines w:val="0"/>
        <w:pageBreakBefore w:val="0"/>
        <w:widowControl w:val="0"/>
        <w:numPr>
          <w:ilvl w:val="0"/>
          <w:numId w:val="0"/>
        </w:numPr>
        <w:kinsoku/>
        <w:wordWrap/>
        <w:overflowPunct/>
        <w:topLinePunct w:val="0"/>
        <w:autoSpaceDE/>
        <w:autoSpaceDN/>
        <w:bidi w:val="0"/>
        <w:adjustRightInd/>
        <w:snapToGrid w:val="0"/>
        <w:ind w:right="92" w:rightChars="44"/>
        <w:textAlignment w:val="auto"/>
        <w:rPr>
          <w:rFonts w:hint="eastAsia" w:ascii="仿宋" w:hAnsi="仿宋" w:eastAsia="仿宋" w:cs="仿宋"/>
          <w:color w:val="auto"/>
          <w:spacing w:val="6"/>
          <w:sz w:val="24"/>
          <w:szCs w:val="24"/>
          <w:highlight w:val="none"/>
          <w:lang w:val="en-US" w:eastAsia="zh-CN"/>
        </w:rPr>
      </w:pPr>
      <w:r>
        <w:rPr>
          <w:rFonts w:hint="eastAsia" w:ascii="仿宋" w:hAnsi="仿宋" w:eastAsia="仿宋" w:cs="仿宋"/>
          <w:color w:val="auto"/>
          <w:spacing w:val="6"/>
          <w:sz w:val="24"/>
          <w:szCs w:val="24"/>
          <w:highlight w:val="none"/>
          <w:lang w:val="en-US" w:eastAsia="zh-CN"/>
        </w:rPr>
        <w:t>6、符合法律、行政法规规定的其他条件。</w:t>
      </w:r>
    </w:p>
    <w:p w14:paraId="1100D1EA">
      <w:pPr>
        <w:keepNext w:val="0"/>
        <w:keepLines w:val="0"/>
        <w:pageBreakBefore w:val="0"/>
        <w:widowControl w:val="0"/>
        <w:numPr>
          <w:ilvl w:val="0"/>
          <w:numId w:val="0"/>
        </w:numPr>
        <w:kinsoku/>
        <w:wordWrap/>
        <w:overflowPunct/>
        <w:topLinePunct w:val="0"/>
        <w:autoSpaceDE/>
        <w:autoSpaceDN/>
        <w:bidi w:val="0"/>
        <w:adjustRightInd/>
        <w:snapToGrid w:val="0"/>
        <w:ind w:right="92" w:rightChars="44"/>
        <w:textAlignment w:val="auto"/>
        <w:rPr>
          <w:rFonts w:hint="eastAsia" w:ascii="仿宋" w:hAnsi="仿宋" w:eastAsia="仿宋" w:cs="仿宋"/>
          <w:color w:val="auto"/>
          <w:spacing w:val="6"/>
          <w:sz w:val="24"/>
          <w:szCs w:val="24"/>
          <w:highlight w:val="none"/>
          <w:lang w:val="en-US" w:eastAsia="zh-CN"/>
        </w:rPr>
      </w:pPr>
      <w:r>
        <w:rPr>
          <w:rFonts w:hint="eastAsia" w:ascii="仿宋" w:hAnsi="仿宋" w:eastAsia="仿宋" w:cs="仿宋"/>
          <w:color w:val="auto"/>
          <w:spacing w:val="6"/>
          <w:sz w:val="24"/>
          <w:szCs w:val="24"/>
          <w:highlight w:val="none"/>
          <w:lang w:val="en-US" w:eastAsia="zh-CN"/>
        </w:rPr>
        <w:t>（二）我单位无不良信用记录（①未被列入中国政府采购网（www.ccgp.gov.cn）“政府采购严重违法失信行为记录名单”并且在处罚范围内；②未被“信用中国”（www.creditchina.gov.cn）列入“严重失信主体名单”；③未被列入军队采购网（www.plap.mil.cn）“军队采购暂停名单”处罚范围内；④未被列入军队采购网（www.plap.mil.cn）“军队采购失信名单”处罚范围内）。</w:t>
      </w:r>
    </w:p>
    <w:p w14:paraId="0AC806A4">
      <w:pPr>
        <w:keepNext w:val="0"/>
        <w:keepLines w:val="0"/>
        <w:pageBreakBefore w:val="0"/>
        <w:widowControl w:val="0"/>
        <w:numPr>
          <w:ilvl w:val="0"/>
          <w:numId w:val="0"/>
        </w:numPr>
        <w:kinsoku/>
        <w:wordWrap/>
        <w:overflowPunct/>
        <w:topLinePunct w:val="0"/>
        <w:autoSpaceDE/>
        <w:autoSpaceDN/>
        <w:bidi w:val="0"/>
        <w:adjustRightInd/>
        <w:snapToGrid w:val="0"/>
        <w:ind w:right="92" w:rightChars="44"/>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lang w:val="en-US" w:eastAsia="zh-CN"/>
        </w:rPr>
        <w:t>（三）</w:t>
      </w:r>
      <w:r>
        <w:rPr>
          <w:rFonts w:hint="eastAsia" w:ascii="仿宋" w:hAnsi="仿宋" w:eastAsia="仿宋" w:cs="仿宋"/>
          <w:color w:val="auto"/>
          <w:spacing w:val="6"/>
          <w:sz w:val="24"/>
          <w:szCs w:val="24"/>
          <w:highlight w:val="none"/>
        </w:rPr>
        <w:t>我单位</w:t>
      </w:r>
      <w:r>
        <w:rPr>
          <w:rFonts w:hint="eastAsia" w:ascii="仿宋" w:hAnsi="仿宋" w:eastAsia="仿宋" w:cs="仿宋"/>
          <w:color w:val="auto"/>
          <w:sz w:val="24"/>
          <w:szCs w:val="24"/>
          <w:highlight w:val="none"/>
        </w:rPr>
        <w:t>不存在下列情形之一：</w:t>
      </w:r>
    </w:p>
    <w:p w14:paraId="7C2BD246">
      <w:pPr>
        <w:keepNext w:val="0"/>
        <w:keepLines w:val="0"/>
        <w:pageBreakBefore w:val="0"/>
        <w:widowControl w:val="0"/>
        <w:numPr>
          <w:ilvl w:val="0"/>
          <w:numId w:val="0"/>
        </w:numPr>
        <w:kinsoku/>
        <w:wordWrap/>
        <w:overflowPunct/>
        <w:topLinePunct w:val="0"/>
        <w:autoSpaceDE/>
        <w:autoSpaceDN/>
        <w:bidi w:val="0"/>
        <w:adjustRightInd/>
        <w:snapToGrid w:val="0"/>
        <w:ind w:right="92" w:rightChars="44"/>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(1)与本项目其他供应商的单位负责人为同一人。</w:t>
      </w:r>
    </w:p>
    <w:p w14:paraId="4DD0FB63">
      <w:pPr>
        <w:keepNext w:val="0"/>
        <w:keepLines w:val="0"/>
        <w:pageBreakBefore w:val="0"/>
        <w:widowControl w:val="0"/>
        <w:numPr>
          <w:ilvl w:val="0"/>
          <w:numId w:val="0"/>
        </w:numPr>
        <w:kinsoku/>
        <w:wordWrap/>
        <w:overflowPunct/>
        <w:topLinePunct w:val="0"/>
        <w:autoSpaceDE/>
        <w:autoSpaceDN/>
        <w:bidi w:val="0"/>
        <w:adjustRightInd/>
        <w:snapToGrid w:val="0"/>
        <w:ind w:right="92" w:rightChars="44"/>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(2)与本项目其他供应商存在直接控股关系。</w:t>
      </w:r>
    </w:p>
    <w:p w14:paraId="783693F8">
      <w:pPr>
        <w:keepNext w:val="0"/>
        <w:keepLines w:val="0"/>
        <w:pageBreakBefore w:val="0"/>
        <w:widowControl w:val="0"/>
        <w:numPr>
          <w:ilvl w:val="0"/>
          <w:numId w:val="0"/>
        </w:numPr>
        <w:kinsoku/>
        <w:wordWrap/>
        <w:overflowPunct/>
        <w:topLinePunct w:val="0"/>
        <w:autoSpaceDE/>
        <w:autoSpaceDN/>
        <w:bidi w:val="0"/>
        <w:adjustRightInd/>
        <w:snapToGrid w:val="0"/>
        <w:ind w:right="92" w:rightChars="44"/>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(3)本项其他供应商存在管理关系。</w:t>
      </w:r>
    </w:p>
    <w:p w14:paraId="112E309C">
      <w:pPr>
        <w:keepNext w:val="0"/>
        <w:keepLines w:val="0"/>
        <w:pageBreakBefore w:val="0"/>
        <w:widowControl w:val="0"/>
        <w:numPr>
          <w:ilvl w:val="0"/>
          <w:numId w:val="0"/>
        </w:numPr>
        <w:kinsoku/>
        <w:wordWrap/>
        <w:overflowPunct/>
        <w:topLinePunct w:val="0"/>
        <w:autoSpaceDE/>
        <w:autoSpaceDN/>
        <w:bidi w:val="0"/>
        <w:adjustRightInd/>
        <w:snapToGrid w:val="0"/>
        <w:ind w:right="92" w:rightChars="44"/>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(4)近三年内在经营活动中存在以下严重不良情形:</w:t>
      </w:r>
    </w:p>
    <w:p w14:paraId="5F9BEC4C">
      <w:pPr>
        <w:keepNext w:val="0"/>
        <w:keepLines w:val="0"/>
        <w:pageBreakBefore w:val="0"/>
        <w:widowControl w:val="0"/>
        <w:numPr>
          <w:ilvl w:val="0"/>
          <w:numId w:val="0"/>
        </w:numPr>
        <w:kinsoku/>
        <w:wordWrap/>
        <w:overflowPunct/>
        <w:topLinePunct w:val="0"/>
        <w:autoSpaceDE/>
        <w:autoSpaceDN/>
        <w:bidi w:val="0"/>
        <w:adjustRightInd/>
        <w:snapToGrid w:val="0"/>
        <w:ind w:right="92" w:rightChars="44"/>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①被本项目所在地省级以上行业主管部门依法暂停、取消投标成禁止参加采购活动的。</w:t>
      </w:r>
    </w:p>
    <w:p w14:paraId="3234CAD9">
      <w:pPr>
        <w:keepNext w:val="0"/>
        <w:keepLines w:val="0"/>
        <w:pageBreakBefore w:val="0"/>
        <w:widowControl w:val="0"/>
        <w:numPr>
          <w:ilvl w:val="0"/>
          <w:numId w:val="0"/>
        </w:numPr>
        <w:kinsoku/>
        <w:wordWrap/>
        <w:overflowPunct/>
        <w:topLinePunct w:val="0"/>
        <w:autoSpaceDE/>
        <w:autoSpaceDN/>
        <w:bidi w:val="0"/>
        <w:adjustRightInd/>
        <w:snapToGrid w:val="0"/>
        <w:ind w:right="92" w:rightChars="44"/>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②处于被责令停产停业、暂扣或者吊销执照、暂扣或者吊销许可证、吊销资质证书状态。</w:t>
      </w:r>
    </w:p>
    <w:p w14:paraId="42F5B1B6">
      <w:pPr>
        <w:keepNext w:val="0"/>
        <w:keepLines w:val="0"/>
        <w:pageBreakBefore w:val="0"/>
        <w:widowControl w:val="0"/>
        <w:numPr>
          <w:ilvl w:val="0"/>
          <w:numId w:val="0"/>
        </w:numPr>
        <w:kinsoku/>
        <w:wordWrap/>
        <w:overflowPunct/>
        <w:topLinePunct w:val="0"/>
        <w:autoSpaceDE/>
        <w:autoSpaceDN/>
        <w:bidi w:val="0"/>
        <w:adjustRightInd/>
        <w:snapToGrid w:val="0"/>
        <w:ind w:right="92" w:rightChars="44"/>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③进人清算程序，或被宣告破产，或其他丧失履约能力情形的。</w:t>
      </w:r>
    </w:p>
    <w:p w14:paraId="5B382A64">
      <w:pPr>
        <w:keepNext w:val="0"/>
        <w:keepLines w:val="0"/>
        <w:pageBreakBefore w:val="0"/>
        <w:widowControl w:val="0"/>
        <w:numPr>
          <w:ilvl w:val="0"/>
          <w:numId w:val="0"/>
        </w:numPr>
        <w:kinsoku/>
        <w:wordWrap/>
        <w:overflowPunct/>
        <w:topLinePunct w:val="0"/>
        <w:autoSpaceDE/>
        <w:autoSpaceDN/>
        <w:bidi w:val="0"/>
        <w:adjustRightInd/>
        <w:snapToGrid w:val="0"/>
        <w:ind w:right="92" w:rightChars="44"/>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④根据公司供应商管理要求，被禁止参与采购活动且处于有效期内的。</w:t>
      </w:r>
    </w:p>
    <w:p w14:paraId="5ABDA84D">
      <w:pPr>
        <w:keepNext w:val="0"/>
        <w:keepLines w:val="0"/>
        <w:pageBreakBefore w:val="0"/>
        <w:widowControl w:val="0"/>
        <w:numPr>
          <w:ilvl w:val="0"/>
          <w:numId w:val="0"/>
        </w:numPr>
        <w:kinsoku/>
        <w:wordWrap/>
        <w:overflowPunct/>
        <w:topLinePunct w:val="0"/>
        <w:autoSpaceDE/>
        <w:autoSpaceDN/>
        <w:bidi w:val="0"/>
        <w:adjustRightInd/>
        <w:snapToGrid w:val="0"/>
        <w:ind w:right="92" w:rightChars="44"/>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⑤被列入中国融通资产管理集团有限公司商业活动“黑名单”。</w:t>
      </w:r>
    </w:p>
    <w:p w14:paraId="381009CA">
      <w:pPr>
        <w:keepNext w:val="0"/>
        <w:keepLines w:val="0"/>
        <w:pageBreakBefore w:val="0"/>
        <w:widowControl w:val="0"/>
        <w:numPr>
          <w:ilvl w:val="0"/>
          <w:numId w:val="0"/>
        </w:numPr>
        <w:kinsoku/>
        <w:wordWrap/>
        <w:overflowPunct/>
        <w:topLinePunct w:val="0"/>
        <w:autoSpaceDE/>
        <w:autoSpaceDN/>
        <w:bidi w:val="0"/>
        <w:adjustRightInd/>
        <w:snapToGrid w:val="0"/>
        <w:ind w:right="92" w:rightChars="44"/>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⑥在国务院国有资产监督管理委员会官网发布的【假冒中央企业名单】内。</w:t>
      </w:r>
    </w:p>
    <w:p w14:paraId="6CC085D8">
      <w:pPr>
        <w:keepNext w:val="0"/>
        <w:keepLines w:val="0"/>
        <w:pageBreakBefore w:val="0"/>
        <w:widowControl w:val="0"/>
        <w:numPr>
          <w:ilvl w:val="0"/>
          <w:numId w:val="0"/>
        </w:numPr>
        <w:kinsoku/>
        <w:wordWrap/>
        <w:overflowPunct/>
        <w:topLinePunct w:val="0"/>
        <w:autoSpaceDE/>
        <w:autoSpaceDN/>
        <w:bidi w:val="0"/>
        <w:adjustRightInd/>
        <w:snapToGrid w:val="0"/>
        <w:ind w:right="92" w:rightChars="44"/>
        <w:textAlignment w:val="auto"/>
        <w:rPr>
          <w:rFonts w:hint="eastAsia"/>
          <w:color w:val="auto"/>
          <w:sz w:val="24"/>
          <w:szCs w:val="24"/>
          <w:highlight w:val="none"/>
        </w:rPr>
      </w:pPr>
      <w:r>
        <w:rPr>
          <w:rFonts w:hint="eastAsia" w:ascii="仿宋" w:hAnsi="仿宋" w:eastAsia="仿宋" w:cs="仿宋"/>
          <w:color w:val="auto"/>
          <w:spacing w:val="6"/>
          <w:sz w:val="24"/>
          <w:szCs w:val="24"/>
          <w:highlight w:val="none"/>
          <w:lang w:val="en-US" w:eastAsia="zh-CN"/>
        </w:rPr>
        <w:t>（四）</w:t>
      </w:r>
      <w:r>
        <w:rPr>
          <w:rFonts w:hint="eastAsia" w:ascii="仿宋" w:hAnsi="仿宋" w:eastAsia="仿宋" w:cs="仿宋"/>
          <w:color w:val="auto"/>
          <w:spacing w:val="6"/>
          <w:sz w:val="24"/>
          <w:szCs w:val="24"/>
          <w:highlight w:val="none"/>
        </w:rPr>
        <w:t>我单位</w:t>
      </w:r>
      <w:r>
        <w:rPr>
          <w:rFonts w:hint="eastAsia" w:ascii="仿宋" w:hAnsi="仿宋" w:eastAsia="仿宋" w:cs="仿宋"/>
          <w:color w:val="auto"/>
          <w:spacing w:val="6"/>
          <w:sz w:val="24"/>
          <w:szCs w:val="24"/>
          <w:highlight w:val="none"/>
          <w:lang w:val="en-US" w:eastAsia="zh-CN"/>
        </w:rPr>
        <w:t>非</w:t>
      </w:r>
      <w:r>
        <w:rPr>
          <w:rFonts w:hint="eastAsia" w:ascii="仿宋" w:hAnsi="仿宋" w:eastAsia="仿宋" w:cs="仿宋"/>
          <w:color w:val="auto"/>
          <w:spacing w:val="6"/>
          <w:sz w:val="24"/>
          <w:szCs w:val="24"/>
          <w:highlight w:val="none"/>
        </w:rPr>
        <w:t>联合体参加采购活动。</w:t>
      </w:r>
    </w:p>
    <w:p w14:paraId="539A9C76">
      <w:pPr>
        <w:keepNext w:val="0"/>
        <w:keepLines w:val="0"/>
        <w:pageBreakBefore w:val="0"/>
        <w:widowControl w:val="0"/>
        <w:tabs>
          <w:tab w:val="left" w:leader="underscore" w:pos="3600"/>
          <w:tab w:val="left" w:leader="underscore" w:pos="5400"/>
        </w:tabs>
        <w:kinsoku/>
        <w:wordWrap/>
        <w:overflowPunct/>
        <w:topLinePunct w:val="0"/>
        <w:autoSpaceDE/>
        <w:autoSpaceDN/>
        <w:bidi w:val="0"/>
        <w:adjustRightInd/>
        <w:snapToGrid/>
        <w:spacing w:line="360" w:lineRule="auto"/>
        <w:ind w:right="-28" w:firstLine="482" w:firstLineChars="200"/>
        <w:jc w:val="both"/>
        <w:textAlignment w:val="auto"/>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以上声明若有虚假或不实，采购人有权取消我单位的成交资格，由此产生的不良后果由我单位承担。</w:t>
      </w:r>
    </w:p>
    <w:p w14:paraId="0B5859C2">
      <w:pPr>
        <w:keepNext w:val="0"/>
        <w:keepLines w:val="0"/>
        <w:pageBreakBefore w:val="0"/>
        <w:widowControl w:val="0"/>
        <w:tabs>
          <w:tab w:val="left" w:leader="underscore" w:pos="3600"/>
          <w:tab w:val="left" w:leader="underscore" w:pos="5400"/>
        </w:tabs>
        <w:kinsoku/>
        <w:wordWrap/>
        <w:overflowPunct/>
        <w:topLinePunct w:val="0"/>
        <w:autoSpaceDE/>
        <w:autoSpaceDN/>
        <w:bidi w:val="0"/>
        <w:adjustRightInd/>
        <w:snapToGrid/>
        <w:spacing w:line="360" w:lineRule="auto"/>
        <w:ind w:right="-28"/>
        <w:jc w:val="both"/>
        <w:textAlignment w:val="auto"/>
        <w:rPr>
          <w:rFonts w:hint="eastAsia" w:ascii="仿宋" w:hAnsi="仿宋" w:eastAsia="仿宋" w:cs="仿宋"/>
          <w:color w:val="auto"/>
          <w:sz w:val="24"/>
          <w:szCs w:val="24"/>
          <w:highlight w:val="none"/>
        </w:rPr>
      </w:pPr>
    </w:p>
    <w:p w14:paraId="32C7717C">
      <w:pPr>
        <w:keepNext w:val="0"/>
        <w:keepLines w:val="0"/>
        <w:pageBreakBefore w:val="0"/>
        <w:widowControl w:val="0"/>
        <w:tabs>
          <w:tab w:val="left" w:leader="underscore" w:pos="3600"/>
          <w:tab w:val="left" w:leader="underscore" w:pos="5400"/>
        </w:tabs>
        <w:kinsoku/>
        <w:wordWrap/>
        <w:overflowPunct/>
        <w:topLinePunct w:val="0"/>
        <w:autoSpaceDE/>
        <w:autoSpaceDN/>
        <w:bidi w:val="0"/>
        <w:adjustRightInd/>
        <w:snapToGrid/>
        <w:spacing w:line="360" w:lineRule="auto"/>
        <w:ind w:right="-28"/>
        <w:jc w:val="both"/>
        <w:textAlignment w:val="auto"/>
        <w:rPr>
          <w:rFonts w:hint="eastAsia" w:ascii="仿宋" w:hAnsi="仿宋" w:eastAsia="仿宋" w:cs="仿宋"/>
          <w:color w:val="auto"/>
          <w:sz w:val="24"/>
          <w:szCs w:val="24"/>
          <w:highlight w:val="none"/>
        </w:rPr>
      </w:pPr>
    </w:p>
    <w:p w14:paraId="6720A275">
      <w:pPr>
        <w:tabs>
          <w:tab w:val="left" w:leader="underscore" w:pos="3600"/>
          <w:tab w:val="left" w:leader="underscore" w:pos="5400"/>
        </w:tabs>
        <w:spacing w:line="360" w:lineRule="auto"/>
        <w:ind w:right="-3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供应商名称（公章）：</w:t>
      </w:r>
    </w:p>
    <w:p w14:paraId="0C5DDF0D">
      <w:pPr>
        <w:tabs>
          <w:tab w:val="left" w:leader="underscore" w:pos="3600"/>
          <w:tab w:val="left" w:leader="underscore" w:pos="5400"/>
        </w:tabs>
        <w:spacing w:line="360" w:lineRule="auto"/>
        <w:ind w:right="-3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法人或授权</w:t>
      </w:r>
      <w:r>
        <w:rPr>
          <w:rFonts w:hint="eastAsia" w:ascii="仿宋" w:hAnsi="仿宋" w:eastAsia="仿宋" w:cs="仿宋"/>
          <w:color w:val="auto"/>
          <w:sz w:val="24"/>
          <w:szCs w:val="21"/>
          <w:highlight w:val="none"/>
          <w:lang w:val="en-US" w:eastAsia="zh-CN"/>
        </w:rPr>
        <w:t>代表</w:t>
      </w:r>
      <w:r>
        <w:rPr>
          <w:rFonts w:hint="eastAsia" w:ascii="仿宋" w:hAnsi="仿宋" w:eastAsia="仿宋" w:cs="仿宋"/>
          <w:color w:val="auto"/>
          <w:sz w:val="24"/>
          <w:szCs w:val="21"/>
          <w:highlight w:val="none"/>
        </w:rPr>
        <w:t>（签字或盖章）</w:t>
      </w:r>
      <w:r>
        <w:rPr>
          <w:rFonts w:hint="eastAsia" w:ascii="仿宋" w:hAnsi="仿宋" w:eastAsia="仿宋" w:cs="仿宋"/>
          <w:color w:val="auto"/>
          <w:sz w:val="24"/>
          <w:szCs w:val="21"/>
          <w:highlight w:val="none"/>
          <w:lang w:eastAsia="zh-CN"/>
        </w:rPr>
        <w:t>：</w:t>
      </w:r>
    </w:p>
    <w:p w14:paraId="22A2F0BE">
      <w:pPr>
        <w:keepNext w:val="0"/>
        <w:keepLines w:val="0"/>
        <w:pageBreakBefore w:val="0"/>
        <w:widowControl w:val="0"/>
        <w:tabs>
          <w:tab w:val="left" w:leader="underscore" w:pos="3600"/>
          <w:tab w:val="left" w:leader="underscore" w:pos="5400"/>
        </w:tabs>
        <w:kinsoku/>
        <w:wordWrap/>
        <w:overflowPunct/>
        <w:topLinePunct w:val="0"/>
        <w:autoSpaceDE/>
        <w:autoSpaceDN/>
        <w:bidi w:val="0"/>
        <w:adjustRightInd/>
        <w:snapToGrid/>
        <w:spacing w:line="360" w:lineRule="auto"/>
        <w:ind w:right="-28"/>
        <w:jc w:val="both"/>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1"/>
          <w:highlight w:val="none"/>
        </w:rPr>
        <w:t>日期：</w:t>
      </w:r>
      <w:r>
        <w:rPr>
          <w:rFonts w:hint="eastAsia" w:ascii="仿宋" w:hAnsi="仿宋" w:eastAsia="仿宋" w:cs="仿宋"/>
          <w:color w:val="auto"/>
          <w:sz w:val="24"/>
          <w:szCs w:val="21"/>
          <w:highlight w:val="none"/>
          <w:u w:val="none"/>
          <w:lang w:val="en-US" w:eastAsia="zh-CN"/>
        </w:rPr>
        <w:t xml:space="preserve">   </w:t>
      </w:r>
      <w:r>
        <w:rPr>
          <w:rFonts w:hint="eastAsia" w:ascii="仿宋" w:hAnsi="仿宋" w:eastAsia="仿宋" w:cs="仿宋"/>
          <w:color w:val="auto"/>
          <w:sz w:val="24"/>
          <w:szCs w:val="21"/>
          <w:highlight w:val="none"/>
          <w:u w:val="none"/>
        </w:rPr>
        <w:t>年</w:t>
      </w:r>
      <w:r>
        <w:rPr>
          <w:rFonts w:hint="eastAsia" w:ascii="仿宋" w:hAnsi="仿宋" w:eastAsia="仿宋" w:cs="仿宋"/>
          <w:color w:val="auto"/>
          <w:sz w:val="24"/>
          <w:szCs w:val="21"/>
          <w:highlight w:val="none"/>
          <w:u w:val="none"/>
          <w:lang w:val="en-US" w:eastAsia="zh-CN"/>
        </w:rPr>
        <w:t xml:space="preserve">  </w:t>
      </w:r>
      <w:r>
        <w:rPr>
          <w:rFonts w:hint="eastAsia" w:ascii="仿宋" w:hAnsi="仿宋" w:eastAsia="仿宋" w:cs="仿宋"/>
          <w:color w:val="auto"/>
          <w:sz w:val="24"/>
          <w:szCs w:val="21"/>
          <w:highlight w:val="none"/>
          <w:u w:val="none"/>
        </w:rPr>
        <w:t>月</w:t>
      </w:r>
      <w:r>
        <w:rPr>
          <w:rFonts w:hint="eastAsia" w:ascii="仿宋" w:hAnsi="仿宋" w:eastAsia="仿宋" w:cs="仿宋"/>
          <w:color w:val="auto"/>
          <w:sz w:val="24"/>
          <w:szCs w:val="21"/>
          <w:highlight w:val="none"/>
          <w:u w:val="none"/>
          <w:lang w:val="en-US" w:eastAsia="zh-CN"/>
        </w:rPr>
        <w:t xml:space="preserve">  </w:t>
      </w:r>
      <w:r>
        <w:rPr>
          <w:rFonts w:hint="eastAsia" w:ascii="仿宋" w:hAnsi="仿宋" w:eastAsia="仿宋" w:cs="仿宋"/>
          <w:color w:val="auto"/>
          <w:sz w:val="24"/>
          <w:szCs w:val="21"/>
          <w:highlight w:val="none"/>
          <w:u w:val="none"/>
        </w:rPr>
        <w:t>日</w:t>
      </w:r>
    </w:p>
    <w:p w14:paraId="6A8F898C">
      <w:pPr>
        <w:ind w:right="-30" w:firstLine="480"/>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u w:val="single"/>
        </w:rPr>
        <w:br w:type="page"/>
      </w:r>
    </w:p>
    <w:p w14:paraId="17C9A6AB">
      <w:pPr>
        <w:numPr>
          <w:ilvl w:val="0"/>
          <w:numId w:val="0"/>
        </w:numPr>
        <w:snapToGrid w:val="0"/>
        <w:spacing w:line="360" w:lineRule="auto"/>
        <w:ind w:right="-30" w:rightChars="0"/>
        <w:outlineLvl w:val="2"/>
        <w:rPr>
          <w:rStyle w:val="8"/>
          <w:rFonts w:hint="default" w:ascii="仿宋" w:hAnsi="仿宋" w:eastAsia="仿宋" w:cs="仿宋"/>
          <w:b/>
          <w:bCs/>
          <w:color w:val="auto"/>
          <w:sz w:val="30"/>
          <w:szCs w:val="30"/>
          <w:highlight w:val="none"/>
          <w:lang w:val="en-US" w:eastAsia="zh-CN"/>
        </w:rPr>
      </w:pPr>
      <w:r>
        <w:rPr>
          <w:rStyle w:val="8"/>
          <w:rFonts w:hint="eastAsia" w:ascii="仿宋" w:hAnsi="仿宋" w:eastAsia="仿宋" w:cs="仿宋"/>
          <w:b/>
          <w:bCs/>
          <w:color w:val="auto"/>
          <w:sz w:val="30"/>
          <w:szCs w:val="30"/>
          <w:highlight w:val="none"/>
          <w:lang w:val="en-US" w:eastAsia="zh-CN"/>
        </w:rPr>
        <w:t>（三）资格要求证明材料</w:t>
      </w:r>
    </w:p>
    <w:p w14:paraId="5C0AD6C4">
      <w:pPr>
        <w:spacing w:line="360" w:lineRule="auto"/>
        <w:ind w:right="-21" w:rightChars="-10"/>
        <w:jc w:val="left"/>
        <w:rPr>
          <w:rFonts w:hint="eastAsia" w:ascii="仿宋" w:hAnsi="仿宋" w:eastAsia="仿宋" w:cs="仿宋"/>
          <w:color w:val="auto"/>
          <w:kern w:val="0"/>
          <w:sz w:val="24"/>
          <w:highlight w:val="none"/>
          <w:lang w:val="en-US" w:eastAsia="zh-CN"/>
        </w:rPr>
      </w:pPr>
      <w:r>
        <w:rPr>
          <w:rStyle w:val="8"/>
          <w:rFonts w:hint="eastAsia" w:ascii="仿宋" w:hAnsi="仿宋" w:eastAsia="仿宋" w:cs="仿宋"/>
          <w:color w:val="auto"/>
          <w:sz w:val="24"/>
          <w:szCs w:val="24"/>
          <w:highlight w:val="none"/>
          <w:lang w:val="en-US" w:eastAsia="zh-CN"/>
        </w:rPr>
        <w:t>1.具有独立承担民事责任的能力；</w:t>
      </w:r>
      <w:r>
        <w:rPr>
          <w:rFonts w:hint="eastAsia" w:ascii="仿宋" w:hAnsi="仿宋" w:eastAsia="仿宋" w:cs="仿宋"/>
          <w:color w:val="auto"/>
          <w:kern w:val="0"/>
          <w:sz w:val="24"/>
          <w:highlight w:val="none"/>
          <w:lang w:val="en-US" w:eastAsia="zh-CN"/>
        </w:rPr>
        <w:t>【提供在中华人民共和国境内注册的法人或其他组织的营业执照或事业单位法人证书或社会团体法人登记证书复印件，如投标人为自然人的提供自然人身份证明复印件；如国家另有规定的，则从其规定。商家需具有合法有效的营业执照，明确经营范围包含与共享充电宝相关的业务，如 “电子产品租赁”“共享充电宝服务” 等，以符合工商登记管理规定】</w:t>
      </w:r>
    </w:p>
    <w:p w14:paraId="7B77262F">
      <w:pPr>
        <w:numPr>
          <w:ilvl w:val="0"/>
          <w:numId w:val="0"/>
        </w:numPr>
        <w:snapToGrid w:val="0"/>
        <w:spacing w:line="360" w:lineRule="auto"/>
        <w:ind w:right="-30" w:rightChars="0"/>
        <w:outlineLvl w:val="2"/>
        <w:rPr>
          <w:rStyle w:val="8"/>
          <w:rFonts w:hint="eastAsia" w:ascii="仿宋" w:hAnsi="仿宋" w:eastAsia="仿宋" w:cs="仿宋"/>
          <w:color w:val="auto"/>
          <w:sz w:val="24"/>
          <w:szCs w:val="24"/>
          <w:highlight w:val="none"/>
          <w:lang w:val="en-US" w:eastAsia="zh-CN"/>
        </w:rPr>
      </w:pPr>
    </w:p>
    <w:p w14:paraId="1EB73E14">
      <w:pPr>
        <w:numPr>
          <w:ilvl w:val="0"/>
          <w:numId w:val="0"/>
        </w:numPr>
        <w:snapToGrid w:val="0"/>
        <w:spacing w:line="360" w:lineRule="auto"/>
        <w:ind w:right="-30" w:rightChars="0"/>
        <w:outlineLvl w:val="2"/>
        <w:rPr>
          <w:rStyle w:val="8"/>
          <w:rFonts w:hint="default" w:ascii="仿宋" w:hAnsi="仿宋" w:eastAsia="仿宋" w:cs="仿宋"/>
          <w:color w:val="auto"/>
          <w:sz w:val="24"/>
          <w:szCs w:val="24"/>
          <w:highlight w:val="none"/>
          <w:lang w:val="en-US" w:eastAsia="zh-CN"/>
        </w:rPr>
      </w:pPr>
      <w:r>
        <w:rPr>
          <w:rStyle w:val="8"/>
          <w:rFonts w:hint="eastAsia" w:ascii="仿宋" w:hAnsi="仿宋" w:eastAsia="仿宋" w:cs="仿宋"/>
          <w:color w:val="auto"/>
          <w:sz w:val="24"/>
          <w:szCs w:val="24"/>
          <w:highlight w:val="none"/>
          <w:lang w:val="en-US" w:eastAsia="zh-CN"/>
        </w:rPr>
        <w:t>2.具有良好的商业信誉和健全的财务会计制度；</w:t>
      </w:r>
      <w:r>
        <w:rPr>
          <w:rFonts w:hint="eastAsia" w:ascii="仿宋" w:hAnsi="仿宋" w:eastAsia="仿宋" w:cs="仿宋"/>
          <w:color w:val="auto"/>
          <w:kern w:val="0"/>
          <w:sz w:val="24"/>
          <w:highlight w:val="none"/>
          <w:lang w:val="en-US" w:eastAsia="zh-CN"/>
        </w:rPr>
        <w:t>【提供承诺函】</w:t>
      </w:r>
    </w:p>
    <w:p w14:paraId="624C4141">
      <w:pPr>
        <w:numPr>
          <w:ilvl w:val="0"/>
          <w:numId w:val="0"/>
        </w:numPr>
        <w:snapToGrid w:val="0"/>
        <w:spacing w:line="360" w:lineRule="auto"/>
        <w:ind w:right="-30" w:rightChars="0"/>
        <w:outlineLvl w:val="2"/>
        <w:rPr>
          <w:rStyle w:val="8"/>
          <w:rFonts w:hint="default" w:ascii="仿宋" w:hAnsi="仿宋" w:eastAsia="仿宋" w:cs="仿宋"/>
          <w:color w:val="auto"/>
          <w:sz w:val="24"/>
          <w:szCs w:val="24"/>
          <w:highlight w:val="none"/>
          <w:lang w:val="en-US" w:eastAsia="zh-CN"/>
        </w:rPr>
      </w:pPr>
    </w:p>
    <w:p w14:paraId="4215B977">
      <w:pPr>
        <w:numPr>
          <w:ilvl w:val="0"/>
          <w:numId w:val="0"/>
        </w:numPr>
        <w:snapToGrid w:val="0"/>
        <w:spacing w:line="360" w:lineRule="auto"/>
        <w:ind w:right="-30" w:rightChars="0"/>
        <w:outlineLvl w:val="2"/>
        <w:rPr>
          <w:rStyle w:val="8"/>
          <w:rFonts w:hint="default" w:ascii="仿宋" w:hAnsi="仿宋" w:eastAsia="仿宋" w:cs="仿宋"/>
          <w:color w:val="auto"/>
          <w:sz w:val="24"/>
          <w:szCs w:val="24"/>
          <w:highlight w:val="none"/>
          <w:lang w:val="en-US" w:eastAsia="zh-CN"/>
        </w:rPr>
      </w:pPr>
      <w:r>
        <w:rPr>
          <w:rStyle w:val="8"/>
          <w:rFonts w:hint="eastAsia" w:ascii="仿宋" w:hAnsi="仿宋" w:eastAsia="仿宋" w:cs="仿宋"/>
          <w:color w:val="auto"/>
          <w:sz w:val="24"/>
          <w:szCs w:val="24"/>
          <w:highlight w:val="none"/>
          <w:lang w:val="en-US" w:eastAsia="zh-CN"/>
        </w:rPr>
        <w:t>3</w:t>
      </w:r>
      <w:r>
        <w:rPr>
          <w:rStyle w:val="8"/>
          <w:rFonts w:hint="default" w:ascii="仿宋" w:hAnsi="仿宋" w:eastAsia="仿宋" w:cs="仿宋"/>
          <w:color w:val="auto"/>
          <w:sz w:val="24"/>
          <w:szCs w:val="24"/>
          <w:highlight w:val="none"/>
          <w:lang w:val="en-US" w:eastAsia="zh-CN"/>
        </w:rPr>
        <w:t>.有依法缴纳税收</w:t>
      </w:r>
      <w:r>
        <w:rPr>
          <w:rStyle w:val="8"/>
          <w:rFonts w:hint="eastAsia" w:ascii="仿宋" w:hAnsi="仿宋" w:eastAsia="仿宋" w:cs="仿宋"/>
          <w:color w:val="auto"/>
          <w:sz w:val="24"/>
          <w:szCs w:val="24"/>
          <w:highlight w:val="none"/>
          <w:lang w:val="en-US" w:eastAsia="zh-CN"/>
        </w:rPr>
        <w:t>的证明材料</w:t>
      </w:r>
      <w:r>
        <w:rPr>
          <w:rFonts w:hint="eastAsia" w:ascii="仿宋" w:hAnsi="仿宋" w:eastAsia="仿宋" w:cs="仿宋"/>
          <w:color w:val="auto"/>
          <w:kern w:val="0"/>
          <w:sz w:val="24"/>
          <w:highlight w:val="none"/>
          <w:lang w:val="en-US" w:eastAsia="zh-CN"/>
        </w:rPr>
        <w:t>【提供响应截止时间前6个月内（所属期）任意3个月依法缴纳税收的证明材料复印件，如依法免税的，应提供相应文件证明】</w:t>
      </w:r>
    </w:p>
    <w:p w14:paraId="20E5C48E">
      <w:pPr>
        <w:numPr>
          <w:ilvl w:val="0"/>
          <w:numId w:val="0"/>
        </w:numPr>
        <w:snapToGrid w:val="0"/>
        <w:spacing w:line="360" w:lineRule="auto"/>
        <w:ind w:right="-30" w:rightChars="0"/>
        <w:outlineLvl w:val="2"/>
        <w:rPr>
          <w:rStyle w:val="8"/>
          <w:rFonts w:hint="default" w:ascii="仿宋" w:hAnsi="仿宋" w:eastAsia="仿宋" w:cs="仿宋"/>
          <w:color w:val="auto"/>
          <w:sz w:val="24"/>
          <w:szCs w:val="24"/>
          <w:highlight w:val="none"/>
          <w:lang w:val="en-US" w:eastAsia="zh-CN"/>
        </w:rPr>
      </w:pPr>
    </w:p>
    <w:p w14:paraId="189600C1">
      <w:pPr>
        <w:numPr>
          <w:ilvl w:val="0"/>
          <w:numId w:val="0"/>
        </w:numPr>
        <w:snapToGrid w:val="0"/>
        <w:spacing w:line="360" w:lineRule="auto"/>
        <w:ind w:right="-30" w:rightChars="0"/>
        <w:outlineLvl w:val="2"/>
        <w:rPr>
          <w:rStyle w:val="8"/>
          <w:rFonts w:hint="default" w:ascii="仿宋" w:hAnsi="仿宋" w:eastAsia="仿宋" w:cs="仿宋"/>
          <w:color w:val="auto"/>
          <w:sz w:val="24"/>
          <w:szCs w:val="24"/>
          <w:highlight w:val="none"/>
          <w:lang w:val="en-US" w:eastAsia="zh-CN"/>
        </w:rPr>
      </w:pPr>
      <w:r>
        <w:rPr>
          <w:rStyle w:val="8"/>
          <w:rFonts w:hint="eastAsia" w:ascii="仿宋" w:hAnsi="仿宋" w:eastAsia="仿宋" w:cs="仿宋"/>
          <w:color w:val="auto"/>
          <w:sz w:val="24"/>
          <w:szCs w:val="24"/>
          <w:highlight w:val="none"/>
          <w:lang w:val="en-US" w:eastAsia="zh-CN"/>
        </w:rPr>
        <w:t>4.</w:t>
      </w:r>
      <w:r>
        <w:rPr>
          <w:rStyle w:val="8"/>
          <w:rFonts w:hint="default" w:ascii="仿宋" w:hAnsi="仿宋" w:eastAsia="仿宋" w:cs="仿宋"/>
          <w:color w:val="auto"/>
          <w:sz w:val="24"/>
          <w:szCs w:val="24"/>
          <w:highlight w:val="none"/>
          <w:lang w:val="en-US" w:eastAsia="zh-CN"/>
        </w:rPr>
        <w:t>社会保障资金的良好记录【</w:t>
      </w:r>
      <w:r>
        <w:rPr>
          <w:rFonts w:hint="eastAsia" w:ascii="仿宋" w:hAnsi="仿宋" w:eastAsia="仿宋" w:cs="仿宋"/>
          <w:color w:val="auto"/>
          <w:kern w:val="0"/>
          <w:sz w:val="24"/>
          <w:highlight w:val="none"/>
          <w:lang w:val="en-US" w:eastAsia="zh-CN"/>
        </w:rPr>
        <w:t>提供响应截止时间前6个月内（所属期）任意3个月依法缴纳社会保障金的证明材料复印件，如依法不需要缴纳社会保障金的，应提供相应文件证明】</w:t>
      </w:r>
    </w:p>
    <w:p w14:paraId="433CD7E0">
      <w:pPr>
        <w:pStyle w:val="3"/>
        <w:rPr>
          <w:rFonts w:hint="default" w:ascii="仿宋" w:hAnsi="仿宋" w:eastAsia="仿宋" w:cs="仿宋"/>
          <w:color w:val="auto"/>
          <w:kern w:val="0"/>
          <w:sz w:val="24"/>
          <w:highlight w:val="none"/>
          <w:lang w:val="en-US" w:eastAsia="zh-CN"/>
        </w:rPr>
      </w:pPr>
    </w:p>
    <w:p w14:paraId="3FAF86A9">
      <w:pPr>
        <w:numPr>
          <w:ilvl w:val="0"/>
          <w:numId w:val="0"/>
        </w:numPr>
        <w:snapToGrid w:val="0"/>
        <w:spacing w:line="360" w:lineRule="auto"/>
        <w:ind w:right="-30" w:rightChars="0"/>
        <w:outlineLvl w:val="2"/>
        <w:rPr>
          <w:rStyle w:val="8"/>
          <w:rFonts w:hint="eastAsia" w:ascii="仿宋" w:hAnsi="仿宋" w:eastAsia="仿宋" w:cs="仿宋"/>
          <w:color w:val="auto"/>
          <w:sz w:val="24"/>
          <w:szCs w:val="24"/>
          <w:highlight w:val="none"/>
          <w:lang w:val="en-US" w:eastAsia="zh-CN"/>
        </w:rPr>
      </w:pPr>
      <w:r>
        <w:rPr>
          <w:rStyle w:val="8"/>
          <w:rFonts w:hint="eastAsia" w:ascii="仿宋" w:hAnsi="仿宋" w:eastAsia="仿宋" w:cs="仿宋"/>
          <w:color w:val="auto"/>
          <w:sz w:val="24"/>
          <w:szCs w:val="24"/>
          <w:highlight w:val="none"/>
          <w:lang w:val="en-US" w:eastAsia="zh-CN"/>
        </w:rPr>
        <w:t>5.供应商无不良信用记录：</w:t>
      </w:r>
    </w:p>
    <w:p w14:paraId="6FE19806">
      <w:pPr>
        <w:numPr>
          <w:ilvl w:val="0"/>
          <w:numId w:val="0"/>
        </w:numPr>
        <w:snapToGrid w:val="0"/>
        <w:spacing w:line="360" w:lineRule="auto"/>
        <w:ind w:right="-30" w:rightChars="0"/>
        <w:outlineLvl w:val="2"/>
        <w:rPr>
          <w:rStyle w:val="8"/>
          <w:rFonts w:hint="eastAsia" w:ascii="仿宋" w:hAnsi="仿宋" w:eastAsia="仿宋" w:cs="仿宋"/>
          <w:color w:val="auto"/>
          <w:sz w:val="24"/>
          <w:szCs w:val="24"/>
          <w:highlight w:val="none"/>
          <w:lang w:val="en-US" w:eastAsia="zh-CN"/>
        </w:rPr>
      </w:pPr>
      <w:r>
        <w:rPr>
          <w:rStyle w:val="8"/>
          <w:rFonts w:hint="eastAsia" w:ascii="仿宋" w:hAnsi="仿宋" w:eastAsia="仿宋" w:cs="仿宋"/>
          <w:color w:val="auto"/>
          <w:sz w:val="24"/>
          <w:szCs w:val="24"/>
          <w:highlight w:val="none"/>
          <w:lang w:val="en-US" w:eastAsia="zh-CN"/>
        </w:rPr>
        <w:t>①未被列入中国政府采购网（www.ccgp.gov.cn）“政府采购严重违法失信行为记录名单”并且在处罚范围内【提供网站查询截图】</w:t>
      </w:r>
    </w:p>
    <w:p w14:paraId="734BD5DE">
      <w:pPr>
        <w:numPr>
          <w:ilvl w:val="0"/>
          <w:numId w:val="0"/>
        </w:numPr>
        <w:snapToGrid w:val="0"/>
        <w:spacing w:line="360" w:lineRule="auto"/>
        <w:ind w:right="-30" w:rightChars="0"/>
        <w:outlineLvl w:val="2"/>
        <w:rPr>
          <w:rStyle w:val="8"/>
          <w:rFonts w:hint="eastAsia" w:ascii="仿宋" w:hAnsi="仿宋" w:eastAsia="仿宋" w:cs="仿宋"/>
          <w:color w:val="auto"/>
          <w:sz w:val="24"/>
          <w:szCs w:val="24"/>
          <w:highlight w:val="none"/>
          <w:lang w:val="en-US" w:eastAsia="zh-CN"/>
        </w:rPr>
      </w:pPr>
      <w:r>
        <w:rPr>
          <w:rStyle w:val="8"/>
          <w:rFonts w:hint="eastAsia" w:ascii="仿宋" w:hAnsi="仿宋" w:eastAsia="仿宋" w:cs="仿宋"/>
          <w:color w:val="auto"/>
          <w:sz w:val="24"/>
          <w:szCs w:val="24"/>
          <w:highlight w:val="none"/>
          <w:lang w:val="en-US" w:eastAsia="zh-CN"/>
        </w:rPr>
        <w:t>②未被“信用中国”（www.creditchina.gov.cn）列入“严重失信主体名单”【提供网站查询截图】</w:t>
      </w:r>
    </w:p>
    <w:p w14:paraId="637200D9">
      <w:pPr>
        <w:numPr>
          <w:ilvl w:val="0"/>
          <w:numId w:val="0"/>
        </w:numPr>
        <w:snapToGrid w:val="0"/>
        <w:spacing w:line="360" w:lineRule="auto"/>
        <w:ind w:right="-30" w:rightChars="0"/>
        <w:outlineLvl w:val="2"/>
        <w:rPr>
          <w:rStyle w:val="8"/>
          <w:rFonts w:hint="eastAsia" w:ascii="仿宋" w:hAnsi="仿宋" w:eastAsia="仿宋" w:cs="仿宋"/>
          <w:color w:val="auto"/>
          <w:sz w:val="24"/>
          <w:szCs w:val="24"/>
          <w:highlight w:val="none"/>
          <w:lang w:val="en-US" w:eastAsia="zh-CN"/>
        </w:rPr>
      </w:pPr>
      <w:r>
        <w:rPr>
          <w:rStyle w:val="8"/>
          <w:rFonts w:hint="eastAsia" w:ascii="仿宋" w:hAnsi="仿宋" w:eastAsia="仿宋" w:cs="仿宋"/>
          <w:color w:val="auto"/>
          <w:sz w:val="24"/>
          <w:szCs w:val="24"/>
          <w:highlight w:val="none"/>
          <w:lang w:val="en-US" w:eastAsia="zh-CN"/>
        </w:rPr>
        <w:t>③未被列入军队采购网（www.plap.mil.cn）“军队采购暂停名单”处罚范围内【提供网站查询截图】</w:t>
      </w:r>
    </w:p>
    <w:p w14:paraId="3E055CC3">
      <w:pPr>
        <w:pStyle w:val="3"/>
        <w:rPr>
          <w:rStyle w:val="8"/>
          <w:rFonts w:hint="eastAsia" w:ascii="仿宋" w:hAnsi="仿宋" w:eastAsia="仿宋" w:cs="仿宋"/>
          <w:color w:val="auto"/>
          <w:sz w:val="24"/>
          <w:szCs w:val="24"/>
          <w:highlight w:val="none"/>
          <w:lang w:val="en-US" w:eastAsia="zh-CN"/>
        </w:rPr>
      </w:pPr>
      <w:r>
        <w:rPr>
          <w:rStyle w:val="8"/>
          <w:rFonts w:hint="eastAsia" w:ascii="仿宋" w:hAnsi="仿宋" w:eastAsia="仿宋" w:cs="仿宋"/>
          <w:color w:val="auto"/>
          <w:sz w:val="24"/>
          <w:szCs w:val="24"/>
          <w:highlight w:val="none"/>
          <w:lang w:val="en-US" w:eastAsia="zh-CN"/>
        </w:rPr>
        <w:t>④未被列入军队采购网（www.plap.mil.cn）“军队采购失信名单”处罚范围内【提供网站查询截图】</w:t>
      </w:r>
    </w:p>
    <w:p w14:paraId="26E3D866">
      <w:pPr>
        <w:pStyle w:val="3"/>
        <w:numPr>
          <w:ilvl w:val="0"/>
          <w:numId w:val="2"/>
        </w:numP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本项目不接受联合体参加采购活动【提供资格声明】</w:t>
      </w:r>
    </w:p>
    <w:p w14:paraId="3A6D40DA">
      <w:pPr>
        <w:pStyle w:val="3"/>
        <w:numPr>
          <w:ilvl w:val="0"/>
          <w:numId w:val="0"/>
        </w:numPr>
        <w:rPr>
          <w:rFonts w:hint="eastAsia" w:ascii="仿宋" w:hAnsi="仿宋" w:eastAsia="仿宋" w:cs="仿宋"/>
          <w:color w:val="auto"/>
          <w:kern w:val="0"/>
          <w:sz w:val="24"/>
          <w:szCs w:val="24"/>
          <w:highlight w:val="none"/>
          <w:lang w:val="en-US" w:eastAsia="zh-CN" w:bidi="ar-SA"/>
        </w:rPr>
      </w:pPr>
    </w:p>
    <w:p w14:paraId="2902B001">
      <w:pPr>
        <w:pStyle w:val="3"/>
        <w:numPr>
          <w:ilvl w:val="0"/>
          <w:numId w:val="2"/>
        </w:numP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文件要求的其它资料</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5D0901"/>
    <w:multiLevelType w:val="singleLevel"/>
    <w:tmpl w:val="9E5D0901"/>
    <w:lvl w:ilvl="0" w:tentative="0">
      <w:start w:val="6"/>
      <w:numFmt w:val="decimal"/>
      <w:lvlText w:val="%1."/>
      <w:lvlJc w:val="left"/>
      <w:pPr>
        <w:tabs>
          <w:tab w:val="left" w:pos="312"/>
        </w:tabs>
      </w:pPr>
    </w:lvl>
  </w:abstractNum>
  <w:abstractNum w:abstractNumId="1">
    <w:nsid w:val="2EBDC3DD"/>
    <w:multiLevelType w:val="singleLevel"/>
    <w:tmpl w:val="2EBDC3DD"/>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9B1B01"/>
    <w:rsid w:val="00046B58"/>
    <w:rsid w:val="011B0745"/>
    <w:rsid w:val="02897931"/>
    <w:rsid w:val="030D2310"/>
    <w:rsid w:val="03675440"/>
    <w:rsid w:val="041616A2"/>
    <w:rsid w:val="06CB56C5"/>
    <w:rsid w:val="06EF7070"/>
    <w:rsid w:val="079E3E7E"/>
    <w:rsid w:val="07DA312E"/>
    <w:rsid w:val="080C0DE8"/>
    <w:rsid w:val="083D71F3"/>
    <w:rsid w:val="09D409AD"/>
    <w:rsid w:val="0AC21C32"/>
    <w:rsid w:val="0B56708A"/>
    <w:rsid w:val="0E6159DB"/>
    <w:rsid w:val="0F006131"/>
    <w:rsid w:val="10B4201D"/>
    <w:rsid w:val="11F60C1E"/>
    <w:rsid w:val="12767ED2"/>
    <w:rsid w:val="13144AE1"/>
    <w:rsid w:val="16677B31"/>
    <w:rsid w:val="179B1B01"/>
    <w:rsid w:val="1837588E"/>
    <w:rsid w:val="19BE1C61"/>
    <w:rsid w:val="19D830A3"/>
    <w:rsid w:val="1A1E49AB"/>
    <w:rsid w:val="1A5F124B"/>
    <w:rsid w:val="1B5C2D58"/>
    <w:rsid w:val="1E1D38F7"/>
    <w:rsid w:val="1EC678A9"/>
    <w:rsid w:val="1F79582C"/>
    <w:rsid w:val="202A22FB"/>
    <w:rsid w:val="219263AA"/>
    <w:rsid w:val="225047A7"/>
    <w:rsid w:val="22F21233"/>
    <w:rsid w:val="23E427C1"/>
    <w:rsid w:val="25061AD0"/>
    <w:rsid w:val="26237E7F"/>
    <w:rsid w:val="27D36DD5"/>
    <w:rsid w:val="28C36B4E"/>
    <w:rsid w:val="2A1A0CEB"/>
    <w:rsid w:val="2A783C63"/>
    <w:rsid w:val="2AF7102C"/>
    <w:rsid w:val="2BC5112A"/>
    <w:rsid w:val="2C50478D"/>
    <w:rsid w:val="2C6D5C00"/>
    <w:rsid w:val="2CCD43EC"/>
    <w:rsid w:val="2CD0422B"/>
    <w:rsid w:val="2D7050B3"/>
    <w:rsid w:val="2E6F67FD"/>
    <w:rsid w:val="2E74441E"/>
    <w:rsid w:val="2F6C1ECB"/>
    <w:rsid w:val="2F994DA8"/>
    <w:rsid w:val="2FA63021"/>
    <w:rsid w:val="300A1801"/>
    <w:rsid w:val="315E3BB3"/>
    <w:rsid w:val="336B6A5B"/>
    <w:rsid w:val="37ED7A3F"/>
    <w:rsid w:val="38470D39"/>
    <w:rsid w:val="38935B36"/>
    <w:rsid w:val="391F53C4"/>
    <w:rsid w:val="3AAB24CE"/>
    <w:rsid w:val="3C08753D"/>
    <w:rsid w:val="3D361F65"/>
    <w:rsid w:val="3DBD7EB3"/>
    <w:rsid w:val="3E0F11FF"/>
    <w:rsid w:val="3E99447C"/>
    <w:rsid w:val="3F676006"/>
    <w:rsid w:val="3F9972FF"/>
    <w:rsid w:val="405A7C3B"/>
    <w:rsid w:val="408B4299"/>
    <w:rsid w:val="455A72ED"/>
    <w:rsid w:val="45996A3C"/>
    <w:rsid w:val="46FC6042"/>
    <w:rsid w:val="4791488A"/>
    <w:rsid w:val="49C83E68"/>
    <w:rsid w:val="4A862CA8"/>
    <w:rsid w:val="4D330192"/>
    <w:rsid w:val="4E3A4D22"/>
    <w:rsid w:val="4E4A7541"/>
    <w:rsid w:val="4F850EAD"/>
    <w:rsid w:val="4F9229D8"/>
    <w:rsid w:val="516E79EA"/>
    <w:rsid w:val="51C93E95"/>
    <w:rsid w:val="521C11F4"/>
    <w:rsid w:val="55344AA7"/>
    <w:rsid w:val="567333AD"/>
    <w:rsid w:val="57B14F18"/>
    <w:rsid w:val="57EF2EDD"/>
    <w:rsid w:val="597F3501"/>
    <w:rsid w:val="5A2E7D17"/>
    <w:rsid w:val="5A56726E"/>
    <w:rsid w:val="5A5D23AA"/>
    <w:rsid w:val="5A9544C5"/>
    <w:rsid w:val="5C29142A"/>
    <w:rsid w:val="5DF272AD"/>
    <w:rsid w:val="639F3A33"/>
    <w:rsid w:val="64FE57FE"/>
    <w:rsid w:val="659C46CE"/>
    <w:rsid w:val="66C51A03"/>
    <w:rsid w:val="683A3D2B"/>
    <w:rsid w:val="6B1229CD"/>
    <w:rsid w:val="6B77103C"/>
    <w:rsid w:val="6C1A3189"/>
    <w:rsid w:val="6D162FB8"/>
    <w:rsid w:val="6D6261FE"/>
    <w:rsid w:val="74F160B9"/>
    <w:rsid w:val="755C2E77"/>
    <w:rsid w:val="75A12A2A"/>
    <w:rsid w:val="75DF4163"/>
    <w:rsid w:val="77140350"/>
    <w:rsid w:val="79144124"/>
    <w:rsid w:val="796F1DC8"/>
    <w:rsid w:val="79C245D0"/>
    <w:rsid w:val="7A6A4943"/>
    <w:rsid w:val="7E0368D8"/>
    <w:rsid w:val="7E2135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index 8"/>
    <w:basedOn w:val="1"/>
    <w:next w:val="1"/>
    <w:qFormat/>
    <w:uiPriority w:val="0"/>
    <w:pPr>
      <w:ind w:left="1400" w:leftChars="1400"/>
    </w:pPr>
    <w:rPr>
      <w:rFonts w:ascii="Times New Roman" w:hAnsi="Times New Roman"/>
      <w:szCs w:val="24"/>
    </w:rPr>
  </w:style>
  <w:style w:type="paragraph" w:styleId="3">
    <w:name w:val="Body Text"/>
    <w:basedOn w:val="1"/>
    <w:semiHidden/>
    <w:qFormat/>
    <w:uiPriority w:val="0"/>
    <w:rPr>
      <w:rFonts w:ascii="Arial" w:hAnsi="Arial" w:eastAsia="Arial" w:cs="Arial"/>
      <w:sz w:val="21"/>
      <w:szCs w:val="21"/>
      <w:lang w:val="en-US" w:eastAsia="en-US" w:bidi="ar-SA"/>
    </w:rPr>
  </w:style>
  <w:style w:type="paragraph" w:styleId="4">
    <w:name w:val="Body Text Indent 2"/>
    <w:basedOn w:val="1"/>
    <w:qFormat/>
    <w:uiPriority w:val="0"/>
    <w:pPr>
      <w:ind w:left="360" w:firstLine="540"/>
    </w:pPr>
    <w:rPr>
      <w:rFonts w:hint="eastAsia" w:ascii="宋体" w:hAnsi="宋体" w:eastAsia="宋体" w:cs="Times New Roman"/>
      <w:sz w:val="20"/>
      <w:szCs w:val="20"/>
    </w:rPr>
  </w:style>
  <w:style w:type="paragraph" w:customStyle="1" w:styleId="7">
    <w:name w:val="正文1"/>
    <w:basedOn w:val="1"/>
    <w:autoRedefine/>
    <w:qFormat/>
    <w:uiPriority w:val="0"/>
    <w:pPr>
      <w:spacing w:line="318" w:lineRule="atLeast"/>
      <w:ind w:left="369" w:firstLine="369"/>
    </w:pPr>
    <w:rPr>
      <w:rFonts w:ascii="宋体"/>
    </w:rPr>
  </w:style>
  <w:style w:type="character" w:customStyle="1" w:styleId="8">
    <w:name w:val="NormalCharacter"/>
    <w:qFormat/>
    <w:uiPriority w:val="0"/>
  </w:style>
  <w:style w:type="paragraph" w:customStyle="1" w:styleId="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2443</Words>
  <Characters>2785</Characters>
  <Lines>0</Lines>
  <Paragraphs>0</Paragraphs>
  <TotalTime>189</TotalTime>
  <ScaleCrop>false</ScaleCrop>
  <LinksUpToDate>false</LinksUpToDate>
  <CharactersWithSpaces>2866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2025-07-31T01:09:00Z</dcterms:created>
  <dc:creator>陶</dc:creator>
  <cp:lastModifiedBy>HE盒</cp:lastModifiedBy>
  <cp:lastPrinted>2025-09-24T02:49:00Z</cp:lastPrinted>
  <dcterms:modified xsi:type="dcterms:W3CDTF">2025-09-29T06:37:11Z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FFBE82D233F2411F8BF4F661DF1AB597_13</vt:lpwstr>
  </property>
  <property fmtid="{D5CDD505-2E9C-101B-9397-08002B2CF9AE}" pid="4" name="KSOTemplateDocerSaveRecord">
    <vt:lpwstr>eyJoZGlkIjoiYTZmMWNlNDMyZDllZWFmMTQ1YmYyMTUxM2UzZmMwZGIiLCJ1c2VySWQiOiIzNzQwOTA4NzIifQ==</vt:lpwstr>
  </property>
</Properties>
</file>