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944E37">
      <w:pPr>
        <w:widowControl w:val="0"/>
        <w:spacing w:before="270" w:line="221" w:lineRule="auto"/>
        <w:ind w:left="196" w:leftChars="0" w:hanging="196" w:hangingChars="35"/>
        <w:jc w:val="center"/>
        <w:outlineLvl w:val="0"/>
        <w:rPr>
          <w:rFonts w:hint="eastAsia" w:ascii="宋体" w:hAnsi="宋体" w:eastAsia="宋体" w:cs="宋体"/>
          <w:color w:val="auto"/>
          <w:sz w:val="56"/>
          <w:szCs w:val="56"/>
          <w:highlight w:val="none"/>
          <w:lang w:eastAsia="zh-CN"/>
        </w:rPr>
      </w:pPr>
      <w:bookmarkStart w:id="0" w:name="_Toc25689"/>
      <w:bookmarkStart w:id="1" w:name="_Toc32550"/>
      <w:r>
        <w:rPr>
          <w:rFonts w:hint="eastAsia" w:ascii="宋体" w:hAnsi="宋体" w:eastAsia="宋体" w:cs="宋体"/>
          <w:color w:val="auto"/>
          <w:sz w:val="56"/>
          <w:szCs w:val="56"/>
          <w:highlight w:val="none"/>
          <w:lang w:eastAsia="zh-CN"/>
        </w:rPr>
        <w:t>江西省采购公开招标文件</w:t>
      </w:r>
      <w:bookmarkEnd w:id="0"/>
      <w:bookmarkEnd w:id="1"/>
    </w:p>
    <w:p w14:paraId="73430609">
      <w:pPr>
        <w:widowControl w:val="0"/>
        <w:spacing w:before="270" w:line="221" w:lineRule="auto"/>
        <w:jc w:val="center"/>
        <w:outlineLvl w:val="0"/>
        <w:rPr>
          <w:rFonts w:hint="eastAsia" w:ascii="宋体" w:hAnsi="宋体" w:eastAsia="宋体" w:cs="宋体"/>
          <w:color w:val="auto"/>
          <w:sz w:val="56"/>
          <w:szCs w:val="56"/>
          <w:highlight w:val="none"/>
          <w:lang w:eastAsia="zh-CN"/>
        </w:rPr>
      </w:pPr>
      <w:bookmarkStart w:id="2" w:name="_Toc3444"/>
      <w:bookmarkStart w:id="3" w:name="_Toc22762"/>
      <w:r>
        <w:rPr>
          <w:rFonts w:hint="eastAsia" w:ascii="宋体" w:hAnsi="宋体" w:eastAsia="宋体" w:cs="宋体"/>
          <w:color w:val="auto"/>
          <w:sz w:val="56"/>
          <w:szCs w:val="56"/>
          <w:highlight w:val="none"/>
          <w:lang w:eastAsia="zh-CN"/>
        </w:rPr>
        <w:t>示范文本</w:t>
      </w:r>
      <w:bookmarkEnd w:id="2"/>
      <w:bookmarkEnd w:id="3"/>
    </w:p>
    <w:p w14:paraId="17EEE9E3">
      <w:pPr>
        <w:widowControl w:val="0"/>
        <w:spacing w:line="308" w:lineRule="auto"/>
        <w:rPr>
          <w:rFonts w:hint="eastAsia" w:ascii="宋体" w:hAnsi="宋体" w:eastAsia="宋体" w:cs="宋体"/>
          <w:color w:val="auto"/>
          <w:highlight w:val="none"/>
          <w:lang w:eastAsia="zh-CN"/>
        </w:rPr>
      </w:pPr>
    </w:p>
    <w:p w14:paraId="61582532">
      <w:pPr>
        <w:widowControl w:val="0"/>
        <w:spacing w:line="308" w:lineRule="auto"/>
        <w:rPr>
          <w:rFonts w:hint="eastAsia" w:ascii="宋体" w:hAnsi="宋体" w:eastAsia="宋体" w:cs="宋体"/>
          <w:color w:val="auto"/>
          <w:highlight w:val="none"/>
          <w:lang w:eastAsia="zh-CN"/>
        </w:rPr>
      </w:pPr>
    </w:p>
    <w:p w14:paraId="4A490005">
      <w:pPr>
        <w:widowControl w:val="0"/>
        <w:spacing w:line="308" w:lineRule="auto"/>
        <w:rPr>
          <w:rFonts w:hint="eastAsia" w:ascii="宋体" w:hAnsi="宋体" w:eastAsia="宋体" w:cs="宋体"/>
          <w:color w:val="auto"/>
          <w:highlight w:val="none"/>
          <w:lang w:eastAsia="zh-CN"/>
        </w:rPr>
      </w:pPr>
    </w:p>
    <w:p w14:paraId="0D55EF75">
      <w:pPr>
        <w:widowControl w:val="0"/>
        <w:spacing w:before="101" w:line="224" w:lineRule="auto"/>
        <w:ind w:left="3655" w:hanging="3654" w:hangingChars="1179"/>
        <w:jc w:val="center"/>
        <w:rPr>
          <w:rFonts w:hint="eastAsia" w:ascii="宋体" w:hAnsi="宋体" w:eastAsia="宋体" w:cs="宋体"/>
          <w:color w:val="auto"/>
          <w:sz w:val="31"/>
          <w:szCs w:val="31"/>
          <w:highlight w:val="none"/>
          <w:lang w:eastAsia="zh-CN"/>
        </w:rPr>
      </w:pPr>
      <w:r>
        <w:rPr>
          <w:rFonts w:hint="eastAsia" w:ascii="宋体" w:hAnsi="宋体" w:eastAsia="宋体" w:cs="宋体"/>
          <w:color w:val="auto"/>
          <w:sz w:val="31"/>
          <w:szCs w:val="31"/>
          <w:highlight w:val="none"/>
          <w:lang w:eastAsia="zh-CN"/>
        </w:rPr>
        <w:t>（服务类）</w:t>
      </w:r>
    </w:p>
    <w:p w14:paraId="086F56B3">
      <w:pPr>
        <w:widowControl w:val="0"/>
        <w:spacing w:line="246" w:lineRule="auto"/>
        <w:rPr>
          <w:rFonts w:hint="eastAsia" w:ascii="宋体" w:hAnsi="宋体" w:eastAsia="宋体" w:cs="宋体"/>
          <w:color w:val="auto"/>
          <w:highlight w:val="none"/>
          <w:lang w:eastAsia="zh-CN"/>
        </w:rPr>
      </w:pPr>
    </w:p>
    <w:p w14:paraId="7E18FEB4">
      <w:pPr>
        <w:widowControl w:val="0"/>
        <w:spacing w:line="246" w:lineRule="auto"/>
        <w:rPr>
          <w:rFonts w:hint="eastAsia" w:ascii="宋体" w:hAnsi="宋体" w:eastAsia="宋体" w:cs="宋体"/>
          <w:color w:val="auto"/>
          <w:highlight w:val="none"/>
          <w:lang w:eastAsia="zh-CN"/>
        </w:rPr>
      </w:pPr>
    </w:p>
    <w:p w14:paraId="4DA46FBC">
      <w:pPr>
        <w:pStyle w:val="7"/>
        <w:widowControl w:val="0"/>
        <w:rPr>
          <w:rFonts w:hint="eastAsia" w:ascii="宋体" w:hAnsi="宋体" w:eastAsia="宋体" w:cs="宋体"/>
          <w:color w:val="auto"/>
          <w:highlight w:val="none"/>
          <w:lang w:eastAsia="zh-CN"/>
        </w:rPr>
      </w:pPr>
    </w:p>
    <w:p w14:paraId="710E0908">
      <w:pPr>
        <w:pStyle w:val="7"/>
        <w:widowControl w:val="0"/>
        <w:rPr>
          <w:rFonts w:hint="eastAsia" w:ascii="宋体" w:hAnsi="宋体" w:eastAsia="宋体" w:cs="宋体"/>
          <w:color w:val="auto"/>
          <w:highlight w:val="none"/>
          <w:lang w:eastAsia="zh-CN"/>
        </w:rPr>
      </w:pPr>
    </w:p>
    <w:p w14:paraId="45F5B6D4">
      <w:pPr>
        <w:widowControl w:val="0"/>
        <w:spacing w:line="246" w:lineRule="auto"/>
        <w:rPr>
          <w:rFonts w:hint="eastAsia" w:ascii="宋体" w:hAnsi="宋体" w:eastAsia="宋体" w:cs="宋体"/>
          <w:color w:val="auto"/>
          <w:highlight w:val="none"/>
          <w:lang w:eastAsia="zh-CN"/>
        </w:rPr>
      </w:pPr>
    </w:p>
    <w:p w14:paraId="1AE3821E">
      <w:pPr>
        <w:widowControl w:val="0"/>
        <w:spacing w:line="246" w:lineRule="auto"/>
        <w:rPr>
          <w:rFonts w:hint="eastAsia" w:ascii="宋体" w:hAnsi="宋体" w:eastAsia="宋体" w:cs="宋体"/>
          <w:color w:val="auto"/>
          <w:highlight w:val="none"/>
          <w:lang w:eastAsia="zh-CN"/>
        </w:rPr>
      </w:pPr>
    </w:p>
    <w:p w14:paraId="1D9F2344">
      <w:pPr>
        <w:widowControl w:val="0"/>
        <w:spacing w:line="246" w:lineRule="auto"/>
        <w:rPr>
          <w:rFonts w:hint="eastAsia" w:ascii="宋体" w:hAnsi="宋体" w:eastAsia="宋体" w:cs="宋体"/>
          <w:color w:val="auto"/>
          <w:highlight w:val="none"/>
          <w:lang w:eastAsia="zh-CN"/>
        </w:rPr>
      </w:pPr>
    </w:p>
    <w:p w14:paraId="4E62B278">
      <w:pPr>
        <w:widowControl w:val="0"/>
        <w:spacing w:line="247" w:lineRule="auto"/>
        <w:rPr>
          <w:rFonts w:hint="eastAsia" w:ascii="宋体" w:hAnsi="宋体" w:eastAsia="宋体" w:cs="宋体"/>
          <w:color w:val="auto"/>
          <w:highlight w:val="none"/>
          <w:lang w:eastAsia="zh-CN"/>
        </w:rPr>
      </w:pPr>
    </w:p>
    <w:p w14:paraId="09C5AF30">
      <w:pPr>
        <w:widowControl w:val="0"/>
        <w:spacing w:before="242" w:line="225" w:lineRule="auto"/>
        <w:ind w:left="1260"/>
        <w:rPr>
          <w:rFonts w:hint="eastAsia" w:ascii="宋体" w:hAnsi="宋体" w:eastAsia="宋体" w:cs="宋体"/>
          <w:b w:val="0"/>
          <w:bCs w:val="0"/>
          <w:color w:val="auto"/>
          <w:spacing w:val="3"/>
          <w:sz w:val="31"/>
          <w:szCs w:val="31"/>
          <w:highlight w:val="none"/>
          <w:lang w:eastAsia="zh-CN"/>
        </w:rPr>
      </w:pPr>
      <w:r>
        <w:rPr>
          <w:rFonts w:hint="eastAsia" w:ascii="宋体" w:hAnsi="宋体" w:eastAsia="宋体" w:cs="宋体"/>
          <w:color w:val="auto"/>
          <w:sz w:val="31"/>
          <w:szCs w:val="31"/>
          <w:highlight w:val="none"/>
          <w:lang w:eastAsia="zh-CN"/>
        </w:rPr>
        <w:t>项目名称：</w:t>
      </w:r>
      <w:r>
        <w:rPr>
          <w:rFonts w:hint="eastAsia" w:ascii="宋体" w:hAnsi="宋体" w:eastAsia="宋体" w:cs="宋体"/>
          <w:b w:val="0"/>
          <w:bCs w:val="0"/>
          <w:color w:val="auto"/>
          <w:spacing w:val="3"/>
          <w:sz w:val="31"/>
          <w:szCs w:val="31"/>
          <w:highlight w:val="none"/>
          <w:lang w:eastAsia="zh-CN"/>
        </w:rPr>
        <w:t>江西吉瑞实业有限公司警务辅助安保服务项目（第二次）</w:t>
      </w:r>
    </w:p>
    <w:p w14:paraId="18C466E1">
      <w:pPr>
        <w:widowControl w:val="0"/>
        <w:spacing w:before="242" w:line="225" w:lineRule="auto"/>
        <w:ind w:left="1260"/>
        <w:rPr>
          <w:rFonts w:hint="eastAsia" w:ascii="宋体" w:hAnsi="宋体" w:eastAsia="宋体" w:cs="宋体"/>
          <w:b w:val="0"/>
          <w:bCs w:val="0"/>
          <w:color w:val="auto"/>
          <w:sz w:val="31"/>
          <w:szCs w:val="31"/>
          <w:highlight w:val="none"/>
          <w:lang w:eastAsia="zh-CN"/>
        </w:rPr>
      </w:pPr>
      <w:r>
        <w:rPr>
          <w:rFonts w:hint="eastAsia" w:ascii="宋体" w:hAnsi="宋体" w:eastAsia="宋体" w:cs="宋体"/>
          <w:b w:val="0"/>
          <w:bCs w:val="0"/>
          <w:color w:val="auto"/>
          <w:sz w:val="31"/>
          <w:szCs w:val="31"/>
          <w:highlight w:val="none"/>
          <w:lang w:eastAsia="zh-CN"/>
        </w:rPr>
        <w:t>项目编号：</w:t>
      </w:r>
      <w:r>
        <w:rPr>
          <w:rFonts w:hint="eastAsia" w:ascii="宋体" w:hAnsi="宋体" w:eastAsia="宋体" w:cs="宋体"/>
          <w:b w:val="0"/>
          <w:bCs w:val="0"/>
          <w:color w:val="auto"/>
          <w:spacing w:val="3"/>
          <w:sz w:val="31"/>
          <w:szCs w:val="31"/>
          <w:highlight w:val="none"/>
          <w:lang w:eastAsia="zh-CN"/>
        </w:rPr>
        <w:t>JACTJL-内采字【2025】095号-1</w:t>
      </w:r>
    </w:p>
    <w:p w14:paraId="2AAACBB9">
      <w:pPr>
        <w:widowControl w:val="0"/>
        <w:spacing w:line="249" w:lineRule="auto"/>
        <w:rPr>
          <w:rFonts w:hint="eastAsia" w:ascii="宋体" w:hAnsi="宋体" w:eastAsia="宋体" w:cs="宋体"/>
          <w:b w:val="0"/>
          <w:bCs w:val="0"/>
          <w:color w:val="auto"/>
          <w:highlight w:val="none"/>
          <w:lang w:eastAsia="zh-CN"/>
        </w:rPr>
      </w:pPr>
    </w:p>
    <w:p w14:paraId="253F98C4">
      <w:pPr>
        <w:widowControl w:val="0"/>
        <w:spacing w:line="251" w:lineRule="auto"/>
        <w:ind w:firstLine="1240" w:firstLineChars="400"/>
        <w:jc w:val="both"/>
        <w:rPr>
          <w:rFonts w:hint="eastAsia" w:ascii="宋体" w:hAnsi="宋体" w:eastAsia="宋体" w:cs="宋体"/>
          <w:b w:val="0"/>
          <w:bCs w:val="0"/>
          <w:color w:val="auto"/>
          <w:highlight w:val="none"/>
          <w:lang w:eastAsia="zh-CN"/>
        </w:rPr>
      </w:pPr>
      <w:r>
        <w:rPr>
          <w:rFonts w:hint="eastAsia" w:ascii="宋体" w:hAnsi="宋体" w:eastAsia="宋体" w:cs="宋体"/>
          <w:b w:val="0"/>
          <w:bCs w:val="0"/>
          <w:color w:val="auto"/>
          <w:sz w:val="31"/>
          <w:szCs w:val="31"/>
          <w:highlight w:val="none"/>
          <w:lang w:val="en-US" w:eastAsia="zh-CN"/>
        </w:rPr>
        <w:t>采购人：</w:t>
      </w:r>
      <w:r>
        <w:rPr>
          <w:rFonts w:hint="eastAsia" w:ascii="宋体" w:hAnsi="宋体" w:eastAsia="宋体" w:cs="宋体"/>
          <w:b w:val="0"/>
          <w:bCs w:val="0"/>
          <w:color w:val="auto"/>
          <w:sz w:val="31"/>
          <w:szCs w:val="31"/>
          <w:highlight w:val="none"/>
          <w:lang w:eastAsia="zh-CN"/>
        </w:rPr>
        <w:t>江西吉瑞实业有限公司</w:t>
      </w:r>
    </w:p>
    <w:p w14:paraId="243EB989">
      <w:pPr>
        <w:widowControl w:val="0"/>
        <w:spacing w:line="251" w:lineRule="auto"/>
        <w:rPr>
          <w:rFonts w:hint="eastAsia" w:ascii="宋体" w:hAnsi="宋体" w:eastAsia="宋体" w:cs="宋体"/>
          <w:b w:val="0"/>
          <w:bCs w:val="0"/>
          <w:color w:val="auto"/>
          <w:highlight w:val="none"/>
          <w:lang w:eastAsia="zh-CN"/>
        </w:rPr>
      </w:pPr>
    </w:p>
    <w:p w14:paraId="3DC67657">
      <w:pPr>
        <w:pStyle w:val="7"/>
        <w:widowControl w:val="0"/>
        <w:rPr>
          <w:rFonts w:hint="eastAsia" w:ascii="宋体" w:hAnsi="宋体" w:eastAsia="宋体" w:cs="宋体"/>
          <w:color w:val="auto"/>
          <w:highlight w:val="none"/>
          <w:lang w:eastAsia="zh-CN"/>
        </w:rPr>
      </w:pPr>
    </w:p>
    <w:p w14:paraId="201CB85B">
      <w:pPr>
        <w:pStyle w:val="7"/>
        <w:widowControl w:val="0"/>
        <w:rPr>
          <w:rFonts w:hint="eastAsia" w:ascii="宋体" w:hAnsi="宋体" w:eastAsia="宋体" w:cs="宋体"/>
          <w:color w:val="auto"/>
          <w:highlight w:val="none"/>
          <w:lang w:eastAsia="zh-CN"/>
        </w:rPr>
      </w:pPr>
    </w:p>
    <w:p w14:paraId="75BFEBA9">
      <w:pPr>
        <w:pStyle w:val="7"/>
        <w:widowControl w:val="0"/>
        <w:rPr>
          <w:rFonts w:hint="eastAsia" w:ascii="宋体" w:hAnsi="宋体" w:eastAsia="宋体" w:cs="宋体"/>
          <w:color w:val="auto"/>
          <w:highlight w:val="none"/>
          <w:lang w:eastAsia="zh-CN"/>
        </w:rPr>
      </w:pPr>
    </w:p>
    <w:p w14:paraId="5E2FA6EB">
      <w:pPr>
        <w:pStyle w:val="7"/>
        <w:widowControl w:val="0"/>
        <w:rPr>
          <w:rFonts w:hint="eastAsia" w:ascii="宋体" w:hAnsi="宋体" w:eastAsia="宋体" w:cs="宋体"/>
          <w:color w:val="auto"/>
          <w:highlight w:val="none"/>
          <w:lang w:eastAsia="zh-CN"/>
        </w:rPr>
      </w:pPr>
    </w:p>
    <w:p w14:paraId="01BE7F99">
      <w:pPr>
        <w:widowControl w:val="0"/>
        <w:spacing w:line="251" w:lineRule="auto"/>
        <w:rPr>
          <w:rFonts w:hint="eastAsia" w:ascii="宋体" w:hAnsi="宋体" w:eastAsia="宋体" w:cs="宋体"/>
          <w:color w:val="auto"/>
          <w:highlight w:val="none"/>
          <w:lang w:eastAsia="zh-CN"/>
        </w:rPr>
      </w:pPr>
    </w:p>
    <w:p w14:paraId="162A917D">
      <w:pPr>
        <w:widowControl w:val="0"/>
        <w:spacing w:line="251" w:lineRule="auto"/>
        <w:rPr>
          <w:rFonts w:hint="eastAsia" w:ascii="宋体" w:hAnsi="宋体" w:eastAsia="宋体" w:cs="宋体"/>
          <w:color w:val="auto"/>
          <w:highlight w:val="none"/>
          <w:lang w:eastAsia="zh-CN"/>
        </w:rPr>
      </w:pPr>
    </w:p>
    <w:p w14:paraId="35D91E84">
      <w:pPr>
        <w:widowControl w:val="0"/>
        <w:spacing w:line="251" w:lineRule="auto"/>
        <w:rPr>
          <w:rFonts w:hint="eastAsia" w:ascii="宋体" w:hAnsi="宋体" w:eastAsia="宋体" w:cs="宋体"/>
          <w:color w:val="auto"/>
          <w:highlight w:val="none"/>
          <w:lang w:eastAsia="zh-CN"/>
        </w:rPr>
      </w:pPr>
    </w:p>
    <w:p w14:paraId="0307C8EC">
      <w:pPr>
        <w:widowControl w:val="0"/>
        <w:spacing w:before="242" w:line="225" w:lineRule="auto"/>
        <w:ind w:left="2740"/>
        <w:outlineLvl w:val="0"/>
        <w:rPr>
          <w:rFonts w:hint="eastAsia" w:ascii="宋体" w:hAnsi="宋体" w:eastAsia="宋体" w:cs="宋体"/>
          <w:color w:val="auto"/>
          <w:sz w:val="31"/>
          <w:szCs w:val="31"/>
          <w:highlight w:val="none"/>
          <w:lang w:eastAsia="zh-CN"/>
        </w:rPr>
      </w:pPr>
      <w:bookmarkStart w:id="4" w:name="_Toc12343"/>
      <w:r>
        <w:rPr>
          <w:rFonts w:hint="eastAsia" w:ascii="宋体" w:hAnsi="宋体" w:eastAsia="宋体" w:cs="宋体"/>
          <w:color w:val="auto"/>
          <w:sz w:val="31"/>
          <w:szCs w:val="31"/>
          <w:highlight w:val="none"/>
          <w:lang w:eastAsia="zh-CN"/>
        </w:rPr>
        <w:t>吉安城投建设监理有限公司</w:t>
      </w:r>
      <w:bookmarkEnd w:id="4"/>
    </w:p>
    <w:p w14:paraId="72B98D59">
      <w:pPr>
        <w:widowControl w:val="0"/>
        <w:spacing w:before="242" w:line="225" w:lineRule="auto"/>
        <w:ind w:left="0" w:leftChars="0" w:firstLine="0" w:firstLineChars="0"/>
        <w:jc w:val="center"/>
        <w:rPr>
          <w:rFonts w:hint="eastAsia" w:ascii="宋体" w:hAnsi="宋体" w:eastAsia="宋体" w:cs="宋体"/>
          <w:color w:val="auto"/>
          <w:sz w:val="31"/>
          <w:szCs w:val="31"/>
          <w:highlight w:val="none"/>
          <w:lang w:eastAsia="zh-CN"/>
        </w:rPr>
      </w:pPr>
      <w:r>
        <w:rPr>
          <w:rFonts w:hint="eastAsia" w:ascii="宋体" w:hAnsi="宋体" w:eastAsia="宋体" w:cs="宋体"/>
          <w:color w:val="auto"/>
          <w:sz w:val="31"/>
          <w:szCs w:val="31"/>
          <w:highlight w:val="none"/>
          <w:lang w:eastAsia="zh-CN"/>
        </w:rPr>
        <w:t>江西·吉安</w:t>
      </w:r>
    </w:p>
    <w:p w14:paraId="6442CA6F">
      <w:pPr>
        <w:spacing w:line="360" w:lineRule="auto"/>
        <w:jc w:val="center"/>
        <w:rPr>
          <w:rFonts w:hint="eastAsia" w:ascii="宋体" w:hAnsi="宋体" w:eastAsia="宋体" w:cs="宋体"/>
          <w:color w:val="auto"/>
          <w:spacing w:val="-1"/>
          <w:sz w:val="24"/>
          <w:szCs w:val="24"/>
          <w:highlight w:val="none"/>
          <w:lang w:eastAsia="zh-CN"/>
        </w:rPr>
        <w:sectPr>
          <w:footerReference r:id="rId3" w:type="default"/>
          <w:pgSz w:w="11906" w:h="16839"/>
          <w:pgMar w:top="1234" w:right="1304" w:bottom="1156" w:left="1307" w:header="0" w:footer="1414" w:gutter="0"/>
          <w:pgNumType w:fmt="decimal"/>
          <w:cols w:space="720" w:num="1"/>
        </w:sectPr>
      </w:pPr>
    </w:p>
    <w:p w14:paraId="3235FCBC">
      <w:pPr>
        <w:spacing w:before="0" w:after="0" w:line="240" w:lineRule="auto"/>
        <w:ind w:left="0" w:leftChars="0" w:right="0" w:rightChars="0" w:firstLine="0" w:firstLine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目录</w:t>
      </w:r>
    </w:p>
    <w:p w14:paraId="5598A65A">
      <w:pPr>
        <w:pStyle w:val="31"/>
        <w:tabs>
          <w:tab w:val="right" w:leader="dot" w:pos="9071"/>
        </w:tabs>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fldChar w:fldCharType="begin"/>
      </w:r>
      <w:r>
        <w:rPr>
          <w:rFonts w:hint="eastAsia" w:ascii="宋体" w:hAnsi="宋体" w:eastAsia="宋体" w:cs="宋体"/>
          <w:color w:val="auto"/>
          <w:sz w:val="22"/>
          <w:szCs w:val="22"/>
          <w:highlight w:val="none"/>
          <w:lang w:eastAsia="zh-CN"/>
        </w:rPr>
        <w:instrText xml:space="preserve">TOC \o "1-3" \h \u </w:instrText>
      </w:r>
      <w:r>
        <w:rPr>
          <w:rFonts w:hint="eastAsia" w:ascii="宋体" w:hAnsi="宋体" w:eastAsia="宋体" w:cs="宋体"/>
          <w:color w:val="auto"/>
          <w:sz w:val="22"/>
          <w:szCs w:val="22"/>
          <w:highlight w:val="none"/>
          <w:lang w:eastAsia="zh-CN"/>
        </w:rPr>
        <w:fldChar w:fldCharType="separate"/>
      </w:r>
    </w:p>
    <w:p w14:paraId="22AFC27E">
      <w:pPr>
        <w:pStyle w:val="31"/>
        <w:tabs>
          <w:tab w:val="right" w:leader="dot" w:pos="9071"/>
        </w:tabs>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fldChar w:fldCharType="begin"/>
      </w:r>
      <w:r>
        <w:rPr>
          <w:rFonts w:hint="eastAsia" w:ascii="宋体" w:hAnsi="宋体" w:eastAsia="宋体" w:cs="宋体"/>
          <w:color w:val="auto"/>
          <w:sz w:val="22"/>
          <w:szCs w:val="22"/>
          <w:highlight w:val="none"/>
          <w:lang w:eastAsia="zh-CN"/>
        </w:rPr>
        <w:instrText xml:space="preserve"> HYPERLINK \l _Toc32320 </w:instrText>
      </w:r>
      <w:r>
        <w:rPr>
          <w:rFonts w:hint="eastAsia" w:ascii="宋体" w:hAnsi="宋体" w:eastAsia="宋体" w:cs="宋体"/>
          <w:color w:val="auto"/>
          <w:sz w:val="22"/>
          <w:szCs w:val="22"/>
          <w:highlight w:val="none"/>
          <w:lang w:eastAsia="zh-CN"/>
        </w:rPr>
        <w:fldChar w:fldCharType="separate"/>
      </w:r>
      <w:r>
        <w:rPr>
          <w:rFonts w:hint="eastAsia" w:ascii="宋体" w:hAnsi="宋体" w:eastAsia="宋体" w:cs="宋体"/>
          <w:color w:val="auto"/>
          <w:sz w:val="22"/>
          <w:szCs w:val="36"/>
          <w:highlight w:val="none"/>
        </w:rPr>
        <w:t>第一章投标邀请</w:t>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PAGEREF _Toc32320 \h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3</w: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lang w:eastAsia="zh-CN"/>
        </w:rPr>
        <w:fldChar w:fldCharType="end"/>
      </w:r>
    </w:p>
    <w:p w14:paraId="23827443">
      <w:pPr>
        <w:pStyle w:val="32"/>
        <w:tabs>
          <w:tab w:val="right" w:leader="dot" w:pos="9071"/>
        </w:tabs>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fldChar w:fldCharType="begin"/>
      </w:r>
      <w:r>
        <w:rPr>
          <w:rFonts w:hint="eastAsia" w:ascii="宋体" w:hAnsi="宋体" w:eastAsia="宋体" w:cs="宋体"/>
          <w:color w:val="auto"/>
          <w:sz w:val="22"/>
          <w:szCs w:val="22"/>
          <w:highlight w:val="none"/>
          <w:lang w:eastAsia="zh-CN"/>
        </w:rPr>
        <w:instrText xml:space="preserve"> HYPERLINK \l _Toc32647 </w:instrText>
      </w:r>
      <w:r>
        <w:rPr>
          <w:rFonts w:hint="eastAsia" w:ascii="宋体" w:hAnsi="宋体" w:eastAsia="宋体" w:cs="宋体"/>
          <w:color w:val="auto"/>
          <w:sz w:val="22"/>
          <w:szCs w:val="22"/>
          <w:highlight w:val="none"/>
          <w:lang w:eastAsia="zh-CN"/>
        </w:rPr>
        <w:fldChar w:fldCharType="separate"/>
      </w:r>
      <w:r>
        <w:rPr>
          <w:rFonts w:hint="eastAsia" w:ascii="宋体" w:hAnsi="宋体" w:eastAsia="宋体" w:cs="宋体"/>
          <w:color w:val="auto"/>
          <w:sz w:val="22"/>
          <w:szCs w:val="32"/>
          <w:highlight w:val="none"/>
          <w:lang w:eastAsia="zh-CN"/>
        </w:rPr>
        <w:t>一、项目基本情况</w:t>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PAGEREF _Toc32647 \h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3</w: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lang w:eastAsia="zh-CN"/>
        </w:rPr>
        <w:fldChar w:fldCharType="end"/>
      </w:r>
    </w:p>
    <w:p w14:paraId="21BE8340">
      <w:pPr>
        <w:pStyle w:val="32"/>
        <w:tabs>
          <w:tab w:val="right" w:leader="dot" w:pos="9071"/>
        </w:tabs>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fldChar w:fldCharType="begin"/>
      </w:r>
      <w:r>
        <w:rPr>
          <w:rFonts w:hint="eastAsia" w:ascii="宋体" w:hAnsi="宋体" w:eastAsia="宋体" w:cs="宋体"/>
          <w:color w:val="auto"/>
          <w:sz w:val="22"/>
          <w:szCs w:val="22"/>
          <w:highlight w:val="none"/>
          <w:lang w:eastAsia="zh-CN"/>
        </w:rPr>
        <w:instrText xml:space="preserve"> HYPERLINK \l _Toc15951 </w:instrText>
      </w:r>
      <w:r>
        <w:rPr>
          <w:rFonts w:hint="eastAsia" w:ascii="宋体" w:hAnsi="宋体" w:eastAsia="宋体" w:cs="宋体"/>
          <w:color w:val="auto"/>
          <w:sz w:val="22"/>
          <w:szCs w:val="22"/>
          <w:highlight w:val="none"/>
          <w:lang w:eastAsia="zh-CN"/>
        </w:rPr>
        <w:fldChar w:fldCharType="separate"/>
      </w:r>
      <w:r>
        <w:rPr>
          <w:rFonts w:hint="eastAsia" w:ascii="宋体" w:hAnsi="宋体" w:eastAsia="宋体" w:cs="宋体"/>
          <w:color w:val="auto"/>
          <w:sz w:val="22"/>
          <w:szCs w:val="32"/>
          <w:highlight w:val="none"/>
          <w:lang w:eastAsia="zh-CN"/>
        </w:rPr>
        <w:t>二、投标人的资格要求</w:t>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PAGEREF _Toc15951 \h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3</w: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lang w:eastAsia="zh-CN"/>
        </w:rPr>
        <w:fldChar w:fldCharType="end"/>
      </w:r>
    </w:p>
    <w:p w14:paraId="6099ECFC">
      <w:pPr>
        <w:pStyle w:val="32"/>
        <w:tabs>
          <w:tab w:val="right" w:leader="dot" w:pos="9071"/>
        </w:tabs>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fldChar w:fldCharType="begin"/>
      </w:r>
      <w:r>
        <w:rPr>
          <w:rFonts w:hint="eastAsia" w:ascii="宋体" w:hAnsi="宋体" w:eastAsia="宋体" w:cs="宋体"/>
          <w:color w:val="auto"/>
          <w:sz w:val="22"/>
          <w:szCs w:val="22"/>
          <w:highlight w:val="none"/>
          <w:lang w:eastAsia="zh-CN"/>
        </w:rPr>
        <w:instrText xml:space="preserve"> HYPERLINK \l _Toc22501 </w:instrText>
      </w:r>
      <w:r>
        <w:rPr>
          <w:rFonts w:hint="eastAsia" w:ascii="宋体" w:hAnsi="宋体" w:eastAsia="宋体" w:cs="宋体"/>
          <w:color w:val="auto"/>
          <w:sz w:val="22"/>
          <w:szCs w:val="22"/>
          <w:highlight w:val="none"/>
          <w:lang w:eastAsia="zh-CN"/>
        </w:rPr>
        <w:fldChar w:fldCharType="separate"/>
      </w:r>
      <w:r>
        <w:rPr>
          <w:rFonts w:hint="eastAsia" w:ascii="宋体" w:hAnsi="宋体" w:eastAsia="宋体" w:cs="宋体"/>
          <w:color w:val="auto"/>
          <w:sz w:val="22"/>
          <w:szCs w:val="32"/>
          <w:highlight w:val="none"/>
          <w:lang w:eastAsia="zh-CN"/>
        </w:rPr>
        <w:t>三、获取招标文件</w:t>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PAGEREF _Toc22501 \h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4</w: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lang w:eastAsia="zh-CN"/>
        </w:rPr>
        <w:fldChar w:fldCharType="end"/>
      </w:r>
    </w:p>
    <w:p w14:paraId="0390BCCF">
      <w:pPr>
        <w:pStyle w:val="32"/>
        <w:tabs>
          <w:tab w:val="right" w:leader="dot" w:pos="9071"/>
        </w:tabs>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fldChar w:fldCharType="begin"/>
      </w:r>
      <w:r>
        <w:rPr>
          <w:rFonts w:hint="eastAsia" w:ascii="宋体" w:hAnsi="宋体" w:eastAsia="宋体" w:cs="宋体"/>
          <w:color w:val="auto"/>
          <w:sz w:val="22"/>
          <w:szCs w:val="22"/>
          <w:highlight w:val="none"/>
          <w:lang w:eastAsia="zh-CN"/>
        </w:rPr>
        <w:instrText xml:space="preserve"> HYPERLINK \l _Toc17595 </w:instrText>
      </w:r>
      <w:r>
        <w:rPr>
          <w:rFonts w:hint="eastAsia" w:ascii="宋体" w:hAnsi="宋体" w:eastAsia="宋体" w:cs="宋体"/>
          <w:color w:val="auto"/>
          <w:sz w:val="22"/>
          <w:szCs w:val="22"/>
          <w:highlight w:val="none"/>
          <w:lang w:eastAsia="zh-CN"/>
        </w:rPr>
        <w:fldChar w:fldCharType="separate"/>
      </w:r>
      <w:r>
        <w:rPr>
          <w:rFonts w:hint="eastAsia" w:ascii="宋体" w:hAnsi="宋体" w:eastAsia="宋体" w:cs="宋体"/>
          <w:color w:val="auto"/>
          <w:sz w:val="22"/>
          <w:szCs w:val="32"/>
          <w:highlight w:val="none"/>
          <w:lang w:eastAsia="zh-CN"/>
        </w:rPr>
        <w:t>四、提交投标文件截止时间、开标时间和地点</w:t>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PAGEREF _Toc17595 \h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4</w: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lang w:eastAsia="zh-CN"/>
        </w:rPr>
        <w:fldChar w:fldCharType="end"/>
      </w:r>
    </w:p>
    <w:p w14:paraId="21FC89DD">
      <w:pPr>
        <w:pStyle w:val="32"/>
        <w:tabs>
          <w:tab w:val="right" w:leader="dot" w:pos="9071"/>
        </w:tabs>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fldChar w:fldCharType="begin"/>
      </w:r>
      <w:r>
        <w:rPr>
          <w:rFonts w:hint="eastAsia" w:ascii="宋体" w:hAnsi="宋体" w:eastAsia="宋体" w:cs="宋体"/>
          <w:color w:val="auto"/>
          <w:sz w:val="22"/>
          <w:szCs w:val="22"/>
          <w:highlight w:val="none"/>
          <w:lang w:eastAsia="zh-CN"/>
        </w:rPr>
        <w:instrText xml:space="preserve"> HYPERLINK \l _Toc219 </w:instrText>
      </w:r>
      <w:r>
        <w:rPr>
          <w:rFonts w:hint="eastAsia" w:ascii="宋体" w:hAnsi="宋体" w:eastAsia="宋体" w:cs="宋体"/>
          <w:color w:val="auto"/>
          <w:sz w:val="22"/>
          <w:szCs w:val="22"/>
          <w:highlight w:val="none"/>
          <w:lang w:eastAsia="zh-CN"/>
        </w:rPr>
        <w:fldChar w:fldCharType="separate"/>
      </w:r>
      <w:r>
        <w:rPr>
          <w:rFonts w:hint="eastAsia" w:ascii="宋体" w:hAnsi="宋体" w:eastAsia="宋体" w:cs="宋体"/>
          <w:color w:val="auto"/>
          <w:sz w:val="22"/>
          <w:szCs w:val="32"/>
          <w:highlight w:val="none"/>
          <w:lang w:eastAsia="zh-CN"/>
        </w:rPr>
        <w:t>五、公告期限</w:t>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PAGEREF _Toc219 \h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5</w: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lang w:eastAsia="zh-CN"/>
        </w:rPr>
        <w:fldChar w:fldCharType="end"/>
      </w:r>
    </w:p>
    <w:p w14:paraId="1D712238">
      <w:pPr>
        <w:pStyle w:val="32"/>
        <w:tabs>
          <w:tab w:val="right" w:leader="dot" w:pos="9071"/>
        </w:tabs>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fldChar w:fldCharType="begin"/>
      </w:r>
      <w:r>
        <w:rPr>
          <w:rFonts w:hint="eastAsia" w:ascii="宋体" w:hAnsi="宋体" w:eastAsia="宋体" w:cs="宋体"/>
          <w:color w:val="auto"/>
          <w:sz w:val="22"/>
          <w:szCs w:val="22"/>
          <w:highlight w:val="none"/>
          <w:lang w:eastAsia="zh-CN"/>
        </w:rPr>
        <w:instrText xml:space="preserve"> HYPERLINK \l _Toc22975 </w:instrText>
      </w:r>
      <w:r>
        <w:rPr>
          <w:rFonts w:hint="eastAsia" w:ascii="宋体" w:hAnsi="宋体" w:eastAsia="宋体" w:cs="宋体"/>
          <w:color w:val="auto"/>
          <w:sz w:val="22"/>
          <w:szCs w:val="22"/>
          <w:highlight w:val="none"/>
          <w:lang w:eastAsia="zh-CN"/>
        </w:rPr>
        <w:fldChar w:fldCharType="separate"/>
      </w:r>
      <w:r>
        <w:rPr>
          <w:rFonts w:hint="eastAsia" w:ascii="宋体" w:hAnsi="宋体" w:eastAsia="宋体" w:cs="宋体"/>
          <w:color w:val="auto"/>
          <w:sz w:val="22"/>
          <w:szCs w:val="32"/>
          <w:highlight w:val="none"/>
          <w:lang w:eastAsia="zh-CN"/>
        </w:rPr>
        <w:t>六、其他补充事宜</w:t>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PAGEREF _Toc22975 \h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5</w: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lang w:eastAsia="zh-CN"/>
        </w:rPr>
        <w:fldChar w:fldCharType="end"/>
      </w:r>
    </w:p>
    <w:p w14:paraId="72BF277F">
      <w:pPr>
        <w:pStyle w:val="32"/>
        <w:tabs>
          <w:tab w:val="right" w:leader="dot" w:pos="9071"/>
        </w:tabs>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fldChar w:fldCharType="begin"/>
      </w:r>
      <w:r>
        <w:rPr>
          <w:rFonts w:hint="eastAsia" w:ascii="宋体" w:hAnsi="宋体" w:eastAsia="宋体" w:cs="宋体"/>
          <w:color w:val="auto"/>
          <w:sz w:val="22"/>
          <w:szCs w:val="22"/>
          <w:highlight w:val="none"/>
          <w:lang w:eastAsia="zh-CN"/>
        </w:rPr>
        <w:instrText xml:space="preserve"> HYPERLINK \l _Toc29351 </w:instrText>
      </w:r>
      <w:r>
        <w:rPr>
          <w:rFonts w:hint="eastAsia" w:ascii="宋体" w:hAnsi="宋体" w:eastAsia="宋体" w:cs="宋体"/>
          <w:color w:val="auto"/>
          <w:sz w:val="22"/>
          <w:szCs w:val="22"/>
          <w:highlight w:val="none"/>
          <w:lang w:eastAsia="zh-CN"/>
        </w:rPr>
        <w:fldChar w:fldCharType="separate"/>
      </w:r>
      <w:r>
        <w:rPr>
          <w:rFonts w:hint="eastAsia" w:ascii="宋体" w:hAnsi="宋体" w:eastAsia="宋体" w:cs="宋体"/>
          <w:color w:val="auto"/>
          <w:sz w:val="22"/>
          <w:szCs w:val="32"/>
          <w:highlight w:val="none"/>
          <w:lang w:eastAsia="zh-CN"/>
        </w:rPr>
        <w:t>七、对本次招标提出询问，请按以下方式联系：</w:t>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PAGEREF _Toc29351 \h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5</w: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lang w:eastAsia="zh-CN"/>
        </w:rPr>
        <w:fldChar w:fldCharType="end"/>
      </w:r>
    </w:p>
    <w:p w14:paraId="1D18ED8F">
      <w:pPr>
        <w:pStyle w:val="31"/>
        <w:tabs>
          <w:tab w:val="right" w:leader="dot" w:pos="9071"/>
        </w:tabs>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fldChar w:fldCharType="begin"/>
      </w:r>
      <w:r>
        <w:rPr>
          <w:rFonts w:hint="eastAsia" w:ascii="宋体" w:hAnsi="宋体" w:eastAsia="宋体" w:cs="宋体"/>
          <w:color w:val="auto"/>
          <w:sz w:val="22"/>
          <w:szCs w:val="22"/>
          <w:highlight w:val="none"/>
          <w:lang w:eastAsia="zh-CN"/>
        </w:rPr>
        <w:instrText xml:space="preserve"> HYPERLINK \l _Toc28146 </w:instrText>
      </w:r>
      <w:r>
        <w:rPr>
          <w:rFonts w:hint="eastAsia" w:ascii="宋体" w:hAnsi="宋体" w:eastAsia="宋体" w:cs="宋体"/>
          <w:color w:val="auto"/>
          <w:sz w:val="22"/>
          <w:szCs w:val="22"/>
          <w:highlight w:val="none"/>
          <w:lang w:eastAsia="zh-CN"/>
        </w:rPr>
        <w:fldChar w:fldCharType="separate"/>
      </w:r>
      <w:r>
        <w:rPr>
          <w:rFonts w:hint="eastAsia" w:ascii="宋体" w:hAnsi="宋体" w:eastAsia="宋体" w:cs="宋体"/>
          <w:color w:val="auto"/>
          <w:sz w:val="22"/>
          <w:szCs w:val="36"/>
          <w:highlight w:val="none"/>
          <w:lang w:eastAsia="zh-CN"/>
        </w:rPr>
        <w:t>第二章投标人须知</w:t>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PAGEREF _Toc28146 \h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6</w: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lang w:eastAsia="zh-CN"/>
        </w:rPr>
        <w:fldChar w:fldCharType="end"/>
      </w:r>
    </w:p>
    <w:p w14:paraId="55AF45D4">
      <w:pPr>
        <w:pStyle w:val="32"/>
        <w:tabs>
          <w:tab w:val="right" w:leader="dot" w:pos="9071"/>
        </w:tabs>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fldChar w:fldCharType="begin"/>
      </w:r>
      <w:r>
        <w:rPr>
          <w:rFonts w:hint="eastAsia" w:ascii="宋体" w:hAnsi="宋体" w:eastAsia="宋体" w:cs="宋体"/>
          <w:color w:val="auto"/>
          <w:sz w:val="22"/>
          <w:szCs w:val="22"/>
          <w:highlight w:val="none"/>
          <w:lang w:eastAsia="zh-CN"/>
        </w:rPr>
        <w:instrText xml:space="preserve"> HYPERLINK \l _Toc32571 </w:instrText>
      </w:r>
      <w:r>
        <w:rPr>
          <w:rFonts w:hint="eastAsia" w:ascii="宋体" w:hAnsi="宋体" w:eastAsia="宋体" w:cs="宋体"/>
          <w:color w:val="auto"/>
          <w:sz w:val="22"/>
          <w:szCs w:val="22"/>
          <w:highlight w:val="none"/>
          <w:lang w:eastAsia="zh-CN"/>
        </w:rPr>
        <w:fldChar w:fldCharType="separate"/>
      </w:r>
      <w:r>
        <w:rPr>
          <w:rFonts w:hint="eastAsia" w:ascii="宋体" w:hAnsi="宋体" w:eastAsia="宋体" w:cs="宋体"/>
          <w:color w:val="auto"/>
          <w:sz w:val="22"/>
          <w:szCs w:val="32"/>
          <w:highlight w:val="none"/>
          <w:lang w:eastAsia="zh-CN"/>
        </w:rPr>
        <w:t>一、投标人须知前附表</w:t>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PAGEREF _Toc32571 \h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6</w: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lang w:eastAsia="zh-CN"/>
        </w:rPr>
        <w:fldChar w:fldCharType="end"/>
      </w:r>
    </w:p>
    <w:p w14:paraId="642FA817">
      <w:pPr>
        <w:pStyle w:val="32"/>
        <w:tabs>
          <w:tab w:val="right" w:leader="dot" w:pos="9071"/>
        </w:tabs>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fldChar w:fldCharType="begin"/>
      </w:r>
      <w:r>
        <w:rPr>
          <w:rFonts w:hint="eastAsia" w:ascii="宋体" w:hAnsi="宋体" w:eastAsia="宋体" w:cs="宋体"/>
          <w:color w:val="auto"/>
          <w:sz w:val="22"/>
          <w:szCs w:val="22"/>
          <w:highlight w:val="none"/>
          <w:lang w:eastAsia="zh-CN"/>
        </w:rPr>
        <w:instrText xml:space="preserve"> HYPERLINK \l _Toc22913 </w:instrText>
      </w:r>
      <w:r>
        <w:rPr>
          <w:rFonts w:hint="eastAsia" w:ascii="宋体" w:hAnsi="宋体" w:eastAsia="宋体" w:cs="宋体"/>
          <w:color w:val="auto"/>
          <w:sz w:val="22"/>
          <w:szCs w:val="22"/>
          <w:highlight w:val="none"/>
          <w:lang w:eastAsia="zh-CN"/>
        </w:rPr>
        <w:fldChar w:fldCharType="separate"/>
      </w:r>
      <w:r>
        <w:rPr>
          <w:rFonts w:hint="eastAsia" w:ascii="宋体" w:hAnsi="宋体" w:eastAsia="宋体" w:cs="宋体"/>
          <w:color w:val="auto"/>
          <w:sz w:val="22"/>
          <w:szCs w:val="32"/>
          <w:highlight w:val="none"/>
          <w:lang w:eastAsia="zh-CN"/>
        </w:rPr>
        <w:t>二、招标</w:t>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PAGEREF _Toc22913 \h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10</w: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lang w:eastAsia="zh-CN"/>
        </w:rPr>
        <w:fldChar w:fldCharType="end"/>
      </w:r>
    </w:p>
    <w:p w14:paraId="1E6871B4">
      <w:pPr>
        <w:pStyle w:val="33"/>
        <w:tabs>
          <w:tab w:val="right" w:leader="dot" w:pos="9071"/>
        </w:tabs>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fldChar w:fldCharType="begin"/>
      </w:r>
      <w:r>
        <w:rPr>
          <w:rFonts w:hint="eastAsia" w:ascii="宋体" w:hAnsi="宋体" w:eastAsia="宋体" w:cs="宋体"/>
          <w:color w:val="auto"/>
          <w:sz w:val="22"/>
          <w:szCs w:val="22"/>
          <w:highlight w:val="none"/>
          <w:lang w:eastAsia="zh-CN"/>
        </w:rPr>
        <w:instrText xml:space="preserve"> HYPERLINK \l _Toc15615 </w:instrText>
      </w:r>
      <w:r>
        <w:rPr>
          <w:rFonts w:hint="eastAsia" w:ascii="宋体" w:hAnsi="宋体" w:eastAsia="宋体" w:cs="宋体"/>
          <w:color w:val="auto"/>
          <w:sz w:val="22"/>
          <w:szCs w:val="22"/>
          <w:highlight w:val="none"/>
          <w:lang w:eastAsia="zh-CN"/>
        </w:rPr>
        <w:fldChar w:fldCharType="separate"/>
      </w:r>
      <w:r>
        <w:rPr>
          <w:rFonts w:hint="eastAsia" w:ascii="宋体" w:hAnsi="宋体" w:eastAsia="宋体" w:cs="宋体"/>
          <w:color w:val="auto"/>
          <w:sz w:val="22"/>
          <w:szCs w:val="32"/>
          <w:highlight w:val="none"/>
          <w:lang w:eastAsia="zh-CN"/>
        </w:rPr>
        <w:t>1.适用范围</w:t>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PAGEREF _Toc15615 \h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10</w: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lang w:eastAsia="zh-CN"/>
        </w:rPr>
        <w:fldChar w:fldCharType="end"/>
      </w:r>
    </w:p>
    <w:p w14:paraId="7C691F9C">
      <w:pPr>
        <w:pStyle w:val="33"/>
        <w:tabs>
          <w:tab w:val="right" w:leader="dot" w:pos="9071"/>
        </w:tabs>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fldChar w:fldCharType="begin"/>
      </w:r>
      <w:r>
        <w:rPr>
          <w:rFonts w:hint="eastAsia" w:ascii="宋体" w:hAnsi="宋体" w:eastAsia="宋体" w:cs="宋体"/>
          <w:color w:val="auto"/>
          <w:sz w:val="22"/>
          <w:szCs w:val="22"/>
          <w:highlight w:val="none"/>
          <w:lang w:eastAsia="zh-CN"/>
        </w:rPr>
        <w:instrText xml:space="preserve"> HYPERLINK \l _Toc9600 </w:instrText>
      </w:r>
      <w:r>
        <w:rPr>
          <w:rFonts w:hint="eastAsia" w:ascii="宋体" w:hAnsi="宋体" w:eastAsia="宋体" w:cs="宋体"/>
          <w:color w:val="auto"/>
          <w:sz w:val="22"/>
          <w:szCs w:val="22"/>
          <w:highlight w:val="none"/>
          <w:lang w:eastAsia="zh-CN"/>
        </w:rPr>
        <w:fldChar w:fldCharType="separate"/>
      </w:r>
      <w:r>
        <w:rPr>
          <w:rFonts w:hint="eastAsia" w:ascii="宋体" w:hAnsi="宋体" w:eastAsia="宋体" w:cs="宋体"/>
          <w:color w:val="auto"/>
          <w:sz w:val="22"/>
          <w:szCs w:val="32"/>
          <w:highlight w:val="none"/>
          <w:lang w:eastAsia="zh-CN"/>
        </w:rPr>
        <w:t>2.定义</w:t>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PAGEREF _Toc9600 \h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10</w: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lang w:eastAsia="zh-CN"/>
        </w:rPr>
        <w:fldChar w:fldCharType="end"/>
      </w:r>
    </w:p>
    <w:p w14:paraId="6D238C98">
      <w:pPr>
        <w:pStyle w:val="33"/>
        <w:tabs>
          <w:tab w:val="right" w:leader="dot" w:pos="9071"/>
        </w:tabs>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fldChar w:fldCharType="begin"/>
      </w:r>
      <w:r>
        <w:rPr>
          <w:rFonts w:hint="eastAsia" w:ascii="宋体" w:hAnsi="宋体" w:eastAsia="宋体" w:cs="宋体"/>
          <w:color w:val="auto"/>
          <w:sz w:val="22"/>
          <w:szCs w:val="22"/>
          <w:highlight w:val="none"/>
          <w:lang w:eastAsia="zh-CN"/>
        </w:rPr>
        <w:instrText xml:space="preserve"> HYPERLINK \l _Toc13630 </w:instrText>
      </w:r>
      <w:r>
        <w:rPr>
          <w:rFonts w:hint="eastAsia" w:ascii="宋体" w:hAnsi="宋体" w:eastAsia="宋体" w:cs="宋体"/>
          <w:color w:val="auto"/>
          <w:sz w:val="22"/>
          <w:szCs w:val="22"/>
          <w:highlight w:val="none"/>
          <w:lang w:eastAsia="zh-CN"/>
        </w:rPr>
        <w:fldChar w:fldCharType="separate"/>
      </w:r>
      <w:r>
        <w:rPr>
          <w:rFonts w:hint="eastAsia" w:ascii="宋体" w:hAnsi="宋体" w:eastAsia="宋体" w:cs="宋体"/>
          <w:color w:val="auto"/>
          <w:sz w:val="22"/>
          <w:szCs w:val="32"/>
          <w:highlight w:val="none"/>
          <w:lang w:eastAsia="zh-CN"/>
        </w:rPr>
        <w:t>3.合格投标人</w:t>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PAGEREF _Toc13630 \h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10</w: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lang w:eastAsia="zh-CN"/>
        </w:rPr>
        <w:fldChar w:fldCharType="end"/>
      </w:r>
    </w:p>
    <w:p w14:paraId="3F92C8F9">
      <w:pPr>
        <w:pStyle w:val="33"/>
        <w:tabs>
          <w:tab w:val="right" w:leader="dot" w:pos="9071"/>
        </w:tabs>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fldChar w:fldCharType="begin"/>
      </w:r>
      <w:r>
        <w:rPr>
          <w:rFonts w:hint="eastAsia" w:ascii="宋体" w:hAnsi="宋体" w:eastAsia="宋体" w:cs="宋体"/>
          <w:color w:val="auto"/>
          <w:sz w:val="22"/>
          <w:szCs w:val="22"/>
          <w:highlight w:val="none"/>
          <w:lang w:eastAsia="zh-CN"/>
        </w:rPr>
        <w:instrText xml:space="preserve"> HYPERLINK \l _Toc25526 </w:instrText>
      </w:r>
      <w:r>
        <w:rPr>
          <w:rFonts w:hint="eastAsia" w:ascii="宋体" w:hAnsi="宋体" w:eastAsia="宋体" w:cs="宋体"/>
          <w:color w:val="auto"/>
          <w:sz w:val="22"/>
          <w:szCs w:val="22"/>
          <w:highlight w:val="none"/>
          <w:lang w:eastAsia="zh-CN"/>
        </w:rPr>
        <w:fldChar w:fldCharType="separate"/>
      </w:r>
      <w:r>
        <w:rPr>
          <w:rFonts w:hint="eastAsia" w:ascii="宋体" w:hAnsi="宋体" w:eastAsia="宋体" w:cs="宋体"/>
          <w:color w:val="auto"/>
          <w:sz w:val="22"/>
          <w:szCs w:val="32"/>
          <w:highlight w:val="none"/>
          <w:lang w:eastAsia="zh-CN"/>
        </w:rPr>
        <w:t>4.投标费用</w:t>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PAGEREF _Toc25526 \h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10</w: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lang w:eastAsia="zh-CN"/>
        </w:rPr>
        <w:fldChar w:fldCharType="end"/>
      </w:r>
    </w:p>
    <w:p w14:paraId="278570CF">
      <w:pPr>
        <w:pStyle w:val="33"/>
        <w:tabs>
          <w:tab w:val="right" w:leader="dot" w:pos="9071"/>
        </w:tabs>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fldChar w:fldCharType="begin"/>
      </w:r>
      <w:r>
        <w:rPr>
          <w:rFonts w:hint="eastAsia" w:ascii="宋体" w:hAnsi="宋体" w:eastAsia="宋体" w:cs="宋体"/>
          <w:color w:val="auto"/>
          <w:sz w:val="22"/>
          <w:szCs w:val="22"/>
          <w:highlight w:val="none"/>
          <w:lang w:eastAsia="zh-CN"/>
        </w:rPr>
        <w:instrText xml:space="preserve"> HYPERLINK \l _Toc21225 </w:instrText>
      </w:r>
      <w:r>
        <w:rPr>
          <w:rFonts w:hint="eastAsia" w:ascii="宋体" w:hAnsi="宋体" w:eastAsia="宋体" w:cs="宋体"/>
          <w:color w:val="auto"/>
          <w:sz w:val="22"/>
          <w:szCs w:val="22"/>
          <w:highlight w:val="none"/>
          <w:lang w:eastAsia="zh-CN"/>
        </w:rPr>
        <w:fldChar w:fldCharType="separate"/>
      </w:r>
      <w:r>
        <w:rPr>
          <w:rFonts w:hint="eastAsia" w:ascii="宋体" w:hAnsi="宋体" w:eastAsia="宋体" w:cs="宋体"/>
          <w:color w:val="auto"/>
          <w:sz w:val="22"/>
          <w:szCs w:val="32"/>
          <w:highlight w:val="none"/>
          <w:lang w:eastAsia="zh-CN"/>
        </w:rPr>
        <w:t>5.投标人代表</w:t>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PAGEREF _Toc21225 \h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11</w: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lang w:eastAsia="zh-CN"/>
        </w:rPr>
        <w:fldChar w:fldCharType="end"/>
      </w:r>
    </w:p>
    <w:p w14:paraId="3D38BA0F">
      <w:pPr>
        <w:pStyle w:val="33"/>
        <w:tabs>
          <w:tab w:val="right" w:leader="dot" w:pos="9071"/>
        </w:tabs>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fldChar w:fldCharType="begin"/>
      </w:r>
      <w:r>
        <w:rPr>
          <w:rFonts w:hint="eastAsia" w:ascii="宋体" w:hAnsi="宋体" w:eastAsia="宋体" w:cs="宋体"/>
          <w:color w:val="auto"/>
          <w:sz w:val="22"/>
          <w:szCs w:val="22"/>
          <w:highlight w:val="none"/>
          <w:lang w:eastAsia="zh-CN"/>
        </w:rPr>
        <w:instrText xml:space="preserve"> HYPERLINK \l _Toc6764 </w:instrText>
      </w:r>
      <w:r>
        <w:rPr>
          <w:rFonts w:hint="eastAsia" w:ascii="宋体" w:hAnsi="宋体" w:eastAsia="宋体" w:cs="宋体"/>
          <w:color w:val="auto"/>
          <w:sz w:val="22"/>
          <w:szCs w:val="22"/>
          <w:highlight w:val="none"/>
          <w:lang w:eastAsia="zh-CN"/>
        </w:rPr>
        <w:fldChar w:fldCharType="separate"/>
      </w:r>
      <w:r>
        <w:rPr>
          <w:rFonts w:hint="eastAsia" w:ascii="宋体" w:hAnsi="宋体" w:eastAsia="宋体" w:cs="宋体"/>
          <w:color w:val="auto"/>
          <w:sz w:val="22"/>
          <w:szCs w:val="32"/>
          <w:highlight w:val="none"/>
          <w:lang w:eastAsia="zh-CN"/>
        </w:rPr>
        <w:t>6.招标文件的构成</w:t>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PAGEREF _Toc6764 \h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11</w: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lang w:eastAsia="zh-CN"/>
        </w:rPr>
        <w:fldChar w:fldCharType="end"/>
      </w:r>
    </w:p>
    <w:p w14:paraId="4DFEDD88">
      <w:pPr>
        <w:pStyle w:val="33"/>
        <w:tabs>
          <w:tab w:val="right" w:leader="dot" w:pos="9071"/>
        </w:tabs>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fldChar w:fldCharType="begin"/>
      </w:r>
      <w:r>
        <w:rPr>
          <w:rFonts w:hint="eastAsia" w:ascii="宋体" w:hAnsi="宋体" w:eastAsia="宋体" w:cs="宋体"/>
          <w:color w:val="auto"/>
          <w:sz w:val="22"/>
          <w:szCs w:val="22"/>
          <w:highlight w:val="none"/>
          <w:lang w:eastAsia="zh-CN"/>
        </w:rPr>
        <w:instrText xml:space="preserve"> HYPERLINK \l _Toc13763 </w:instrText>
      </w:r>
      <w:r>
        <w:rPr>
          <w:rFonts w:hint="eastAsia" w:ascii="宋体" w:hAnsi="宋体" w:eastAsia="宋体" w:cs="宋体"/>
          <w:color w:val="auto"/>
          <w:sz w:val="22"/>
          <w:szCs w:val="22"/>
          <w:highlight w:val="none"/>
          <w:lang w:eastAsia="zh-CN"/>
        </w:rPr>
        <w:fldChar w:fldCharType="separate"/>
      </w:r>
      <w:r>
        <w:rPr>
          <w:rFonts w:hint="eastAsia" w:ascii="宋体" w:hAnsi="宋体" w:eastAsia="宋体" w:cs="宋体"/>
          <w:color w:val="auto"/>
          <w:sz w:val="22"/>
          <w:szCs w:val="32"/>
          <w:highlight w:val="none"/>
          <w:lang w:eastAsia="zh-CN"/>
        </w:rPr>
        <w:t>7.投标人应当提交的资格、资信证明文件</w:t>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PAGEREF _Toc13763 \h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11</w: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lang w:eastAsia="zh-CN"/>
        </w:rPr>
        <w:fldChar w:fldCharType="end"/>
      </w:r>
    </w:p>
    <w:p w14:paraId="721D0AED">
      <w:pPr>
        <w:pStyle w:val="33"/>
        <w:tabs>
          <w:tab w:val="right" w:leader="dot" w:pos="9071"/>
        </w:tabs>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fldChar w:fldCharType="begin"/>
      </w:r>
      <w:r>
        <w:rPr>
          <w:rFonts w:hint="eastAsia" w:ascii="宋体" w:hAnsi="宋体" w:eastAsia="宋体" w:cs="宋体"/>
          <w:color w:val="auto"/>
          <w:sz w:val="22"/>
          <w:szCs w:val="22"/>
          <w:highlight w:val="none"/>
          <w:lang w:eastAsia="zh-CN"/>
        </w:rPr>
        <w:instrText xml:space="preserve"> HYPERLINK \l _Toc14987 </w:instrText>
      </w:r>
      <w:r>
        <w:rPr>
          <w:rFonts w:hint="eastAsia" w:ascii="宋体" w:hAnsi="宋体" w:eastAsia="宋体" w:cs="宋体"/>
          <w:color w:val="auto"/>
          <w:sz w:val="22"/>
          <w:szCs w:val="22"/>
          <w:highlight w:val="none"/>
          <w:lang w:eastAsia="zh-CN"/>
        </w:rPr>
        <w:fldChar w:fldCharType="separate"/>
      </w:r>
      <w:r>
        <w:rPr>
          <w:rFonts w:hint="eastAsia" w:ascii="宋体" w:hAnsi="宋体" w:eastAsia="宋体" w:cs="宋体"/>
          <w:color w:val="auto"/>
          <w:sz w:val="22"/>
          <w:szCs w:val="32"/>
          <w:highlight w:val="none"/>
          <w:lang w:eastAsia="zh-CN"/>
        </w:rPr>
        <w:t>8.为落实政府采购政策，采购标的需满足的要求，以及投标人须提供的证明材料</w:t>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PAGEREF _Toc14987 \h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12</w: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lang w:eastAsia="zh-CN"/>
        </w:rPr>
        <w:fldChar w:fldCharType="end"/>
      </w:r>
    </w:p>
    <w:p w14:paraId="4C3A0761">
      <w:pPr>
        <w:pStyle w:val="33"/>
        <w:tabs>
          <w:tab w:val="right" w:leader="dot" w:pos="9071"/>
        </w:tabs>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fldChar w:fldCharType="begin"/>
      </w:r>
      <w:r>
        <w:rPr>
          <w:rFonts w:hint="eastAsia" w:ascii="宋体" w:hAnsi="宋体" w:eastAsia="宋体" w:cs="宋体"/>
          <w:color w:val="auto"/>
          <w:sz w:val="22"/>
          <w:szCs w:val="22"/>
          <w:highlight w:val="none"/>
          <w:lang w:eastAsia="zh-CN"/>
        </w:rPr>
        <w:instrText xml:space="preserve"> HYPERLINK \l _Toc25207 </w:instrText>
      </w:r>
      <w:r>
        <w:rPr>
          <w:rFonts w:hint="eastAsia" w:ascii="宋体" w:hAnsi="宋体" w:eastAsia="宋体" w:cs="宋体"/>
          <w:color w:val="auto"/>
          <w:sz w:val="22"/>
          <w:szCs w:val="22"/>
          <w:highlight w:val="none"/>
          <w:lang w:eastAsia="zh-CN"/>
        </w:rPr>
        <w:fldChar w:fldCharType="separate"/>
      </w:r>
      <w:r>
        <w:rPr>
          <w:rFonts w:hint="eastAsia" w:ascii="宋体" w:hAnsi="宋体" w:eastAsia="宋体" w:cs="宋体"/>
          <w:color w:val="auto"/>
          <w:sz w:val="22"/>
          <w:szCs w:val="32"/>
          <w:highlight w:val="none"/>
          <w:lang w:eastAsia="zh-CN"/>
        </w:rPr>
        <w:t>9.采购需求标准</w:t>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PAGEREF _Toc25207 \h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15</w: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lang w:eastAsia="zh-CN"/>
        </w:rPr>
        <w:fldChar w:fldCharType="end"/>
      </w:r>
    </w:p>
    <w:p w14:paraId="52598585">
      <w:pPr>
        <w:pStyle w:val="33"/>
        <w:tabs>
          <w:tab w:val="right" w:leader="dot" w:pos="9071"/>
        </w:tabs>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fldChar w:fldCharType="begin"/>
      </w:r>
      <w:r>
        <w:rPr>
          <w:rFonts w:hint="eastAsia" w:ascii="宋体" w:hAnsi="宋体" w:eastAsia="宋体" w:cs="宋体"/>
          <w:color w:val="auto"/>
          <w:sz w:val="22"/>
          <w:szCs w:val="22"/>
          <w:highlight w:val="none"/>
          <w:lang w:eastAsia="zh-CN"/>
        </w:rPr>
        <w:instrText xml:space="preserve"> HYPERLINK \l _Toc22490 </w:instrText>
      </w:r>
      <w:r>
        <w:rPr>
          <w:rFonts w:hint="eastAsia" w:ascii="宋体" w:hAnsi="宋体" w:eastAsia="宋体" w:cs="宋体"/>
          <w:color w:val="auto"/>
          <w:sz w:val="22"/>
          <w:szCs w:val="22"/>
          <w:highlight w:val="none"/>
          <w:lang w:eastAsia="zh-CN"/>
        </w:rPr>
        <w:fldChar w:fldCharType="separate"/>
      </w:r>
      <w:r>
        <w:rPr>
          <w:rFonts w:hint="eastAsia" w:ascii="宋体" w:hAnsi="宋体" w:eastAsia="宋体" w:cs="宋体"/>
          <w:color w:val="auto"/>
          <w:sz w:val="22"/>
          <w:szCs w:val="32"/>
          <w:highlight w:val="none"/>
          <w:lang w:eastAsia="zh-CN"/>
        </w:rPr>
        <w:t>10.招标文件的修改</w:t>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PAGEREF _Toc22490 \h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16</w: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lang w:eastAsia="zh-CN"/>
        </w:rPr>
        <w:fldChar w:fldCharType="end"/>
      </w:r>
    </w:p>
    <w:p w14:paraId="27E29C1C">
      <w:pPr>
        <w:pStyle w:val="32"/>
        <w:tabs>
          <w:tab w:val="right" w:leader="dot" w:pos="9071"/>
        </w:tabs>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fldChar w:fldCharType="begin"/>
      </w:r>
      <w:r>
        <w:rPr>
          <w:rFonts w:hint="eastAsia" w:ascii="宋体" w:hAnsi="宋体" w:eastAsia="宋体" w:cs="宋体"/>
          <w:color w:val="auto"/>
          <w:sz w:val="22"/>
          <w:szCs w:val="22"/>
          <w:highlight w:val="none"/>
          <w:lang w:eastAsia="zh-CN"/>
        </w:rPr>
        <w:instrText xml:space="preserve"> HYPERLINK \l _Toc15341 </w:instrText>
      </w:r>
      <w:r>
        <w:rPr>
          <w:rFonts w:hint="eastAsia" w:ascii="宋体" w:hAnsi="宋体" w:eastAsia="宋体" w:cs="宋体"/>
          <w:color w:val="auto"/>
          <w:sz w:val="22"/>
          <w:szCs w:val="22"/>
          <w:highlight w:val="none"/>
          <w:lang w:eastAsia="zh-CN"/>
        </w:rPr>
        <w:fldChar w:fldCharType="separate"/>
      </w:r>
      <w:r>
        <w:rPr>
          <w:rFonts w:hint="eastAsia" w:ascii="宋体" w:hAnsi="宋体" w:eastAsia="宋体" w:cs="宋体"/>
          <w:color w:val="auto"/>
          <w:sz w:val="22"/>
          <w:szCs w:val="32"/>
          <w:highlight w:val="none"/>
          <w:lang w:eastAsia="zh-CN"/>
        </w:rPr>
        <w:t>三、投标</w:t>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PAGEREF _Toc15341 \h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16</w: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lang w:eastAsia="zh-CN"/>
        </w:rPr>
        <w:fldChar w:fldCharType="end"/>
      </w:r>
    </w:p>
    <w:p w14:paraId="1B6C7DED">
      <w:pPr>
        <w:pStyle w:val="32"/>
        <w:tabs>
          <w:tab w:val="right" w:leader="dot" w:pos="9071"/>
        </w:tabs>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fldChar w:fldCharType="begin"/>
      </w:r>
      <w:r>
        <w:rPr>
          <w:rFonts w:hint="eastAsia" w:ascii="宋体" w:hAnsi="宋体" w:eastAsia="宋体" w:cs="宋体"/>
          <w:color w:val="auto"/>
          <w:sz w:val="22"/>
          <w:szCs w:val="22"/>
          <w:highlight w:val="none"/>
          <w:lang w:eastAsia="zh-CN"/>
        </w:rPr>
        <w:instrText xml:space="preserve"> HYPERLINK \l _Toc30971 </w:instrText>
      </w:r>
      <w:r>
        <w:rPr>
          <w:rFonts w:hint="eastAsia" w:ascii="宋体" w:hAnsi="宋体" w:eastAsia="宋体" w:cs="宋体"/>
          <w:color w:val="auto"/>
          <w:sz w:val="22"/>
          <w:szCs w:val="22"/>
          <w:highlight w:val="none"/>
          <w:lang w:eastAsia="zh-CN"/>
        </w:rPr>
        <w:fldChar w:fldCharType="separate"/>
      </w:r>
      <w:r>
        <w:rPr>
          <w:rFonts w:hint="eastAsia" w:ascii="宋体" w:hAnsi="宋体" w:eastAsia="宋体" w:cs="宋体"/>
          <w:color w:val="auto"/>
          <w:sz w:val="22"/>
          <w:szCs w:val="32"/>
          <w:highlight w:val="none"/>
          <w:lang w:eastAsia="zh-CN"/>
        </w:rPr>
        <w:t>四、开标</w:t>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PAGEREF _Toc30971 \h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20</w: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lang w:eastAsia="zh-CN"/>
        </w:rPr>
        <w:fldChar w:fldCharType="end"/>
      </w:r>
    </w:p>
    <w:p w14:paraId="5C6BDA70">
      <w:pPr>
        <w:pStyle w:val="32"/>
        <w:tabs>
          <w:tab w:val="right" w:leader="dot" w:pos="9071"/>
        </w:tabs>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fldChar w:fldCharType="begin"/>
      </w:r>
      <w:r>
        <w:rPr>
          <w:rFonts w:hint="eastAsia" w:ascii="宋体" w:hAnsi="宋体" w:eastAsia="宋体" w:cs="宋体"/>
          <w:color w:val="auto"/>
          <w:sz w:val="22"/>
          <w:szCs w:val="22"/>
          <w:highlight w:val="none"/>
          <w:lang w:eastAsia="zh-CN"/>
        </w:rPr>
        <w:instrText xml:space="preserve"> HYPERLINK \l _Toc22055 </w:instrText>
      </w:r>
      <w:r>
        <w:rPr>
          <w:rFonts w:hint="eastAsia" w:ascii="宋体" w:hAnsi="宋体" w:eastAsia="宋体" w:cs="宋体"/>
          <w:color w:val="auto"/>
          <w:sz w:val="22"/>
          <w:szCs w:val="22"/>
          <w:highlight w:val="none"/>
          <w:lang w:eastAsia="zh-CN"/>
        </w:rPr>
        <w:fldChar w:fldCharType="separate"/>
      </w:r>
      <w:r>
        <w:rPr>
          <w:rFonts w:hint="eastAsia" w:ascii="宋体" w:hAnsi="宋体" w:eastAsia="宋体" w:cs="宋体"/>
          <w:color w:val="auto"/>
          <w:sz w:val="22"/>
          <w:szCs w:val="32"/>
          <w:highlight w:val="none"/>
          <w:lang w:eastAsia="zh-CN"/>
        </w:rPr>
        <w:t>五、评标</w:t>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PAGEREF _Toc22055 \h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20</w: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lang w:eastAsia="zh-CN"/>
        </w:rPr>
        <w:fldChar w:fldCharType="end"/>
      </w:r>
    </w:p>
    <w:p w14:paraId="38BA0311">
      <w:pPr>
        <w:pStyle w:val="32"/>
        <w:tabs>
          <w:tab w:val="right" w:leader="dot" w:pos="9071"/>
        </w:tabs>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fldChar w:fldCharType="begin"/>
      </w:r>
      <w:r>
        <w:rPr>
          <w:rFonts w:hint="eastAsia" w:ascii="宋体" w:hAnsi="宋体" w:eastAsia="宋体" w:cs="宋体"/>
          <w:color w:val="auto"/>
          <w:sz w:val="22"/>
          <w:szCs w:val="22"/>
          <w:highlight w:val="none"/>
          <w:lang w:eastAsia="zh-CN"/>
        </w:rPr>
        <w:instrText xml:space="preserve"> HYPERLINK \l _Toc806 </w:instrText>
      </w:r>
      <w:r>
        <w:rPr>
          <w:rFonts w:hint="eastAsia" w:ascii="宋体" w:hAnsi="宋体" w:eastAsia="宋体" w:cs="宋体"/>
          <w:color w:val="auto"/>
          <w:sz w:val="22"/>
          <w:szCs w:val="22"/>
          <w:highlight w:val="none"/>
          <w:lang w:eastAsia="zh-CN"/>
        </w:rPr>
        <w:fldChar w:fldCharType="separate"/>
      </w:r>
      <w:r>
        <w:rPr>
          <w:rFonts w:hint="eastAsia" w:ascii="宋体" w:hAnsi="宋体" w:eastAsia="宋体" w:cs="宋体"/>
          <w:bCs/>
          <w:color w:val="auto"/>
          <w:sz w:val="22"/>
          <w:szCs w:val="32"/>
          <w:highlight w:val="none"/>
          <w:lang w:eastAsia="zh-CN"/>
        </w:rPr>
        <w:t>六、</w:t>
      </w:r>
      <w:r>
        <w:rPr>
          <w:rFonts w:hint="eastAsia" w:ascii="宋体" w:hAnsi="宋体" w:eastAsia="宋体" w:cs="宋体"/>
          <w:color w:val="auto"/>
          <w:sz w:val="22"/>
          <w:szCs w:val="32"/>
          <w:highlight w:val="none"/>
          <w:lang w:eastAsia="zh-CN"/>
        </w:rPr>
        <w:t>意外情况的情形和处理</w:t>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PAGEREF _Toc806 \h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23</w: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lang w:eastAsia="zh-CN"/>
        </w:rPr>
        <w:fldChar w:fldCharType="end"/>
      </w:r>
    </w:p>
    <w:p w14:paraId="742DF280">
      <w:pPr>
        <w:pStyle w:val="32"/>
        <w:tabs>
          <w:tab w:val="right" w:leader="dot" w:pos="9071"/>
        </w:tabs>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fldChar w:fldCharType="begin"/>
      </w:r>
      <w:r>
        <w:rPr>
          <w:rFonts w:hint="eastAsia" w:ascii="宋体" w:hAnsi="宋体" w:eastAsia="宋体" w:cs="宋体"/>
          <w:color w:val="auto"/>
          <w:sz w:val="22"/>
          <w:szCs w:val="22"/>
          <w:highlight w:val="none"/>
          <w:lang w:eastAsia="zh-CN"/>
        </w:rPr>
        <w:instrText xml:space="preserve"> HYPERLINK \l _Toc25224 </w:instrText>
      </w:r>
      <w:r>
        <w:rPr>
          <w:rFonts w:hint="eastAsia" w:ascii="宋体" w:hAnsi="宋体" w:eastAsia="宋体" w:cs="宋体"/>
          <w:color w:val="auto"/>
          <w:sz w:val="22"/>
          <w:szCs w:val="22"/>
          <w:highlight w:val="none"/>
          <w:lang w:eastAsia="zh-CN"/>
        </w:rPr>
        <w:fldChar w:fldCharType="separate"/>
      </w:r>
      <w:r>
        <w:rPr>
          <w:rFonts w:hint="eastAsia" w:ascii="宋体" w:hAnsi="宋体" w:eastAsia="宋体" w:cs="宋体"/>
          <w:color w:val="auto"/>
          <w:sz w:val="22"/>
          <w:szCs w:val="32"/>
          <w:highlight w:val="none"/>
          <w:lang w:eastAsia="zh-CN"/>
        </w:rPr>
        <w:t>七、中标和合同</w:t>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PAGEREF _Toc25224 \h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23</w: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lang w:eastAsia="zh-CN"/>
        </w:rPr>
        <w:fldChar w:fldCharType="end"/>
      </w:r>
    </w:p>
    <w:p w14:paraId="5695E1B8">
      <w:pPr>
        <w:pStyle w:val="32"/>
        <w:tabs>
          <w:tab w:val="right" w:leader="dot" w:pos="9071"/>
        </w:tabs>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fldChar w:fldCharType="begin"/>
      </w:r>
      <w:r>
        <w:rPr>
          <w:rFonts w:hint="eastAsia" w:ascii="宋体" w:hAnsi="宋体" w:eastAsia="宋体" w:cs="宋体"/>
          <w:color w:val="auto"/>
          <w:sz w:val="22"/>
          <w:szCs w:val="22"/>
          <w:highlight w:val="none"/>
          <w:lang w:eastAsia="zh-CN"/>
        </w:rPr>
        <w:instrText xml:space="preserve"> HYPERLINK \l _Toc13515 </w:instrText>
      </w:r>
      <w:r>
        <w:rPr>
          <w:rFonts w:hint="eastAsia" w:ascii="宋体" w:hAnsi="宋体" w:eastAsia="宋体" w:cs="宋体"/>
          <w:color w:val="auto"/>
          <w:sz w:val="22"/>
          <w:szCs w:val="22"/>
          <w:highlight w:val="none"/>
          <w:lang w:eastAsia="zh-CN"/>
        </w:rPr>
        <w:fldChar w:fldCharType="separate"/>
      </w:r>
      <w:r>
        <w:rPr>
          <w:rFonts w:hint="eastAsia" w:ascii="宋体" w:hAnsi="宋体" w:eastAsia="宋体" w:cs="宋体"/>
          <w:color w:val="auto"/>
          <w:sz w:val="22"/>
          <w:szCs w:val="32"/>
          <w:highlight w:val="none"/>
          <w:lang w:eastAsia="zh-CN"/>
        </w:rPr>
        <w:t>八、询问和质疑</w:t>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PAGEREF _Toc13515 \h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24</w: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lang w:eastAsia="zh-CN"/>
        </w:rPr>
        <w:fldChar w:fldCharType="end"/>
      </w:r>
    </w:p>
    <w:p w14:paraId="21FB4567">
      <w:pPr>
        <w:pStyle w:val="32"/>
        <w:tabs>
          <w:tab w:val="right" w:leader="dot" w:pos="9071"/>
        </w:tabs>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fldChar w:fldCharType="begin"/>
      </w:r>
      <w:r>
        <w:rPr>
          <w:rFonts w:hint="eastAsia" w:ascii="宋体" w:hAnsi="宋体" w:eastAsia="宋体" w:cs="宋体"/>
          <w:color w:val="auto"/>
          <w:sz w:val="22"/>
          <w:szCs w:val="22"/>
          <w:highlight w:val="none"/>
          <w:lang w:eastAsia="zh-CN"/>
        </w:rPr>
        <w:instrText xml:space="preserve"> HYPERLINK \l _Toc21404 </w:instrText>
      </w:r>
      <w:r>
        <w:rPr>
          <w:rFonts w:hint="eastAsia" w:ascii="宋体" w:hAnsi="宋体" w:eastAsia="宋体" w:cs="宋体"/>
          <w:color w:val="auto"/>
          <w:sz w:val="22"/>
          <w:szCs w:val="22"/>
          <w:highlight w:val="none"/>
          <w:lang w:eastAsia="zh-CN"/>
        </w:rPr>
        <w:fldChar w:fldCharType="separate"/>
      </w:r>
      <w:r>
        <w:rPr>
          <w:rFonts w:hint="eastAsia" w:ascii="宋体" w:hAnsi="宋体" w:eastAsia="宋体" w:cs="宋体"/>
          <w:color w:val="auto"/>
          <w:sz w:val="22"/>
          <w:szCs w:val="32"/>
          <w:highlight w:val="none"/>
          <w:lang w:eastAsia="zh-CN"/>
        </w:rPr>
        <w:t>九、其他事项</w:t>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PAGEREF _Toc21404 \h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25</w: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lang w:eastAsia="zh-CN"/>
        </w:rPr>
        <w:fldChar w:fldCharType="end"/>
      </w:r>
    </w:p>
    <w:p w14:paraId="1FE9A758">
      <w:pPr>
        <w:pStyle w:val="31"/>
        <w:tabs>
          <w:tab w:val="right" w:leader="dot" w:pos="9071"/>
        </w:tabs>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fldChar w:fldCharType="begin"/>
      </w:r>
      <w:r>
        <w:rPr>
          <w:rFonts w:hint="eastAsia" w:ascii="宋体" w:hAnsi="宋体" w:eastAsia="宋体" w:cs="宋体"/>
          <w:color w:val="auto"/>
          <w:sz w:val="22"/>
          <w:szCs w:val="22"/>
          <w:highlight w:val="none"/>
          <w:lang w:eastAsia="zh-CN"/>
        </w:rPr>
        <w:instrText xml:space="preserve"> HYPERLINK \l _Toc2380 </w:instrText>
      </w:r>
      <w:r>
        <w:rPr>
          <w:rFonts w:hint="eastAsia" w:ascii="宋体" w:hAnsi="宋体" w:eastAsia="宋体" w:cs="宋体"/>
          <w:color w:val="auto"/>
          <w:sz w:val="22"/>
          <w:szCs w:val="22"/>
          <w:highlight w:val="none"/>
          <w:lang w:eastAsia="zh-CN"/>
        </w:rPr>
        <w:fldChar w:fldCharType="separate"/>
      </w:r>
      <w:r>
        <w:rPr>
          <w:rFonts w:hint="eastAsia" w:ascii="宋体" w:hAnsi="宋体" w:eastAsia="宋体" w:cs="宋体"/>
          <w:color w:val="auto"/>
          <w:sz w:val="22"/>
          <w:szCs w:val="36"/>
          <w:highlight w:val="none"/>
          <w:lang w:eastAsia="zh-CN"/>
        </w:rPr>
        <w:t>第三章拟签订的合同文本</w:t>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PAGEREF _Toc2380 \h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27</w: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lang w:eastAsia="zh-CN"/>
        </w:rPr>
        <w:fldChar w:fldCharType="end"/>
      </w:r>
    </w:p>
    <w:p w14:paraId="1B492B08">
      <w:pPr>
        <w:pStyle w:val="31"/>
        <w:tabs>
          <w:tab w:val="right" w:leader="dot" w:pos="9071"/>
        </w:tabs>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fldChar w:fldCharType="begin"/>
      </w:r>
      <w:r>
        <w:rPr>
          <w:rFonts w:hint="eastAsia" w:ascii="宋体" w:hAnsi="宋体" w:eastAsia="宋体" w:cs="宋体"/>
          <w:color w:val="auto"/>
          <w:sz w:val="22"/>
          <w:szCs w:val="22"/>
          <w:highlight w:val="none"/>
          <w:lang w:eastAsia="zh-CN"/>
        </w:rPr>
        <w:instrText xml:space="preserve"> HYPERLINK \l _Toc13997 </w:instrText>
      </w:r>
      <w:r>
        <w:rPr>
          <w:rFonts w:hint="eastAsia" w:ascii="宋体" w:hAnsi="宋体" w:eastAsia="宋体" w:cs="宋体"/>
          <w:color w:val="auto"/>
          <w:sz w:val="22"/>
          <w:szCs w:val="22"/>
          <w:highlight w:val="none"/>
          <w:lang w:eastAsia="zh-CN"/>
        </w:rPr>
        <w:fldChar w:fldCharType="separate"/>
      </w:r>
      <w:r>
        <w:rPr>
          <w:rFonts w:hint="eastAsia" w:ascii="宋体" w:hAnsi="宋体" w:eastAsia="宋体" w:cs="宋体"/>
          <w:color w:val="auto"/>
          <w:sz w:val="22"/>
          <w:szCs w:val="36"/>
          <w:highlight w:val="none"/>
          <w:lang w:eastAsia="zh-CN"/>
        </w:rPr>
        <w:t>第四章投标文件格式</w:t>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PAGEREF _Toc13997 \h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32</w: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lang w:eastAsia="zh-CN"/>
        </w:rPr>
        <w:fldChar w:fldCharType="end"/>
      </w:r>
    </w:p>
    <w:p w14:paraId="408F2CC9">
      <w:pPr>
        <w:pStyle w:val="31"/>
        <w:tabs>
          <w:tab w:val="right" w:leader="dot" w:pos="9071"/>
        </w:tabs>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fldChar w:fldCharType="begin"/>
      </w:r>
      <w:r>
        <w:rPr>
          <w:rFonts w:hint="eastAsia" w:ascii="宋体" w:hAnsi="宋体" w:eastAsia="宋体" w:cs="宋体"/>
          <w:color w:val="auto"/>
          <w:sz w:val="22"/>
          <w:szCs w:val="22"/>
          <w:highlight w:val="none"/>
          <w:lang w:eastAsia="zh-CN"/>
        </w:rPr>
        <w:instrText xml:space="preserve"> HYPERLINK \l _Toc12542 </w:instrText>
      </w:r>
      <w:r>
        <w:rPr>
          <w:rFonts w:hint="eastAsia" w:ascii="宋体" w:hAnsi="宋体" w:eastAsia="宋体" w:cs="宋体"/>
          <w:color w:val="auto"/>
          <w:sz w:val="22"/>
          <w:szCs w:val="22"/>
          <w:highlight w:val="none"/>
          <w:lang w:eastAsia="zh-CN"/>
        </w:rPr>
        <w:fldChar w:fldCharType="separate"/>
      </w:r>
      <w:r>
        <w:rPr>
          <w:rFonts w:hint="eastAsia" w:ascii="宋体" w:hAnsi="宋体" w:eastAsia="宋体" w:cs="宋体"/>
          <w:color w:val="auto"/>
          <w:sz w:val="22"/>
          <w:szCs w:val="36"/>
          <w:highlight w:val="none"/>
          <w:lang w:eastAsia="zh-CN"/>
        </w:rPr>
        <w:t>第五章采购需求</w:t>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PAGEREF _Toc12542 \h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59</w: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lang w:eastAsia="zh-CN"/>
        </w:rPr>
        <w:fldChar w:fldCharType="end"/>
      </w:r>
    </w:p>
    <w:p w14:paraId="3B03BE91">
      <w:pPr>
        <w:pStyle w:val="31"/>
        <w:tabs>
          <w:tab w:val="right" w:leader="dot" w:pos="9071"/>
        </w:tabs>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fldChar w:fldCharType="begin"/>
      </w:r>
      <w:r>
        <w:rPr>
          <w:rFonts w:hint="eastAsia" w:ascii="宋体" w:hAnsi="宋体" w:eastAsia="宋体" w:cs="宋体"/>
          <w:color w:val="auto"/>
          <w:sz w:val="22"/>
          <w:szCs w:val="22"/>
          <w:highlight w:val="none"/>
          <w:lang w:eastAsia="zh-CN"/>
        </w:rPr>
        <w:instrText xml:space="preserve"> HYPERLINK \l _Toc14136 </w:instrText>
      </w:r>
      <w:r>
        <w:rPr>
          <w:rFonts w:hint="eastAsia" w:ascii="宋体" w:hAnsi="宋体" w:eastAsia="宋体" w:cs="宋体"/>
          <w:color w:val="auto"/>
          <w:sz w:val="22"/>
          <w:szCs w:val="22"/>
          <w:highlight w:val="none"/>
          <w:lang w:eastAsia="zh-CN"/>
        </w:rPr>
        <w:fldChar w:fldCharType="separate"/>
      </w:r>
      <w:r>
        <w:rPr>
          <w:rFonts w:hint="eastAsia" w:ascii="宋体" w:hAnsi="宋体" w:eastAsia="宋体" w:cs="宋体"/>
          <w:color w:val="auto"/>
          <w:sz w:val="22"/>
          <w:szCs w:val="36"/>
          <w:highlight w:val="none"/>
          <w:lang w:eastAsia="zh-CN"/>
        </w:rPr>
        <w:t>第六章 评标方法</w:t>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PAGEREF _Toc14136 \h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71</w: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lang w:eastAsia="zh-CN"/>
        </w:rPr>
        <w:fldChar w:fldCharType="end"/>
      </w:r>
    </w:p>
    <w:p w14:paraId="4AF77F1B">
      <w:pPr>
        <w:widowControl w:val="0"/>
        <w:spacing w:line="229"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2"/>
          <w:highlight w:val="none"/>
          <w:lang w:eastAsia="zh-CN"/>
        </w:rPr>
        <w:fldChar w:fldCharType="end"/>
      </w:r>
    </w:p>
    <w:p w14:paraId="570AF846">
      <w:pPr>
        <w:widowControl w:val="0"/>
        <w:tabs>
          <w:tab w:val="right" w:leader="dot" w:pos="9065"/>
        </w:tabs>
        <w:spacing w:before="64" w:line="227" w:lineRule="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 xml:space="preserve">     </w:t>
      </w:r>
    </w:p>
    <w:p w14:paraId="47B1D6E5">
      <w:pPr>
        <w:widowControl w:val="0"/>
        <w:spacing w:line="249" w:lineRule="auto"/>
        <w:rPr>
          <w:rFonts w:hint="eastAsia" w:ascii="宋体" w:hAnsi="宋体" w:eastAsia="宋体" w:cs="宋体"/>
          <w:color w:val="auto"/>
          <w:sz w:val="22"/>
          <w:szCs w:val="22"/>
          <w:highlight w:val="none"/>
          <w:lang w:eastAsia="zh-CN"/>
        </w:rPr>
      </w:pPr>
    </w:p>
    <w:p w14:paraId="47D710AA">
      <w:pPr>
        <w:widowControl w:val="0"/>
        <w:spacing w:line="251" w:lineRule="auto"/>
        <w:rPr>
          <w:rFonts w:hint="eastAsia" w:ascii="宋体" w:hAnsi="宋体" w:eastAsia="宋体" w:cs="宋体"/>
          <w:color w:val="auto"/>
          <w:sz w:val="22"/>
          <w:szCs w:val="22"/>
          <w:highlight w:val="none"/>
          <w:lang w:eastAsia="zh-CN"/>
        </w:rPr>
      </w:pPr>
    </w:p>
    <w:p w14:paraId="5F040755">
      <w:pPr>
        <w:widowControl w:val="0"/>
        <w:spacing w:line="219" w:lineRule="auto"/>
        <w:rPr>
          <w:rFonts w:hint="eastAsia" w:ascii="宋体" w:hAnsi="宋体" w:eastAsia="宋体" w:cs="宋体"/>
          <w:color w:val="auto"/>
          <w:sz w:val="24"/>
          <w:szCs w:val="24"/>
          <w:highlight w:val="none"/>
          <w:lang w:eastAsia="zh-CN"/>
        </w:rPr>
        <w:sectPr>
          <w:footerReference r:id="rId4" w:type="default"/>
          <w:pgSz w:w="11906" w:h="16839"/>
          <w:pgMar w:top="1236" w:right="1416" w:bottom="1153" w:left="1424" w:header="0" w:footer="994" w:gutter="0"/>
          <w:pgNumType w:fmt="decimal"/>
          <w:cols w:space="720" w:num="1"/>
        </w:sectPr>
      </w:pPr>
    </w:p>
    <w:p w14:paraId="21D5A22D">
      <w:pPr>
        <w:widowControl w:val="0"/>
        <w:spacing w:before="63" w:line="224" w:lineRule="auto"/>
        <w:ind w:left="3358" w:hanging="3357" w:hangingChars="1599"/>
        <w:jc w:val="center"/>
        <w:outlineLvl w:val="0"/>
        <w:rPr>
          <w:rFonts w:hint="eastAsia" w:ascii="宋体" w:hAnsi="宋体" w:eastAsia="宋体" w:cs="宋体"/>
          <w:color w:val="auto"/>
          <w:sz w:val="31"/>
          <w:szCs w:val="31"/>
          <w:highlight w:val="none"/>
        </w:rPr>
      </w:pPr>
      <w:bookmarkStart w:id="5" w:name="_Toc32320"/>
      <w:bookmarkStart w:id="6" w:name="_Toc5634"/>
      <w:r>
        <w:rPr>
          <w:rFonts w:hint="eastAsia" w:ascii="宋体" w:hAnsi="宋体" w:eastAsia="宋体" w:cs="宋体"/>
          <w:color w:val="auto"/>
          <w:highlight w:val="none"/>
        </w:rPr>
        <mc:AlternateContent>
          <mc:Choice Requires="wps">
            <w:drawing>
              <wp:anchor distT="0" distB="0" distL="0" distR="0" simplePos="0" relativeHeight="251659264" behindDoc="0" locked="0" layoutInCell="0" allowOverlap="1">
                <wp:simplePos x="0" y="0"/>
                <wp:positionH relativeFrom="page">
                  <wp:posOffset>7556500</wp:posOffset>
                </wp:positionH>
                <wp:positionV relativeFrom="page">
                  <wp:posOffset>4976495</wp:posOffset>
                </wp:positionV>
                <wp:extent cx="3810" cy="6350"/>
                <wp:effectExtent l="0" t="0" r="0" b="0"/>
                <wp:wrapNone/>
                <wp:docPr id="1026" name="Rectangle 3"/>
                <wp:cNvGraphicFramePr/>
                <a:graphic xmlns:a="http://schemas.openxmlformats.org/drawingml/2006/main">
                  <a:graphicData uri="http://schemas.microsoft.com/office/word/2010/wordprocessingShape">
                    <wps:wsp>
                      <wps:cNvSpPr/>
                      <wps:spPr>
                        <a:xfrm>
                          <a:off x="0" y="0"/>
                          <a:ext cx="3809" cy="6350"/>
                        </a:xfrm>
                        <a:prstGeom prst="rect">
                          <a:avLst/>
                        </a:prstGeom>
                        <a:solidFill>
                          <a:srgbClr val="000000"/>
                        </a:solidFill>
                        <a:ln>
                          <a:noFill/>
                        </a:ln>
                      </wps:spPr>
                      <wps:bodyPr/>
                    </wps:wsp>
                  </a:graphicData>
                </a:graphic>
              </wp:anchor>
            </w:drawing>
          </mc:Choice>
          <mc:Fallback>
            <w:pict>
              <v:rect id="Rectangle 3" o:spid="_x0000_s1026" o:spt="1" style="position:absolute;left:0pt;margin-left:595pt;margin-top:391.85pt;height:0.5pt;width:0.3pt;mso-position-horizontal-relative:page;mso-position-vertical-relative:page;z-index:251659264;mso-width-relative:page;mso-height-relative:page;" fillcolor="#000000" filled="t" stroked="f" coordsize="21600,21600" o:allowincell="f" o:gfxdata="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C5B3OF2QAAAA0BAAAPAAAAAAAAAAEA&#10;IAAAACIAAABkcnMvZG93bnJldi54bWxQSwECFAAUAAAACACHTuJALn2LN5wBAABUAwAADgAAAAAA&#10;AAABACAAAAAoAQAAZHJzL2Uyb0RvYy54bWxQSwUGAAAAAAYABgBZAQAANgUAAAAA&#10;">
                <v:fill on="t" focussize="0,0"/>
                <v:stroke on="f"/>
                <v:imagedata o:title=""/>
                <o:lock v:ext="edit" aspectratio="f"/>
              </v:rect>
            </w:pict>
          </mc:Fallback>
        </mc:AlternateContent>
      </w:r>
      <w:r>
        <w:rPr>
          <w:rFonts w:hint="eastAsia" w:ascii="宋体" w:hAnsi="宋体" w:eastAsia="宋体" w:cs="宋体"/>
          <w:color w:val="auto"/>
          <w:sz w:val="31"/>
          <w:szCs w:val="31"/>
          <w:highlight w:val="none"/>
        </w:rPr>
        <w:t>第一章投标邀请</w:t>
      </w:r>
      <w:bookmarkEnd w:id="5"/>
      <w:bookmarkEnd w:id="6"/>
    </w:p>
    <w:p w14:paraId="79B0918C">
      <w:pPr>
        <w:widowControl w:val="0"/>
        <w:spacing w:before="90"/>
        <w:rPr>
          <w:rFonts w:hint="eastAsia" w:ascii="宋体" w:hAnsi="宋体" w:eastAsia="宋体" w:cs="宋体"/>
          <w:color w:val="auto"/>
          <w:highlight w:val="none"/>
        </w:rPr>
      </w:pPr>
    </w:p>
    <w:p w14:paraId="4A97DD4D">
      <w:pPr>
        <w:widowControl w:val="0"/>
        <w:spacing w:line="360" w:lineRule="auto"/>
        <w:ind w:firstLine="480" w:firstLineChars="200"/>
        <w:rPr>
          <w:rFonts w:hint="eastAsia" w:ascii="宋体" w:hAnsi="宋体" w:eastAsia="宋体" w:cs="宋体"/>
          <w:color w:val="auto"/>
          <w:highlight w:val="none"/>
          <w:lang w:eastAsia="zh-CN"/>
        </w:rPr>
      </w:pPr>
      <w:r>
        <w:rPr>
          <w:rFonts w:hint="eastAsia" w:ascii="宋体" w:hAnsi="宋体" w:eastAsia="宋体" w:cs="宋体"/>
          <w:color w:val="auto"/>
          <w:sz w:val="24"/>
          <w:szCs w:val="24"/>
          <w:highlight w:val="none"/>
          <w:u w:val="single"/>
          <w:shd w:val="clear" w:color="auto" w:fill="FFFFFF"/>
          <w:lang w:eastAsia="zh-CN"/>
        </w:rPr>
        <w:t>江西吉瑞实业有限公司警务辅助安保服务项目（第二次）</w:t>
      </w:r>
      <w:r>
        <w:rPr>
          <w:rFonts w:hint="eastAsia" w:ascii="宋体" w:hAnsi="宋体" w:eastAsia="宋体" w:cs="宋体"/>
          <w:color w:val="auto"/>
          <w:sz w:val="24"/>
          <w:szCs w:val="24"/>
          <w:highlight w:val="none"/>
          <w:shd w:val="clear" w:color="auto" w:fill="FFFFFF"/>
        </w:rPr>
        <w:t>的</w:t>
      </w:r>
      <w:r>
        <w:rPr>
          <w:rFonts w:hint="eastAsia" w:ascii="宋体" w:hAnsi="宋体" w:eastAsia="宋体" w:cs="宋体"/>
          <w:color w:val="auto"/>
          <w:sz w:val="24"/>
          <w:szCs w:val="24"/>
          <w:highlight w:val="none"/>
        </w:rPr>
        <w:t>潜在投标人应在</w:t>
      </w:r>
      <w:r>
        <w:rPr>
          <w:rFonts w:hint="eastAsia" w:ascii="宋体" w:hAnsi="宋体" w:eastAsia="宋体" w:cs="宋体"/>
          <w:color w:val="auto"/>
          <w:sz w:val="24"/>
          <w:szCs w:val="24"/>
          <w:highlight w:val="none"/>
          <w:lang w:eastAsia="zh-CN"/>
        </w:rPr>
        <w:t>江西省招标投标网（http://www.jxtb.org.cn/）确认并</w:t>
      </w:r>
      <w:r>
        <w:rPr>
          <w:rFonts w:hint="eastAsia" w:ascii="宋体" w:hAnsi="宋体" w:eastAsia="宋体" w:cs="宋体"/>
          <w:color w:val="auto"/>
          <w:sz w:val="24"/>
          <w:szCs w:val="24"/>
          <w:highlight w:val="none"/>
        </w:rPr>
        <w:t>获取招标文件，并于</w:t>
      </w:r>
      <w:r>
        <w:rPr>
          <w:rFonts w:hint="eastAsia" w:ascii="宋体" w:hAnsi="宋体" w:eastAsia="宋体" w:cs="宋体"/>
          <w:color w:val="auto"/>
          <w:sz w:val="24"/>
          <w:szCs w:val="24"/>
          <w:highlight w:val="none"/>
          <w:lang w:val="en-US" w:eastAsia="zh-CN"/>
        </w:rPr>
        <w:t>2025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 xml:space="preserve"> 10</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10</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09</w:t>
      </w:r>
      <w:r>
        <w:rPr>
          <w:rFonts w:hint="eastAsia" w:ascii="宋体" w:hAnsi="宋体" w:eastAsia="宋体" w:cs="宋体"/>
          <w:color w:val="auto"/>
          <w:sz w:val="24"/>
          <w:szCs w:val="24"/>
          <w:highlight w:val="none"/>
        </w:rPr>
        <w:t>点</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分（北京时间）前</w:t>
      </w:r>
      <w:r>
        <w:rPr>
          <w:rFonts w:hint="eastAsia" w:ascii="宋体" w:hAnsi="宋体" w:eastAsia="宋体" w:cs="宋体"/>
          <w:color w:val="auto"/>
          <w:sz w:val="24"/>
          <w:szCs w:val="24"/>
          <w:highlight w:val="none"/>
          <w:lang w:eastAsia="zh-CN"/>
        </w:rPr>
        <w:t>提</w:t>
      </w:r>
      <w:r>
        <w:rPr>
          <w:rFonts w:hint="eastAsia" w:ascii="宋体" w:hAnsi="宋体" w:eastAsia="宋体" w:cs="宋体"/>
          <w:color w:val="auto"/>
          <w:sz w:val="24"/>
          <w:szCs w:val="24"/>
          <w:highlight w:val="none"/>
        </w:rPr>
        <w:t>交投标文件。</w:t>
      </w:r>
    </w:p>
    <w:p w14:paraId="404B6829">
      <w:pPr>
        <w:widowControl w:val="0"/>
        <w:spacing w:beforeLines="50" w:line="360" w:lineRule="auto"/>
        <w:ind w:left="107"/>
        <w:outlineLvl w:val="1"/>
        <w:rPr>
          <w:rFonts w:hint="eastAsia" w:ascii="宋体" w:hAnsi="宋体" w:eastAsia="宋体" w:cs="宋体"/>
          <w:color w:val="auto"/>
          <w:sz w:val="24"/>
          <w:szCs w:val="24"/>
          <w:highlight w:val="none"/>
          <w:lang w:eastAsia="zh-CN"/>
        </w:rPr>
      </w:pPr>
      <w:bookmarkStart w:id="7" w:name="_Toc26954"/>
      <w:bookmarkStart w:id="8" w:name="_Toc32647"/>
      <w:r>
        <w:rPr>
          <w:rFonts w:hint="eastAsia" w:ascii="宋体" w:hAnsi="宋体" w:eastAsia="宋体" w:cs="宋体"/>
          <w:color w:val="auto"/>
          <w:sz w:val="24"/>
          <w:szCs w:val="24"/>
          <w:highlight w:val="none"/>
          <w:lang w:eastAsia="zh-CN"/>
        </w:rPr>
        <w:t>一、项目基本情况</w:t>
      </w:r>
      <w:bookmarkEnd w:id="7"/>
      <w:bookmarkEnd w:id="8"/>
    </w:p>
    <w:p w14:paraId="3E3FD9D4">
      <w:pPr>
        <w:widowControl w:val="0"/>
        <w:spacing w:before="120" w:line="360" w:lineRule="auto"/>
        <w:ind w:left="587"/>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项目编号：</w:t>
      </w:r>
      <w:r>
        <w:rPr>
          <w:rFonts w:hint="eastAsia" w:ascii="宋体" w:hAnsi="宋体" w:eastAsia="宋体" w:cs="宋体"/>
          <w:color w:val="auto"/>
          <w:sz w:val="24"/>
          <w:szCs w:val="24"/>
          <w:highlight w:val="none"/>
          <w:u w:val="single"/>
          <w:lang w:eastAsia="zh-CN"/>
        </w:rPr>
        <w:t>JACTJL-内采字【2025】095号-1</w:t>
      </w:r>
    </w:p>
    <w:p w14:paraId="51C414E7">
      <w:pPr>
        <w:widowControl w:val="0"/>
        <w:spacing w:before="120" w:line="360" w:lineRule="auto"/>
        <w:ind w:left="587"/>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项目名称：</w:t>
      </w:r>
      <w:r>
        <w:rPr>
          <w:rFonts w:hint="eastAsia" w:ascii="宋体" w:hAnsi="宋体" w:eastAsia="宋体" w:cs="宋体"/>
          <w:color w:val="auto"/>
          <w:sz w:val="24"/>
          <w:szCs w:val="24"/>
          <w:highlight w:val="none"/>
          <w:u w:val="single"/>
          <w:lang w:eastAsia="zh-CN"/>
        </w:rPr>
        <w:t>江西吉瑞实业有限公司警务辅助安保服务项目（第二次）</w:t>
      </w:r>
    </w:p>
    <w:p w14:paraId="1EE41826">
      <w:pPr>
        <w:widowControl w:val="0"/>
        <w:spacing w:before="120" w:line="360" w:lineRule="auto"/>
        <w:ind w:left="585"/>
        <w:outlineLvl w:val="0"/>
        <w:rPr>
          <w:rFonts w:hint="eastAsia" w:ascii="宋体" w:hAnsi="宋体" w:eastAsia="宋体" w:cs="宋体"/>
          <w:color w:val="auto"/>
          <w:sz w:val="24"/>
          <w:szCs w:val="24"/>
          <w:highlight w:val="none"/>
          <w:lang w:val="en-US" w:eastAsia="zh-CN"/>
        </w:rPr>
      </w:pPr>
      <w:bookmarkStart w:id="9" w:name="_Toc17410"/>
      <w:r>
        <w:rPr>
          <w:rFonts w:hint="eastAsia" w:ascii="宋体" w:hAnsi="宋体" w:eastAsia="宋体" w:cs="宋体"/>
          <w:color w:val="auto"/>
          <w:sz w:val="24"/>
          <w:szCs w:val="24"/>
          <w:highlight w:val="none"/>
          <w:lang w:val="en-US" w:eastAsia="zh-CN"/>
        </w:rPr>
        <w:t>采购预算</w:t>
      </w:r>
      <w:r>
        <w:rPr>
          <w:rFonts w:hint="eastAsia" w:ascii="宋体" w:hAnsi="宋体" w:eastAsia="宋体" w:cs="宋体"/>
          <w:color w:val="auto"/>
          <w:sz w:val="24"/>
          <w:szCs w:val="24"/>
          <w:highlight w:val="none"/>
          <w:lang w:eastAsia="zh-CN"/>
        </w:rPr>
        <w:t>：</w:t>
      </w:r>
      <w:bookmarkEnd w:id="9"/>
      <w:r>
        <w:rPr>
          <w:rFonts w:hint="eastAsia" w:ascii="宋体" w:hAnsi="宋体" w:eastAsia="宋体" w:cs="宋体"/>
          <w:color w:val="auto"/>
          <w:sz w:val="24"/>
          <w:szCs w:val="24"/>
          <w:highlight w:val="none"/>
          <w:lang w:val="en-US" w:eastAsia="zh-CN"/>
        </w:rPr>
        <w:t>4620000.00元</w:t>
      </w:r>
    </w:p>
    <w:p w14:paraId="4670FFEC">
      <w:pPr>
        <w:widowControl w:val="0"/>
        <w:spacing w:before="48" w:line="360" w:lineRule="auto"/>
        <w:ind w:left="586"/>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最高限价（如有）：</w:t>
      </w:r>
      <w:r>
        <w:rPr>
          <w:rFonts w:hint="eastAsia" w:ascii="宋体" w:hAnsi="宋体" w:eastAsia="宋体" w:cs="宋体"/>
          <w:color w:val="auto"/>
          <w:sz w:val="24"/>
          <w:szCs w:val="24"/>
          <w:highlight w:val="none"/>
          <w:u w:val="single"/>
          <w:lang w:eastAsia="zh-CN"/>
        </w:rPr>
        <w:t xml:space="preserve"> / </w:t>
      </w:r>
      <w:r>
        <w:rPr>
          <w:rFonts w:hint="eastAsia" w:ascii="宋体" w:hAnsi="宋体" w:eastAsia="宋体" w:cs="宋体"/>
          <w:color w:val="auto"/>
          <w:sz w:val="24"/>
          <w:szCs w:val="24"/>
          <w:highlight w:val="none"/>
          <w:lang w:eastAsia="zh-CN"/>
        </w:rPr>
        <w:t>元人民币</w:t>
      </w:r>
    </w:p>
    <w:p w14:paraId="4F449506">
      <w:pPr>
        <w:widowControl w:val="0"/>
        <w:spacing w:before="1" w:line="360" w:lineRule="auto"/>
        <w:rPr>
          <w:rFonts w:hint="eastAsia" w:ascii="宋体" w:hAnsi="宋体" w:eastAsia="宋体" w:cs="宋体"/>
          <w:color w:val="auto"/>
          <w:highlight w:val="none"/>
        </w:rPr>
      </w:pPr>
      <w:r>
        <w:rPr>
          <w:rFonts w:hint="eastAsia" w:ascii="宋体" w:hAnsi="宋体" w:eastAsia="宋体" w:cs="宋体"/>
          <w:color w:val="auto"/>
          <w:sz w:val="24"/>
          <w:szCs w:val="24"/>
          <w:highlight w:val="none"/>
        </w:rPr>
        <w:t>采购需求：</w:t>
      </w:r>
    </w:p>
    <w:tbl>
      <w:tblPr>
        <w:tblStyle w:val="21"/>
        <w:tblpPr w:leftFromText="180" w:rightFromText="180" w:vertAnchor="text" w:horzAnchor="page" w:tblpX="1442" w:tblpY="159"/>
        <w:tblOverlap w:val="never"/>
        <w:tblW w:w="977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07"/>
        <w:gridCol w:w="1575"/>
        <w:gridCol w:w="1020"/>
        <w:gridCol w:w="1095"/>
        <w:gridCol w:w="1740"/>
        <w:gridCol w:w="2640"/>
      </w:tblGrid>
      <w:tr w14:paraId="1DEAC6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707" w:type="dxa"/>
          </w:tcPr>
          <w:p w14:paraId="0F13703E">
            <w:pPr>
              <w:widowControl w:val="0"/>
              <w:spacing w:before="273"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采购条目编号</w:t>
            </w:r>
          </w:p>
        </w:tc>
        <w:tc>
          <w:tcPr>
            <w:tcW w:w="1575" w:type="dxa"/>
          </w:tcPr>
          <w:p w14:paraId="6B552F0D">
            <w:pPr>
              <w:widowControl w:val="0"/>
              <w:spacing w:before="273"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采购条目名称</w:t>
            </w:r>
          </w:p>
        </w:tc>
        <w:tc>
          <w:tcPr>
            <w:tcW w:w="1020" w:type="dxa"/>
          </w:tcPr>
          <w:p w14:paraId="1E1D6EA2">
            <w:pPr>
              <w:widowControl w:val="0"/>
              <w:spacing w:before="273"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数量</w:t>
            </w:r>
          </w:p>
        </w:tc>
        <w:tc>
          <w:tcPr>
            <w:tcW w:w="1095" w:type="dxa"/>
          </w:tcPr>
          <w:p w14:paraId="337FD126">
            <w:pPr>
              <w:widowControl w:val="0"/>
              <w:spacing w:before="273"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单位</w:t>
            </w:r>
          </w:p>
        </w:tc>
        <w:tc>
          <w:tcPr>
            <w:tcW w:w="1740" w:type="dxa"/>
          </w:tcPr>
          <w:p w14:paraId="56A821DD">
            <w:pPr>
              <w:widowControl w:val="0"/>
              <w:spacing w:before="273"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采购预算</w:t>
            </w:r>
          </w:p>
        </w:tc>
        <w:tc>
          <w:tcPr>
            <w:tcW w:w="2640" w:type="dxa"/>
          </w:tcPr>
          <w:p w14:paraId="53C1CCCF">
            <w:pPr>
              <w:widowControl w:val="0"/>
              <w:spacing w:before="273" w:line="360" w:lineRule="auto"/>
              <w:jc w:val="center"/>
              <w:rPr>
                <w:rFonts w:hint="eastAsia" w:ascii="宋体" w:hAnsi="宋体" w:eastAsia="宋体" w:cs="宋体"/>
                <w:color w:val="auto"/>
                <w:sz w:val="24"/>
                <w:szCs w:val="24"/>
                <w:highlight w:val="none"/>
                <w:lang w:val="en-US" w:eastAsia="zh-CN"/>
              </w:rPr>
            </w:pPr>
            <w:r>
              <w:rPr>
                <w:rFonts w:hint="eastAsia" w:ascii="宋体" w:hAnsi="宋体" w:cs="宋体"/>
                <w:color w:val="auto"/>
                <w:kern w:val="0"/>
                <w:sz w:val="24"/>
                <w:szCs w:val="24"/>
                <w:highlight w:val="none"/>
                <w:lang w:val="en-US" w:eastAsia="zh-CN" w:bidi="ar"/>
              </w:rPr>
              <w:t>服务期</w:t>
            </w:r>
          </w:p>
        </w:tc>
      </w:tr>
      <w:tr w14:paraId="540397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3" w:hRule="atLeast"/>
        </w:trPr>
        <w:tc>
          <w:tcPr>
            <w:tcW w:w="1707" w:type="dxa"/>
          </w:tcPr>
          <w:p w14:paraId="5293D74A">
            <w:pPr>
              <w:widowControl w:val="0"/>
              <w:spacing w:before="273"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p>
        </w:tc>
        <w:tc>
          <w:tcPr>
            <w:tcW w:w="1575" w:type="dxa"/>
          </w:tcPr>
          <w:p w14:paraId="5BBA789F">
            <w:pPr>
              <w:widowControl w:val="0"/>
              <w:spacing w:before="273"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u w:val="single"/>
                <w:lang w:eastAsia="zh-CN"/>
              </w:rPr>
              <w:t>江西吉瑞实业有限公司警务辅助安保服务项目（第二次）</w:t>
            </w:r>
          </w:p>
        </w:tc>
        <w:tc>
          <w:tcPr>
            <w:tcW w:w="1020" w:type="dxa"/>
          </w:tcPr>
          <w:p w14:paraId="28821D7E">
            <w:pPr>
              <w:widowControl w:val="0"/>
              <w:spacing w:before="273"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w:t>
            </w:r>
          </w:p>
        </w:tc>
        <w:tc>
          <w:tcPr>
            <w:tcW w:w="1095" w:type="dxa"/>
          </w:tcPr>
          <w:p w14:paraId="60B6825B">
            <w:pPr>
              <w:widowControl w:val="0"/>
              <w:spacing w:before="273"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项</w:t>
            </w:r>
          </w:p>
        </w:tc>
        <w:tc>
          <w:tcPr>
            <w:tcW w:w="1740" w:type="dxa"/>
          </w:tcPr>
          <w:p w14:paraId="0458C19E">
            <w:pPr>
              <w:widowControl w:val="0"/>
              <w:spacing w:before="273"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4620000.00元</w:t>
            </w:r>
          </w:p>
        </w:tc>
        <w:tc>
          <w:tcPr>
            <w:tcW w:w="2640" w:type="dxa"/>
          </w:tcPr>
          <w:p w14:paraId="080F7904">
            <w:pPr>
              <w:widowControl w:val="0"/>
              <w:spacing w:before="273" w:line="360" w:lineRule="auto"/>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1年（若遇国家政策变化或上级主管部门要求提前终止合同，投标人须自行承担可能出现的相应损失）</w:t>
            </w:r>
          </w:p>
        </w:tc>
      </w:tr>
    </w:tbl>
    <w:p w14:paraId="499ED5E6">
      <w:pPr>
        <w:widowControl w:val="0"/>
        <w:spacing w:line="360" w:lineRule="auto"/>
        <w:ind w:firstLine="480" w:firstLineChars="200"/>
        <w:rPr>
          <w:rFonts w:hint="eastAsia" w:ascii="宋体" w:hAnsi="宋体" w:eastAsia="宋体" w:cs="宋体"/>
          <w:color w:val="auto"/>
          <w:sz w:val="24"/>
          <w:szCs w:val="24"/>
          <w:highlight w:val="none"/>
        </w:rPr>
      </w:pPr>
    </w:p>
    <w:p w14:paraId="5FF05C73">
      <w:pPr>
        <w:widowControl w:val="0"/>
        <w:spacing w:line="360" w:lineRule="auto"/>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lang w:eastAsia="zh-CN"/>
        </w:rPr>
        <w:t>合同履行期限：</w:t>
      </w:r>
      <w:r>
        <w:rPr>
          <w:rFonts w:hint="eastAsia" w:ascii="宋体" w:hAnsi="宋体" w:eastAsia="宋体" w:cs="宋体"/>
          <w:color w:val="auto"/>
          <w:spacing w:val="-5"/>
          <w:sz w:val="24"/>
          <w:szCs w:val="24"/>
          <w:highlight w:val="none"/>
          <w:u w:val="single"/>
          <w:lang w:val="en-US" w:eastAsia="zh-CN"/>
        </w:rPr>
        <w:t xml:space="preserve"> 服务期限为【12个月】。</w:t>
      </w:r>
    </w:p>
    <w:p w14:paraId="6A95B4FD">
      <w:pPr>
        <w:widowControl w:val="0"/>
        <w:spacing w:line="360" w:lineRule="auto"/>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lang w:eastAsia="zh-CN"/>
        </w:rPr>
        <w:t>本项目是否接受联合体投标：</w:t>
      </w:r>
      <w:r>
        <w:rPr>
          <w:rFonts w:hint="eastAsia" w:ascii="宋体" w:hAnsi="宋体" w:eastAsia="宋体" w:cs="宋体"/>
          <w:color w:val="auto"/>
          <w:sz w:val="24"/>
          <w:szCs w:val="24"/>
          <w:highlight w:val="none"/>
          <w:lang w:eastAsia="zh-CN"/>
        </w:rPr>
        <w:sym w:font="Wingdings 2" w:char="00A3"/>
      </w:r>
      <w:r>
        <w:rPr>
          <w:rFonts w:hint="eastAsia" w:ascii="宋体" w:hAnsi="宋体" w:eastAsia="宋体" w:cs="宋体"/>
          <w:color w:val="auto"/>
          <w:sz w:val="24"/>
          <w:szCs w:val="24"/>
          <w:highlight w:val="none"/>
          <w:lang w:eastAsia="zh-CN"/>
        </w:rPr>
        <w:t xml:space="preserve"> 是    </w:t>
      </w:r>
      <w:r>
        <w:rPr>
          <w:rFonts w:hint="eastAsia" w:ascii="宋体" w:hAnsi="宋体" w:eastAsia="宋体" w:cs="宋体"/>
          <w:color w:val="auto"/>
          <w:sz w:val="24"/>
          <w:szCs w:val="24"/>
          <w:highlight w:val="none"/>
          <w:lang w:eastAsia="zh-CN"/>
        </w:rPr>
        <w:sym w:font="Wingdings 2" w:char="0052"/>
      </w:r>
      <w:r>
        <w:rPr>
          <w:rFonts w:hint="eastAsia" w:ascii="宋体" w:hAnsi="宋体" w:eastAsia="宋体" w:cs="宋体"/>
          <w:color w:val="auto"/>
          <w:sz w:val="24"/>
          <w:szCs w:val="24"/>
          <w:highlight w:val="none"/>
          <w:lang w:eastAsia="zh-CN"/>
        </w:rPr>
        <w:t xml:space="preserve"> 否</w:t>
      </w:r>
    </w:p>
    <w:p w14:paraId="26D530C7">
      <w:pPr>
        <w:widowControl w:val="0"/>
        <w:spacing w:line="360" w:lineRule="auto"/>
        <w:ind w:left="107"/>
        <w:outlineLvl w:val="1"/>
        <w:rPr>
          <w:rFonts w:hint="eastAsia" w:ascii="宋体" w:hAnsi="宋体" w:eastAsia="宋体" w:cs="宋体"/>
          <w:color w:val="auto"/>
          <w:sz w:val="24"/>
          <w:szCs w:val="24"/>
          <w:highlight w:val="none"/>
          <w:lang w:eastAsia="zh-CN"/>
        </w:rPr>
      </w:pPr>
      <w:bookmarkStart w:id="10" w:name="_Toc1707"/>
      <w:bookmarkStart w:id="11" w:name="_Toc15951"/>
      <w:r>
        <w:rPr>
          <w:rFonts w:hint="eastAsia" w:ascii="宋体" w:hAnsi="宋体" w:eastAsia="宋体" w:cs="宋体"/>
          <w:color w:val="auto"/>
          <w:sz w:val="24"/>
          <w:szCs w:val="24"/>
          <w:highlight w:val="none"/>
          <w:lang w:eastAsia="zh-CN"/>
        </w:rPr>
        <w:t>二、投标人的资格要求</w:t>
      </w:r>
      <w:bookmarkEnd w:id="10"/>
      <w:bookmarkEnd w:id="11"/>
    </w:p>
    <w:p w14:paraId="5DDFC3AF">
      <w:pPr>
        <w:widowControl w:val="0"/>
        <w:spacing w:line="360" w:lineRule="auto"/>
        <w:ind w:left="111" w:leftChars="53" w:firstLine="108" w:firstLineChars="45"/>
        <w:outlineLvl w:val="2"/>
        <w:rPr>
          <w:rFonts w:hint="eastAsia" w:ascii="宋体" w:hAnsi="宋体" w:eastAsia="宋体" w:cs="宋体"/>
          <w:color w:val="auto"/>
          <w:sz w:val="24"/>
          <w:szCs w:val="24"/>
          <w:highlight w:val="none"/>
          <w:lang w:eastAsia="zh-CN"/>
        </w:rPr>
      </w:pPr>
      <w:bookmarkStart w:id="12" w:name="_Toc22042"/>
      <w:r>
        <w:rPr>
          <w:rFonts w:hint="eastAsia" w:ascii="宋体" w:hAnsi="宋体" w:eastAsia="宋体" w:cs="宋体"/>
          <w:color w:val="auto"/>
          <w:sz w:val="24"/>
          <w:szCs w:val="24"/>
          <w:highlight w:val="none"/>
          <w:lang w:eastAsia="zh-CN"/>
        </w:rPr>
        <w:t>1.满足《中华人民共和国政府采购法》第二十二条规定：</w:t>
      </w:r>
      <w:bookmarkEnd w:id="12"/>
    </w:p>
    <w:p w14:paraId="5253EDE4">
      <w:pPr>
        <w:widowControl w:val="0"/>
        <w:spacing w:line="360" w:lineRule="auto"/>
        <w:ind w:left="111" w:leftChars="53" w:firstLine="108" w:firstLineChars="45"/>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1.1 具有独立承担民事责任的能力；</w:t>
      </w:r>
    </w:p>
    <w:p w14:paraId="5122E1A1">
      <w:pPr>
        <w:widowControl w:val="0"/>
        <w:spacing w:line="360" w:lineRule="auto"/>
        <w:ind w:left="111" w:leftChars="53" w:firstLine="108" w:firstLineChars="45"/>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1.2 具有良好的商业信誉和健全的财务会计制度；</w:t>
      </w:r>
    </w:p>
    <w:p w14:paraId="0A0A64F6">
      <w:pPr>
        <w:widowControl w:val="0"/>
        <w:spacing w:line="360" w:lineRule="auto"/>
        <w:ind w:left="111" w:leftChars="53" w:firstLine="108" w:firstLineChars="45"/>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1.3 具有履行合同所必需的设备和专业技术能力；</w:t>
      </w:r>
    </w:p>
    <w:p w14:paraId="4FBF10D1">
      <w:pPr>
        <w:widowControl w:val="0"/>
        <w:spacing w:line="360" w:lineRule="auto"/>
        <w:ind w:left="111" w:leftChars="53" w:firstLine="108" w:firstLineChars="45"/>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1.4 有依法缴纳税收和社会保障资金的良好记录；</w:t>
      </w:r>
    </w:p>
    <w:p w14:paraId="0B56883C">
      <w:pPr>
        <w:widowControl w:val="0"/>
        <w:spacing w:line="360" w:lineRule="auto"/>
        <w:ind w:left="111" w:leftChars="53" w:firstLine="108" w:firstLineChars="45"/>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1.5 参加政府采购活动前三年内,在经营活动中没有重大违法记录；</w:t>
      </w:r>
    </w:p>
    <w:p w14:paraId="3A667028">
      <w:pPr>
        <w:widowControl w:val="0"/>
        <w:spacing w:line="360" w:lineRule="auto"/>
        <w:ind w:left="111" w:leftChars="53" w:firstLine="108" w:firstLineChars="45"/>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1.6 法律、行政法规规定的其他条件。</w:t>
      </w:r>
    </w:p>
    <w:p w14:paraId="20B6F3E6">
      <w:pPr>
        <w:pStyle w:val="23"/>
        <w:widowControl w:val="0"/>
        <w:spacing w:line="360" w:lineRule="auto"/>
        <w:ind w:left="240" w:hanging="240" w:hangingChars="1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单位负责人为同一人或者存在直接控股、管理关系的不同投标人，不得参加同一合同项下的采购活动。为本采购项目提供整体设计、规范编制或者项目管理、监理、检测等服务的，不得参加本项目的政府采购活动。</w:t>
      </w:r>
    </w:p>
    <w:p w14:paraId="2E2D2DB5">
      <w:pPr>
        <w:widowControl w:val="0"/>
        <w:spacing w:line="360" w:lineRule="auto"/>
        <w:ind w:left="203" w:right="61" w:hanging="198"/>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供应商被“信用中国”网站列入失信被执行人或重大税收违法案件当事人名单、或被“中国政府采购网”网站列入政府采购严重违法失信行为记录名单（处罚期限尚未届满的）的，不得参加本项目的政府采购活动。</w:t>
      </w:r>
    </w:p>
    <w:p w14:paraId="1812D051">
      <w:pPr>
        <w:widowControl w:val="0"/>
        <w:numPr>
          <w:ilvl w:val="0"/>
          <w:numId w:val="1"/>
        </w:numPr>
        <w:spacing w:line="360" w:lineRule="auto"/>
        <w:jc w:val="both"/>
        <w:outlineLvl w:val="2"/>
        <w:rPr>
          <w:rFonts w:hint="eastAsia" w:ascii="宋体" w:hAnsi="宋体" w:eastAsia="宋体" w:cs="宋体"/>
          <w:color w:val="auto"/>
          <w:sz w:val="24"/>
          <w:szCs w:val="20"/>
          <w:highlight w:val="none"/>
          <w:lang w:eastAsia="zh-CN"/>
        </w:rPr>
      </w:pPr>
      <w:bookmarkStart w:id="13" w:name="_Toc8398"/>
      <w:r>
        <w:rPr>
          <w:rFonts w:hint="eastAsia" w:ascii="宋体" w:hAnsi="宋体" w:eastAsia="宋体" w:cs="宋体"/>
          <w:color w:val="auto"/>
          <w:sz w:val="24"/>
          <w:szCs w:val="20"/>
          <w:highlight w:val="none"/>
          <w:lang w:eastAsia="zh-CN"/>
        </w:rPr>
        <w:t>落实政府采购政策需满足的资格要求：</w:t>
      </w:r>
      <w:bookmarkEnd w:id="13"/>
    </w:p>
    <w:p w14:paraId="749D51C4">
      <w:pPr>
        <w:pStyle w:val="7"/>
        <w:widowControl w:val="0"/>
        <w:spacing w:after="0" w:line="360" w:lineRule="auto"/>
        <w:ind w:left="0" w:leftChars="0"/>
        <w:jc w:val="both"/>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4.1 中小企业政策</w:t>
      </w:r>
      <w:r>
        <w:rPr>
          <w:rFonts w:hint="eastAsia" w:ascii="宋体" w:hAnsi="宋体" w:eastAsia="宋体" w:cs="宋体"/>
          <w:b/>
          <w:bCs/>
          <w:color w:val="auto"/>
          <w:highlight w:val="none"/>
          <w:lang w:eastAsia="zh-CN"/>
        </w:rPr>
        <w:t>（</w:t>
      </w:r>
      <w:r>
        <w:rPr>
          <w:rFonts w:hint="eastAsia" w:ascii="宋体" w:hAnsi="宋体" w:eastAsia="宋体" w:cs="宋体"/>
          <w:b/>
          <w:bCs/>
          <w:color w:val="auto"/>
          <w:highlight w:val="none"/>
          <w:lang w:val="en-US" w:eastAsia="zh-CN"/>
        </w:rPr>
        <w:t>本项目不适用</w:t>
      </w:r>
      <w:r>
        <w:rPr>
          <w:rFonts w:hint="eastAsia" w:ascii="宋体" w:hAnsi="宋体" w:eastAsia="宋体" w:cs="宋体"/>
          <w:b/>
          <w:bCs/>
          <w:color w:val="auto"/>
          <w:highlight w:val="none"/>
          <w:lang w:eastAsia="zh-CN"/>
        </w:rPr>
        <w:t>）</w:t>
      </w:r>
    </w:p>
    <w:p w14:paraId="56AB5A1C">
      <w:pPr>
        <w:pStyle w:val="7"/>
        <w:widowControl w:val="0"/>
        <w:spacing w:after="0" w:line="360" w:lineRule="auto"/>
        <w:ind w:left="0" w:leftChars="0"/>
        <w:jc w:val="both"/>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sym w:font="Wingdings 2" w:char="0052"/>
      </w:r>
      <w:r>
        <w:rPr>
          <w:rFonts w:hint="eastAsia" w:ascii="宋体" w:hAnsi="宋体" w:eastAsia="宋体" w:cs="宋体"/>
          <w:color w:val="auto"/>
          <w:highlight w:val="none"/>
          <w:lang w:eastAsia="zh-CN"/>
        </w:rPr>
        <w:t xml:space="preserve"> 本项目不专门面向中小企业</w:t>
      </w:r>
      <w:r>
        <w:rPr>
          <w:rFonts w:hint="eastAsia" w:ascii="宋体" w:hAnsi="宋体" w:eastAsia="宋体" w:cs="宋体"/>
          <w:color w:val="auto"/>
          <w:szCs w:val="24"/>
          <w:highlight w:val="none"/>
          <w:lang w:eastAsia="zh-CN"/>
        </w:rPr>
        <w:t>采购</w:t>
      </w:r>
      <w:r>
        <w:rPr>
          <w:rFonts w:hint="eastAsia" w:ascii="宋体" w:hAnsi="宋体" w:eastAsia="宋体" w:cs="宋体"/>
          <w:color w:val="auto"/>
          <w:highlight w:val="none"/>
          <w:lang w:eastAsia="zh-CN"/>
        </w:rPr>
        <w:t>。</w:t>
      </w:r>
    </w:p>
    <w:p w14:paraId="538162C4">
      <w:pPr>
        <w:widowControl w:val="0"/>
        <w:spacing w:line="360" w:lineRule="auto"/>
        <w:ind w:left="310" w:hanging="309" w:hangingChars="129"/>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sym w:font="Wingdings 2" w:char="00A3"/>
      </w:r>
      <w:r>
        <w:rPr>
          <w:rFonts w:hint="eastAsia" w:ascii="宋体" w:hAnsi="宋体" w:eastAsia="宋体" w:cs="宋体"/>
          <w:color w:val="auto"/>
          <w:sz w:val="24"/>
          <w:szCs w:val="20"/>
          <w:highlight w:val="none"/>
          <w:lang w:eastAsia="zh-CN"/>
        </w:rPr>
        <w:t>本项目专门面向中小企</w:t>
      </w:r>
      <w:r>
        <w:rPr>
          <w:rFonts w:hint="eastAsia" w:ascii="宋体" w:hAnsi="宋体" w:eastAsia="宋体" w:cs="宋体"/>
          <w:color w:val="auto"/>
          <w:sz w:val="24"/>
          <w:szCs w:val="24"/>
          <w:highlight w:val="none"/>
          <w:lang w:eastAsia="zh-CN"/>
        </w:rPr>
        <w:t>业采购。承接本项目服务的企业须是在中华人民共和国境内依法设立，依据国务院批准的中小企业划分标准确定的中型企业、小型企业和微型企业，但与大企业的负责人为同一人，或者与大企业存在直接控股、管理关系的除外；监狱企业、残疾人福利性单位视同小型、微型企业（投标文件中须提供中小企业声明函或省级以上监狱管理局、戒毒管理局（含新疆生产建设兵团）出具的属于监狱企业的证明文件或残疾人福利性单位声明函）。</w:t>
      </w:r>
    </w:p>
    <w:p w14:paraId="097C9A52">
      <w:pPr>
        <w:widowControl w:val="0"/>
        <w:spacing w:line="360" w:lineRule="auto"/>
        <w:ind w:left="310" w:hanging="310"/>
        <w:jc w:val="both"/>
        <w:rPr>
          <w:rFonts w:hint="eastAsia" w:ascii="宋体" w:hAnsi="宋体" w:eastAsia="宋体" w:cs="宋体"/>
          <w:color w:val="auto"/>
          <w:highlight w:val="none"/>
          <w:lang w:eastAsia="zh-CN"/>
        </w:rPr>
      </w:pPr>
      <w:r>
        <w:rPr>
          <w:rFonts w:hint="eastAsia" w:ascii="宋体" w:hAnsi="宋体" w:eastAsia="宋体" w:cs="宋体"/>
          <w:color w:val="auto"/>
          <w:sz w:val="24"/>
          <w:szCs w:val="24"/>
          <w:highlight w:val="none"/>
          <w:lang w:eastAsia="zh-CN"/>
        </w:rPr>
        <w:sym w:font="Wingdings 2" w:char="00A3"/>
      </w:r>
      <w:r>
        <w:rPr>
          <w:rFonts w:hint="eastAsia" w:ascii="宋体" w:hAnsi="宋体" w:eastAsia="宋体" w:cs="宋体"/>
          <w:color w:val="auto"/>
          <w:sz w:val="24"/>
          <w:szCs w:val="24"/>
          <w:highlight w:val="none"/>
          <w:lang w:eastAsia="zh-CN"/>
        </w:rPr>
        <w:t xml:space="preserve">本项目预留部分采购预算专门面向中小企业采购。对于预留份额，服务由符合政策要求的中小企业承接。预留份额通过以下措施进行：________________。 </w:t>
      </w:r>
    </w:p>
    <w:p w14:paraId="6C785998">
      <w:pPr>
        <w:widowControl w:val="0"/>
        <w:spacing w:line="360" w:lineRule="auto"/>
        <w:ind w:left="310" w:hanging="309" w:hangingChars="129"/>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4.2 如本项目采购的产品属于政府强制采购节能产品的，投标文件中必须提供《参与实施政府采购节能产品认证机构名录》中的对应产品认证机构出具的节能产品认证证书；</w:t>
      </w:r>
    </w:p>
    <w:p w14:paraId="0B781A11">
      <w:pPr>
        <w:widowControl w:val="0"/>
        <w:spacing w:line="360" w:lineRule="auto"/>
        <w:ind w:left="6"/>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4.3 本项目的特定资格要求：</w:t>
      </w:r>
      <w:r>
        <w:rPr>
          <w:rFonts w:hint="eastAsia" w:ascii="宋体" w:hAnsi="宋体" w:eastAsia="宋体" w:cs="宋体"/>
          <w:color w:val="auto"/>
          <w:sz w:val="24"/>
          <w:szCs w:val="24"/>
          <w:highlight w:val="none"/>
          <w:lang w:val="en-US" w:eastAsia="zh-CN"/>
        </w:rPr>
        <w:t>/</w:t>
      </w:r>
    </w:p>
    <w:p w14:paraId="70BA0D48">
      <w:pPr>
        <w:widowControl w:val="0"/>
        <w:spacing w:beforeLines="50" w:line="360" w:lineRule="auto"/>
        <w:ind w:left="1"/>
        <w:jc w:val="both"/>
        <w:outlineLvl w:val="1"/>
        <w:rPr>
          <w:rFonts w:hint="eastAsia" w:ascii="宋体" w:hAnsi="宋体" w:eastAsia="宋体" w:cs="宋体"/>
          <w:color w:val="auto"/>
          <w:sz w:val="24"/>
          <w:szCs w:val="24"/>
          <w:highlight w:val="none"/>
          <w:lang w:eastAsia="zh-CN"/>
        </w:rPr>
      </w:pPr>
      <w:bookmarkStart w:id="14" w:name="_Toc22501"/>
      <w:bookmarkStart w:id="15" w:name="_Toc32073"/>
      <w:r>
        <w:rPr>
          <w:rFonts w:hint="eastAsia" w:ascii="宋体" w:hAnsi="宋体" w:eastAsia="宋体" w:cs="宋体"/>
          <w:color w:val="auto"/>
          <w:sz w:val="24"/>
          <w:szCs w:val="24"/>
          <w:highlight w:val="none"/>
          <w:lang w:eastAsia="zh-CN"/>
        </w:rPr>
        <w:t>三、获取招标文件</w:t>
      </w:r>
      <w:bookmarkEnd w:id="14"/>
      <w:bookmarkEnd w:id="15"/>
    </w:p>
    <w:p w14:paraId="6B40DF2A">
      <w:pPr>
        <w:widowControl w:val="0"/>
        <w:spacing w:line="360" w:lineRule="auto"/>
        <w:ind w:left="638" w:leftChars="304"/>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时间：</w:t>
      </w:r>
      <w:r>
        <w:rPr>
          <w:rFonts w:hint="eastAsia" w:ascii="宋体" w:hAnsi="宋体" w:eastAsia="宋体" w:cs="宋体"/>
          <w:color w:val="auto"/>
          <w:sz w:val="24"/>
          <w:szCs w:val="24"/>
          <w:highlight w:val="none"/>
          <w:lang w:val="en-US" w:eastAsia="zh-CN"/>
        </w:rPr>
        <w:t>2025</w:t>
      </w:r>
      <w:r>
        <w:rPr>
          <w:rFonts w:hint="eastAsia" w:ascii="宋体" w:hAnsi="宋体" w:eastAsia="宋体" w:cs="宋体"/>
          <w:color w:val="auto"/>
          <w:sz w:val="24"/>
          <w:szCs w:val="24"/>
          <w:highlight w:val="none"/>
          <w:lang w:eastAsia="zh-CN"/>
        </w:rPr>
        <w:t>年</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lang w:eastAsia="zh-CN"/>
        </w:rPr>
        <w:t>月</w:t>
      </w:r>
      <w:r>
        <w:rPr>
          <w:rFonts w:hint="eastAsia" w:ascii="宋体" w:hAnsi="宋体" w:eastAsia="宋体" w:cs="宋体"/>
          <w:color w:val="auto"/>
          <w:sz w:val="24"/>
          <w:szCs w:val="24"/>
          <w:highlight w:val="none"/>
          <w:lang w:val="en-US" w:eastAsia="zh-CN"/>
        </w:rPr>
        <w:t>18</w:t>
      </w:r>
      <w:r>
        <w:rPr>
          <w:rFonts w:hint="eastAsia" w:ascii="宋体" w:hAnsi="宋体" w:eastAsia="宋体" w:cs="宋体"/>
          <w:color w:val="auto"/>
          <w:sz w:val="24"/>
          <w:szCs w:val="24"/>
          <w:highlight w:val="none"/>
          <w:lang w:eastAsia="zh-CN"/>
        </w:rPr>
        <w:t>日至</w:t>
      </w:r>
      <w:r>
        <w:rPr>
          <w:rFonts w:hint="eastAsia" w:ascii="宋体" w:hAnsi="宋体" w:eastAsia="宋体" w:cs="宋体"/>
          <w:color w:val="auto"/>
          <w:sz w:val="24"/>
          <w:szCs w:val="24"/>
          <w:highlight w:val="none"/>
          <w:lang w:val="en-US" w:eastAsia="zh-CN"/>
        </w:rPr>
        <w:t>2025</w:t>
      </w:r>
      <w:r>
        <w:rPr>
          <w:rFonts w:hint="eastAsia" w:ascii="宋体" w:hAnsi="宋体" w:eastAsia="宋体" w:cs="宋体"/>
          <w:color w:val="auto"/>
          <w:sz w:val="24"/>
          <w:szCs w:val="24"/>
          <w:highlight w:val="none"/>
          <w:lang w:eastAsia="zh-CN"/>
        </w:rPr>
        <w:t>年</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lang w:eastAsia="zh-CN"/>
        </w:rPr>
        <w:t>月</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lang w:eastAsia="zh-CN"/>
        </w:rPr>
        <w:t>日，每天上午</w:t>
      </w:r>
      <w:r>
        <w:rPr>
          <w:rFonts w:hint="eastAsia" w:ascii="宋体" w:hAnsi="宋体" w:eastAsia="宋体" w:cs="宋体"/>
          <w:color w:val="auto"/>
          <w:sz w:val="24"/>
          <w:szCs w:val="24"/>
          <w:highlight w:val="none"/>
          <w:lang w:val="en-US" w:eastAsia="zh-CN"/>
        </w:rPr>
        <w:t>8:00</w:t>
      </w:r>
      <w:r>
        <w:rPr>
          <w:rFonts w:hint="eastAsia" w:ascii="宋体" w:hAnsi="宋体" w:eastAsia="宋体" w:cs="宋体"/>
          <w:color w:val="auto"/>
          <w:sz w:val="24"/>
          <w:szCs w:val="24"/>
          <w:highlight w:val="none"/>
          <w:lang w:eastAsia="zh-CN"/>
        </w:rPr>
        <w:t>至</w:t>
      </w:r>
      <w:r>
        <w:rPr>
          <w:rFonts w:hint="eastAsia" w:ascii="宋体" w:hAnsi="宋体" w:eastAsia="宋体" w:cs="宋体"/>
          <w:color w:val="auto"/>
          <w:sz w:val="24"/>
          <w:szCs w:val="24"/>
          <w:highlight w:val="none"/>
          <w:lang w:val="en-US" w:eastAsia="zh-CN"/>
        </w:rPr>
        <w:t>12:00</w:t>
      </w:r>
      <w:r>
        <w:rPr>
          <w:rFonts w:hint="eastAsia" w:ascii="宋体" w:hAnsi="宋体" w:eastAsia="宋体" w:cs="宋体"/>
          <w:color w:val="auto"/>
          <w:sz w:val="24"/>
          <w:szCs w:val="24"/>
          <w:highlight w:val="none"/>
          <w:lang w:eastAsia="zh-CN"/>
        </w:rPr>
        <w:t>，下午</w:t>
      </w:r>
      <w:r>
        <w:rPr>
          <w:rFonts w:hint="eastAsia" w:ascii="宋体" w:hAnsi="宋体" w:eastAsia="宋体" w:cs="宋体"/>
          <w:color w:val="auto"/>
          <w:sz w:val="24"/>
          <w:szCs w:val="24"/>
          <w:highlight w:val="none"/>
          <w:lang w:val="en-US" w:eastAsia="zh-CN"/>
        </w:rPr>
        <w:t>14：00</w:t>
      </w:r>
      <w:r>
        <w:rPr>
          <w:rFonts w:hint="eastAsia" w:ascii="宋体" w:hAnsi="宋体" w:eastAsia="宋体" w:cs="宋体"/>
          <w:color w:val="auto"/>
          <w:sz w:val="24"/>
          <w:szCs w:val="24"/>
          <w:highlight w:val="none"/>
          <w:lang w:eastAsia="zh-CN"/>
        </w:rPr>
        <w:t>至</w:t>
      </w:r>
      <w:r>
        <w:rPr>
          <w:rFonts w:hint="eastAsia" w:ascii="宋体" w:hAnsi="宋体" w:eastAsia="宋体" w:cs="宋体"/>
          <w:color w:val="auto"/>
          <w:sz w:val="24"/>
          <w:szCs w:val="24"/>
          <w:highlight w:val="none"/>
          <w:lang w:val="en-US" w:eastAsia="zh-CN"/>
        </w:rPr>
        <w:t>17:00</w:t>
      </w:r>
      <w:r>
        <w:rPr>
          <w:rFonts w:hint="eastAsia" w:ascii="宋体" w:hAnsi="宋体" w:eastAsia="宋体" w:cs="宋体"/>
          <w:color w:val="auto"/>
          <w:sz w:val="24"/>
          <w:szCs w:val="24"/>
          <w:highlight w:val="none"/>
          <w:lang w:eastAsia="zh-CN"/>
        </w:rPr>
        <w:t>（北京时间，法定节假日除外）</w:t>
      </w:r>
    </w:p>
    <w:p w14:paraId="43941DC9">
      <w:pPr>
        <w:widowControl w:val="0"/>
        <w:spacing w:before="182" w:line="360" w:lineRule="auto"/>
        <w:ind w:left="541"/>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lang w:eastAsia="zh-CN"/>
        </w:rPr>
        <w:t>江西省招标投标网（http://www.jxtb.org.cn/）</w:t>
      </w:r>
    </w:p>
    <w:p w14:paraId="04133DB6">
      <w:pPr>
        <w:widowControl w:val="0"/>
        <w:spacing w:before="48" w:line="360" w:lineRule="auto"/>
        <w:ind w:left="541"/>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方式：网上确认和下载招标文件。</w:t>
      </w:r>
      <w:r>
        <w:rPr>
          <w:rFonts w:hint="eastAsia" w:ascii="宋体" w:hAnsi="宋体" w:eastAsia="宋体" w:cs="宋体"/>
          <w:color w:val="auto"/>
          <w:sz w:val="24"/>
          <w:szCs w:val="24"/>
          <w:highlight w:val="none"/>
          <w:lang w:val="en-US" w:eastAsia="zh-CN"/>
        </w:rPr>
        <w:t xml:space="preserve"> </w:t>
      </w:r>
    </w:p>
    <w:p w14:paraId="661FC923">
      <w:pPr>
        <w:widowControl w:val="0"/>
        <w:spacing w:before="45" w:line="360" w:lineRule="auto"/>
        <w:jc w:val="both"/>
        <w:outlineLvl w:val="1"/>
        <w:rPr>
          <w:rFonts w:hint="eastAsia" w:ascii="宋体" w:hAnsi="宋体" w:eastAsia="宋体" w:cs="宋体"/>
          <w:color w:val="auto"/>
          <w:sz w:val="24"/>
          <w:szCs w:val="24"/>
          <w:highlight w:val="none"/>
          <w:lang w:eastAsia="zh-CN"/>
        </w:rPr>
      </w:pPr>
      <w:bookmarkStart w:id="16" w:name="_Toc12253"/>
      <w:bookmarkStart w:id="17" w:name="_Toc17595"/>
      <w:r>
        <w:rPr>
          <w:rFonts w:hint="eastAsia" w:ascii="宋体" w:hAnsi="宋体" w:eastAsia="宋体" w:cs="宋体"/>
          <w:color w:val="auto"/>
          <w:sz w:val="24"/>
          <w:szCs w:val="24"/>
          <w:highlight w:val="none"/>
          <w:lang w:eastAsia="zh-CN"/>
        </w:rPr>
        <w:t>四、提交投标文件截止时间、开标时间和地点</w:t>
      </w:r>
      <w:bookmarkEnd w:id="16"/>
      <w:bookmarkEnd w:id="17"/>
    </w:p>
    <w:p w14:paraId="4713ADE4">
      <w:pPr>
        <w:widowControl w:val="0"/>
        <w:spacing w:before="45" w:line="360" w:lineRule="auto"/>
        <w:ind w:firstLine="480" w:firstLineChars="200"/>
        <w:jc w:val="both"/>
        <w:outlineLvl w:val="1"/>
        <w:rPr>
          <w:rFonts w:hint="eastAsia" w:ascii="宋体" w:hAnsi="宋体" w:eastAsia="宋体" w:cs="宋体"/>
          <w:color w:val="auto"/>
          <w:sz w:val="24"/>
          <w:szCs w:val="24"/>
          <w:highlight w:val="none"/>
          <w:lang w:eastAsia="zh-CN"/>
        </w:rPr>
      </w:pPr>
      <w:bookmarkStart w:id="18" w:name="_Toc219"/>
      <w:bookmarkStart w:id="19" w:name="_Toc3274"/>
      <w:r>
        <w:rPr>
          <w:rFonts w:hint="eastAsia" w:ascii="宋体" w:hAnsi="宋体" w:eastAsia="宋体" w:cs="宋体"/>
          <w:color w:val="auto"/>
          <w:sz w:val="24"/>
          <w:szCs w:val="24"/>
          <w:highlight w:val="none"/>
          <w:lang w:eastAsia="zh-CN"/>
        </w:rPr>
        <w:t>时间：2025年</w:t>
      </w:r>
      <w:r>
        <w:rPr>
          <w:rFonts w:hint="eastAsia" w:ascii="宋体" w:hAnsi="宋体" w:eastAsia="宋体" w:cs="宋体"/>
          <w:color w:val="auto"/>
          <w:sz w:val="24"/>
          <w:szCs w:val="24"/>
          <w:highlight w:val="none"/>
          <w:lang w:val="en-US" w:eastAsia="zh-CN"/>
        </w:rPr>
        <w:t xml:space="preserve"> 10</w:t>
      </w:r>
      <w:r>
        <w:rPr>
          <w:rFonts w:hint="eastAsia" w:ascii="宋体" w:hAnsi="宋体" w:eastAsia="宋体" w:cs="宋体"/>
          <w:color w:val="auto"/>
          <w:sz w:val="24"/>
          <w:szCs w:val="24"/>
          <w:highlight w:val="none"/>
          <w:lang w:eastAsia="zh-CN"/>
        </w:rPr>
        <w:t>月</w:t>
      </w:r>
      <w:r>
        <w:rPr>
          <w:rFonts w:hint="eastAsia" w:ascii="宋体" w:hAnsi="宋体" w:eastAsia="宋体" w:cs="宋体"/>
          <w:color w:val="auto"/>
          <w:sz w:val="24"/>
          <w:szCs w:val="24"/>
          <w:highlight w:val="none"/>
          <w:lang w:val="en-US" w:eastAsia="zh-CN"/>
        </w:rPr>
        <w:t xml:space="preserve"> 10</w:t>
      </w:r>
      <w:r>
        <w:rPr>
          <w:rFonts w:hint="eastAsia" w:ascii="宋体" w:hAnsi="宋体" w:eastAsia="宋体" w:cs="宋体"/>
          <w:color w:val="auto"/>
          <w:sz w:val="24"/>
          <w:szCs w:val="24"/>
          <w:highlight w:val="none"/>
          <w:lang w:eastAsia="zh-CN"/>
        </w:rPr>
        <w:t>日</w:t>
      </w:r>
      <w:r>
        <w:rPr>
          <w:rFonts w:hint="eastAsia" w:ascii="宋体" w:hAnsi="宋体" w:eastAsia="宋体" w:cs="宋体"/>
          <w:color w:val="auto"/>
          <w:sz w:val="24"/>
          <w:szCs w:val="24"/>
          <w:highlight w:val="none"/>
          <w:lang w:val="en-US" w:eastAsia="zh-CN"/>
        </w:rPr>
        <w:t>09</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0（北京时间）</w:t>
      </w:r>
    </w:p>
    <w:p w14:paraId="2F175E69">
      <w:pPr>
        <w:widowControl w:val="0"/>
        <w:spacing w:before="45" w:line="360" w:lineRule="auto"/>
        <w:ind w:firstLine="480" w:firstLineChars="200"/>
        <w:jc w:val="both"/>
        <w:outlineLvl w:val="1"/>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地点：江西省吉安市高铁新区五指峰吉安市总部经济大厦520室</w:t>
      </w:r>
    </w:p>
    <w:p w14:paraId="4ADEDE98">
      <w:pPr>
        <w:widowControl w:val="0"/>
        <w:numPr>
          <w:ilvl w:val="0"/>
          <w:numId w:val="2"/>
        </w:numPr>
        <w:spacing w:before="57" w:line="360" w:lineRule="auto"/>
        <w:ind w:left="4"/>
        <w:jc w:val="both"/>
        <w:outlineLvl w:val="1"/>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2"/>
          <w:position w:val="17"/>
          <w:sz w:val="24"/>
          <w:szCs w:val="24"/>
          <w:highlight w:val="none"/>
          <w:lang w:val="en-US" w:eastAsia="zh-CN"/>
        </w:rPr>
        <w:t xml:space="preserve"> </w:t>
      </w:r>
      <w:r>
        <w:rPr>
          <w:rFonts w:hint="eastAsia" w:ascii="宋体" w:hAnsi="宋体" w:eastAsia="宋体" w:cs="宋体"/>
          <w:color w:val="auto"/>
          <w:sz w:val="24"/>
          <w:szCs w:val="24"/>
          <w:highlight w:val="none"/>
          <w:lang w:eastAsia="zh-CN"/>
        </w:rPr>
        <w:t>公告期限</w:t>
      </w:r>
      <w:bookmarkEnd w:id="18"/>
      <w:bookmarkEnd w:id="19"/>
    </w:p>
    <w:p w14:paraId="32E8EFF9">
      <w:pPr>
        <w:widowControl w:val="0"/>
        <w:spacing w:beforeLines="26" w:line="360" w:lineRule="auto"/>
        <w:ind w:left="52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自本公告发布之日起5个工作日。</w:t>
      </w:r>
    </w:p>
    <w:p w14:paraId="57E176D1">
      <w:pPr>
        <w:widowControl w:val="0"/>
        <w:numPr>
          <w:ilvl w:val="0"/>
          <w:numId w:val="2"/>
        </w:numPr>
        <w:spacing w:before="62" w:line="360" w:lineRule="auto"/>
        <w:ind w:left="4"/>
        <w:jc w:val="both"/>
        <w:outlineLvl w:val="1"/>
        <w:rPr>
          <w:rFonts w:hint="eastAsia" w:ascii="宋体" w:hAnsi="宋体" w:eastAsia="宋体" w:cs="宋体"/>
          <w:color w:val="auto"/>
          <w:sz w:val="24"/>
          <w:szCs w:val="24"/>
          <w:highlight w:val="none"/>
          <w:lang w:eastAsia="zh-CN"/>
        </w:rPr>
      </w:pPr>
      <w:bookmarkStart w:id="20" w:name="_Toc22975"/>
      <w:bookmarkStart w:id="21" w:name="_Toc12345"/>
      <w:r>
        <w:rPr>
          <w:rFonts w:hint="eastAsia" w:ascii="宋体" w:hAnsi="宋体" w:eastAsia="宋体" w:cs="宋体"/>
          <w:color w:val="auto"/>
          <w:sz w:val="24"/>
          <w:szCs w:val="24"/>
          <w:highlight w:val="none"/>
          <w:lang w:eastAsia="zh-CN"/>
        </w:rPr>
        <w:t>其他补充事宜</w:t>
      </w:r>
      <w:bookmarkEnd w:id="20"/>
      <w:bookmarkEnd w:id="21"/>
    </w:p>
    <w:p w14:paraId="06846536">
      <w:pPr>
        <w:widowControl w:val="0"/>
        <w:spacing w:before="78" w:line="360" w:lineRule="auto"/>
        <w:ind w:firstLine="450" w:firstLineChars="200"/>
        <w:jc w:val="both"/>
        <w:outlineLvl w:val="1"/>
        <w:rPr>
          <w:rFonts w:hint="eastAsia" w:ascii="宋体" w:hAnsi="宋体" w:eastAsia="宋体" w:cs="宋体"/>
          <w:b/>
          <w:bCs/>
          <w:color w:val="auto"/>
          <w:spacing w:val="-8"/>
          <w:sz w:val="24"/>
          <w:szCs w:val="24"/>
          <w:highlight w:val="none"/>
          <w:lang w:val="en-US" w:eastAsia="zh-CN"/>
        </w:rPr>
      </w:pPr>
      <w:bookmarkStart w:id="22" w:name="_Toc3768"/>
      <w:bookmarkStart w:id="23" w:name="_Toc29351"/>
      <w:r>
        <w:rPr>
          <w:rFonts w:hint="eastAsia" w:ascii="宋体" w:hAnsi="宋体" w:eastAsia="宋体" w:cs="宋体"/>
          <w:b/>
          <w:bCs/>
          <w:color w:val="auto"/>
          <w:spacing w:val="-8"/>
          <w:sz w:val="24"/>
          <w:szCs w:val="24"/>
          <w:highlight w:val="none"/>
          <w:lang w:val="en-US" w:eastAsia="zh-CN"/>
        </w:rPr>
        <w:t>本项目为线下开评标，投标人需携带纸质投标文件份数：正本壹份，副本贰份（副本可以是正本的复印件）并且提供一份存有电子投标文件（加盖公章PDF版本）的U盘（不退回）。</w:t>
      </w:r>
    </w:p>
    <w:p w14:paraId="2E00ECB9">
      <w:pPr>
        <w:widowControl w:val="0"/>
        <w:spacing w:before="78" w:line="360" w:lineRule="auto"/>
        <w:ind w:firstLine="480" w:firstLineChars="200"/>
        <w:jc w:val="both"/>
        <w:outlineLvl w:val="1"/>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七、对本次招标提出询问，请按以下方式联系：</w:t>
      </w:r>
      <w:bookmarkEnd w:id="22"/>
      <w:bookmarkEnd w:id="23"/>
    </w:p>
    <w:p w14:paraId="2C142567">
      <w:pPr>
        <w:widowControl w:val="0"/>
        <w:spacing w:before="183" w:line="360" w:lineRule="auto"/>
        <w:ind w:left="738"/>
        <w:jc w:val="both"/>
        <w:outlineLvl w:val="2"/>
        <w:rPr>
          <w:rFonts w:hint="eastAsia" w:ascii="宋体" w:hAnsi="宋体" w:eastAsia="宋体" w:cs="宋体"/>
          <w:color w:val="auto"/>
          <w:sz w:val="24"/>
          <w:szCs w:val="24"/>
          <w:highlight w:val="none"/>
          <w:lang w:eastAsia="zh-CN"/>
        </w:rPr>
      </w:pPr>
      <w:bookmarkStart w:id="24" w:name="_Toc30539"/>
      <w:r>
        <w:rPr>
          <w:rFonts w:hint="eastAsia" w:ascii="宋体" w:hAnsi="宋体" w:eastAsia="宋体" w:cs="宋体"/>
          <w:color w:val="auto"/>
          <w:sz w:val="24"/>
          <w:szCs w:val="24"/>
          <w:highlight w:val="none"/>
          <w:lang w:eastAsia="zh-CN"/>
        </w:rPr>
        <w:t>1.采购人信息</w:t>
      </w:r>
      <w:bookmarkEnd w:id="24"/>
    </w:p>
    <w:p w14:paraId="78F7434C">
      <w:pPr>
        <w:widowControl w:val="0"/>
        <w:spacing w:before="185" w:line="360" w:lineRule="auto"/>
        <w:ind w:left="783"/>
        <w:jc w:val="both"/>
        <w:outlineLvl w:val="0"/>
        <w:rPr>
          <w:rFonts w:hint="eastAsia" w:ascii="宋体" w:hAnsi="宋体" w:eastAsia="宋体" w:cs="宋体"/>
          <w:color w:val="auto"/>
          <w:sz w:val="24"/>
          <w:szCs w:val="24"/>
          <w:highlight w:val="none"/>
          <w:lang w:eastAsia="zh-CN"/>
        </w:rPr>
      </w:pPr>
      <w:bookmarkStart w:id="25" w:name="_Toc27922"/>
      <w:r>
        <w:rPr>
          <w:rFonts w:hint="eastAsia" w:ascii="宋体" w:hAnsi="宋体" w:eastAsia="宋体" w:cs="宋体"/>
          <w:color w:val="auto"/>
          <w:sz w:val="24"/>
          <w:szCs w:val="24"/>
          <w:highlight w:val="none"/>
          <w:lang w:eastAsia="zh-CN"/>
        </w:rPr>
        <w:t>名 称：</w:t>
      </w:r>
      <w:bookmarkEnd w:id="25"/>
      <w:r>
        <w:rPr>
          <w:rFonts w:hint="eastAsia" w:ascii="宋体" w:hAnsi="宋体" w:eastAsia="宋体" w:cs="宋体"/>
          <w:color w:val="auto"/>
          <w:sz w:val="24"/>
          <w:szCs w:val="24"/>
          <w:highlight w:val="none"/>
          <w:u w:val="single"/>
          <w:lang w:eastAsia="zh-CN"/>
        </w:rPr>
        <w:t>江西吉瑞实业有限公司</w:t>
      </w:r>
    </w:p>
    <w:p w14:paraId="7353F7E0">
      <w:pPr>
        <w:widowControl w:val="0"/>
        <w:spacing w:before="177" w:line="360" w:lineRule="auto"/>
        <w:ind w:left="78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地 址：</w:t>
      </w:r>
      <w:r>
        <w:rPr>
          <w:rFonts w:hint="eastAsia" w:ascii="宋体" w:hAnsi="宋体" w:eastAsia="宋体" w:cs="宋体"/>
          <w:color w:val="auto"/>
          <w:sz w:val="24"/>
          <w:szCs w:val="24"/>
          <w:highlight w:val="none"/>
          <w:u w:val="single"/>
          <w:lang w:eastAsia="zh-CN"/>
        </w:rPr>
        <w:t xml:space="preserve">江西省吉安市吉州区吉安北大道9号 </w:t>
      </w:r>
    </w:p>
    <w:p w14:paraId="7EE0FE2E">
      <w:pPr>
        <w:widowControl w:val="0"/>
        <w:spacing w:before="171" w:line="360" w:lineRule="auto"/>
        <w:ind w:left="781"/>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联系方式：</w:t>
      </w:r>
      <w:r>
        <w:rPr>
          <w:rFonts w:hint="eastAsia" w:ascii="宋体" w:hAnsi="宋体" w:eastAsia="宋体" w:cs="宋体"/>
          <w:color w:val="auto"/>
          <w:sz w:val="24"/>
          <w:szCs w:val="24"/>
          <w:highlight w:val="none"/>
          <w:u w:val="single"/>
          <w:lang w:val="en-US" w:eastAsia="zh-CN"/>
        </w:rPr>
        <w:t>0796-8202650</w:t>
      </w:r>
    </w:p>
    <w:p w14:paraId="318A6DC0">
      <w:pPr>
        <w:widowControl w:val="0"/>
        <w:spacing w:before="1" w:line="360" w:lineRule="auto"/>
        <w:ind w:left="783"/>
        <w:jc w:val="both"/>
        <w:outlineLvl w:val="1"/>
        <w:rPr>
          <w:rFonts w:hint="eastAsia" w:ascii="宋体" w:hAnsi="宋体" w:eastAsia="宋体" w:cs="宋体"/>
          <w:color w:val="auto"/>
          <w:sz w:val="24"/>
          <w:szCs w:val="24"/>
          <w:highlight w:val="none"/>
          <w:lang w:eastAsia="zh-CN"/>
        </w:rPr>
      </w:pPr>
      <w:bookmarkStart w:id="26" w:name="_Toc9239"/>
      <w:r>
        <w:rPr>
          <w:rFonts w:hint="eastAsia" w:ascii="宋体" w:hAnsi="宋体" w:eastAsia="宋体" w:cs="宋体"/>
          <w:color w:val="auto"/>
          <w:sz w:val="24"/>
          <w:szCs w:val="24"/>
          <w:highlight w:val="none"/>
          <w:lang w:eastAsia="zh-CN"/>
        </w:rPr>
        <w:t>2.采购代理机构信息</w:t>
      </w:r>
      <w:bookmarkEnd w:id="26"/>
    </w:p>
    <w:p w14:paraId="276DE328">
      <w:pPr>
        <w:widowControl w:val="0"/>
        <w:spacing w:before="184" w:line="360" w:lineRule="auto"/>
        <w:ind w:left="783"/>
        <w:jc w:val="both"/>
        <w:outlineLvl w:val="0"/>
        <w:rPr>
          <w:rFonts w:hint="eastAsia" w:ascii="宋体" w:hAnsi="宋体" w:eastAsia="宋体" w:cs="宋体"/>
          <w:color w:val="auto"/>
          <w:sz w:val="24"/>
          <w:szCs w:val="24"/>
          <w:highlight w:val="none"/>
          <w:lang w:eastAsia="zh-CN"/>
        </w:rPr>
      </w:pPr>
      <w:bookmarkStart w:id="27" w:name="_Toc2988"/>
      <w:r>
        <w:rPr>
          <w:rFonts w:hint="eastAsia" w:ascii="宋体" w:hAnsi="宋体" w:eastAsia="宋体" w:cs="宋体"/>
          <w:color w:val="auto"/>
          <w:sz w:val="24"/>
          <w:szCs w:val="24"/>
          <w:highlight w:val="none"/>
          <w:lang w:eastAsia="zh-CN"/>
        </w:rPr>
        <w:t>名 称：</w:t>
      </w:r>
      <w:r>
        <w:rPr>
          <w:rFonts w:hint="eastAsia" w:ascii="宋体" w:hAnsi="宋体" w:eastAsia="宋体" w:cs="宋体"/>
          <w:color w:val="auto"/>
          <w:sz w:val="24"/>
          <w:szCs w:val="24"/>
          <w:highlight w:val="none"/>
          <w:u w:val="single"/>
          <w:lang w:eastAsia="zh-CN"/>
        </w:rPr>
        <w:t>吉安城投建设监理有限公司</w:t>
      </w:r>
      <w:bookmarkEnd w:id="27"/>
      <w:r>
        <w:rPr>
          <w:rFonts w:hint="eastAsia" w:ascii="宋体" w:hAnsi="宋体" w:eastAsia="宋体" w:cs="宋体"/>
          <w:color w:val="auto"/>
          <w:sz w:val="24"/>
          <w:szCs w:val="24"/>
          <w:highlight w:val="none"/>
          <w:u w:val="single"/>
          <w:lang w:eastAsia="zh-CN"/>
        </w:rPr>
        <w:t xml:space="preserve"> </w:t>
      </w:r>
    </w:p>
    <w:p w14:paraId="43D9EB83">
      <w:pPr>
        <w:widowControl w:val="0"/>
        <w:spacing w:before="1" w:line="360" w:lineRule="auto"/>
        <w:ind w:left="780"/>
        <w:jc w:val="both"/>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lang w:eastAsia="zh-CN"/>
        </w:rPr>
        <w:t>地 址：</w:t>
      </w:r>
      <w:r>
        <w:rPr>
          <w:rFonts w:hint="eastAsia" w:ascii="宋体" w:hAnsi="宋体" w:eastAsia="宋体" w:cs="宋体"/>
          <w:color w:val="auto"/>
          <w:sz w:val="24"/>
          <w:szCs w:val="24"/>
          <w:highlight w:val="none"/>
          <w:u w:val="single"/>
          <w:lang w:eastAsia="zh-CN"/>
        </w:rPr>
        <w:t>江西省吉安市高铁新区五指峰吉安市总部经济大厦51</w:t>
      </w:r>
      <w:bookmarkStart w:id="218" w:name="_GoBack"/>
      <w:bookmarkEnd w:id="218"/>
      <w:r>
        <w:rPr>
          <w:rFonts w:hint="eastAsia" w:ascii="宋体" w:hAnsi="宋体" w:eastAsia="宋体" w:cs="宋体"/>
          <w:color w:val="auto"/>
          <w:sz w:val="24"/>
          <w:szCs w:val="24"/>
          <w:highlight w:val="none"/>
          <w:u w:val="single"/>
          <w:lang w:eastAsia="zh-CN"/>
        </w:rPr>
        <w:t>5室。</w:t>
      </w:r>
    </w:p>
    <w:p w14:paraId="7E7727BA">
      <w:pPr>
        <w:widowControl w:val="0"/>
        <w:spacing w:before="48" w:line="500" w:lineRule="exact"/>
        <w:ind w:firstLine="720" w:firstLineChars="3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联系方式：</w:t>
      </w:r>
      <w:r>
        <w:rPr>
          <w:rFonts w:hint="eastAsia" w:ascii="宋体" w:hAnsi="宋体" w:eastAsia="宋体" w:cs="宋体"/>
          <w:color w:val="auto"/>
          <w:sz w:val="24"/>
          <w:szCs w:val="24"/>
          <w:highlight w:val="none"/>
          <w:u w:val="single"/>
          <w:lang w:eastAsia="zh-CN"/>
        </w:rPr>
        <w:t>周先生、0796-8221186</w:t>
      </w:r>
    </w:p>
    <w:p w14:paraId="3C251647">
      <w:pPr>
        <w:widowControl w:val="0"/>
        <w:spacing w:beforeLines="70" w:line="360" w:lineRule="auto"/>
        <w:ind w:firstLine="780"/>
        <w:jc w:val="both"/>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lang w:eastAsia="zh-CN"/>
        </w:rPr>
        <w:t>电子函件：</w:t>
      </w:r>
      <w:r>
        <w:rPr>
          <w:rFonts w:hint="eastAsia" w:ascii="宋体" w:hAnsi="宋体" w:eastAsia="宋体" w:cs="宋体"/>
          <w:color w:val="auto"/>
          <w:sz w:val="24"/>
          <w:szCs w:val="24"/>
          <w:highlight w:val="none"/>
          <w:u w:val="single"/>
          <w:lang w:eastAsia="zh-CN"/>
        </w:rPr>
        <w:t xml:space="preserve">jactjl_shichangbu@163.com </w:t>
      </w:r>
    </w:p>
    <w:p w14:paraId="1C8E7A26">
      <w:pPr>
        <w:widowControl w:val="0"/>
        <w:spacing w:before="182" w:line="360" w:lineRule="auto"/>
        <w:ind w:left="363" w:leftChars="173" w:firstLine="417" w:firstLineChars="174"/>
        <w:jc w:val="both"/>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lang w:eastAsia="zh-CN"/>
        </w:rPr>
        <w:t>项目联系人：</w:t>
      </w:r>
      <w:r>
        <w:rPr>
          <w:rFonts w:hint="eastAsia" w:ascii="宋体" w:hAnsi="宋体" w:eastAsia="宋体" w:cs="宋体"/>
          <w:color w:val="auto"/>
          <w:sz w:val="24"/>
          <w:szCs w:val="24"/>
          <w:highlight w:val="none"/>
          <w:u w:val="single"/>
          <w:lang w:val="en-US" w:eastAsia="zh-CN"/>
        </w:rPr>
        <w:t xml:space="preserve"> 邓先生 </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u w:val="single"/>
          <w:lang w:val="en-US" w:eastAsia="zh-CN"/>
        </w:rPr>
        <w:t xml:space="preserve"> </w:t>
      </w:r>
    </w:p>
    <w:p w14:paraId="015F7325">
      <w:pPr>
        <w:widowControl w:val="0"/>
        <w:spacing w:before="180" w:line="360" w:lineRule="auto"/>
        <w:ind w:left="386" w:leftChars="184" w:firstLine="393" w:firstLineChars="164"/>
        <w:jc w:val="both"/>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lang w:eastAsia="zh-CN"/>
        </w:rPr>
        <w:t>电  话：</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u w:val="single"/>
          <w:lang w:val="en-US" w:eastAsia="zh-CN"/>
        </w:rPr>
        <w:t xml:space="preserve">0796-8202650 </w:t>
      </w:r>
    </w:p>
    <w:p w14:paraId="3DADB269">
      <w:pPr>
        <w:widowControl w:val="0"/>
        <w:spacing w:before="83" w:line="360" w:lineRule="auto"/>
        <w:jc w:val="center"/>
        <w:outlineLvl w:val="9"/>
        <w:rPr>
          <w:rFonts w:hint="eastAsia" w:ascii="宋体" w:hAnsi="宋体" w:eastAsia="宋体" w:cs="宋体"/>
          <w:color w:val="auto"/>
          <w:sz w:val="31"/>
          <w:szCs w:val="31"/>
          <w:highlight w:val="none"/>
          <w:lang w:eastAsia="zh-CN"/>
        </w:rPr>
      </w:pPr>
      <w:bookmarkStart w:id="28" w:name="_Toc29322"/>
      <w:r>
        <w:rPr>
          <w:rFonts w:hint="eastAsia" w:ascii="宋体" w:hAnsi="宋体" w:eastAsia="宋体" w:cs="宋体"/>
          <w:color w:val="auto"/>
          <w:sz w:val="24"/>
          <w:highlight w:val="none"/>
          <w:lang w:val="en-US" w:eastAsia="zh-CN"/>
        </w:rPr>
        <w:t xml:space="preserve"> </w:t>
      </w:r>
    </w:p>
    <w:p w14:paraId="1BFB6701">
      <w:pPr>
        <w:pStyle w:val="3"/>
        <w:rPr>
          <w:rFonts w:hint="eastAsia" w:ascii="宋体" w:hAnsi="宋体" w:eastAsia="宋体" w:cs="宋体"/>
          <w:color w:val="auto"/>
          <w:sz w:val="31"/>
          <w:szCs w:val="31"/>
          <w:highlight w:val="none"/>
          <w:lang w:eastAsia="zh-CN"/>
        </w:rPr>
      </w:pPr>
    </w:p>
    <w:p w14:paraId="77CA91A2">
      <w:pPr>
        <w:rPr>
          <w:rFonts w:hint="eastAsia" w:ascii="宋体" w:hAnsi="宋体" w:eastAsia="宋体" w:cs="宋体"/>
          <w:color w:val="auto"/>
          <w:sz w:val="31"/>
          <w:szCs w:val="31"/>
          <w:highlight w:val="none"/>
          <w:lang w:eastAsia="zh-CN"/>
        </w:rPr>
      </w:pPr>
    </w:p>
    <w:p w14:paraId="3915FF72">
      <w:pPr>
        <w:pStyle w:val="3"/>
        <w:rPr>
          <w:rFonts w:hint="eastAsia" w:ascii="宋体" w:hAnsi="宋体" w:eastAsia="宋体" w:cs="宋体"/>
          <w:color w:val="auto"/>
          <w:sz w:val="31"/>
          <w:szCs w:val="31"/>
          <w:highlight w:val="none"/>
          <w:lang w:eastAsia="zh-CN"/>
        </w:rPr>
      </w:pPr>
    </w:p>
    <w:p w14:paraId="0D8E995A">
      <w:pPr>
        <w:rPr>
          <w:rFonts w:hint="eastAsia" w:ascii="宋体" w:hAnsi="宋体" w:eastAsia="宋体" w:cs="宋体"/>
          <w:color w:val="auto"/>
          <w:sz w:val="31"/>
          <w:szCs w:val="31"/>
          <w:highlight w:val="none"/>
          <w:lang w:eastAsia="zh-CN"/>
        </w:rPr>
      </w:pPr>
    </w:p>
    <w:p w14:paraId="565898B7">
      <w:pPr>
        <w:widowControl w:val="0"/>
        <w:spacing w:before="83" w:line="360" w:lineRule="auto"/>
        <w:jc w:val="center"/>
        <w:outlineLvl w:val="0"/>
        <w:rPr>
          <w:rFonts w:hint="eastAsia" w:ascii="宋体" w:hAnsi="宋体" w:eastAsia="宋体" w:cs="宋体"/>
          <w:color w:val="auto"/>
          <w:sz w:val="31"/>
          <w:szCs w:val="31"/>
          <w:highlight w:val="none"/>
          <w:lang w:eastAsia="zh-CN"/>
        </w:rPr>
      </w:pPr>
      <w:bookmarkStart w:id="29" w:name="_Toc28146"/>
      <w:r>
        <w:rPr>
          <w:rFonts w:hint="eastAsia" w:ascii="宋体" w:hAnsi="宋体" w:eastAsia="宋体" w:cs="宋体"/>
          <w:color w:val="auto"/>
          <w:sz w:val="31"/>
          <w:szCs w:val="31"/>
          <w:highlight w:val="none"/>
          <w:lang w:eastAsia="zh-CN"/>
        </w:rPr>
        <w:t>第二章投标人须知</w:t>
      </w:r>
      <w:bookmarkEnd w:id="28"/>
      <w:bookmarkEnd w:id="29"/>
    </w:p>
    <w:p w14:paraId="7D8A881B">
      <w:pPr>
        <w:widowControl w:val="0"/>
        <w:spacing w:before="207" w:afterLines="150" w:line="219" w:lineRule="auto"/>
        <w:ind w:left="4018" w:hanging="4017" w:hangingChars="1674"/>
        <w:jc w:val="center"/>
        <w:outlineLvl w:val="1"/>
        <w:rPr>
          <w:rFonts w:hint="eastAsia" w:ascii="宋体" w:hAnsi="宋体" w:eastAsia="宋体" w:cs="宋体"/>
          <w:color w:val="auto"/>
          <w:sz w:val="24"/>
          <w:szCs w:val="24"/>
          <w:highlight w:val="none"/>
          <w:lang w:eastAsia="zh-CN"/>
        </w:rPr>
      </w:pPr>
      <w:bookmarkStart w:id="30" w:name="_Toc31763"/>
      <w:bookmarkStart w:id="31" w:name="_Toc32571"/>
      <w:r>
        <w:rPr>
          <w:rFonts w:hint="eastAsia" w:ascii="宋体" w:hAnsi="宋体" w:eastAsia="宋体" w:cs="宋体"/>
          <w:color w:val="auto"/>
          <w:sz w:val="24"/>
          <w:szCs w:val="24"/>
          <w:highlight w:val="none"/>
          <w:lang w:eastAsia="zh-CN"/>
        </w:rPr>
        <w:t>一、投标人须知前附表</w:t>
      </w:r>
      <w:bookmarkEnd w:id="30"/>
      <w:bookmarkEnd w:id="31"/>
    </w:p>
    <w:p w14:paraId="61F3EB38">
      <w:pPr>
        <w:pStyle w:val="7"/>
        <w:widowControl w:val="0"/>
        <w:spacing w:after="0" w:line="360" w:lineRule="auto"/>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lang w:eastAsia="zh-CN"/>
        </w:rPr>
        <w:t>本表是对投标人须知的具体补充和修改，如有矛盾，均以本表为准。</w:t>
      </w:r>
    </w:p>
    <w:p w14:paraId="788E1B39">
      <w:pPr>
        <w:pStyle w:val="7"/>
        <w:widowControl w:val="0"/>
        <w:spacing w:after="0" w:line="360" w:lineRule="auto"/>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lang w:eastAsia="zh-CN"/>
        </w:rPr>
        <w:t>标记</w:t>
      </w:r>
      <w:r>
        <w:rPr>
          <w:rFonts w:hint="eastAsia" w:ascii="宋体" w:hAnsi="宋体" w:eastAsia="宋体" w:cs="宋体"/>
          <w:color w:val="auto"/>
          <w:szCs w:val="24"/>
          <w:highlight w:val="none"/>
          <w:lang w:eastAsia="zh-CN"/>
        </w:rPr>
        <w:sym w:font="Wingdings 2" w:char="0052"/>
      </w:r>
      <w:r>
        <w:rPr>
          <w:rFonts w:hint="eastAsia" w:ascii="宋体" w:hAnsi="宋体" w:eastAsia="宋体" w:cs="宋体"/>
          <w:color w:val="auto"/>
          <w:szCs w:val="24"/>
          <w:highlight w:val="none"/>
          <w:lang w:eastAsia="zh-CN"/>
        </w:rPr>
        <w:t>的选项意为适用于本项目，标记</w:t>
      </w:r>
      <w:r>
        <w:rPr>
          <w:rFonts w:hint="eastAsia" w:ascii="宋体" w:hAnsi="宋体" w:eastAsia="宋体" w:cs="宋体"/>
          <w:color w:val="auto"/>
          <w:szCs w:val="24"/>
          <w:highlight w:val="none"/>
          <w:lang w:eastAsia="zh-CN"/>
        </w:rPr>
        <w:sym w:font="Wingdings 2" w:char="00A3"/>
      </w:r>
      <w:r>
        <w:rPr>
          <w:rFonts w:hint="eastAsia" w:ascii="宋体" w:hAnsi="宋体" w:eastAsia="宋体" w:cs="宋体"/>
          <w:color w:val="auto"/>
          <w:szCs w:val="24"/>
          <w:highlight w:val="none"/>
          <w:lang w:eastAsia="zh-CN"/>
        </w:rPr>
        <w:t>的选项意为不适用于本项目。</w:t>
      </w:r>
    </w:p>
    <w:p w14:paraId="7C184F35">
      <w:pPr>
        <w:widowControl w:val="0"/>
        <w:spacing w:line="69" w:lineRule="exact"/>
        <w:rPr>
          <w:rFonts w:hint="eastAsia" w:ascii="宋体" w:hAnsi="宋体" w:eastAsia="宋体" w:cs="宋体"/>
          <w:color w:val="auto"/>
          <w:highlight w:val="none"/>
          <w:lang w:eastAsia="zh-CN"/>
        </w:rPr>
      </w:pPr>
    </w:p>
    <w:tbl>
      <w:tblPr>
        <w:tblStyle w:val="21"/>
        <w:tblpPr w:leftFromText="180" w:rightFromText="180" w:vertAnchor="text" w:horzAnchor="page" w:tblpXSpec="center" w:tblpY="83"/>
        <w:tblOverlap w:val="never"/>
        <w:tblW w:w="934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0"/>
        <w:gridCol w:w="1257"/>
        <w:gridCol w:w="7131"/>
      </w:tblGrid>
      <w:tr w14:paraId="7D2E1B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jc w:val="center"/>
        </w:trPr>
        <w:tc>
          <w:tcPr>
            <w:tcW w:w="960" w:type="dxa"/>
            <w:vAlign w:val="center"/>
          </w:tcPr>
          <w:p w14:paraId="30F2B5BB">
            <w:pPr>
              <w:widowControl w:val="0"/>
              <w:spacing w:before="56" w:line="219" w:lineRule="auto"/>
              <w:ind w:left="116"/>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条款号</w:t>
            </w:r>
          </w:p>
        </w:tc>
        <w:tc>
          <w:tcPr>
            <w:tcW w:w="1257" w:type="dxa"/>
            <w:vAlign w:val="center"/>
          </w:tcPr>
          <w:p w14:paraId="45F86169">
            <w:pPr>
              <w:widowControl w:val="0"/>
              <w:ind w:left="116"/>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条目</w:t>
            </w:r>
          </w:p>
        </w:tc>
        <w:tc>
          <w:tcPr>
            <w:tcW w:w="7131" w:type="dxa"/>
            <w:vAlign w:val="center"/>
          </w:tcPr>
          <w:p w14:paraId="777A444E">
            <w:pPr>
              <w:widowControl w:val="0"/>
              <w:spacing w:before="56" w:line="219" w:lineRule="auto"/>
              <w:ind w:left="4493" w:hanging="4492" w:hangingChars="187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内容</w:t>
            </w:r>
          </w:p>
        </w:tc>
      </w:tr>
      <w:tr w14:paraId="5353D1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2" w:hRule="atLeast"/>
          <w:jc w:val="center"/>
        </w:trPr>
        <w:tc>
          <w:tcPr>
            <w:tcW w:w="960" w:type="dxa"/>
            <w:vAlign w:val="center"/>
          </w:tcPr>
          <w:p w14:paraId="4835267C">
            <w:pPr>
              <w:widowControl w:val="0"/>
              <w:spacing w:before="116" w:line="184" w:lineRule="auto"/>
              <w:ind w:left="31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1257" w:type="dxa"/>
            <w:vAlign w:val="center"/>
          </w:tcPr>
          <w:p w14:paraId="553BAAC4">
            <w:pPr>
              <w:widowControl w:val="0"/>
              <w:ind w:right="143" w:rightChars="6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项目名称及项目</w:t>
            </w:r>
          </w:p>
          <w:p w14:paraId="4B0172D1">
            <w:pPr>
              <w:widowControl w:val="0"/>
              <w:ind w:right="143" w:rightChars="6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编号</w:t>
            </w:r>
          </w:p>
        </w:tc>
        <w:tc>
          <w:tcPr>
            <w:tcW w:w="7131" w:type="dxa"/>
            <w:vAlign w:val="center"/>
          </w:tcPr>
          <w:p w14:paraId="1060E40B">
            <w:pPr>
              <w:widowControl w:val="0"/>
              <w:spacing w:before="79" w:line="219" w:lineRule="auto"/>
              <w:ind w:left="118"/>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详见“第一章 投标邀请 ”</w:t>
            </w:r>
          </w:p>
        </w:tc>
      </w:tr>
      <w:tr w14:paraId="06A23B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jc w:val="center"/>
        </w:trPr>
        <w:tc>
          <w:tcPr>
            <w:tcW w:w="960" w:type="dxa"/>
            <w:vAlign w:val="center"/>
          </w:tcPr>
          <w:p w14:paraId="08450C0C">
            <w:pPr>
              <w:widowControl w:val="0"/>
              <w:spacing w:before="118" w:line="184" w:lineRule="auto"/>
              <w:ind w:left="3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p>
        </w:tc>
        <w:tc>
          <w:tcPr>
            <w:tcW w:w="1257" w:type="dxa"/>
            <w:vAlign w:val="center"/>
          </w:tcPr>
          <w:p w14:paraId="5AF11A10">
            <w:pPr>
              <w:widowControl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采购人</w:t>
            </w:r>
          </w:p>
        </w:tc>
        <w:tc>
          <w:tcPr>
            <w:tcW w:w="7131" w:type="dxa"/>
            <w:vAlign w:val="center"/>
          </w:tcPr>
          <w:p w14:paraId="37F33832">
            <w:pPr>
              <w:widowControl w:val="0"/>
              <w:spacing w:before="81" w:line="219" w:lineRule="auto"/>
              <w:ind w:left="113"/>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详见“第一章 投标邀请 ”</w:t>
            </w:r>
          </w:p>
        </w:tc>
      </w:tr>
      <w:tr w14:paraId="36CCD0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jc w:val="center"/>
        </w:trPr>
        <w:tc>
          <w:tcPr>
            <w:tcW w:w="960" w:type="dxa"/>
            <w:vAlign w:val="center"/>
          </w:tcPr>
          <w:p w14:paraId="7469580E">
            <w:pPr>
              <w:widowControl w:val="0"/>
              <w:spacing w:before="188" w:line="183" w:lineRule="auto"/>
              <w:ind w:left="3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w:t>
            </w:r>
          </w:p>
        </w:tc>
        <w:tc>
          <w:tcPr>
            <w:tcW w:w="1257" w:type="dxa"/>
            <w:vAlign w:val="center"/>
          </w:tcPr>
          <w:p w14:paraId="7136F405">
            <w:pPr>
              <w:widowControl w:val="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采购代理</w:t>
            </w:r>
          </w:p>
          <w:p w14:paraId="23CA68C0">
            <w:pPr>
              <w:widowControl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机构</w:t>
            </w:r>
          </w:p>
        </w:tc>
        <w:tc>
          <w:tcPr>
            <w:tcW w:w="7131" w:type="dxa"/>
            <w:vAlign w:val="center"/>
          </w:tcPr>
          <w:p w14:paraId="247A6A46">
            <w:pPr>
              <w:widowControl w:val="0"/>
              <w:spacing w:before="149" w:line="219" w:lineRule="auto"/>
              <w:ind w:left="113"/>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详见“第一章 投标邀请 ”</w:t>
            </w:r>
          </w:p>
        </w:tc>
      </w:tr>
      <w:tr w14:paraId="55AADC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32" w:hRule="atLeast"/>
          <w:jc w:val="center"/>
        </w:trPr>
        <w:tc>
          <w:tcPr>
            <w:tcW w:w="960" w:type="dxa"/>
            <w:vAlign w:val="center"/>
          </w:tcPr>
          <w:p w14:paraId="25279619">
            <w:pPr>
              <w:widowControl w:val="0"/>
              <w:spacing w:before="78" w:line="184" w:lineRule="auto"/>
              <w:ind w:left="182"/>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3.2.1</w:t>
            </w:r>
          </w:p>
        </w:tc>
        <w:tc>
          <w:tcPr>
            <w:tcW w:w="1257" w:type="dxa"/>
            <w:vAlign w:val="center"/>
          </w:tcPr>
          <w:p w14:paraId="0B8DAA51">
            <w:pPr>
              <w:widowControl w:val="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联合体</w:t>
            </w:r>
          </w:p>
          <w:p w14:paraId="13D1BA57">
            <w:pPr>
              <w:widowControl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w:t>
            </w:r>
          </w:p>
        </w:tc>
        <w:tc>
          <w:tcPr>
            <w:tcW w:w="7131" w:type="dxa"/>
            <w:vAlign w:val="center"/>
          </w:tcPr>
          <w:p w14:paraId="2D0B8012">
            <w:pPr>
              <w:widowControl w:val="0"/>
              <w:spacing w:before="36" w:line="219" w:lineRule="auto"/>
              <w:ind w:left="115"/>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本项目是否接受联合体投标：详见“第一章 投标邀请 ”</w:t>
            </w:r>
          </w:p>
          <w:p w14:paraId="57F00885">
            <w:pPr>
              <w:widowControl w:val="0"/>
              <w:spacing w:before="181" w:line="359" w:lineRule="auto"/>
              <w:ind w:left="115" w:right="106" w:firstLine="41"/>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(接受联合体投标的，除联合体协议和招标文件特殊要求外，招标文件中要求盖章或签字处仅需联合体牵头单位盖章或签字。）</w:t>
            </w:r>
          </w:p>
        </w:tc>
      </w:tr>
      <w:tr w14:paraId="414581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8" w:hRule="atLeast"/>
          <w:jc w:val="center"/>
        </w:trPr>
        <w:tc>
          <w:tcPr>
            <w:tcW w:w="960" w:type="dxa"/>
            <w:vAlign w:val="center"/>
          </w:tcPr>
          <w:p w14:paraId="0BAB822A">
            <w:pPr>
              <w:widowControl w:val="0"/>
              <w:spacing w:before="152" w:line="182" w:lineRule="auto"/>
              <w:ind w:left="423"/>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1257" w:type="dxa"/>
            <w:vAlign w:val="center"/>
          </w:tcPr>
          <w:p w14:paraId="4440BC70">
            <w:pPr>
              <w:widowControl w:val="0"/>
              <w:ind w:left="117"/>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资格、资信证明</w:t>
            </w:r>
          </w:p>
          <w:p w14:paraId="4E80F7D6">
            <w:pPr>
              <w:widowControl w:val="0"/>
              <w:ind w:left="117"/>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文件</w:t>
            </w:r>
          </w:p>
          <w:p w14:paraId="2AA7700D">
            <w:pPr>
              <w:widowControl w:val="0"/>
              <w:ind w:left="423"/>
              <w:jc w:val="center"/>
              <w:rPr>
                <w:rFonts w:hint="eastAsia" w:ascii="宋体" w:hAnsi="宋体" w:eastAsia="宋体" w:cs="宋体"/>
                <w:color w:val="auto"/>
                <w:sz w:val="24"/>
                <w:szCs w:val="24"/>
                <w:highlight w:val="none"/>
              </w:rPr>
            </w:pPr>
          </w:p>
        </w:tc>
        <w:tc>
          <w:tcPr>
            <w:tcW w:w="7131" w:type="dxa"/>
          </w:tcPr>
          <w:p w14:paraId="7781F7A1">
            <w:pPr>
              <w:widowControl w:val="0"/>
              <w:spacing w:before="193" w:line="360" w:lineRule="auto"/>
              <w:ind w:left="115" w:leftChars="55" w:firstLine="101" w:firstLineChars="42"/>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投标人应当提交的资格、资信证明文件</w:t>
            </w:r>
          </w:p>
          <w:p w14:paraId="580CC64A">
            <w:pPr>
              <w:widowControl w:val="0"/>
              <w:spacing w:line="360" w:lineRule="auto"/>
              <w:ind w:left="240" w:hanging="240" w:hangingChars="100"/>
              <w:jc w:val="both"/>
              <w:textAlignment w:val="center"/>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（1）合格的投标人资格证明文件：详见第四章 投标文件格式“资格证明文件”。</w:t>
            </w:r>
          </w:p>
          <w:p w14:paraId="78385E27">
            <w:pPr>
              <w:widowControl w:val="0"/>
              <w:spacing w:line="360" w:lineRule="auto"/>
              <w:ind w:left="240" w:hanging="240" w:hangingChars="100"/>
              <w:jc w:val="both"/>
              <w:textAlignment w:val="center"/>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（2）信用查询：</w:t>
            </w:r>
            <w:r>
              <w:rPr>
                <w:rFonts w:hint="eastAsia" w:ascii="宋体" w:hAnsi="宋体" w:eastAsia="宋体" w:cs="宋体"/>
                <w:b/>
                <w:bCs/>
                <w:color w:val="auto"/>
                <w:kern w:val="0"/>
                <w:sz w:val="24"/>
                <w:szCs w:val="24"/>
                <w:highlight w:val="none"/>
                <w:lang w:val="en-US" w:eastAsia="zh-CN"/>
              </w:rPr>
              <w:t>【提供开标截止时间前7日内“中国政府采购网”查询截图及“信用中国”网站的查询结果《法人和非法人组织公共信用信息报告》或提供江西省政府采购供应商资格信用承诺函加盖供应商公章，查询路途：进入“信用中国”官网→在右上角的“查询”端口输入企业名称→点击企业名称进入企业页面→点击“下载信用信息报告”→下载并生成《法人和非法人组织公共信用信息报告》】。</w:t>
            </w:r>
          </w:p>
          <w:p w14:paraId="4FED1EB7">
            <w:pPr>
              <w:widowControl w:val="0"/>
              <w:spacing w:line="360" w:lineRule="auto"/>
              <w:ind w:left="239" w:leftChars="114"/>
              <w:jc w:val="both"/>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①查询渠道：通过“信用中国”网站（www.creditchina.gov.cn）、中国政府采购网（www.ccgp.gov.cn）进行查询；</w:t>
            </w:r>
          </w:p>
          <w:p w14:paraId="21598D56">
            <w:pPr>
              <w:widowControl w:val="0"/>
              <w:spacing w:line="360" w:lineRule="auto"/>
              <w:ind w:left="239" w:leftChars="114"/>
              <w:jc w:val="both"/>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②查询截止时点：</w:t>
            </w:r>
            <w:r>
              <w:rPr>
                <w:rFonts w:hint="eastAsia" w:ascii="宋体" w:hAnsi="宋体" w:eastAsia="宋体" w:cs="宋体"/>
                <w:b/>
                <w:bCs/>
                <w:color w:val="auto"/>
                <w:kern w:val="0"/>
                <w:sz w:val="24"/>
                <w:szCs w:val="24"/>
                <w:highlight w:val="none"/>
                <w:lang w:val="en-US" w:eastAsia="zh-CN"/>
              </w:rPr>
              <w:t>开标截止时间前7日内</w:t>
            </w:r>
            <w:r>
              <w:rPr>
                <w:rFonts w:hint="eastAsia" w:ascii="宋体" w:hAnsi="宋体" w:eastAsia="宋体" w:cs="宋体"/>
                <w:color w:val="auto"/>
                <w:sz w:val="24"/>
                <w:szCs w:val="24"/>
                <w:highlight w:val="none"/>
                <w:lang w:val="en-US" w:eastAsia="zh-CN"/>
              </w:rPr>
              <w:t>；</w:t>
            </w:r>
          </w:p>
          <w:p w14:paraId="03D17815">
            <w:pPr>
              <w:keepNext w:val="0"/>
              <w:keepLines w:val="0"/>
              <w:pageBreakBefore w:val="0"/>
              <w:widowControl w:val="0"/>
              <w:kinsoku/>
              <w:wordWrap/>
              <w:overflowPunct/>
              <w:topLinePunct w:val="0"/>
              <w:autoSpaceDE w:val="0"/>
              <w:autoSpaceDN w:val="0"/>
              <w:bidi w:val="0"/>
              <w:adjustRightInd w:val="0"/>
              <w:snapToGrid w:val="0"/>
              <w:spacing w:line="360" w:lineRule="auto"/>
              <w:ind w:left="115" w:leftChars="55" w:firstLine="100" w:firstLineChars="42"/>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③查询记录和证据留存方式：在查询网站中直接打印查询记录，截图另存为电子文档</w:t>
            </w:r>
            <w:r>
              <w:rPr>
                <w:rFonts w:hint="eastAsia" w:ascii="宋体" w:hAnsi="宋体" w:eastAsia="宋体" w:cs="宋体"/>
                <w:b/>
                <w:bCs/>
                <w:color w:val="auto"/>
                <w:sz w:val="24"/>
                <w:szCs w:val="24"/>
                <w:highlight w:val="none"/>
                <w:lang w:val="en-US" w:eastAsia="zh-CN"/>
              </w:rPr>
              <w:t>编入响应文件里，</w:t>
            </w:r>
            <w:r>
              <w:rPr>
                <w:rFonts w:hint="eastAsia" w:ascii="宋体" w:hAnsi="宋体" w:eastAsia="宋体" w:cs="宋体"/>
                <w:color w:val="auto"/>
                <w:sz w:val="24"/>
                <w:szCs w:val="24"/>
                <w:highlight w:val="none"/>
                <w:lang w:val="en-US" w:eastAsia="zh-CN"/>
              </w:rPr>
              <w:t>作为评审资料保存；</w:t>
            </w:r>
          </w:p>
          <w:p w14:paraId="5D924D85">
            <w:pPr>
              <w:widowControl w:val="0"/>
              <w:spacing w:line="360" w:lineRule="auto"/>
              <w:ind w:left="239" w:leftChars="114"/>
              <w:jc w:val="both"/>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④信用信息的使用规则：对被列入失信被执行人、重大税收违法失信主体、政府采购严重违法失信行为记录名单及其他不符合《中华人民共和国政府采购法》第二十二条规定条件</w:t>
            </w:r>
            <w:r>
              <w:rPr>
                <w:rFonts w:hint="eastAsia" w:ascii="宋体" w:hAnsi="宋体" w:eastAsia="宋体" w:cs="宋体"/>
                <w:color w:val="auto"/>
                <w:kern w:val="2"/>
                <w:sz w:val="24"/>
                <w:szCs w:val="24"/>
                <w:highlight w:val="none"/>
                <w:lang w:eastAsia="zh-CN"/>
              </w:rPr>
              <w:t>的投标人，拒绝其参与政府采购活动。两个以上的自然人、法人或者其他组织组成一个联合体，以一个投标人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投标人）的，视同联合体存在不良信用记录。（如在上述网站查询结果均显示没有相关记录，视为不存在上述不良信用记录）</w:t>
            </w:r>
          </w:p>
        </w:tc>
      </w:tr>
      <w:tr w14:paraId="6CFA81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29" w:hRule="atLeast"/>
          <w:jc w:val="center"/>
        </w:trPr>
        <w:tc>
          <w:tcPr>
            <w:tcW w:w="960" w:type="dxa"/>
            <w:vAlign w:val="center"/>
          </w:tcPr>
          <w:p w14:paraId="3F284FF7">
            <w:pPr>
              <w:widowControl w:val="0"/>
              <w:spacing w:before="78" w:line="183"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1257" w:type="dxa"/>
            <w:vAlign w:val="center"/>
          </w:tcPr>
          <w:p w14:paraId="7DF895E8">
            <w:pPr>
              <w:widowControl w:val="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落实政府采购政策</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本项目不适用</w:t>
            </w:r>
            <w:r>
              <w:rPr>
                <w:rFonts w:hint="eastAsia" w:ascii="宋体" w:hAnsi="宋体" w:eastAsia="宋体" w:cs="宋体"/>
                <w:b/>
                <w:bCs/>
                <w:color w:val="auto"/>
                <w:sz w:val="24"/>
                <w:szCs w:val="24"/>
                <w:highlight w:val="none"/>
                <w:lang w:eastAsia="zh-CN"/>
              </w:rPr>
              <w:t>）</w:t>
            </w:r>
          </w:p>
        </w:tc>
        <w:tc>
          <w:tcPr>
            <w:tcW w:w="7131" w:type="dxa"/>
            <w:vAlign w:val="center"/>
          </w:tcPr>
          <w:p w14:paraId="6007DA9F">
            <w:pPr>
              <w:widowControl w:val="0"/>
              <w:spacing w:line="360" w:lineRule="auto"/>
              <w:ind w:left="239" w:leftChars="114"/>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本项目采购的标的物对应承接商是中小企业的，中小企业划分标准所属行业为：其他未列明行业</w:t>
            </w:r>
          </w:p>
        </w:tc>
      </w:tr>
      <w:tr w14:paraId="7EB11F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9" w:hRule="atLeast"/>
          <w:jc w:val="center"/>
        </w:trPr>
        <w:tc>
          <w:tcPr>
            <w:tcW w:w="960" w:type="dxa"/>
            <w:vAlign w:val="center"/>
          </w:tcPr>
          <w:p w14:paraId="7174D9D6">
            <w:pPr>
              <w:widowControl w:val="0"/>
              <w:spacing w:before="78" w:line="184" w:lineRule="auto"/>
              <w:ind w:left="375"/>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5</w:t>
            </w:r>
          </w:p>
        </w:tc>
        <w:tc>
          <w:tcPr>
            <w:tcW w:w="1257" w:type="dxa"/>
            <w:vAlign w:val="center"/>
          </w:tcPr>
          <w:p w14:paraId="195270F1">
            <w:pPr>
              <w:widowControl w:val="0"/>
              <w:spacing w:before="78" w:line="184"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投标保证金</w:t>
            </w:r>
          </w:p>
        </w:tc>
        <w:tc>
          <w:tcPr>
            <w:tcW w:w="7131" w:type="dxa"/>
          </w:tcPr>
          <w:p w14:paraId="23378934">
            <w:pPr>
              <w:widowControl w:val="0"/>
              <w:spacing w:line="360" w:lineRule="auto"/>
              <w:ind w:left="239" w:leftChars="114"/>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1.投标保证金金额：</w:t>
            </w:r>
            <w:r>
              <w:rPr>
                <w:rFonts w:hint="eastAsia" w:ascii="宋体" w:hAnsi="宋体" w:eastAsia="宋体" w:cs="宋体"/>
                <w:color w:val="auto"/>
                <w:sz w:val="24"/>
                <w:szCs w:val="24"/>
                <w:highlight w:val="none"/>
                <w:lang w:eastAsia="zh-CN"/>
              </w:rPr>
              <w:t>人民币</w:t>
            </w:r>
            <w:r>
              <w:rPr>
                <w:rFonts w:hint="eastAsia" w:ascii="宋体" w:hAnsi="宋体" w:eastAsia="宋体" w:cs="宋体"/>
                <w:color w:val="auto"/>
                <w:sz w:val="24"/>
                <w:szCs w:val="24"/>
                <w:highlight w:val="none"/>
                <w:u w:val="single"/>
                <w:lang w:val="en-US" w:eastAsia="zh-CN"/>
              </w:rPr>
              <w:t>捌</w:t>
            </w:r>
            <w:r>
              <w:rPr>
                <w:rFonts w:hint="eastAsia" w:ascii="宋体" w:hAnsi="宋体" w:eastAsia="宋体" w:cs="宋体"/>
                <w:color w:val="auto"/>
                <w:sz w:val="24"/>
                <w:szCs w:val="24"/>
                <w:highlight w:val="none"/>
                <w:u w:val="single"/>
                <w:lang w:eastAsia="zh-CN"/>
              </w:rPr>
              <w:t>万元</w:t>
            </w:r>
            <w:r>
              <w:rPr>
                <w:rFonts w:hint="eastAsia" w:ascii="宋体" w:hAnsi="宋体" w:eastAsia="宋体" w:cs="宋体"/>
                <w:color w:val="auto"/>
                <w:sz w:val="24"/>
                <w:szCs w:val="24"/>
                <w:highlight w:val="none"/>
                <w:lang w:eastAsia="zh-CN"/>
              </w:rPr>
              <w:t>整（¥</w:t>
            </w:r>
            <w:r>
              <w:rPr>
                <w:rFonts w:hint="eastAsia" w:ascii="宋体" w:hAnsi="宋体" w:eastAsia="宋体" w:cs="宋体"/>
                <w:color w:val="auto"/>
                <w:sz w:val="24"/>
                <w:szCs w:val="24"/>
                <w:highlight w:val="none"/>
                <w:lang w:val="en-US" w:eastAsia="zh-CN"/>
              </w:rPr>
              <w:t>80</w:t>
            </w:r>
            <w:r>
              <w:rPr>
                <w:rFonts w:hint="eastAsia" w:ascii="宋体" w:hAnsi="宋体" w:eastAsia="宋体" w:cs="宋体"/>
                <w:color w:val="auto"/>
                <w:sz w:val="24"/>
                <w:szCs w:val="24"/>
                <w:highlight w:val="none"/>
                <w:lang w:eastAsia="zh-CN"/>
              </w:rPr>
              <w:t>000.00元）（须足额按时提交）</w:t>
            </w:r>
          </w:p>
          <w:p w14:paraId="2DECF9EB">
            <w:pPr>
              <w:widowControl w:val="0"/>
              <w:spacing w:line="360" w:lineRule="auto"/>
              <w:ind w:firstLine="241" w:firstLineChars="100"/>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2.投标保证金递交截止时间：</w:t>
            </w:r>
            <w:r>
              <w:rPr>
                <w:rFonts w:hint="eastAsia" w:ascii="宋体" w:hAnsi="宋体" w:eastAsia="宋体" w:cs="宋体"/>
                <w:color w:val="auto"/>
                <w:sz w:val="24"/>
                <w:szCs w:val="24"/>
                <w:highlight w:val="none"/>
                <w:lang w:eastAsia="zh-CN"/>
              </w:rPr>
              <w:t>与投标文件递交截止时间一致。</w:t>
            </w:r>
          </w:p>
          <w:p w14:paraId="6719A606">
            <w:pPr>
              <w:widowControl w:val="0"/>
              <w:spacing w:line="360" w:lineRule="auto"/>
              <w:ind w:left="239" w:leftChars="114"/>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3.投标保证金提交形式：</w:t>
            </w:r>
            <w:r>
              <w:rPr>
                <w:rFonts w:hint="eastAsia" w:ascii="宋体" w:hAnsi="宋体" w:eastAsia="宋体" w:cs="宋体"/>
                <w:color w:val="auto"/>
                <w:sz w:val="24"/>
                <w:szCs w:val="24"/>
                <w:highlight w:val="none"/>
                <w:lang w:eastAsia="zh-CN"/>
              </w:rPr>
              <w:t>投标保证金应当采用支票、汇票、本票、网上银行支付或者金融机构、担保机构出具的保函、保险公司出具的保证保险等非现金形式提交。</w:t>
            </w:r>
          </w:p>
          <w:p w14:paraId="7979320A">
            <w:pPr>
              <w:widowControl w:val="0"/>
              <w:spacing w:line="360" w:lineRule="auto"/>
              <w:ind w:left="239" w:leftChars="114"/>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4.其他：</w:t>
            </w:r>
            <w:r>
              <w:rPr>
                <w:rFonts w:hint="eastAsia" w:ascii="宋体" w:hAnsi="宋体" w:eastAsia="宋体" w:cs="宋体"/>
                <w:color w:val="auto"/>
                <w:sz w:val="24"/>
                <w:szCs w:val="24"/>
                <w:highlight w:val="none"/>
                <w:lang w:eastAsia="zh-CN"/>
              </w:rPr>
              <w:t>请投标人在（提交投标保证金时）汇款时注明所投标项目的招标编号，否则，因款项用途不明或未及时到账导致被否决（</w:t>
            </w:r>
            <w:r>
              <w:rPr>
                <w:rFonts w:hint="eastAsia" w:ascii="宋体" w:hAnsi="宋体" w:eastAsia="宋体" w:cs="宋体"/>
                <w:b/>
                <w:bCs/>
                <w:color w:val="auto"/>
                <w:sz w:val="24"/>
                <w:szCs w:val="24"/>
                <w:highlight w:val="none"/>
                <w:lang w:eastAsia="zh-CN"/>
              </w:rPr>
              <w:t>投标无效</w:t>
            </w:r>
            <w:r>
              <w:rPr>
                <w:rFonts w:hint="eastAsia" w:ascii="宋体" w:hAnsi="宋体" w:eastAsia="宋体" w:cs="宋体"/>
                <w:color w:val="auto"/>
                <w:sz w:val="24"/>
                <w:szCs w:val="24"/>
                <w:highlight w:val="none"/>
                <w:lang w:eastAsia="zh-CN"/>
              </w:rPr>
              <w:t>）等后果由投标人自行承担。</w:t>
            </w:r>
          </w:p>
          <w:p w14:paraId="5319854C">
            <w:pPr>
              <w:widowControl w:val="0"/>
              <w:spacing w:line="360" w:lineRule="auto"/>
              <w:ind w:firstLine="241" w:firstLineChars="100"/>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5.指定接收保证金账户：</w:t>
            </w:r>
          </w:p>
          <w:p w14:paraId="30D20419">
            <w:pPr>
              <w:widowControl w:val="0"/>
              <w:spacing w:line="360" w:lineRule="auto"/>
              <w:ind w:left="218" w:leftChars="104"/>
              <w:jc w:val="both"/>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户名：</w:t>
            </w:r>
            <w:r>
              <w:rPr>
                <w:rFonts w:hint="eastAsia" w:ascii="宋体" w:hAnsi="宋体" w:eastAsia="宋体" w:cs="宋体"/>
                <w:b/>
                <w:bCs/>
                <w:color w:val="auto"/>
                <w:sz w:val="24"/>
                <w:szCs w:val="24"/>
                <w:highlight w:val="none"/>
                <w:u w:val="single"/>
                <w:lang w:eastAsia="zh-CN"/>
              </w:rPr>
              <w:t xml:space="preserve">吉安城投建设监理有限公司 </w:t>
            </w:r>
          </w:p>
          <w:p w14:paraId="05FF2758">
            <w:pPr>
              <w:widowControl w:val="0"/>
              <w:spacing w:line="360" w:lineRule="auto"/>
              <w:ind w:left="218" w:leftChars="104"/>
              <w:jc w:val="both"/>
              <w:rPr>
                <w:rFonts w:hint="eastAsia" w:ascii="宋体" w:hAnsi="宋体" w:eastAsia="宋体" w:cs="宋体"/>
                <w:b/>
                <w:bCs/>
                <w:color w:val="auto"/>
                <w:sz w:val="24"/>
                <w:szCs w:val="24"/>
                <w:highlight w:val="none"/>
                <w:u w:val="single"/>
                <w:lang w:eastAsia="zh-CN"/>
              </w:rPr>
            </w:pPr>
            <w:r>
              <w:rPr>
                <w:rFonts w:hint="eastAsia" w:ascii="宋体" w:hAnsi="宋体" w:eastAsia="宋体" w:cs="宋体"/>
                <w:b/>
                <w:bCs/>
                <w:color w:val="auto"/>
                <w:sz w:val="24"/>
                <w:szCs w:val="24"/>
                <w:highlight w:val="none"/>
                <w:lang w:eastAsia="zh-CN"/>
              </w:rPr>
              <w:t>开户行：</w:t>
            </w:r>
            <w:r>
              <w:rPr>
                <w:rFonts w:hint="eastAsia" w:ascii="宋体" w:hAnsi="宋体" w:eastAsia="宋体" w:cs="宋体"/>
                <w:b/>
                <w:bCs/>
                <w:color w:val="auto"/>
                <w:sz w:val="24"/>
                <w:szCs w:val="24"/>
                <w:highlight w:val="none"/>
                <w:u w:val="single"/>
                <w:lang w:eastAsia="zh-CN"/>
              </w:rPr>
              <w:t>中国光大银行股份有限公司吉安分行</w:t>
            </w:r>
          </w:p>
          <w:p w14:paraId="06D22EA1">
            <w:pPr>
              <w:widowControl w:val="0"/>
              <w:spacing w:line="360" w:lineRule="auto"/>
              <w:ind w:left="218" w:leftChars="104"/>
              <w:rPr>
                <w:rFonts w:hint="eastAsia" w:ascii="宋体" w:hAnsi="宋体" w:eastAsia="宋体" w:cs="宋体"/>
                <w:b/>
                <w:bCs/>
                <w:strike/>
                <w:color w:val="auto"/>
                <w:sz w:val="24"/>
                <w:szCs w:val="24"/>
                <w:highlight w:val="none"/>
                <w:u w:val="single"/>
                <w:lang w:eastAsia="zh-CN"/>
              </w:rPr>
            </w:pPr>
            <w:r>
              <w:rPr>
                <w:rFonts w:hint="eastAsia" w:ascii="宋体" w:hAnsi="宋体" w:eastAsia="宋体" w:cs="宋体"/>
                <w:b/>
                <w:bCs/>
                <w:color w:val="auto"/>
                <w:sz w:val="24"/>
                <w:szCs w:val="24"/>
                <w:highlight w:val="none"/>
                <w:lang w:eastAsia="zh-CN"/>
              </w:rPr>
              <w:t>账号：</w:t>
            </w:r>
            <w:r>
              <w:rPr>
                <w:rFonts w:hint="eastAsia" w:ascii="宋体" w:hAnsi="宋体" w:eastAsia="宋体" w:cs="宋体"/>
                <w:b/>
                <w:bCs/>
                <w:color w:val="auto"/>
                <w:sz w:val="24"/>
                <w:szCs w:val="24"/>
                <w:highlight w:val="none"/>
                <w:u w:val="single"/>
                <w:lang w:eastAsia="zh-CN"/>
              </w:rPr>
              <w:t>55390188000130195</w:t>
            </w:r>
          </w:p>
          <w:p w14:paraId="42B11AC4">
            <w:pPr>
              <w:widowControl w:val="0"/>
              <w:spacing w:before="182" w:line="360" w:lineRule="auto"/>
              <w:ind w:firstLine="241" w:firstLineChars="100"/>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6.投标保证金应在投标有效期内保持有效。</w:t>
            </w:r>
          </w:p>
        </w:tc>
      </w:tr>
      <w:tr w14:paraId="26C233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0" w:hRule="atLeast"/>
          <w:jc w:val="center"/>
        </w:trPr>
        <w:tc>
          <w:tcPr>
            <w:tcW w:w="960" w:type="dxa"/>
            <w:vAlign w:val="center"/>
          </w:tcPr>
          <w:p w14:paraId="08B26057">
            <w:pPr>
              <w:widowControl w:val="0"/>
              <w:spacing w:before="118" w:line="184"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6</w:t>
            </w:r>
          </w:p>
        </w:tc>
        <w:tc>
          <w:tcPr>
            <w:tcW w:w="1257" w:type="dxa"/>
            <w:vAlign w:val="center"/>
          </w:tcPr>
          <w:p w14:paraId="44990994">
            <w:pPr>
              <w:widowControl w:val="0"/>
              <w:spacing w:before="118" w:line="184"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投标有效期</w:t>
            </w:r>
          </w:p>
        </w:tc>
        <w:tc>
          <w:tcPr>
            <w:tcW w:w="7131" w:type="dxa"/>
            <w:vAlign w:val="center"/>
          </w:tcPr>
          <w:p w14:paraId="3F38E1F2">
            <w:pPr>
              <w:widowControl w:val="0"/>
              <w:spacing w:before="36" w:line="219" w:lineRule="auto"/>
              <w:ind w:left="117"/>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从提交投标文件的截止之日起 </w:t>
            </w:r>
            <w:r>
              <w:rPr>
                <w:rFonts w:hint="eastAsia" w:ascii="宋体" w:hAnsi="宋体" w:eastAsia="宋体" w:cs="宋体"/>
                <w:color w:val="auto"/>
                <w:sz w:val="24"/>
                <w:szCs w:val="24"/>
                <w:highlight w:val="none"/>
                <w:u w:val="single"/>
                <w:lang w:eastAsia="zh-CN"/>
              </w:rPr>
              <w:t xml:space="preserve">90 </w:t>
            </w:r>
            <w:r>
              <w:rPr>
                <w:rFonts w:hint="eastAsia" w:ascii="宋体" w:hAnsi="宋体" w:eastAsia="宋体" w:cs="宋体"/>
                <w:color w:val="auto"/>
                <w:sz w:val="24"/>
                <w:szCs w:val="24"/>
                <w:highlight w:val="none"/>
                <w:lang w:eastAsia="zh-CN"/>
              </w:rPr>
              <w:t>天</w:t>
            </w:r>
          </w:p>
        </w:tc>
      </w:tr>
    </w:tbl>
    <w:tbl>
      <w:tblPr>
        <w:tblStyle w:val="21"/>
        <w:tblW w:w="936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45"/>
        <w:gridCol w:w="1255"/>
        <w:gridCol w:w="7161"/>
      </w:tblGrid>
      <w:tr w14:paraId="1B0C8C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63" w:hRule="atLeast"/>
          <w:jc w:val="center"/>
        </w:trPr>
        <w:tc>
          <w:tcPr>
            <w:tcW w:w="945" w:type="dxa"/>
            <w:vAlign w:val="center"/>
          </w:tcPr>
          <w:p w14:paraId="3EECBDB4">
            <w:pPr>
              <w:widowControl w:val="0"/>
              <w:spacing w:before="78" w:line="184"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7</w:t>
            </w:r>
          </w:p>
        </w:tc>
        <w:tc>
          <w:tcPr>
            <w:tcW w:w="1255" w:type="dxa"/>
            <w:vAlign w:val="center"/>
          </w:tcPr>
          <w:p w14:paraId="1E3E4D72">
            <w:pPr>
              <w:widowControl w:val="0"/>
              <w:spacing w:before="78"/>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投标截止</w:t>
            </w:r>
          </w:p>
          <w:p w14:paraId="42079414">
            <w:pPr>
              <w:widowControl w:val="0"/>
              <w:spacing w:before="7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时间</w:t>
            </w:r>
          </w:p>
        </w:tc>
        <w:tc>
          <w:tcPr>
            <w:tcW w:w="7161" w:type="dxa"/>
            <w:vAlign w:val="center"/>
          </w:tcPr>
          <w:p w14:paraId="437884EF">
            <w:pPr>
              <w:widowControl w:val="0"/>
              <w:spacing w:line="360" w:lineRule="auto"/>
              <w:ind w:left="117"/>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投标截止时间：详见“第一章 投标邀请 ”</w:t>
            </w:r>
          </w:p>
        </w:tc>
      </w:tr>
      <w:tr w14:paraId="5FF6F6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16" w:hRule="atLeast"/>
          <w:jc w:val="center"/>
        </w:trPr>
        <w:tc>
          <w:tcPr>
            <w:tcW w:w="945" w:type="dxa"/>
            <w:vAlign w:val="center"/>
          </w:tcPr>
          <w:p w14:paraId="6E467E14">
            <w:pPr>
              <w:widowControl w:val="0"/>
              <w:spacing w:before="78" w:line="184"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17.4</w:t>
            </w:r>
          </w:p>
        </w:tc>
        <w:tc>
          <w:tcPr>
            <w:tcW w:w="1255" w:type="dxa"/>
            <w:vAlign w:val="center"/>
          </w:tcPr>
          <w:p w14:paraId="04EC1472">
            <w:pPr>
              <w:widowControl w:val="0"/>
              <w:spacing w:before="78"/>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原件及演示</w:t>
            </w:r>
          </w:p>
        </w:tc>
        <w:tc>
          <w:tcPr>
            <w:tcW w:w="7161" w:type="dxa"/>
            <w:vAlign w:val="center"/>
          </w:tcPr>
          <w:p w14:paraId="5338D0A2">
            <w:pPr>
              <w:widowControl w:val="0"/>
              <w:spacing w:line="360" w:lineRule="auto"/>
              <w:ind w:left="118" w:right="106" w:hanging="4"/>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本项目是否要求提供原件：</w:t>
            </w:r>
            <w:r>
              <w:rPr>
                <w:rFonts w:hint="eastAsia" w:ascii="宋体" w:hAnsi="宋体" w:eastAsia="宋体" w:cs="宋体"/>
                <w:color w:val="auto"/>
                <w:sz w:val="24"/>
                <w:szCs w:val="24"/>
                <w:highlight w:val="none"/>
                <w:lang w:eastAsia="zh-CN"/>
              </w:rPr>
              <w:sym w:font="Wingdings 2" w:char="00A3"/>
            </w:r>
            <w:r>
              <w:rPr>
                <w:rFonts w:hint="eastAsia" w:ascii="宋体" w:hAnsi="宋体" w:eastAsia="宋体" w:cs="宋体"/>
                <w:color w:val="auto"/>
                <w:sz w:val="24"/>
                <w:szCs w:val="24"/>
                <w:highlight w:val="none"/>
                <w:lang w:eastAsia="zh-CN"/>
              </w:rPr>
              <w:t xml:space="preserve"> 是    </w:t>
            </w:r>
            <w:r>
              <w:rPr>
                <w:rFonts w:hint="eastAsia" w:ascii="宋体" w:hAnsi="宋体" w:eastAsia="宋体" w:cs="宋体"/>
                <w:color w:val="auto"/>
                <w:sz w:val="24"/>
                <w:szCs w:val="24"/>
                <w:highlight w:val="none"/>
                <w:lang w:eastAsia="zh-CN"/>
              </w:rPr>
              <w:sym w:font="Wingdings 2" w:char="0052"/>
            </w:r>
            <w:r>
              <w:rPr>
                <w:rFonts w:hint="eastAsia" w:ascii="宋体" w:hAnsi="宋体" w:eastAsia="宋体" w:cs="宋体"/>
                <w:color w:val="auto"/>
                <w:sz w:val="24"/>
                <w:szCs w:val="24"/>
                <w:highlight w:val="none"/>
                <w:lang w:eastAsia="zh-CN"/>
              </w:rPr>
              <w:t xml:space="preserve"> 否</w:t>
            </w:r>
          </w:p>
          <w:p w14:paraId="06A215C9">
            <w:pPr>
              <w:widowControl w:val="0"/>
              <w:spacing w:line="360" w:lineRule="auto"/>
              <w:ind w:left="118" w:right="106" w:hanging="4"/>
              <w:jc w:val="both"/>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lang w:eastAsia="zh-CN"/>
              </w:rPr>
              <w:t>原件提供要求：</w:t>
            </w:r>
          </w:p>
          <w:p w14:paraId="2C1F94DA">
            <w:pPr>
              <w:widowControl w:val="0"/>
              <w:spacing w:line="360" w:lineRule="auto"/>
              <w:ind w:left="118" w:right="106" w:hanging="4"/>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本项目是否要求演示：</w:t>
            </w:r>
            <w:r>
              <w:rPr>
                <w:rFonts w:hint="eastAsia" w:ascii="宋体" w:hAnsi="宋体" w:eastAsia="宋体" w:cs="宋体"/>
                <w:color w:val="auto"/>
                <w:sz w:val="24"/>
                <w:szCs w:val="24"/>
                <w:highlight w:val="none"/>
                <w:lang w:eastAsia="zh-CN"/>
              </w:rPr>
              <w:sym w:font="Wingdings 2" w:char="00A3"/>
            </w:r>
            <w:r>
              <w:rPr>
                <w:rFonts w:hint="eastAsia" w:ascii="宋体" w:hAnsi="宋体" w:eastAsia="宋体" w:cs="宋体"/>
                <w:color w:val="auto"/>
                <w:sz w:val="24"/>
                <w:szCs w:val="24"/>
                <w:highlight w:val="none"/>
                <w:lang w:eastAsia="zh-CN"/>
              </w:rPr>
              <w:t xml:space="preserve"> 是    </w:t>
            </w:r>
            <w:r>
              <w:rPr>
                <w:rFonts w:hint="eastAsia" w:ascii="宋体" w:hAnsi="宋体" w:eastAsia="宋体" w:cs="宋体"/>
                <w:color w:val="auto"/>
                <w:sz w:val="24"/>
                <w:szCs w:val="24"/>
                <w:highlight w:val="none"/>
                <w:lang w:eastAsia="zh-CN"/>
              </w:rPr>
              <w:sym w:font="Wingdings 2" w:char="0052"/>
            </w:r>
            <w:r>
              <w:rPr>
                <w:rFonts w:hint="eastAsia" w:ascii="宋体" w:hAnsi="宋体" w:eastAsia="宋体" w:cs="宋体"/>
                <w:color w:val="auto"/>
                <w:sz w:val="24"/>
                <w:szCs w:val="24"/>
                <w:highlight w:val="none"/>
                <w:lang w:eastAsia="zh-CN"/>
              </w:rPr>
              <w:t xml:space="preserve"> 否</w:t>
            </w:r>
          </w:p>
          <w:p w14:paraId="3950DC40">
            <w:pPr>
              <w:widowControl w:val="0"/>
              <w:spacing w:line="360" w:lineRule="auto"/>
              <w:ind w:left="118" w:right="106" w:hanging="4"/>
              <w:jc w:val="both"/>
              <w:rPr>
                <w:rFonts w:hint="eastAsia" w:ascii="宋体" w:hAnsi="宋体" w:eastAsia="宋体" w:cs="宋体"/>
                <w:color w:val="auto"/>
                <w:highlight w:val="none"/>
                <w:lang w:eastAsia="zh-CN"/>
              </w:rPr>
            </w:pPr>
            <w:r>
              <w:rPr>
                <w:rFonts w:hint="eastAsia" w:ascii="宋体" w:hAnsi="宋体" w:eastAsia="宋体" w:cs="宋体"/>
                <w:color w:val="auto"/>
                <w:sz w:val="24"/>
                <w:szCs w:val="24"/>
                <w:highlight w:val="none"/>
                <w:lang w:eastAsia="zh-CN"/>
              </w:rPr>
              <w:t>演示要求：</w:t>
            </w:r>
          </w:p>
        </w:tc>
      </w:tr>
      <w:tr w14:paraId="0C2402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8" w:hRule="atLeast"/>
          <w:jc w:val="center"/>
        </w:trPr>
        <w:tc>
          <w:tcPr>
            <w:tcW w:w="945" w:type="dxa"/>
            <w:vAlign w:val="center"/>
          </w:tcPr>
          <w:p w14:paraId="43183F59">
            <w:pPr>
              <w:widowControl w:val="0"/>
              <w:spacing w:before="120" w:line="184" w:lineRule="auto"/>
              <w:ind w:left="375"/>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8</w:t>
            </w:r>
          </w:p>
        </w:tc>
        <w:tc>
          <w:tcPr>
            <w:tcW w:w="1255" w:type="dxa"/>
            <w:vAlign w:val="center"/>
          </w:tcPr>
          <w:p w14:paraId="21E3D7CE">
            <w:pPr>
              <w:widowControl w:val="0"/>
              <w:spacing w:before="120" w:line="184" w:lineRule="auto"/>
              <w:ind w:left="375"/>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分包</w:t>
            </w:r>
          </w:p>
        </w:tc>
        <w:tc>
          <w:tcPr>
            <w:tcW w:w="7161" w:type="dxa"/>
            <w:vAlign w:val="center"/>
          </w:tcPr>
          <w:p w14:paraId="63B8134E">
            <w:pPr>
              <w:widowControl w:val="0"/>
              <w:spacing w:line="360" w:lineRule="auto"/>
              <w:ind w:left="115"/>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本项目是否允许分包：</w:t>
            </w:r>
          </w:p>
          <w:p w14:paraId="50F5C1FD">
            <w:pPr>
              <w:widowControl w:val="0"/>
              <w:spacing w:line="360" w:lineRule="auto"/>
              <w:ind w:left="237" w:leftChars="113" w:firstLine="362" w:firstLineChars="151"/>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sym w:font="Wingdings 2" w:char="0052"/>
            </w:r>
            <w:r>
              <w:rPr>
                <w:rFonts w:hint="eastAsia" w:ascii="宋体" w:hAnsi="宋体" w:eastAsia="宋体" w:cs="宋体"/>
                <w:color w:val="auto"/>
                <w:sz w:val="24"/>
                <w:szCs w:val="24"/>
                <w:highlight w:val="none"/>
                <w:lang w:eastAsia="zh-CN"/>
              </w:rPr>
              <w:t>不允许</w:t>
            </w:r>
          </w:p>
          <w:p w14:paraId="32045840">
            <w:pPr>
              <w:widowControl w:val="0"/>
              <w:spacing w:line="360" w:lineRule="auto"/>
              <w:ind w:left="237" w:leftChars="113" w:firstLine="362" w:firstLineChars="151"/>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sym w:font="Wingdings 2" w:char="00A3"/>
            </w:r>
            <w:r>
              <w:rPr>
                <w:rFonts w:hint="eastAsia" w:ascii="宋体" w:hAnsi="宋体" w:eastAsia="宋体" w:cs="宋体"/>
                <w:color w:val="auto"/>
                <w:sz w:val="24"/>
                <w:szCs w:val="24"/>
                <w:highlight w:val="none"/>
                <w:lang w:eastAsia="zh-CN"/>
              </w:rPr>
              <w:t>允许</w:t>
            </w:r>
          </w:p>
          <w:p w14:paraId="31592528">
            <w:pPr>
              <w:widowControl w:val="0"/>
              <w:spacing w:line="360" w:lineRule="auto"/>
              <w:ind w:left="237" w:leftChars="113" w:firstLine="362" w:firstLineChars="151"/>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具体要求：</w:t>
            </w:r>
          </w:p>
          <w:p w14:paraId="5A2D9554">
            <w:pPr>
              <w:pStyle w:val="7"/>
              <w:widowControl w:val="0"/>
              <w:spacing w:after="0" w:line="360" w:lineRule="auto"/>
              <w:jc w:val="both"/>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lang w:eastAsia="zh-CN"/>
              </w:rPr>
              <w:t>（1）可以分包履行的具体内容：；</w:t>
            </w:r>
          </w:p>
          <w:p w14:paraId="28CB3621">
            <w:pPr>
              <w:pStyle w:val="7"/>
              <w:widowControl w:val="0"/>
              <w:spacing w:after="0" w:line="360" w:lineRule="auto"/>
              <w:jc w:val="both"/>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lang w:eastAsia="zh-CN"/>
              </w:rPr>
              <w:t>（2）允许分包的金额或者比例：；</w:t>
            </w:r>
          </w:p>
          <w:p w14:paraId="68B23DD3">
            <w:pPr>
              <w:pStyle w:val="7"/>
              <w:widowControl w:val="0"/>
              <w:spacing w:after="0" w:line="360" w:lineRule="auto"/>
              <w:jc w:val="both"/>
              <w:rPr>
                <w:rFonts w:hint="eastAsia" w:ascii="宋体" w:hAnsi="宋体" w:eastAsia="宋体" w:cs="宋体"/>
                <w:color w:val="auto"/>
                <w:highlight w:val="none"/>
                <w:lang w:eastAsia="zh-CN"/>
              </w:rPr>
            </w:pPr>
            <w:r>
              <w:rPr>
                <w:rFonts w:hint="eastAsia" w:ascii="宋体" w:hAnsi="宋体" w:eastAsia="宋体" w:cs="宋体"/>
                <w:color w:val="auto"/>
                <w:szCs w:val="24"/>
                <w:highlight w:val="none"/>
                <w:lang w:eastAsia="zh-CN"/>
              </w:rPr>
              <w:t>（3）其他要求：。</w:t>
            </w:r>
          </w:p>
        </w:tc>
      </w:tr>
      <w:tr w14:paraId="08EF79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47" w:hRule="atLeast"/>
          <w:jc w:val="center"/>
        </w:trPr>
        <w:tc>
          <w:tcPr>
            <w:tcW w:w="945" w:type="dxa"/>
            <w:vAlign w:val="center"/>
          </w:tcPr>
          <w:p w14:paraId="7143452E">
            <w:pPr>
              <w:widowControl w:val="0"/>
              <w:spacing w:before="308" w:line="184"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0</w:t>
            </w:r>
          </w:p>
        </w:tc>
        <w:tc>
          <w:tcPr>
            <w:tcW w:w="1255" w:type="dxa"/>
            <w:vAlign w:val="center"/>
          </w:tcPr>
          <w:p w14:paraId="372DD6F1">
            <w:pPr>
              <w:widowControl w:val="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开标时间</w:t>
            </w:r>
          </w:p>
          <w:p w14:paraId="527CE6C7">
            <w:pPr>
              <w:widowControl w:val="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及地点</w:t>
            </w:r>
          </w:p>
        </w:tc>
        <w:tc>
          <w:tcPr>
            <w:tcW w:w="7161" w:type="dxa"/>
            <w:vAlign w:val="center"/>
          </w:tcPr>
          <w:p w14:paraId="5B9CEF68">
            <w:pPr>
              <w:widowControl w:val="0"/>
              <w:spacing w:line="360" w:lineRule="auto"/>
              <w:ind w:right="109" w:firstLine="241" w:firstLineChars="100"/>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开标时间：详见“第一章 投标邀请 ”</w:t>
            </w:r>
          </w:p>
          <w:p w14:paraId="46DF3A54">
            <w:pPr>
              <w:widowControl w:val="0"/>
              <w:spacing w:line="360" w:lineRule="auto"/>
              <w:ind w:right="109" w:firstLine="241" w:firstLineChars="100"/>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开标地点：详见“第一章 投标邀请 ”</w:t>
            </w:r>
          </w:p>
        </w:tc>
      </w:tr>
      <w:tr w14:paraId="0F7F7F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73" w:hRule="atLeast"/>
          <w:jc w:val="center"/>
        </w:trPr>
        <w:tc>
          <w:tcPr>
            <w:tcW w:w="945" w:type="dxa"/>
            <w:vAlign w:val="center"/>
          </w:tcPr>
          <w:p w14:paraId="17167D86">
            <w:pPr>
              <w:widowControl w:val="0"/>
              <w:spacing w:before="78" w:line="184"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rPr>
              <w:t>.1</w:t>
            </w:r>
          </w:p>
        </w:tc>
        <w:tc>
          <w:tcPr>
            <w:tcW w:w="1255" w:type="dxa"/>
            <w:vAlign w:val="center"/>
          </w:tcPr>
          <w:p w14:paraId="07320BD3">
            <w:pPr>
              <w:widowControl w:val="0"/>
              <w:spacing w:before="78" w:line="184"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评标方法</w:t>
            </w:r>
          </w:p>
        </w:tc>
        <w:tc>
          <w:tcPr>
            <w:tcW w:w="7161" w:type="dxa"/>
          </w:tcPr>
          <w:p w14:paraId="13E599FF">
            <w:pPr>
              <w:widowControl w:val="0"/>
              <w:spacing w:line="360" w:lineRule="auto"/>
              <w:ind w:firstLine="240" w:firstLineChars="1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sym w:font="Wingdings 2" w:char="00A3"/>
            </w:r>
            <w:r>
              <w:rPr>
                <w:rFonts w:hint="eastAsia" w:ascii="宋体" w:hAnsi="宋体" w:eastAsia="宋体" w:cs="宋体"/>
                <w:color w:val="auto"/>
                <w:sz w:val="24"/>
                <w:szCs w:val="24"/>
                <w:highlight w:val="none"/>
                <w:lang w:eastAsia="zh-CN"/>
              </w:rPr>
              <w:t>最低评标价法</w:t>
            </w:r>
          </w:p>
          <w:p w14:paraId="01B26283">
            <w:pPr>
              <w:widowControl w:val="0"/>
              <w:spacing w:line="360" w:lineRule="auto"/>
              <w:ind w:right="109" w:firstLine="240" w:firstLineChars="1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sym w:font="Wingdings 2" w:char="0052"/>
            </w:r>
            <w:r>
              <w:rPr>
                <w:rFonts w:hint="eastAsia" w:ascii="宋体" w:hAnsi="宋体" w:eastAsia="宋体" w:cs="宋体"/>
                <w:color w:val="auto"/>
                <w:sz w:val="24"/>
                <w:szCs w:val="24"/>
                <w:highlight w:val="none"/>
                <w:lang w:eastAsia="zh-CN"/>
              </w:rPr>
              <w:t xml:space="preserve">  综合评分法</w:t>
            </w:r>
          </w:p>
          <w:p w14:paraId="56E50CDA">
            <w:pPr>
              <w:widowControl w:val="0"/>
              <w:spacing w:line="360" w:lineRule="auto"/>
              <w:ind w:left="235" w:leftChars="-270" w:right="109" w:hanging="802" w:hangingChars="333"/>
              <w:rPr>
                <w:rFonts w:hint="eastAsia" w:ascii="宋体" w:hAnsi="宋体" w:eastAsia="宋体" w:cs="宋体"/>
                <w:color w:val="auto"/>
                <w:highlight w:val="none"/>
                <w:lang w:eastAsia="zh-CN"/>
              </w:rPr>
            </w:pPr>
            <w:r>
              <w:rPr>
                <w:rFonts w:hint="eastAsia" w:ascii="宋体" w:hAnsi="宋体" w:eastAsia="宋体" w:cs="宋体"/>
                <w:b/>
                <w:color w:val="auto"/>
                <w:sz w:val="24"/>
                <w:szCs w:val="24"/>
                <w:highlight w:val="none"/>
                <w:lang w:eastAsia="zh-CN"/>
              </w:rPr>
              <w:t>对</w:t>
            </w:r>
            <w:r>
              <w:rPr>
                <w:rFonts w:hint="eastAsia" w:ascii="宋体" w:hAnsi="宋体" w:eastAsia="宋体" w:cs="宋体"/>
                <w:b/>
                <w:bCs/>
                <w:color w:val="auto"/>
                <w:sz w:val="24"/>
                <w:szCs w:val="24"/>
                <w:highlight w:val="none"/>
                <w:lang w:eastAsia="zh-CN"/>
              </w:rPr>
              <w:t>对</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lang w:eastAsia="zh-CN"/>
              </w:rPr>
              <w:t>小 型、微型企业和监狱企业、残疾人福利性单位的报价给予</w:t>
            </w:r>
            <w:r>
              <w:rPr>
                <w:rFonts w:hint="eastAsia" w:ascii="宋体" w:hAnsi="宋体" w:eastAsia="宋体" w:cs="宋体"/>
                <w:color w:val="auto"/>
                <w:sz w:val="24"/>
                <w:szCs w:val="24"/>
                <w:highlight w:val="none"/>
                <w:u w:val="single"/>
                <w:lang w:eastAsia="zh-CN"/>
              </w:rPr>
              <w:t xml:space="preserve">  /  </w:t>
            </w:r>
            <w:r>
              <w:rPr>
                <w:rFonts w:hint="eastAsia" w:ascii="宋体" w:hAnsi="宋体" w:eastAsia="宋体" w:cs="宋体"/>
                <w:b/>
                <w:bCs/>
                <w:color w:val="auto"/>
                <w:sz w:val="24"/>
                <w:szCs w:val="24"/>
                <w:highlight w:val="none"/>
                <w:lang w:eastAsia="zh-CN"/>
              </w:rPr>
              <w:t xml:space="preserve"> 比例的扣除，用扣除后的价格参与评审。</w:t>
            </w:r>
            <w:r>
              <w:rPr>
                <w:rFonts w:hint="eastAsia" w:ascii="宋体" w:hAnsi="宋体" w:eastAsia="宋体" w:cs="宋体"/>
                <w:b/>
                <w:bCs/>
                <w:i/>
                <w:iCs/>
                <w:color w:val="auto"/>
                <w:sz w:val="24"/>
                <w:szCs w:val="24"/>
                <w:highlight w:val="none"/>
                <w:lang w:eastAsia="zh-CN"/>
              </w:rPr>
              <w:t>（本项目不适用）</w:t>
            </w:r>
          </w:p>
        </w:tc>
      </w:tr>
      <w:tr w14:paraId="28FA27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7" w:hRule="atLeast"/>
          <w:jc w:val="center"/>
        </w:trPr>
        <w:tc>
          <w:tcPr>
            <w:tcW w:w="945" w:type="dxa"/>
            <w:vAlign w:val="center"/>
          </w:tcPr>
          <w:p w14:paraId="2C36F649">
            <w:pPr>
              <w:widowControl w:val="0"/>
              <w:spacing w:before="78" w:line="184"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22.2</w:t>
            </w:r>
          </w:p>
        </w:tc>
        <w:tc>
          <w:tcPr>
            <w:tcW w:w="1255" w:type="dxa"/>
            <w:vAlign w:val="center"/>
          </w:tcPr>
          <w:p w14:paraId="34BCEA52">
            <w:pPr>
              <w:widowControl w:val="0"/>
              <w:spacing w:before="78" w:line="184"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评标标准</w:t>
            </w:r>
          </w:p>
        </w:tc>
        <w:tc>
          <w:tcPr>
            <w:tcW w:w="7161" w:type="dxa"/>
            <w:vAlign w:val="center"/>
          </w:tcPr>
          <w:p w14:paraId="0E225D10">
            <w:pPr>
              <w:widowControl w:val="0"/>
              <w:ind w:left="113"/>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详见招标文件第六章 评标方法</w:t>
            </w:r>
          </w:p>
        </w:tc>
      </w:tr>
      <w:tr w14:paraId="7A07A6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945" w:type="dxa"/>
            <w:vAlign w:val="center"/>
          </w:tcPr>
          <w:p w14:paraId="08931691">
            <w:pPr>
              <w:widowControl w:val="0"/>
              <w:spacing w:before="217" w:line="183"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7.1</w:t>
            </w:r>
          </w:p>
        </w:tc>
        <w:tc>
          <w:tcPr>
            <w:tcW w:w="1255" w:type="dxa"/>
            <w:vAlign w:val="center"/>
          </w:tcPr>
          <w:p w14:paraId="4109F664">
            <w:pPr>
              <w:widowControl w:val="0"/>
              <w:spacing w:before="217" w:line="183"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履约保证金</w:t>
            </w:r>
          </w:p>
        </w:tc>
        <w:tc>
          <w:tcPr>
            <w:tcW w:w="7161" w:type="dxa"/>
            <w:vAlign w:val="bottom"/>
          </w:tcPr>
          <w:p w14:paraId="700243B9">
            <w:pPr>
              <w:widowControl w:val="0"/>
              <w:spacing w:before="40" w:line="360" w:lineRule="auto"/>
              <w:ind w:left="113"/>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履约保证金金额：</w:t>
            </w:r>
            <w:r>
              <w:rPr>
                <w:rFonts w:hint="eastAsia" w:ascii="宋体" w:hAnsi="宋体" w:eastAsia="宋体" w:cs="宋体"/>
                <w:bCs/>
                <w:color w:val="auto"/>
                <w:sz w:val="24"/>
                <w:highlight w:val="none"/>
              </w:rPr>
              <w:t>合同金额</w:t>
            </w:r>
            <w:r>
              <w:rPr>
                <w:rFonts w:hint="eastAsia" w:ascii="宋体" w:hAnsi="宋体" w:eastAsia="宋体" w:cs="宋体"/>
                <w:bCs/>
                <w:color w:val="auto"/>
                <w:sz w:val="24"/>
                <w:highlight w:val="none"/>
                <w:lang w:val="en-US" w:eastAsia="zh-CN"/>
              </w:rPr>
              <w:t>的</w:t>
            </w:r>
            <w:r>
              <w:rPr>
                <w:rFonts w:hint="eastAsia" w:ascii="宋体" w:hAnsi="宋体" w:eastAsia="宋体" w:cs="宋体"/>
                <w:bCs/>
                <w:color w:val="auto"/>
                <w:sz w:val="24"/>
                <w:highlight w:val="none"/>
              </w:rPr>
              <w:t>5%</w:t>
            </w:r>
            <w:r>
              <w:rPr>
                <w:rFonts w:hint="eastAsia" w:ascii="宋体" w:hAnsi="宋体" w:eastAsia="宋体" w:cs="宋体"/>
                <w:bCs/>
                <w:color w:val="auto"/>
                <w:sz w:val="24"/>
                <w:highlight w:val="none"/>
                <w:lang w:eastAsia="zh-CN"/>
              </w:rPr>
              <w:t>；</w:t>
            </w:r>
          </w:p>
          <w:p w14:paraId="0DCC6EB7">
            <w:pPr>
              <w:widowControl w:val="0"/>
              <w:spacing w:line="360" w:lineRule="auto"/>
              <w:ind w:left="216" w:leftChars="103" w:right="109" w:firstLine="10"/>
              <w:jc w:val="both"/>
              <w:rPr>
                <w:rFonts w:hint="eastAsia" w:ascii="宋体" w:hAnsi="宋体" w:eastAsia="宋体" w:cs="宋体"/>
                <w:b/>
                <w:bCs/>
                <w:color w:val="auto"/>
                <w:sz w:val="24"/>
                <w:szCs w:val="24"/>
                <w:highlight w:val="none"/>
                <w:lang w:eastAsia="zh-CN"/>
              </w:rPr>
            </w:pPr>
            <w:r>
              <w:rPr>
                <w:rFonts w:hint="eastAsia" w:ascii="宋体" w:hAnsi="宋体" w:eastAsia="宋体" w:cs="宋体"/>
                <w:color w:val="auto"/>
                <w:sz w:val="24"/>
                <w:szCs w:val="24"/>
                <w:highlight w:val="none"/>
              </w:rPr>
              <w:t>合同签订后3</w:t>
            </w:r>
            <w:r>
              <w:rPr>
                <w:rFonts w:hint="eastAsia" w:ascii="宋体" w:hAnsi="宋体" w:eastAsia="宋体" w:cs="宋体"/>
                <w:color w:val="auto"/>
                <w:sz w:val="24"/>
                <w:highlight w:val="none"/>
              </w:rPr>
              <w:t>个工作日内</w:t>
            </w:r>
            <w:r>
              <w:rPr>
                <w:rFonts w:hint="eastAsia" w:ascii="宋体" w:hAnsi="宋体" w:eastAsia="宋体" w:cs="宋体"/>
                <w:color w:val="auto"/>
                <w:spacing w:val="-1"/>
                <w:sz w:val="24"/>
                <w:szCs w:val="24"/>
                <w:highlight w:val="none"/>
                <w:lang w:eastAsia="zh-CN"/>
              </w:rPr>
              <w:t>，中标人支付履约保证金到采购人账户</w:t>
            </w:r>
            <w:r>
              <w:rPr>
                <w:rFonts w:hint="eastAsia" w:ascii="宋体" w:hAnsi="宋体" w:eastAsia="宋体" w:cs="宋体"/>
                <w:bCs/>
                <w:color w:val="auto"/>
                <w:sz w:val="24"/>
                <w:highlight w:val="none"/>
              </w:rPr>
              <w:t>（</w:t>
            </w:r>
            <w:r>
              <w:rPr>
                <w:rFonts w:hint="eastAsia" w:ascii="宋体" w:hAnsi="宋体" w:eastAsia="宋体" w:cs="宋体"/>
                <w:color w:val="auto"/>
                <w:sz w:val="24"/>
                <w:highlight w:val="none"/>
              </w:rPr>
              <w:t>单位名称：</w:t>
            </w:r>
            <w:r>
              <w:rPr>
                <w:rFonts w:hint="eastAsia" w:ascii="宋体" w:hAnsi="宋体" w:eastAsia="宋体" w:cs="宋体"/>
                <w:color w:val="auto"/>
                <w:sz w:val="24"/>
                <w:highlight w:val="none"/>
                <w:lang w:val="en-US" w:eastAsia="zh-CN"/>
              </w:rPr>
              <w:t>江西吉瑞实业有限公司</w:t>
            </w:r>
            <w:r>
              <w:rPr>
                <w:rFonts w:hint="eastAsia" w:ascii="宋体" w:hAnsi="宋体" w:eastAsia="宋体" w:cs="宋体"/>
                <w:color w:val="auto"/>
                <w:sz w:val="24"/>
                <w:highlight w:val="none"/>
              </w:rPr>
              <w:t>；开户银行：</w:t>
            </w:r>
            <w:r>
              <w:rPr>
                <w:rFonts w:hint="eastAsia" w:ascii="宋体" w:hAnsi="宋体" w:eastAsia="宋体" w:cs="宋体"/>
                <w:color w:val="auto"/>
                <w:sz w:val="24"/>
                <w:highlight w:val="none"/>
                <w:lang w:val="en-US" w:eastAsia="zh-CN"/>
              </w:rPr>
              <w:t>农行吉安吉州支行营业部</w:t>
            </w:r>
            <w:r>
              <w:rPr>
                <w:rFonts w:hint="eastAsia" w:ascii="宋体" w:hAnsi="宋体" w:eastAsia="宋体" w:cs="宋体"/>
                <w:color w:val="auto"/>
                <w:sz w:val="24"/>
                <w:highlight w:val="none"/>
              </w:rPr>
              <w:t>；账号：</w:t>
            </w:r>
            <w:r>
              <w:rPr>
                <w:rFonts w:hint="eastAsia" w:ascii="宋体" w:hAnsi="宋体" w:eastAsia="宋体" w:cs="宋体"/>
                <w:color w:val="auto"/>
                <w:sz w:val="24"/>
                <w:highlight w:val="none"/>
                <w:lang w:val="en-US" w:eastAsia="zh-CN"/>
              </w:rPr>
              <w:t>14093101040001350</w:t>
            </w:r>
            <w:r>
              <w:rPr>
                <w:rFonts w:hint="eastAsia" w:ascii="宋体" w:hAnsi="宋体" w:eastAsia="宋体" w:cs="宋体"/>
                <w:bCs/>
                <w:color w:val="auto"/>
                <w:sz w:val="24"/>
                <w:highlight w:val="none"/>
              </w:rPr>
              <w:t>）</w:t>
            </w:r>
            <w:r>
              <w:rPr>
                <w:rFonts w:hint="eastAsia" w:ascii="宋体" w:hAnsi="宋体" w:eastAsia="宋体" w:cs="宋体"/>
                <w:color w:val="auto"/>
                <w:spacing w:val="-1"/>
                <w:sz w:val="24"/>
                <w:szCs w:val="24"/>
                <w:highlight w:val="none"/>
                <w:lang w:eastAsia="zh-CN"/>
              </w:rPr>
              <w:t>，履约保证金以投标人基本账户银行转账形式提交</w:t>
            </w:r>
            <w:r>
              <w:rPr>
                <w:rFonts w:hint="eastAsia" w:ascii="宋体" w:hAnsi="宋体" w:eastAsia="宋体" w:cs="宋体"/>
                <w:b/>
                <w:bCs/>
                <w:color w:val="auto"/>
                <w:sz w:val="24"/>
                <w:szCs w:val="24"/>
                <w:highlight w:val="none"/>
                <w:lang w:eastAsia="zh-CN"/>
              </w:rPr>
              <w:t>。</w:t>
            </w:r>
          </w:p>
          <w:p w14:paraId="17811BF1">
            <w:pPr>
              <w:spacing w:line="360" w:lineRule="auto"/>
              <w:ind w:left="216" w:leftChars="103"/>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履约保证金的退还：</w:t>
            </w:r>
            <w:r>
              <w:rPr>
                <w:rFonts w:hint="eastAsia" w:ascii="宋体" w:hAnsi="宋体" w:eastAsia="宋体" w:cs="宋体"/>
                <w:color w:val="auto"/>
                <w:sz w:val="24"/>
                <w:szCs w:val="24"/>
                <w:highlight w:val="none"/>
                <w:u w:val="single"/>
                <w:lang w:val="en-US" w:eastAsia="zh-CN"/>
              </w:rPr>
              <w:t>合同履约完成后15个工作日内无息退还</w:t>
            </w:r>
            <w:r>
              <w:rPr>
                <w:rFonts w:hint="eastAsia" w:ascii="宋体" w:hAnsi="宋体" w:eastAsia="宋体" w:cs="宋体"/>
                <w:color w:val="auto"/>
                <w:spacing w:val="-1"/>
                <w:sz w:val="24"/>
                <w:szCs w:val="24"/>
                <w:highlight w:val="none"/>
                <w:u w:val="single"/>
                <w:lang w:val="en-US" w:eastAsia="zh-CN"/>
              </w:rPr>
              <w:t xml:space="preserve"> </w:t>
            </w:r>
            <w:r>
              <w:rPr>
                <w:rFonts w:hint="eastAsia" w:ascii="宋体" w:hAnsi="宋体" w:eastAsia="宋体" w:cs="宋体"/>
                <w:color w:val="auto"/>
                <w:spacing w:val="-1"/>
                <w:sz w:val="24"/>
                <w:szCs w:val="24"/>
                <w:highlight w:val="none"/>
                <w:u w:val="single"/>
                <w:lang w:eastAsia="zh-CN"/>
              </w:rPr>
              <w:t>。</w:t>
            </w:r>
          </w:p>
          <w:p w14:paraId="3EC8D367">
            <w:pPr>
              <w:spacing w:line="360" w:lineRule="auto"/>
              <w:ind w:left="216" w:leftChars="103"/>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履约保证金不予退还情形：</w:t>
            </w:r>
            <w:r>
              <w:rPr>
                <w:rFonts w:hint="eastAsia" w:ascii="宋体" w:hAnsi="宋体" w:eastAsia="宋体" w:cs="宋体"/>
                <w:color w:val="auto"/>
                <w:sz w:val="24"/>
                <w:szCs w:val="24"/>
                <w:highlight w:val="none"/>
                <w:u w:val="single"/>
                <w:lang w:eastAsia="zh-CN"/>
              </w:rPr>
              <w:t>违反合同或招标文件约定。</w:t>
            </w:r>
          </w:p>
        </w:tc>
      </w:tr>
      <w:tr w14:paraId="36953F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8" w:hRule="atLeast"/>
          <w:jc w:val="center"/>
        </w:trPr>
        <w:tc>
          <w:tcPr>
            <w:tcW w:w="945" w:type="dxa"/>
            <w:vAlign w:val="center"/>
          </w:tcPr>
          <w:p w14:paraId="4B36F7F3">
            <w:pPr>
              <w:widowControl w:val="0"/>
              <w:spacing w:before="208" w:line="183"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30.6</w:t>
            </w:r>
          </w:p>
        </w:tc>
        <w:tc>
          <w:tcPr>
            <w:tcW w:w="1255" w:type="dxa"/>
            <w:vAlign w:val="center"/>
          </w:tcPr>
          <w:p w14:paraId="21D7BE8B">
            <w:pPr>
              <w:widowControl w:val="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询问、质疑联系方式</w:t>
            </w:r>
          </w:p>
        </w:tc>
        <w:tc>
          <w:tcPr>
            <w:tcW w:w="7161" w:type="dxa"/>
            <w:vAlign w:val="center"/>
          </w:tcPr>
          <w:p w14:paraId="7B452C18">
            <w:pPr>
              <w:widowControl w:val="0"/>
              <w:spacing w:before="208"/>
              <w:ind w:firstLine="232" w:firstLineChars="100"/>
              <w:rPr>
                <w:rFonts w:hint="eastAsia"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lang w:eastAsia="zh-CN"/>
              </w:rPr>
              <w:t>1、对招标文件质疑</w:t>
            </w:r>
          </w:p>
          <w:p w14:paraId="4B9FF0C0">
            <w:pPr>
              <w:widowControl w:val="0"/>
              <w:spacing w:before="208"/>
              <w:ind w:firstLine="232" w:firstLineChars="100"/>
              <w:rPr>
                <w:rFonts w:hint="eastAsia"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lang w:eastAsia="zh-CN"/>
              </w:rPr>
              <w:t>接收部门：吉安城投建设监理有限公司</w:t>
            </w:r>
          </w:p>
          <w:p w14:paraId="38033651">
            <w:pPr>
              <w:widowControl w:val="0"/>
              <w:spacing w:before="208"/>
              <w:ind w:firstLine="232" w:firstLineChars="100"/>
              <w:rPr>
                <w:rFonts w:hint="eastAsia"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lang w:eastAsia="zh-CN"/>
              </w:rPr>
              <w:t>联系电话：0796-8221186</w:t>
            </w:r>
          </w:p>
          <w:p w14:paraId="0F515322">
            <w:pPr>
              <w:widowControl w:val="0"/>
              <w:spacing w:before="208"/>
              <w:ind w:firstLine="232" w:firstLineChars="100"/>
              <w:rPr>
                <w:rFonts w:hint="eastAsia"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lang w:eastAsia="zh-CN"/>
              </w:rPr>
              <w:t>通讯地址：</w:t>
            </w:r>
            <w:r>
              <w:rPr>
                <w:rFonts w:hint="eastAsia" w:ascii="宋体" w:hAnsi="宋体" w:eastAsia="宋体" w:cs="宋体"/>
                <w:color w:val="auto"/>
                <w:spacing w:val="-2"/>
                <w:sz w:val="24"/>
                <w:szCs w:val="24"/>
                <w:highlight w:val="none"/>
                <w:lang w:eastAsia="zh-CN"/>
              </w:rPr>
              <w:t>江西省吉安市高铁新区五指峰吉安市总部经济大厦515室。</w:t>
            </w:r>
          </w:p>
          <w:p w14:paraId="2C5C13A7">
            <w:pPr>
              <w:widowControl w:val="0"/>
              <w:spacing w:before="208"/>
              <w:ind w:firstLine="232" w:firstLineChars="100"/>
              <w:rPr>
                <w:rFonts w:hint="eastAsia"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lang w:eastAsia="zh-CN"/>
              </w:rPr>
              <w:t>电子邮箱：jactjl_shichangbu@163.com</w:t>
            </w:r>
          </w:p>
          <w:p w14:paraId="48D94846">
            <w:pPr>
              <w:widowControl w:val="0"/>
              <w:spacing w:before="208"/>
              <w:ind w:firstLine="232" w:firstLineChars="100"/>
              <w:rPr>
                <w:rFonts w:hint="eastAsia"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lang w:eastAsia="zh-CN"/>
              </w:rPr>
              <w:t>2、对招标过程、中标结果质疑</w:t>
            </w:r>
          </w:p>
          <w:p w14:paraId="62495AFF">
            <w:pPr>
              <w:widowControl w:val="0"/>
              <w:spacing w:before="208"/>
              <w:ind w:firstLine="232" w:firstLineChars="100"/>
              <w:rPr>
                <w:rFonts w:hint="eastAsia"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lang w:eastAsia="zh-CN"/>
              </w:rPr>
              <w:t>接收部门：吉安城投建设监理有限公司</w:t>
            </w:r>
          </w:p>
          <w:p w14:paraId="000E1AB9">
            <w:pPr>
              <w:widowControl w:val="0"/>
              <w:spacing w:before="208"/>
              <w:ind w:firstLine="232" w:firstLineChars="100"/>
              <w:rPr>
                <w:rFonts w:hint="eastAsia"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lang w:eastAsia="zh-CN"/>
              </w:rPr>
              <w:t>联系电话：</w:t>
            </w:r>
            <w:r>
              <w:rPr>
                <w:rFonts w:hint="eastAsia" w:ascii="宋体" w:hAnsi="宋体" w:eastAsia="宋体" w:cs="宋体"/>
                <w:color w:val="auto"/>
                <w:spacing w:val="-7"/>
                <w:sz w:val="24"/>
                <w:szCs w:val="24"/>
                <w:highlight w:val="none"/>
                <w:lang w:eastAsia="zh-CN"/>
              </w:rPr>
              <w:t>0796-8221186</w:t>
            </w:r>
          </w:p>
          <w:p w14:paraId="01B5072E">
            <w:pPr>
              <w:widowControl w:val="0"/>
              <w:spacing w:before="208"/>
              <w:ind w:firstLine="232" w:firstLineChars="100"/>
              <w:rPr>
                <w:rFonts w:hint="eastAsia"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lang w:eastAsia="zh-CN"/>
              </w:rPr>
              <w:t>通讯地址：</w:t>
            </w:r>
            <w:r>
              <w:rPr>
                <w:rFonts w:hint="eastAsia" w:ascii="宋体" w:hAnsi="宋体" w:eastAsia="宋体" w:cs="宋体"/>
                <w:color w:val="auto"/>
                <w:spacing w:val="-2"/>
                <w:sz w:val="24"/>
                <w:szCs w:val="24"/>
                <w:highlight w:val="none"/>
                <w:lang w:eastAsia="zh-CN"/>
              </w:rPr>
              <w:t>江西省吉安市高铁新区五指峰吉安市总部经济大厦515室。</w:t>
            </w:r>
          </w:p>
          <w:p w14:paraId="043E8FA0">
            <w:pPr>
              <w:widowControl w:val="0"/>
              <w:spacing w:before="208" w:line="360" w:lineRule="auto"/>
              <w:ind w:firstLine="232" w:firstLineChars="100"/>
              <w:jc w:val="both"/>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电子邮箱：</w:t>
            </w:r>
            <w:r>
              <w:rPr>
                <w:rFonts w:hint="eastAsia" w:ascii="宋体" w:hAnsi="宋体" w:eastAsia="宋体" w:cs="宋体"/>
                <w:color w:val="auto"/>
                <w:spacing w:val="-4"/>
                <w:sz w:val="24"/>
                <w:szCs w:val="24"/>
                <w:highlight w:val="none"/>
                <w:lang w:eastAsia="zh-CN"/>
              </w:rPr>
              <w:t>jactjl_shichangbu@163.com</w:t>
            </w:r>
          </w:p>
        </w:tc>
      </w:tr>
      <w:tr w14:paraId="223EF7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8" w:hRule="atLeast"/>
          <w:jc w:val="center"/>
        </w:trPr>
        <w:tc>
          <w:tcPr>
            <w:tcW w:w="945" w:type="dxa"/>
            <w:vAlign w:val="center"/>
          </w:tcPr>
          <w:p w14:paraId="189F0C3A">
            <w:pPr>
              <w:widowControl w:val="0"/>
              <w:spacing w:before="199" w:line="183"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1</w:t>
            </w:r>
          </w:p>
        </w:tc>
        <w:tc>
          <w:tcPr>
            <w:tcW w:w="1255" w:type="dxa"/>
            <w:vAlign w:val="center"/>
          </w:tcPr>
          <w:p w14:paraId="5EB80599">
            <w:pPr>
              <w:widowControl w:val="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采购代理</w:t>
            </w:r>
          </w:p>
          <w:p w14:paraId="738A6431">
            <w:pPr>
              <w:widowControl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服务费</w:t>
            </w:r>
          </w:p>
        </w:tc>
        <w:tc>
          <w:tcPr>
            <w:tcW w:w="7161" w:type="dxa"/>
            <w:vAlign w:val="center"/>
          </w:tcPr>
          <w:p w14:paraId="39FF5E15">
            <w:pPr>
              <w:spacing w:line="440" w:lineRule="exact"/>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由中标人在领取中标通知书时，向招标代理机构支付。</w:t>
            </w:r>
          </w:p>
          <w:p w14:paraId="1C41616B">
            <w:pPr>
              <w:widowControl w:val="0"/>
              <w:spacing w:before="40" w:line="360" w:lineRule="auto"/>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采购代理服务费：</w:t>
            </w:r>
            <w:r>
              <w:rPr>
                <w:rFonts w:hint="eastAsia" w:ascii="宋体" w:hAnsi="宋体" w:eastAsia="宋体" w:cs="宋体"/>
                <w:color w:val="auto"/>
                <w:sz w:val="24"/>
                <w:szCs w:val="24"/>
                <w:highlight w:val="none"/>
                <w:lang w:val="en-US" w:eastAsia="zh-CN"/>
              </w:rPr>
              <w:t>参照发改办价格〔2003〕857号”文及“计价格〔2002〕1980号”文规定收费标准的80%计算</w:t>
            </w:r>
            <w:r>
              <w:rPr>
                <w:rFonts w:hint="eastAsia" w:ascii="宋体" w:hAnsi="宋体" w:eastAsia="宋体" w:cs="宋体"/>
                <w:color w:val="auto"/>
                <w:sz w:val="24"/>
                <w:szCs w:val="24"/>
                <w:highlight w:val="none"/>
                <w:lang w:eastAsia="zh-CN"/>
              </w:rPr>
              <w:t>。</w:t>
            </w:r>
          </w:p>
        </w:tc>
      </w:tr>
    </w:tbl>
    <w:p w14:paraId="01F89FC9">
      <w:pPr>
        <w:widowControl w:val="0"/>
        <w:rPr>
          <w:rFonts w:hint="eastAsia" w:ascii="宋体" w:hAnsi="宋体" w:eastAsia="宋体" w:cs="宋体"/>
          <w:color w:val="auto"/>
          <w:highlight w:val="none"/>
          <w:lang w:eastAsia="zh-CN"/>
        </w:rPr>
        <w:sectPr>
          <w:footerReference r:id="rId5" w:type="default"/>
          <w:pgSz w:w="11906" w:h="16839"/>
          <w:pgMar w:top="1440" w:right="1800" w:bottom="1440" w:left="1800" w:header="0" w:footer="1200" w:gutter="0"/>
          <w:pgNumType w:fmt="decimal"/>
          <w:cols w:space="720" w:num="1"/>
        </w:sectPr>
      </w:pPr>
    </w:p>
    <w:p w14:paraId="1CFD08CB">
      <w:pPr>
        <w:widowControl w:val="0"/>
        <w:spacing w:before="78" w:line="220" w:lineRule="auto"/>
        <w:jc w:val="center"/>
        <w:outlineLvl w:val="1"/>
        <w:rPr>
          <w:rFonts w:hint="eastAsia" w:ascii="宋体" w:hAnsi="宋体" w:eastAsia="宋体" w:cs="宋体"/>
          <w:color w:val="auto"/>
          <w:sz w:val="24"/>
          <w:szCs w:val="24"/>
          <w:highlight w:val="none"/>
          <w:lang w:eastAsia="zh-CN"/>
        </w:rPr>
      </w:pPr>
      <w:bookmarkStart w:id="32" w:name="_Toc26536"/>
      <w:bookmarkStart w:id="33" w:name="_Toc22913"/>
      <w:r>
        <w:rPr>
          <w:rFonts w:hint="eastAsia" w:ascii="宋体" w:hAnsi="宋体" w:eastAsia="宋体" w:cs="宋体"/>
          <w:color w:val="auto"/>
          <w:sz w:val="24"/>
          <w:szCs w:val="24"/>
          <w:highlight w:val="none"/>
          <w:lang w:eastAsia="zh-CN"/>
        </w:rPr>
        <w:t>二、招标</w:t>
      </w:r>
      <w:bookmarkEnd w:id="32"/>
      <w:bookmarkEnd w:id="33"/>
    </w:p>
    <w:p w14:paraId="4BD20C5C">
      <w:pPr>
        <w:widowControl w:val="0"/>
        <w:spacing w:line="363" w:lineRule="auto"/>
        <w:rPr>
          <w:rFonts w:hint="eastAsia" w:ascii="宋体" w:hAnsi="宋体" w:eastAsia="宋体" w:cs="宋体"/>
          <w:color w:val="auto"/>
          <w:highlight w:val="none"/>
          <w:lang w:eastAsia="zh-CN"/>
        </w:rPr>
      </w:pPr>
    </w:p>
    <w:p w14:paraId="4E62F8CD">
      <w:pPr>
        <w:widowControl w:val="0"/>
        <w:spacing w:line="220" w:lineRule="auto"/>
        <w:ind w:left="529"/>
        <w:jc w:val="both"/>
        <w:outlineLvl w:val="2"/>
        <w:rPr>
          <w:rFonts w:hint="eastAsia" w:ascii="宋体" w:hAnsi="宋体" w:eastAsia="宋体" w:cs="宋体"/>
          <w:color w:val="auto"/>
          <w:sz w:val="24"/>
          <w:szCs w:val="24"/>
          <w:highlight w:val="none"/>
          <w:lang w:eastAsia="zh-CN"/>
        </w:rPr>
      </w:pPr>
      <w:bookmarkStart w:id="34" w:name="_Toc15615"/>
      <w:bookmarkStart w:id="35" w:name="_Toc22219"/>
      <w:r>
        <w:rPr>
          <w:rFonts w:hint="eastAsia" w:ascii="宋体" w:hAnsi="宋体" w:eastAsia="宋体" w:cs="宋体"/>
          <w:color w:val="auto"/>
          <w:sz w:val="24"/>
          <w:szCs w:val="24"/>
          <w:highlight w:val="none"/>
          <w:lang w:eastAsia="zh-CN"/>
        </w:rPr>
        <w:t>1.适用范围</w:t>
      </w:r>
      <w:bookmarkEnd w:id="34"/>
      <w:bookmarkEnd w:id="35"/>
    </w:p>
    <w:p w14:paraId="063FA593">
      <w:pPr>
        <w:widowControl w:val="0"/>
        <w:spacing w:before="181" w:line="219" w:lineRule="auto"/>
        <w:ind w:left="529"/>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1.1 本招标文件仅适用于本“投标邀请 ”中所述所述相关服务的采购。</w:t>
      </w:r>
    </w:p>
    <w:p w14:paraId="4B7BE5E1">
      <w:pPr>
        <w:widowControl w:val="0"/>
        <w:spacing w:beforeLines="77" w:afterLines="121" w:line="220" w:lineRule="auto"/>
        <w:ind w:left="514"/>
        <w:jc w:val="both"/>
        <w:outlineLvl w:val="2"/>
        <w:rPr>
          <w:rFonts w:hint="eastAsia" w:ascii="宋体" w:hAnsi="宋体" w:eastAsia="宋体" w:cs="宋体"/>
          <w:color w:val="auto"/>
          <w:sz w:val="24"/>
          <w:szCs w:val="24"/>
          <w:highlight w:val="none"/>
          <w:lang w:eastAsia="zh-CN"/>
        </w:rPr>
      </w:pPr>
      <w:bookmarkStart w:id="36" w:name="_Toc21615"/>
      <w:bookmarkStart w:id="37" w:name="_Toc9600"/>
      <w:r>
        <w:rPr>
          <w:rFonts w:hint="eastAsia" w:ascii="宋体" w:hAnsi="宋体" w:eastAsia="宋体" w:cs="宋体"/>
          <w:color w:val="auto"/>
          <w:sz w:val="24"/>
          <w:szCs w:val="24"/>
          <w:highlight w:val="none"/>
          <w:lang w:eastAsia="zh-CN"/>
        </w:rPr>
        <w:t>2.定义</w:t>
      </w:r>
      <w:bookmarkEnd w:id="36"/>
      <w:bookmarkEnd w:id="37"/>
    </w:p>
    <w:p w14:paraId="238EC95D">
      <w:pPr>
        <w:widowControl w:val="0"/>
        <w:spacing w:line="219" w:lineRule="auto"/>
        <w:ind w:left="514"/>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2.1 采购人：详见“投标人须知前附表 ”。</w:t>
      </w:r>
    </w:p>
    <w:p w14:paraId="37EA6A16">
      <w:pPr>
        <w:widowControl w:val="0"/>
        <w:spacing w:before="304" w:line="219" w:lineRule="auto"/>
        <w:ind w:left="514"/>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2.2 采购代理机构：详见“投标人须知前附表 ”。</w:t>
      </w:r>
    </w:p>
    <w:p w14:paraId="2D2720C3">
      <w:pPr>
        <w:widowControl w:val="0"/>
        <w:spacing w:before="240" w:line="219" w:lineRule="auto"/>
        <w:ind w:left="514"/>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2.3 投标人：是指响应招标、参加投标竞争的法人、其他组织或者自然人。</w:t>
      </w:r>
    </w:p>
    <w:p w14:paraId="52B223A4">
      <w:pPr>
        <w:widowControl w:val="0"/>
        <w:spacing w:beforeLines="100" w:afterLines="100" w:line="219" w:lineRule="auto"/>
        <w:ind w:left="516"/>
        <w:jc w:val="both"/>
        <w:outlineLvl w:val="2"/>
        <w:rPr>
          <w:rFonts w:hint="eastAsia" w:ascii="宋体" w:hAnsi="宋体" w:eastAsia="宋体" w:cs="宋体"/>
          <w:color w:val="auto"/>
          <w:sz w:val="24"/>
          <w:szCs w:val="24"/>
          <w:highlight w:val="none"/>
          <w:lang w:eastAsia="zh-CN"/>
        </w:rPr>
      </w:pPr>
      <w:bookmarkStart w:id="38" w:name="_Toc6215"/>
      <w:bookmarkStart w:id="39" w:name="_Toc13630"/>
      <w:r>
        <w:rPr>
          <w:rFonts w:hint="eastAsia" w:ascii="宋体" w:hAnsi="宋体" w:eastAsia="宋体" w:cs="宋体"/>
          <w:color w:val="auto"/>
          <w:sz w:val="24"/>
          <w:szCs w:val="24"/>
          <w:highlight w:val="none"/>
          <w:lang w:eastAsia="zh-CN"/>
        </w:rPr>
        <w:t>3.合格投标人</w:t>
      </w:r>
      <w:bookmarkEnd w:id="38"/>
      <w:bookmarkEnd w:id="39"/>
    </w:p>
    <w:p w14:paraId="52E17CD6">
      <w:pPr>
        <w:widowControl w:val="0"/>
        <w:spacing w:line="360" w:lineRule="auto"/>
        <w:ind w:left="516"/>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3.1 投标人的资格条件： 详见“第一章 投标邀请 ”。</w:t>
      </w:r>
    </w:p>
    <w:p w14:paraId="65B5433C">
      <w:pPr>
        <w:widowControl w:val="0"/>
        <w:spacing w:before="120" w:line="360" w:lineRule="auto"/>
        <w:ind w:left="516"/>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3.2 联合体投标</w:t>
      </w:r>
    </w:p>
    <w:p w14:paraId="04E6C581">
      <w:pPr>
        <w:widowControl w:val="0"/>
        <w:spacing w:before="120" w:line="360" w:lineRule="auto"/>
        <w:ind w:right="61"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3.2.1 是否接受联合体投标：详见“投标人须知前附表 ”。</w:t>
      </w:r>
    </w:p>
    <w:p w14:paraId="6C67EAAF">
      <w:pPr>
        <w:widowControl w:val="0"/>
        <w:spacing w:before="63" w:line="360" w:lineRule="auto"/>
        <w:ind w:left="963" w:leftChars="230" w:right="61" w:hanging="480" w:hanging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3.2.2 两个以上的自然人、法人或者其他组织可以组成一个联合体，以一个供应商的身份共同参加政府采购。以联合体形式进行政府采购的，参加联合体的供应商均应当具备投标人的资格条件，并应当向采购人提交联合协议，载明联合体各方承担的工作和义务。联合体各方应当共同与采购人签订采购合同，就采购合同约定的事项对采购人承担连带责任。否则，将导致其投标无效。（适用于联合体投标）</w:t>
      </w:r>
    </w:p>
    <w:p w14:paraId="67B41A8A">
      <w:pPr>
        <w:widowControl w:val="0"/>
        <w:spacing w:before="120" w:line="360" w:lineRule="auto"/>
        <w:ind w:left="964" w:leftChars="202" w:right="61" w:hanging="540" w:hangingChars="225"/>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3.2.3 联合体各方均应当满足相应的资格条件，项目中有特定资质要求的，联合体当中承担此项工作的供应商必须具备相应的资质。联合体中标后，必须由联合体中具备“相应 ”资质的供应商承担，否则将承担违约责任，并赔偿因违约给采购人造成的一切损失。</w:t>
      </w:r>
    </w:p>
    <w:p w14:paraId="496FB1A7">
      <w:pPr>
        <w:widowControl w:val="0"/>
        <w:spacing w:before="120" w:line="360" w:lineRule="auto"/>
        <w:ind w:left="964" w:leftChars="202" w:hanging="540" w:hangingChars="225"/>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3.2.4 以联合体参加投标的，联合体中有同类资质的投标人按联合体分工承担相同工作的， 应当按照资质等级较低的投标人确定资质等级。（适用于联合体投标）</w:t>
      </w:r>
    </w:p>
    <w:p w14:paraId="64D8C405">
      <w:pPr>
        <w:widowControl w:val="0"/>
        <w:spacing w:before="79" w:line="360" w:lineRule="auto"/>
        <w:ind w:left="964" w:leftChars="202" w:right="61" w:hanging="540" w:hangingChars="225"/>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3.2.5 联合体各方不得再单独参加或者与其他投标人另外组成联合体参加同一合同项下的政府采购活动。（适用于联合体投标）</w:t>
      </w:r>
    </w:p>
    <w:p w14:paraId="588027A1">
      <w:pPr>
        <w:widowControl w:val="0"/>
        <w:spacing w:before="79" w:line="220" w:lineRule="auto"/>
        <w:jc w:val="both"/>
        <w:outlineLvl w:val="2"/>
        <w:rPr>
          <w:rFonts w:hint="eastAsia" w:ascii="宋体" w:hAnsi="宋体" w:eastAsia="宋体" w:cs="宋体"/>
          <w:color w:val="auto"/>
          <w:sz w:val="24"/>
          <w:szCs w:val="24"/>
          <w:highlight w:val="none"/>
          <w:lang w:eastAsia="zh-CN"/>
        </w:rPr>
      </w:pPr>
      <w:bookmarkStart w:id="40" w:name="_Toc31908"/>
      <w:bookmarkStart w:id="41" w:name="_Toc25526"/>
      <w:r>
        <w:rPr>
          <w:rFonts w:hint="eastAsia" w:ascii="宋体" w:hAnsi="宋体" w:eastAsia="宋体" w:cs="宋体"/>
          <w:color w:val="auto"/>
          <w:sz w:val="24"/>
          <w:szCs w:val="24"/>
          <w:highlight w:val="none"/>
          <w:lang w:eastAsia="zh-CN"/>
        </w:rPr>
        <w:t>4.投标费用</w:t>
      </w:r>
      <w:bookmarkEnd w:id="40"/>
      <w:bookmarkEnd w:id="41"/>
    </w:p>
    <w:p w14:paraId="51954555">
      <w:pPr>
        <w:widowControl w:val="0"/>
        <w:spacing w:before="182" w:line="360" w:lineRule="auto"/>
        <w:ind w:left="420" w:hanging="420" w:hangingChars="175"/>
        <w:jc w:val="both"/>
        <w:rPr>
          <w:rFonts w:hint="eastAsia" w:ascii="宋体" w:hAnsi="宋体" w:eastAsia="宋体" w:cs="宋体"/>
          <w:color w:val="auto"/>
          <w:highlight w:val="none"/>
          <w:lang w:eastAsia="zh-CN"/>
        </w:rPr>
      </w:pPr>
      <w:r>
        <w:rPr>
          <w:rFonts w:hint="eastAsia" w:ascii="宋体" w:hAnsi="宋体" w:eastAsia="宋体" w:cs="宋体"/>
          <w:color w:val="auto"/>
          <w:sz w:val="24"/>
          <w:szCs w:val="24"/>
          <w:highlight w:val="none"/>
          <w:lang w:eastAsia="zh-CN"/>
        </w:rPr>
        <w:t>4.1 投标人应自行承担所有与准备和参加投标有关的全部费用。不论投标的结果如何，采购代理机构均无义务和责任承担这些费用。</w:t>
      </w:r>
    </w:p>
    <w:p w14:paraId="46EA62EF">
      <w:pPr>
        <w:widowControl w:val="0"/>
        <w:spacing w:line="360" w:lineRule="auto"/>
        <w:ind w:left="5"/>
        <w:jc w:val="both"/>
        <w:outlineLvl w:val="2"/>
        <w:rPr>
          <w:rFonts w:hint="eastAsia" w:ascii="宋体" w:hAnsi="宋体" w:eastAsia="宋体" w:cs="宋体"/>
          <w:color w:val="auto"/>
          <w:sz w:val="24"/>
          <w:szCs w:val="24"/>
          <w:highlight w:val="none"/>
          <w:lang w:eastAsia="zh-CN"/>
        </w:rPr>
      </w:pPr>
      <w:bookmarkStart w:id="42" w:name="_Toc19793"/>
      <w:bookmarkStart w:id="43" w:name="_Toc21225"/>
      <w:r>
        <w:rPr>
          <w:rFonts w:hint="eastAsia" w:ascii="宋体" w:hAnsi="宋体" w:eastAsia="宋体" w:cs="宋体"/>
          <w:color w:val="auto"/>
          <w:sz w:val="24"/>
          <w:szCs w:val="24"/>
          <w:highlight w:val="none"/>
          <w:lang w:eastAsia="zh-CN"/>
        </w:rPr>
        <w:t>5.投标人代表</w:t>
      </w:r>
      <w:bookmarkEnd w:id="42"/>
      <w:bookmarkEnd w:id="43"/>
    </w:p>
    <w:p w14:paraId="56341F32">
      <w:pPr>
        <w:widowControl w:val="0"/>
        <w:spacing w:line="360" w:lineRule="auto"/>
        <w:ind w:left="484" w:leftChars="2" w:hanging="480" w:hangingChars="200"/>
        <w:jc w:val="both"/>
        <w:rPr>
          <w:rFonts w:hint="eastAsia" w:ascii="宋体" w:hAnsi="宋体" w:eastAsia="宋体" w:cs="宋体"/>
          <w:color w:val="auto"/>
          <w:highlight w:val="none"/>
          <w:lang w:eastAsia="zh-CN"/>
        </w:rPr>
      </w:pPr>
      <w:r>
        <w:rPr>
          <w:rFonts w:hint="eastAsia" w:ascii="宋体" w:hAnsi="宋体" w:eastAsia="宋体" w:cs="宋体"/>
          <w:color w:val="auto"/>
          <w:sz w:val="24"/>
          <w:szCs w:val="24"/>
          <w:highlight w:val="none"/>
          <w:lang w:eastAsia="zh-CN"/>
        </w:rPr>
        <w:t>5.1 指全权代表投标人参加投标活动并签署投标文件的人。如果投标人代表不是法定代表人，须持有《法定代表人授权书》。</w:t>
      </w:r>
    </w:p>
    <w:p w14:paraId="2FB92E19">
      <w:pPr>
        <w:widowControl w:val="0"/>
        <w:spacing w:before="78" w:line="360" w:lineRule="auto"/>
        <w:ind w:left="2"/>
        <w:jc w:val="both"/>
        <w:outlineLvl w:val="2"/>
        <w:rPr>
          <w:rFonts w:hint="eastAsia" w:ascii="宋体" w:hAnsi="宋体" w:eastAsia="宋体" w:cs="宋体"/>
          <w:color w:val="auto"/>
          <w:sz w:val="24"/>
          <w:szCs w:val="24"/>
          <w:highlight w:val="none"/>
          <w:lang w:eastAsia="zh-CN"/>
        </w:rPr>
      </w:pPr>
      <w:bookmarkStart w:id="44" w:name="_Toc6764"/>
      <w:bookmarkStart w:id="45" w:name="_Toc31155"/>
      <w:r>
        <w:rPr>
          <w:rFonts w:hint="eastAsia" w:ascii="宋体" w:hAnsi="宋体" w:eastAsia="宋体" w:cs="宋体"/>
          <w:color w:val="auto"/>
          <w:sz w:val="24"/>
          <w:szCs w:val="24"/>
          <w:highlight w:val="none"/>
          <w:lang w:eastAsia="zh-CN"/>
        </w:rPr>
        <w:t>6.招标文件的构成</w:t>
      </w:r>
      <w:bookmarkEnd w:id="44"/>
      <w:bookmarkEnd w:id="45"/>
    </w:p>
    <w:p w14:paraId="0D2000F8">
      <w:pPr>
        <w:widowControl w:val="0"/>
        <w:spacing w:line="360" w:lineRule="auto"/>
        <w:ind w:left="480" w:hanging="480" w:hanging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6.1 要求提供的相关服务、招标过程和合同条款在招标文件中均有说明。招标文件共六章，各章的内容如下：</w:t>
      </w:r>
    </w:p>
    <w:p w14:paraId="5C84DA88">
      <w:pPr>
        <w:widowControl w:val="0"/>
        <w:spacing w:line="360" w:lineRule="auto"/>
        <w:ind w:left="482"/>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第一章 投标邀请</w:t>
      </w:r>
    </w:p>
    <w:p w14:paraId="21E4FE13">
      <w:pPr>
        <w:widowControl w:val="0"/>
        <w:spacing w:line="360" w:lineRule="auto"/>
        <w:ind w:left="482"/>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第二章 投标人须知</w:t>
      </w:r>
    </w:p>
    <w:p w14:paraId="5606F2A1">
      <w:pPr>
        <w:widowControl w:val="0"/>
        <w:spacing w:line="360" w:lineRule="auto"/>
        <w:ind w:left="482"/>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第三章 拟签订的合同文本</w:t>
      </w:r>
    </w:p>
    <w:p w14:paraId="732A15D0">
      <w:pPr>
        <w:widowControl w:val="0"/>
        <w:spacing w:line="360" w:lineRule="auto"/>
        <w:ind w:left="482"/>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第四章 投标文件格式</w:t>
      </w:r>
    </w:p>
    <w:p w14:paraId="1F26AEAE">
      <w:pPr>
        <w:widowControl w:val="0"/>
        <w:spacing w:line="360" w:lineRule="auto"/>
        <w:ind w:left="482"/>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第五章 采购需求</w:t>
      </w:r>
    </w:p>
    <w:p w14:paraId="03C95663">
      <w:pPr>
        <w:widowControl w:val="0"/>
        <w:spacing w:line="360" w:lineRule="auto"/>
        <w:ind w:left="482"/>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第六章 评标标准</w:t>
      </w:r>
    </w:p>
    <w:p w14:paraId="60D75DAD">
      <w:pPr>
        <w:widowControl w:val="0"/>
        <w:spacing w:beforeLines="32" w:line="468" w:lineRule="exact"/>
        <w:ind w:left="481" w:leftChars="2" w:hanging="477" w:hangingChars="199"/>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6.2 除非有特殊要求，招标文件不单独提供招标所需服务使用地的自然环境、气候条件、公用设施等情况，投标人被视为熟悉上述与履行合同有关的一切情况。</w:t>
      </w:r>
    </w:p>
    <w:p w14:paraId="0AB494A8">
      <w:pPr>
        <w:widowControl w:val="0"/>
        <w:spacing w:beforeLines="75" w:afterLines="100" w:line="219" w:lineRule="auto"/>
        <w:ind w:left="4"/>
        <w:jc w:val="both"/>
        <w:outlineLvl w:val="2"/>
        <w:rPr>
          <w:rFonts w:hint="eastAsia" w:ascii="宋体" w:hAnsi="宋体" w:eastAsia="宋体" w:cs="宋体"/>
          <w:color w:val="auto"/>
          <w:sz w:val="24"/>
          <w:szCs w:val="24"/>
          <w:highlight w:val="none"/>
          <w:lang w:eastAsia="zh-CN"/>
        </w:rPr>
      </w:pPr>
      <w:bookmarkStart w:id="46" w:name="_Toc4673"/>
      <w:bookmarkStart w:id="47" w:name="_Toc13763"/>
      <w:r>
        <w:rPr>
          <w:rFonts w:hint="eastAsia" w:ascii="宋体" w:hAnsi="宋体" w:eastAsia="宋体" w:cs="宋体"/>
          <w:color w:val="auto"/>
          <w:sz w:val="24"/>
          <w:szCs w:val="24"/>
          <w:highlight w:val="none"/>
          <w:lang w:eastAsia="zh-CN"/>
        </w:rPr>
        <w:t>7.投标人应当提交的资格、资信证明文件</w:t>
      </w:r>
      <w:bookmarkEnd w:id="46"/>
      <w:bookmarkEnd w:id="47"/>
    </w:p>
    <w:p w14:paraId="7C5F1730">
      <w:pPr>
        <w:widowControl w:val="0"/>
        <w:spacing w:line="360" w:lineRule="auto"/>
        <w:ind w:left="4" w:leftChars="2" w:firstLine="72" w:firstLineChars="3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7.1 具有独立承担民事责任的能力的资格证明文件；</w:t>
      </w:r>
    </w:p>
    <w:p w14:paraId="34B96E32">
      <w:pPr>
        <w:widowControl w:val="0"/>
        <w:spacing w:line="360" w:lineRule="auto"/>
        <w:ind w:left="76" w:leftChars="36"/>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7.2 具有良好的商业信誉和健全的财务会计制度的证明文件；</w:t>
      </w:r>
    </w:p>
    <w:p w14:paraId="11141741">
      <w:pPr>
        <w:widowControl w:val="0"/>
        <w:spacing w:line="360" w:lineRule="auto"/>
        <w:ind w:left="4" w:leftChars="2" w:firstLine="72" w:firstLineChars="3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7.3 具有履行合同所必需的设备和专业技术能力的证明文件；</w:t>
      </w:r>
    </w:p>
    <w:p w14:paraId="2FD4363A">
      <w:pPr>
        <w:widowControl w:val="0"/>
        <w:spacing w:before="48" w:line="360" w:lineRule="auto"/>
        <w:ind w:left="76" w:leftChars="36"/>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7.4 有依法缴纳税收和社会保障资金的良好记录的证明文件；</w:t>
      </w:r>
    </w:p>
    <w:p w14:paraId="7530C575">
      <w:pPr>
        <w:widowControl w:val="0"/>
        <w:spacing w:line="360" w:lineRule="auto"/>
        <w:ind w:left="76" w:leftChars="36"/>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7.5 参加政府采购活动前三年内，在经营活动中没有重大违法记录的证明文件；</w:t>
      </w:r>
    </w:p>
    <w:p w14:paraId="00C089FC">
      <w:pPr>
        <w:widowControl w:val="0"/>
        <w:spacing w:line="360" w:lineRule="auto"/>
        <w:ind w:left="76" w:leftChars="36"/>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7.6 法定代表人授权书；（格式详见“第四章投标文件格式 7-2”）</w:t>
      </w:r>
    </w:p>
    <w:p w14:paraId="2FE2EA17">
      <w:pPr>
        <w:widowControl w:val="0"/>
        <w:spacing w:line="360" w:lineRule="auto"/>
        <w:ind w:left="76" w:leftChars="36"/>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7.7 投标人的资格声明；（格式详见“第四章投标文件格式 7-3 ”）</w:t>
      </w:r>
    </w:p>
    <w:p w14:paraId="1F1D283E">
      <w:pPr>
        <w:widowControl w:val="0"/>
        <w:spacing w:line="360" w:lineRule="auto"/>
        <w:ind w:left="76" w:leftChars="36"/>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7.8 投标保证金凭证；（格式详见“第四章投标文件格式 7-4”）</w:t>
      </w:r>
    </w:p>
    <w:p w14:paraId="5E28A4A6">
      <w:pPr>
        <w:widowControl w:val="0"/>
        <w:spacing w:line="360" w:lineRule="auto"/>
        <w:ind w:left="556" w:leftChars="36" w:right="2" w:hanging="480" w:hanging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7.9 制造商出具的授权函或投标人与制造商的经销协议、代理协议（格式详见“第四章投标文件格式 7-5”，招标文件另有规定的从其规定）（适用于进口产品）；</w:t>
      </w:r>
    </w:p>
    <w:p w14:paraId="45D5EC05">
      <w:pPr>
        <w:widowControl w:val="0"/>
        <w:spacing w:line="360" w:lineRule="auto"/>
        <w:ind w:left="4"/>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7.10 联合体协议；（格式详见“第四章投标文件格式 7-6 ”）（适用于联合体投标）</w:t>
      </w:r>
    </w:p>
    <w:p w14:paraId="1A9A3F8F">
      <w:pPr>
        <w:widowControl w:val="0"/>
        <w:spacing w:line="360" w:lineRule="auto"/>
        <w:ind w:left="6"/>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7.11 </w:t>
      </w:r>
      <w:r>
        <w:rPr>
          <w:rFonts w:hint="eastAsia" w:ascii="宋体" w:hAnsi="宋体" w:eastAsia="宋体" w:cs="宋体"/>
          <w:bCs/>
          <w:color w:val="auto"/>
          <w:sz w:val="24"/>
          <w:szCs w:val="24"/>
          <w:highlight w:val="none"/>
          <w:lang w:eastAsia="zh-CN"/>
        </w:rPr>
        <w:t>本项目的特定资格证明材料。</w:t>
      </w:r>
    </w:p>
    <w:p w14:paraId="668D6974">
      <w:pPr>
        <w:widowControl w:val="0"/>
        <w:spacing w:before="182" w:line="360" w:lineRule="auto"/>
        <w:jc w:val="both"/>
        <w:outlineLvl w:val="2"/>
        <w:rPr>
          <w:rFonts w:hint="eastAsia" w:ascii="宋体" w:hAnsi="宋体" w:eastAsia="宋体" w:cs="宋体"/>
          <w:color w:val="auto"/>
          <w:sz w:val="24"/>
          <w:szCs w:val="24"/>
          <w:highlight w:val="none"/>
          <w:lang w:eastAsia="zh-CN"/>
        </w:rPr>
      </w:pPr>
      <w:bookmarkStart w:id="48" w:name="_Toc14987"/>
      <w:bookmarkStart w:id="49" w:name="_Toc17580"/>
      <w:r>
        <w:rPr>
          <w:rFonts w:hint="eastAsia" w:ascii="宋体" w:hAnsi="宋体" w:eastAsia="宋体" w:cs="宋体"/>
          <w:color w:val="auto"/>
          <w:sz w:val="24"/>
          <w:szCs w:val="24"/>
          <w:highlight w:val="none"/>
          <w:lang w:eastAsia="zh-CN"/>
        </w:rPr>
        <w:t>8.为落实政府采购政策，采购标的需满足的要求，以及投标人须提供的证明材料</w:t>
      </w:r>
      <w:bookmarkEnd w:id="48"/>
      <w:bookmarkEnd w:id="49"/>
    </w:p>
    <w:p w14:paraId="1B546D92">
      <w:pPr>
        <w:widowControl w:val="0"/>
        <w:spacing w:before="182" w:afterLines="120" w:line="220" w:lineRule="auto"/>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8.1中小企业参加投标</w:t>
      </w:r>
      <w:r>
        <w:rPr>
          <w:rFonts w:hint="eastAsia" w:ascii="宋体" w:hAnsi="宋体" w:eastAsia="宋体" w:cs="宋体"/>
          <w:i/>
          <w:iCs/>
          <w:color w:val="auto"/>
          <w:sz w:val="24"/>
          <w:szCs w:val="24"/>
          <w:highlight w:val="none"/>
          <w:lang w:eastAsia="zh-CN"/>
        </w:rPr>
        <w:t>（本项目不适用）</w:t>
      </w:r>
    </w:p>
    <w:p w14:paraId="7CBC229E">
      <w:pPr>
        <w:widowControl w:val="0"/>
        <w:spacing w:line="360" w:lineRule="auto"/>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8.1.1 中小企业（含中型、小型、微型企业，下同）应当符合以下条件：</w:t>
      </w:r>
    </w:p>
    <w:p w14:paraId="4AC58EB7">
      <w:pPr>
        <w:widowControl w:val="0"/>
        <w:spacing w:line="360" w:lineRule="auto"/>
        <w:ind w:left="633" w:right="2" w:hanging="145"/>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在中华人民共和国境内依法设立，符合国务院批准的中小企业划分标准（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275CD3CF">
      <w:pPr>
        <w:widowControl w:val="0"/>
        <w:spacing w:beforeLines="19" w:line="360" w:lineRule="auto"/>
        <w:ind w:left="632" w:leftChars="228" w:right="2" w:hanging="153" w:hangingChars="64"/>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（2）小型、微型企业作为代理商，中型企业作为本项目服务承接商的，视同为中型企业；</w:t>
      </w:r>
    </w:p>
    <w:p w14:paraId="0B407CE6">
      <w:pPr>
        <w:pStyle w:val="7"/>
        <w:widowControl w:val="0"/>
        <w:spacing w:beforeLines="32" w:after="0" w:line="360" w:lineRule="auto"/>
        <w:ind w:left="574" w:hanging="153" w:hangingChars="64"/>
        <w:jc w:val="both"/>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lang w:eastAsia="zh-CN"/>
        </w:rPr>
        <w:t>（3）在服务采购项目中，服务由中小企业承接，即提供服务的人员为中小企业依照《中华人民共和国劳动合同法》订立劳动合同的从业人员；</w:t>
      </w:r>
    </w:p>
    <w:p w14:paraId="002E0279">
      <w:pPr>
        <w:widowControl w:val="0"/>
        <w:spacing w:beforeLines="50" w:line="360" w:lineRule="auto"/>
        <w:ind w:left="573" w:leftChars="200" w:right="2" w:hanging="153" w:hangingChars="64"/>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（4）以联合体形式参加政府采购活动，联合体各方均为中小企业的，联合体视同中小企业。其中，联合体各方均为小微企业的，联合体视同小微企业；（适用于联合体投标）</w:t>
      </w:r>
    </w:p>
    <w:p w14:paraId="257788A9">
      <w:pPr>
        <w:widowControl w:val="0"/>
        <w:spacing w:before="181" w:line="360" w:lineRule="auto"/>
        <w:ind w:left="568" w:leftChars="186" w:right="80" w:hanging="177" w:hangingChars="74"/>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（5）组成联合体或者接受分包合同的中小企业与联合体内其他企业、分包企业之间不得存在直接控股、管理关系。(适用于涉及中小企业的联合体投标或者允许合同分包的采购项目)</w:t>
      </w:r>
    </w:p>
    <w:p w14:paraId="43598292">
      <w:pPr>
        <w:widowControl w:val="0"/>
        <w:spacing w:before="184" w:line="360" w:lineRule="auto"/>
        <w:ind w:left="648" w:hanging="648" w:hangingChars="27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8.1.2 供应商提供中小企业服务的, 投标时提供招标文件规定的《中小企业声明函》（格式详见“第四章投标文件格式 8-1 ”），并对声明函的真实性负责，未提供不予享受预留份额、评审中价格扣除等政府采购促进中小企业发展的政府采购政策。投标人提供的《中小企业声明函》与事实不符的，依照《政府采购法》第七十七条第一款的规定追究法律责任。</w:t>
      </w:r>
    </w:p>
    <w:p w14:paraId="1CBC321B">
      <w:pPr>
        <w:widowControl w:val="0"/>
        <w:spacing w:before="184" w:line="220" w:lineRule="auto"/>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8.2监狱企业参加投标</w:t>
      </w:r>
      <w:r>
        <w:rPr>
          <w:rFonts w:hint="eastAsia" w:ascii="宋体" w:hAnsi="宋体" w:eastAsia="宋体" w:cs="宋体"/>
          <w:i/>
          <w:iCs/>
          <w:color w:val="auto"/>
          <w:sz w:val="24"/>
          <w:szCs w:val="24"/>
          <w:highlight w:val="none"/>
          <w:lang w:eastAsia="zh-CN"/>
        </w:rPr>
        <w:t>（本项目不适用）</w:t>
      </w:r>
    </w:p>
    <w:p w14:paraId="5FAD21CB">
      <w:pPr>
        <w:widowControl w:val="0"/>
        <w:spacing w:before="182" w:line="360" w:lineRule="auto"/>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8.2.1 监狱企业应当符合以下条件</w:t>
      </w:r>
    </w:p>
    <w:p w14:paraId="773DD55A">
      <w:pPr>
        <w:widowControl w:val="0"/>
        <w:spacing w:before="63" w:line="360" w:lineRule="auto"/>
        <w:ind w:left="634" w:leftChars="302" w:right="8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监狱企业是指由司法部认定的为罪犯、戒毒人员提供生产项目和劳动对象，且全部产权属于司法部监狱管理局、戒毒管理局、直属煤矿管理局，各省、 自治区、直辖市监狱管理局、戒毒管理局，各地（设区的市）监狱、强制隔离戒毒所、戒毒康复所，以及新疆生产建设兵团监狱管理局、戒毒管理局的企业。</w:t>
      </w:r>
    </w:p>
    <w:p w14:paraId="1E550D35">
      <w:pPr>
        <w:widowControl w:val="0"/>
        <w:spacing w:before="48" w:line="360" w:lineRule="auto"/>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8.2.2 监狱企业参加投标须提供的证明材料</w:t>
      </w:r>
    </w:p>
    <w:p w14:paraId="580A004E">
      <w:pPr>
        <w:widowControl w:val="0"/>
        <w:spacing w:line="360" w:lineRule="auto"/>
        <w:ind w:left="638" w:right="77"/>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监狱企业参加政府采购活动时，提供由省级以上监狱管理局、戒毒管理局（含新疆生产建设兵团）出具的属于监狱企业的证明文件（格式详见“第四章投标文件格式 8-2 ”），未提供不予享受预留份额、评审中价格扣除等政府采购促进中小企业发展的政府采购政策。</w:t>
      </w:r>
    </w:p>
    <w:p w14:paraId="66CAD82E">
      <w:pPr>
        <w:widowControl w:val="0"/>
        <w:spacing w:before="183" w:line="360" w:lineRule="auto"/>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8.3残疾人福利性单位参加投标</w:t>
      </w:r>
      <w:r>
        <w:rPr>
          <w:rFonts w:hint="eastAsia" w:ascii="宋体" w:hAnsi="宋体" w:eastAsia="宋体" w:cs="宋体"/>
          <w:i/>
          <w:iCs/>
          <w:color w:val="auto"/>
          <w:sz w:val="24"/>
          <w:szCs w:val="24"/>
          <w:highlight w:val="none"/>
          <w:lang w:eastAsia="zh-CN"/>
        </w:rPr>
        <w:t>（本项目不适用）</w:t>
      </w:r>
    </w:p>
    <w:p w14:paraId="15B8EE62">
      <w:pPr>
        <w:widowControl w:val="0"/>
        <w:spacing w:before="181" w:line="360" w:lineRule="auto"/>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8.3.1 享受政府采购支持政策的残疾人福利性单位应当同时满足以下条件：</w:t>
      </w:r>
    </w:p>
    <w:p w14:paraId="0F7A5FC3">
      <w:pPr>
        <w:widowControl w:val="0"/>
        <w:spacing w:line="360" w:lineRule="auto"/>
        <w:ind w:left="624" w:leftChars="183" w:hanging="240" w:hangingChars="1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（1）安置的残疾人占本单位在职职工人数的比例不低于 25%（含 25%），并且安置的残疾人人数不少于10人（含10人）；</w:t>
      </w:r>
    </w:p>
    <w:p w14:paraId="61A9F8B7">
      <w:pPr>
        <w:widowControl w:val="0"/>
        <w:spacing w:line="360" w:lineRule="auto"/>
        <w:ind w:left="477" w:leftChars="183" w:hanging="93" w:hangingChars="39"/>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（2）依法与安置的每位残疾人签订了一年以上（含一年）的劳动合同或服务协议；</w:t>
      </w:r>
    </w:p>
    <w:p w14:paraId="7688E7CC">
      <w:pPr>
        <w:widowControl w:val="0"/>
        <w:spacing w:line="360" w:lineRule="auto"/>
        <w:ind w:left="475" w:leftChars="205" w:hanging="45" w:hangingChars="19"/>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（3）为安置的每位残疾人按月足额缴纳了基本养老保险、基本医疗保险、失业保险、工伤保险和生育保险等社会保险费；</w:t>
      </w:r>
    </w:p>
    <w:p w14:paraId="4DCF67D7">
      <w:pPr>
        <w:widowControl w:val="0"/>
        <w:spacing w:line="300" w:lineRule="auto"/>
        <w:ind w:left="482" w:leftChars="205" w:hanging="52" w:hangingChars="22"/>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（4）通过银行等金融机构向安置的每位残疾人，按月支付了不低于单位所在区县适用的经省级人民政府批准的月最低工资标准的工资；</w:t>
      </w:r>
    </w:p>
    <w:p w14:paraId="37E3EAC0">
      <w:pPr>
        <w:widowControl w:val="0"/>
        <w:spacing w:afterLines="82" w:line="500" w:lineRule="atLeast"/>
        <w:ind w:left="481" w:leftChars="185" w:hanging="93" w:hangingChars="39"/>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（5）提供本单位制造的货物、承担的工程或者服务（以下简称产品），或者提供其他残疾人福利性单位制造的货物（不包括使用非残疾人福利性单位注册商标的货物）。</w:t>
      </w:r>
    </w:p>
    <w:p w14:paraId="45B627E2">
      <w:pPr>
        <w:widowControl w:val="0"/>
        <w:spacing w:line="500" w:lineRule="atLeast"/>
        <w:ind w:left="480" w:hanging="480" w:hanging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8.3.2 前款所称残疾人是指法定劳动年龄内，持有《中华人民共和国残疾人证》或者《中华人民共和国残疾军人证（1 至 8 级）》的自然人，包括具有劳动条件和劳动意愿的精神残疾人。在职职工人数是指与残疾人福利性单位建立劳动关系并依法签订劳动合同或者服务协议的雇员人数。</w:t>
      </w:r>
    </w:p>
    <w:p w14:paraId="4121CC15">
      <w:pPr>
        <w:widowControl w:val="0"/>
        <w:spacing w:line="500" w:lineRule="atLeast"/>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8.3.3 残疾人福利性单位参加投标须提供的证明材料：</w:t>
      </w:r>
    </w:p>
    <w:p w14:paraId="1B5A0A6E">
      <w:pPr>
        <w:widowControl w:val="0"/>
        <w:spacing w:line="500" w:lineRule="atLeast"/>
        <w:ind w:left="519" w:leftChars="171" w:right="105" w:hanging="160" w:hangingChars="67"/>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（1）符合条件的残疾人福利性单位在参加政府采购活动时，提供《残疾人福利性单位声明函》（格式详见“第四章投标文件格式 8-3 ”），并对声明函的真实性负责，未提供不予享受预留份额、评审中价格扣除等政府采购促进中小企业发展的政府采购政策；</w:t>
      </w:r>
    </w:p>
    <w:p w14:paraId="00CCD351">
      <w:pPr>
        <w:widowControl w:val="0"/>
        <w:spacing w:line="500" w:lineRule="atLeast"/>
        <w:ind w:left="524" w:leftChars="171" w:hanging="165" w:hangingChars="69"/>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（2）投标人提供的《残疾人福利性单位声明函》与事实不符的，依照《政府采购法》第七十七条第一款的规定追究法律责任。</w:t>
      </w:r>
    </w:p>
    <w:p w14:paraId="60C4AA52">
      <w:pPr>
        <w:widowControl w:val="0"/>
        <w:spacing w:line="500" w:lineRule="atLeast"/>
        <w:ind w:left="528" w:hanging="528" w:hangingChars="22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8.4 本项目是否专门面向中小企业预留采购份额见第一章“投标邀请”。采购标的对应的中小企业划分标准所属行业见第二章“投标人须知前附表”。</w:t>
      </w:r>
    </w:p>
    <w:p w14:paraId="59F8988B">
      <w:pPr>
        <w:widowControl w:val="0"/>
        <w:spacing w:beforeLines="100" w:line="360" w:lineRule="auto"/>
        <w:ind w:left="533" w:hanging="532" w:hangingChars="222"/>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8.4.1 对小型和微型企业、监狱企业、残疾人福利性单位产品参加投标享受的政策。</w:t>
      </w:r>
    </w:p>
    <w:p w14:paraId="7B30108C">
      <w:pPr>
        <w:widowControl w:val="0"/>
        <w:spacing w:line="360" w:lineRule="auto"/>
        <w:ind w:left="480" w:hanging="480" w:hanging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8.4.2 非专门面向中小企业采购的项目，小微企业报价给予价格扣除优惠，用扣除后的价格参加评审。（适用于非专门面向中小企业。对于专门面向中小企业采购的项目或者采购包，不再执行价格评审优惠，享受政策内容详见第二章“投标人须知前附表”）</w:t>
      </w:r>
    </w:p>
    <w:p w14:paraId="161A0036">
      <w:pPr>
        <w:widowControl w:val="0"/>
        <w:spacing w:line="360" w:lineRule="auto"/>
        <w:ind w:left="480" w:hanging="480" w:hanging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8.4.3 监狱企业视同小型、微型企业，享受预留份额、评审中价格扣除等政府促进中小企业发展的政府采购政策。</w:t>
      </w:r>
    </w:p>
    <w:p w14:paraId="44D29F19">
      <w:pPr>
        <w:widowControl w:val="0"/>
        <w:spacing w:line="360" w:lineRule="auto"/>
        <w:ind w:left="480" w:hanging="480" w:hanging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8.4.4 残疾人福利性单位视同小型、微型企业，享受预留份额、评审中价格扣除等政府促进中小企业发展的政府采购政策。福利性单位属于小型、微型企业的，不重复享受政策。</w:t>
      </w:r>
    </w:p>
    <w:p w14:paraId="4C219B06">
      <w:pPr>
        <w:widowControl w:val="0"/>
        <w:spacing w:line="360" w:lineRule="auto"/>
        <w:ind w:left="480" w:right="40" w:hanging="480" w:hanging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8.4.5 接受大中型企业与小微企业组成联合体或者允许大中型企业向一家或多家小微企业分包，对于联合协议或者分包意向协议约定小微型企业的合同份额占到联合体协议合同总金额 30%以上的，可给予联合体价格扣除优惠，用扣除后的价格参加评审。（适用于非专门面向中小企业采购且允许联合体投标或合同分包的项目，如专门面向中小企业采购不享受价格评审优惠。）</w:t>
      </w:r>
    </w:p>
    <w:p w14:paraId="1806DE63">
      <w:pPr>
        <w:widowControl w:val="0"/>
        <w:spacing w:line="360" w:lineRule="auto"/>
        <w:ind w:left="426" w:leftChars="203" w:right="40" w:firstLine="57" w:firstLineChars="24"/>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联合体各方均为小型、微型企业的，联合体视同为小型、微型企业。（适用于联合体投标）</w:t>
      </w:r>
    </w:p>
    <w:p w14:paraId="05A33956">
      <w:pPr>
        <w:widowControl w:val="0"/>
        <w:spacing w:beforeLines="32" w:line="360" w:lineRule="auto"/>
        <w:ind w:left="476"/>
        <w:jc w:val="both"/>
        <w:rPr>
          <w:rFonts w:hint="eastAsia" w:ascii="宋体" w:hAnsi="宋体" w:eastAsia="宋体" w:cs="宋体"/>
          <w:color w:val="auto"/>
          <w:highlight w:val="none"/>
          <w:lang w:eastAsia="zh-CN"/>
        </w:rPr>
      </w:pPr>
      <w:r>
        <w:rPr>
          <w:rFonts w:hint="eastAsia" w:ascii="宋体" w:hAnsi="宋体" w:eastAsia="宋体" w:cs="宋体"/>
          <w:color w:val="auto"/>
          <w:sz w:val="24"/>
          <w:szCs w:val="24"/>
          <w:highlight w:val="none"/>
          <w:lang w:eastAsia="zh-CN"/>
        </w:rPr>
        <w:t>组成联合体的大中型企业和其他自然人、法人或者其他组织，与小型、微型企业之间不得存在投资关系。（适用于联合体投标）</w:t>
      </w:r>
    </w:p>
    <w:p w14:paraId="61D0D9ED">
      <w:pPr>
        <w:widowControl w:val="0"/>
        <w:spacing w:line="500" w:lineRule="atLeast"/>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8.5节能产品、环境标志产品参加投标</w:t>
      </w:r>
    </w:p>
    <w:p w14:paraId="2B3657EF">
      <w:pPr>
        <w:widowControl w:val="0"/>
        <w:spacing w:line="500" w:lineRule="atLeast"/>
        <w:ind w:left="656" w:right="105" w:hanging="657"/>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8.5.1 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1BECDD60">
      <w:pPr>
        <w:widowControl w:val="0"/>
        <w:spacing w:line="500" w:lineRule="atLeast"/>
        <w:ind w:left="656" w:right="105" w:hanging="657"/>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8.5.2 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 号）。</w:t>
      </w:r>
    </w:p>
    <w:p w14:paraId="76EBF405">
      <w:pPr>
        <w:widowControl w:val="0"/>
        <w:spacing w:line="500" w:lineRule="atLeast"/>
        <w:ind w:left="656" w:right="105" w:hanging="657"/>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8.5.3 如本项目采购产品属于实施政府强制采购品目清单范围的节能产品，则投标人所投产品必须获得国家确定的认证机构出具的、处于有效期之内的节能产品认证证书扫描件，否则投标无效。</w:t>
      </w:r>
    </w:p>
    <w:p w14:paraId="256A9A22">
      <w:pPr>
        <w:widowControl w:val="0"/>
        <w:kinsoku/>
        <w:spacing w:line="500" w:lineRule="atLeast"/>
        <w:ind w:left="658" w:right="108" w:hanging="658"/>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8.5.4 非政府强制采购的节能产品或环境标志产品，依据品目清单和认证证书实施政府优先采购。优先采购的具体规定见第六章《评标方法》。（如涉及）</w:t>
      </w:r>
    </w:p>
    <w:p w14:paraId="496E685A">
      <w:pPr>
        <w:widowControl w:val="0"/>
        <w:spacing w:before="184" w:line="360" w:lineRule="auto"/>
        <w:jc w:val="both"/>
        <w:rPr>
          <w:rFonts w:hint="eastAsia" w:ascii="宋体" w:hAnsi="宋体" w:eastAsia="宋体" w:cs="宋体"/>
          <w:color w:val="auto"/>
          <w:highlight w:val="none"/>
          <w:lang w:eastAsia="zh-CN"/>
        </w:rPr>
      </w:pPr>
      <w:r>
        <w:rPr>
          <w:rFonts w:hint="eastAsia" w:ascii="宋体" w:hAnsi="宋体" w:eastAsia="宋体" w:cs="宋体"/>
          <w:color w:val="auto"/>
          <w:sz w:val="24"/>
          <w:szCs w:val="24"/>
          <w:highlight w:val="none"/>
          <w:lang w:eastAsia="zh-CN"/>
        </w:rPr>
        <w:t>8.5.5 招标文件对节能产品、环境标志产品另有规定的从其规定。</w:t>
      </w:r>
    </w:p>
    <w:p w14:paraId="05D53B7D">
      <w:pPr>
        <w:widowControl w:val="0"/>
        <w:spacing w:before="78" w:line="360" w:lineRule="auto"/>
        <w:jc w:val="both"/>
        <w:outlineLvl w:val="2"/>
        <w:rPr>
          <w:rFonts w:hint="eastAsia" w:ascii="宋体" w:hAnsi="宋体" w:eastAsia="宋体" w:cs="宋体"/>
          <w:color w:val="auto"/>
          <w:sz w:val="24"/>
          <w:szCs w:val="24"/>
          <w:highlight w:val="none"/>
          <w:lang w:eastAsia="zh-CN"/>
        </w:rPr>
      </w:pPr>
      <w:bookmarkStart w:id="50" w:name="_Toc31129"/>
      <w:bookmarkStart w:id="51" w:name="_Toc25207"/>
      <w:r>
        <w:rPr>
          <w:rFonts w:hint="eastAsia" w:ascii="宋体" w:hAnsi="宋体" w:eastAsia="宋体" w:cs="宋体"/>
          <w:color w:val="auto"/>
          <w:sz w:val="24"/>
          <w:szCs w:val="24"/>
          <w:highlight w:val="none"/>
          <w:lang w:eastAsia="zh-CN"/>
        </w:rPr>
        <w:t>9.采购需求标准</w:t>
      </w:r>
      <w:bookmarkEnd w:id="50"/>
      <w:bookmarkEnd w:id="51"/>
    </w:p>
    <w:p w14:paraId="28F43FC7">
      <w:pPr>
        <w:widowControl w:val="0"/>
        <w:spacing w:before="49" w:line="360" w:lineRule="auto"/>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9.2 商品包装、快递包装政府采购需求标准（试行）</w:t>
      </w:r>
    </w:p>
    <w:p w14:paraId="10B4A99E">
      <w:pPr>
        <w:widowControl w:val="0"/>
        <w:kinsoku/>
        <w:spacing w:line="360" w:lineRule="auto"/>
        <w:ind w:left="479" w:leftChars="228"/>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为助力打好污染防治攻坚战，推广使用绿色包装，根据财政部关于印发《商品包装政府采购需求标准（试行）》、《快递包装政府采购需求标准（试行）》的通知（财办库〔2020〕123 号），本项目如涉及商品包装和快递包装的，则其具体要求见第五章《采购需求》。</w:t>
      </w:r>
    </w:p>
    <w:p w14:paraId="4B454D5C">
      <w:pPr>
        <w:widowControl w:val="0"/>
        <w:spacing w:before="49" w:line="360" w:lineRule="auto"/>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9.2 绿色数据中心政府采购需求标准（试行）</w:t>
      </w:r>
    </w:p>
    <w:p w14:paraId="7163CBDA">
      <w:pPr>
        <w:widowControl w:val="0"/>
        <w:kinsoku/>
        <w:spacing w:line="360" w:lineRule="auto"/>
        <w:ind w:left="479" w:leftChars="228"/>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为加快数据中心绿色转型，根据财政部 生态环境部 工业和信息化部关于印发《绿色数据中心政府采购需求标准（试行）》的通知（财库〔2023〕7 号），本项目如涉及绿色数据中心，则具体要求见第五章《采购需求》。</w:t>
      </w:r>
    </w:p>
    <w:p w14:paraId="5B413711">
      <w:pPr>
        <w:widowControl w:val="0"/>
        <w:spacing w:before="78" w:line="360" w:lineRule="auto"/>
        <w:jc w:val="both"/>
        <w:outlineLvl w:val="2"/>
        <w:rPr>
          <w:rFonts w:hint="eastAsia" w:ascii="宋体" w:hAnsi="宋体" w:eastAsia="宋体" w:cs="宋体"/>
          <w:color w:val="auto"/>
          <w:sz w:val="24"/>
          <w:szCs w:val="24"/>
          <w:highlight w:val="none"/>
          <w:lang w:eastAsia="zh-CN"/>
        </w:rPr>
      </w:pPr>
      <w:bookmarkStart w:id="52" w:name="_Toc22490"/>
      <w:bookmarkStart w:id="53" w:name="_Toc29938"/>
      <w:r>
        <w:rPr>
          <w:rFonts w:hint="eastAsia" w:ascii="宋体" w:hAnsi="宋体" w:eastAsia="宋体" w:cs="宋体"/>
          <w:color w:val="auto"/>
          <w:sz w:val="24"/>
          <w:szCs w:val="24"/>
          <w:highlight w:val="none"/>
          <w:lang w:eastAsia="zh-CN"/>
        </w:rPr>
        <w:t>10.招标文件的修改</w:t>
      </w:r>
      <w:bookmarkEnd w:id="52"/>
      <w:bookmarkEnd w:id="53"/>
    </w:p>
    <w:p w14:paraId="6F0918CF">
      <w:pPr>
        <w:widowControl w:val="0"/>
        <w:spacing w:before="120" w:line="360" w:lineRule="auto"/>
        <w:ind w:left="497" w:leftChars="8" w:hanging="480" w:hanging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10.1 采购代理机构可以对已发出的招标文件进行必要澄清或者修改，澄清或者修改的内容可能影响投标文件编制的，采购代理机构在投标截止时间至少 15 日前，在原公告发布媒体上发布更正公告，上传答疑澄清文件。不足 15 日的，采购代理机构应当顺延提交投标文件的截止时间。</w:t>
      </w:r>
    </w:p>
    <w:p w14:paraId="7D03251B">
      <w:pPr>
        <w:widowControl w:val="0"/>
        <w:spacing w:before="120" w:line="360" w:lineRule="auto"/>
        <w:ind w:left="497" w:leftChars="8" w:right="42" w:hanging="480" w:hanging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10.2 已下载招标文件的投标人必须在江西省招标投标网（http://www.jxtb.org.cn/）上下载答疑澄清文件。投标人因未下载答疑澄清文件、由此可能引起的投标文件内容缺失等相关后果由投标人自行承担。</w:t>
      </w:r>
    </w:p>
    <w:p w14:paraId="7A231CA0">
      <w:pPr>
        <w:widowControl w:val="0"/>
        <w:spacing w:line="360" w:lineRule="auto"/>
        <w:ind w:left="495" w:leftChars="7" w:hanging="480" w:hanging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10.3 当招标文件和澄清文件在同一内容的表述上不一致时，以最后发出的文件为准。</w:t>
      </w:r>
    </w:p>
    <w:p w14:paraId="195DC9BD">
      <w:pPr>
        <w:widowControl w:val="0"/>
        <w:spacing w:line="360" w:lineRule="auto"/>
        <w:jc w:val="both"/>
        <w:outlineLvl w:val="1"/>
        <w:rPr>
          <w:rFonts w:hint="eastAsia" w:ascii="宋体" w:hAnsi="宋体" w:eastAsia="宋体" w:cs="宋体"/>
          <w:color w:val="auto"/>
          <w:highlight w:val="none"/>
          <w:lang w:eastAsia="zh-CN"/>
        </w:rPr>
      </w:pPr>
      <w:bookmarkStart w:id="54" w:name="_Toc30839"/>
      <w:bookmarkStart w:id="55" w:name="_Toc16493"/>
      <w:r>
        <w:rPr>
          <w:rFonts w:hint="eastAsia" w:ascii="宋体" w:hAnsi="宋体" w:eastAsia="宋体" w:cs="宋体"/>
          <w:color w:val="auto"/>
          <w:sz w:val="24"/>
          <w:szCs w:val="24"/>
          <w:highlight w:val="none"/>
          <w:lang w:eastAsia="zh-CN"/>
        </w:rPr>
        <w:t>10.4 更正或者修改的内容是招标文件的组成部分，并对投标人具有约束力。</w:t>
      </w:r>
      <w:bookmarkEnd w:id="54"/>
      <w:bookmarkEnd w:id="55"/>
    </w:p>
    <w:p w14:paraId="5A58B5E9">
      <w:pPr>
        <w:widowControl w:val="0"/>
        <w:spacing w:before="240" w:afterLines="77" w:line="360" w:lineRule="auto"/>
        <w:jc w:val="center"/>
        <w:outlineLvl w:val="1"/>
        <w:rPr>
          <w:rFonts w:hint="eastAsia" w:ascii="宋体" w:hAnsi="宋体" w:eastAsia="宋体" w:cs="宋体"/>
          <w:color w:val="auto"/>
          <w:sz w:val="24"/>
          <w:szCs w:val="24"/>
          <w:highlight w:val="none"/>
          <w:lang w:eastAsia="zh-CN"/>
        </w:rPr>
      </w:pPr>
      <w:bookmarkStart w:id="56" w:name="_Toc15341"/>
      <w:bookmarkStart w:id="57" w:name="_Toc361"/>
      <w:r>
        <w:rPr>
          <w:rFonts w:hint="eastAsia" w:ascii="宋体" w:hAnsi="宋体" w:eastAsia="宋体" w:cs="宋体"/>
          <w:color w:val="auto"/>
          <w:sz w:val="24"/>
          <w:szCs w:val="24"/>
          <w:highlight w:val="none"/>
          <w:lang w:eastAsia="zh-CN"/>
        </w:rPr>
        <w:t>三、投标</w:t>
      </w:r>
      <w:bookmarkEnd w:id="56"/>
      <w:bookmarkEnd w:id="57"/>
    </w:p>
    <w:p w14:paraId="43AA8D1B">
      <w:pPr>
        <w:widowControl w:val="0"/>
        <w:spacing w:line="360" w:lineRule="auto"/>
        <w:jc w:val="both"/>
        <w:outlineLvl w:val="2"/>
        <w:rPr>
          <w:rFonts w:hint="eastAsia" w:ascii="宋体" w:hAnsi="宋体" w:eastAsia="宋体" w:cs="宋体"/>
          <w:color w:val="auto"/>
          <w:sz w:val="24"/>
          <w:szCs w:val="24"/>
          <w:highlight w:val="none"/>
          <w:lang w:eastAsia="zh-CN"/>
        </w:rPr>
      </w:pPr>
      <w:bookmarkStart w:id="58" w:name="_Toc3965"/>
      <w:bookmarkStart w:id="59" w:name="_Toc15218"/>
      <w:r>
        <w:rPr>
          <w:rFonts w:hint="eastAsia" w:ascii="宋体" w:hAnsi="宋体" w:eastAsia="宋体" w:cs="宋体"/>
          <w:color w:val="auto"/>
          <w:sz w:val="24"/>
          <w:szCs w:val="24"/>
          <w:highlight w:val="none"/>
          <w:lang w:eastAsia="zh-CN"/>
        </w:rPr>
        <w:t>11.投标文件的编制</w:t>
      </w:r>
      <w:bookmarkEnd w:id="58"/>
      <w:bookmarkEnd w:id="59"/>
    </w:p>
    <w:p w14:paraId="1582FB28">
      <w:pPr>
        <w:widowControl w:val="0"/>
        <w:spacing w:beforeLines="50" w:line="360" w:lineRule="auto"/>
        <w:ind w:left="479" w:right="42" w:hanging="463"/>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11.1 投标人应当按照招标文件的要求编制投标文件。投标文件应当对招标文件提出的要求和条件做出明确响应。</w:t>
      </w:r>
    </w:p>
    <w:p w14:paraId="5C6E1CAD">
      <w:pPr>
        <w:widowControl w:val="0"/>
        <w:spacing w:before="168" w:afterLines="100" w:line="219" w:lineRule="auto"/>
        <w:jc w:val="both"/>
        <w:outlineLvl w:val="2"/>
        <w:rPr>
          <w:rFonts w:hint="eastAsia" w:ascii="宋体" w:hAnsi="宋体" w:eastAsia="宋体" w:cs="宋体"/>
          <w:color w:val="auto"/>
          <w:sz w:val="24"/>
          <w:szCs w:val="24"/>
          <w:highlight w:val="none"/>
          <w:lang w:eastAsia="zh-CN"/>
        </w:rPr>
      </w:pPr>
      <w:bookmarkStart w:id="60" w:name="_Toc53"/>
      <w:bookmarkStart w:id="61" w:name="_Toc29122"/>
      <w:r>
        <w:rPr>
          <w:rFonts w:hint="eastAsia" w:ascii="宋体" w:hAnsi="宋体" w:eastAsia="宋体" w:cs="宋体"/>
          <w:color w:val="auto"/>
          <w:sz w:val="24"/>
          <w:szCs w:val="24"/>
          <w:highlight w:val="none"/>
          <w:lang w:eastAsia="zh-CN"/>
        </w:rPr>
        <w:t>12.投标文件计量单位</w:t>
      </w:r>
      <w:bookmarkEnd w:id="60"/>
      <w:bookmarkEnd w:id="61"/>
    </w:p>
    <w:p w14:paraId="7E65F7B4">
      <w:pPr>
        <w:widowControl w:val="0"/>
        <w:spacing w:line="360" w:lineRule="auto"/>
        <w:ind w:left="484" w:leftChars="2" w:hanging="480" w:hanging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12.1 投标文件中所使用的计量单位, 除招标文件中有特殊要求外，均应采用国家法定计量单位。</w:t>
      </w:r>
    </w:p>
    <w:p w14:paraId="4803B324">
      <w:pPr>
        <w:widowControl w:val="0"/>
        <w:spacing w:before="78" w:afterLines="69" w:line="360" w:lineRule="auto"/>
        <w:ind w:left="6"/>
        <w:jc w:val="both"/>
        <w:outlineLvl w:val="2"/>
        <w:rPr>
          <w:rFonts w:hint="eastAsia" w:ascii="宋体" w:hAnsi="宋体" w:eastAsia="宋体" w:cs="宋体"/>
          <w:color w:val="auto"/>
          <w:sz w:val="24"/>
          <w:szCs w:val="24"/>
          <w:highlight w:val="none"/>
          <w:lang w:eastAsia="zh-CN"/>
        </w:rPr>
      </w:pPr>
      <w:bookmarkStart w:id="62" w:name="_Toc20328"/>
      <w:bookmarkStart w:id="63" w:name="_Toc23589"/>
      <w:r>
        <w:rPr>
          <w:rFonts w:hint="eastAsia" w:ascii="宋体" w:hAnsi="宋体" w:eastAsia="宋体" w:cs="宋体"/>
          <w:color w:val="auto"/>
          <w:sz w:val="24"/>
          <w:szCs w:val="24"/>
          <w:highlight w:val="none"/>
          <w:lang w:eastAsia="zh-CN"/>
        </w:rPr>
        <w:t>13.投标文件的构成</w:t>
      </w:r>
      <w:bookmarkEnd w:id="62"/>
      <w:bookmarkEnd w:id="63"/>
    </w:p>
    <w:p w14:paraId="33FC793E">
      <w:pPr>
        <w:widowControl w:val="0"/>
        <w:spacing w:line="360" w:lineRule="auto"/>
        <w:ind w:left="6"/>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13.1 投标文件应由下列部分构成。（格式详见“第四章 投标文件格式 ”）</w:t>
      </w:r>
    </w:p>
    <w:p w14:paraId="6C761267">
      <w:pPr>
        <w:widowControl w:val="0"/>
        <w:spacing w:line="360" w:lineRule="auto"/>
        <w:ind w:left="6"/>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（1）投标书</w:t>
      </w:r>
    </w:p>
    <w:p w14:paraId="68F61ECB">
      <w:pPr>
        <w:widowControl w:val="0"/>
        <w:spacing w:line="360" w:lineRule="auto"/>
        <w:ind w:left="6"/>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（2）开标一览表</w:t>
      </w:r>
    </w:p>
    <w:p w14:paraId="28A79BB7">
      <w:pPr>
        <w:widowControl w:val="0"/>
        <w:spacing w:line="360" w:lineRule="auto"/>
        <w:ind w:left="6"/>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（3）分项报价表</w:t>
      </w:r>
    </w:p>
    <w:p w14:paraId="5FBE4F6B">
      <w:pPr>
        <w:widowControl w:val="0"/>
        <w:spacing w:line="360" w:lineRule="auto"/>
        <w:ind w:left="6"/>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（4）开标一览明细表</w:t>
      </w:r>
    </w:p>
    <w:p w14:paraId="190FA888">
      <w:pPr>
        <w:widowControl w:val="0"/>
        <w:spacing w:line="360" w:lineRule="auto"/>
        <w:ind w:left="6"/>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（5）服务需求响应/偏离表</w:t>
      </w:r>
    </w:p>
    <w:p w14:paraId="604D277A">
      <w:pPr>
        <w:widowControl w:val="0"/>
        <w:spacing w:line="360" w:lineRule="auto"/>
        <w:ind w:left="6"/>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（6）商务条件响应/偏离表</w:t>
      </w:r>
    </w:p>
    <w:p w14:paraId="5A8A4AC2">
      <w:pPr>
        <w:widowControl w:val="0"/>
        <w:spacing w:line="360" w:lineRule="auto"/>
        <w:ind w:left="6"/>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（7）投标人应当提交的资格、资信证明文件</w:t>
      </w:r>
    </w:p>
    <w:p w14:paraId="7BD38828">
      <w:pPr>
        <w:widowControl w:val="0"/>
        <w:spacing w:line="360" w:lineRule="auto"/>
        <w:ind w:left="6"/>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（8）为落实政府采购政策投标人须提供的证明材料</w:t>
      </w:r>
    </w:p>
    <w:p w14:paraId="678465BD">
      <w:pPr>
        <w:widowControl w:val="0"/>
        <w:spacing w:line="360" w:lineRule="auto"/>
        <w:ind w:left="6"/>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（9）技术文件</w:t>
      </w:r>
    </w:p>
    <w:p w14:paraId="41007BB6">
      <w:pPr>
        <w:widowControl w:val="0"/>
        <w:spacing w:line="360" w:lineRule="auto"/>
        <w:ind w:left="6"/>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（10）其他资料</w:t>
      </w:r>
    </w:p>
    <w:p w14:paraId="5CEFC70A">
      <w:pPr>
        <w:widowControl w:val="0"/>
        <w:spacing w:line="360" w:lineRule="auto"/>
        <w:ind w:left="6"/>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13.2 投标人应编写投标文件目录及页码。</w:t>
      </w:r>
    </w:p>
    <w:p w14:paraId="791D3984">
      <w:pPr>
        <w:widowControl w:val="0"/>
        <w:spacing w:before="120" w:line="360" w:lineRule="auto"/>
        <w:jc w:val="both"/>
        <w:outlineLvl w:val="2"/>
        <w:rPr>
          <w:rFonts w:hint="eastAsia" w:ascii="宋体" w:hAnsi="宋体" w:eastAsia="宋体" w:cs="宋体"/>
          <w:color w:val="auto"/>
          <w:sz w:val="24"/>
          <w:szCs w:val="24"/>
          <w:highlight w:val="none"/>
          <w:lang w:eastAsia="zh-CN"/>
        </w:rPr>
      </w:pPr>
      <w:bookmarkStart w:id="64" w:name="_Toc319"/>
      <w:bookmarkStart w:id="65" w:name="_Toc5925"/>
      <w:r>
        <w:rPr>
          <w:rFonts w:hint="eastAsia" w:ascii="宋体" w:hAnsi="宋体" w:eastAsia="宋体" w:cs="宋体"/>
          <w:color w:val="auto"/>
          <w:sz w:val="24"/>
          <w:szCs w:val="24"/>
          <w:highlight w:val="none"/>
          <w:lang w:eastAsia="zh-CN"/>
        </w:rPr>
        <w:t>14.投标报价</w:t>
      </w:r>
      <w:bookmarkEnd w:id="64"/>
      <w:bookmarkEnd w:id="65"/>
    </w:p>
    <w:p w14:paraId="12222D47">
      <w:pPr>
        <w:widowControl w:val="0"/>
        <w:spacing w:before="185" w:line="360" w:lineRule="auto"/>
        <w:ind w:left="559" w:right="61" w:hanging="559" w:hangingChars="233"/>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14.1 所有投标均以人民币报价，报价内容包含招标文件规定的完成本项目相关服务所需的设备、人员、培训、技术支持、税费等一切相关费用。</w:t>
      </w:r>
    </w:p>
    <w:p w14:paraId="271C6065">
      <w:pPr>
        <w:widowControl w:val="0"/>
        <w:spacing w:line="360" w:lineRule="auto"/>
        <w:ind w:left="560" w:hanging="56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14.2 投标人要按开标一览表（统一格式）和分项报价表（统一格式）、开标一览明细表的内容填写单价、总价及其他事项。投标总价中不得包含招标文件要求以外的内容，否则，在评标时不予核减。若投标人不同意，投标无效。</w:t>
      </w:r>
    </w:p>
    <w:p w14:paraId="364D208B">
      <w:pPr>
        <w:widowControl w:val="0"/>
        <w:spacing w:before="46" w:line="360" w:lineRule="auto"/>
        <w:ind w:left="559" w:right="61" w:hanging="559" w:hangingChars="233"/>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14.3 投标总价中如缺漏招标文件所要求的内容，投标人中标后须提供，且中标价以投标报价为准。若投标人不同意，投标无效。</w:t>
      </w:r>
    </w:p>
    <w:p w14:paraId="4DCA6437">
      <w:pPr>
        <w:widowControl w:val="0"/>
        <w:spacing w:line="360" w:lineRule="auto"/>
        <w:ind w:left="559" w:right="61" w:hanging="559"/>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14.4 投标人所报的投标价在合同执行过程中是固定不变的,不得以任何理由予以变更。投标人应对所有招标内容进行投标，且只提供最优方案一套，投标人提交任何包含价格调整要求的投标将按非实质性响应投标，投标无效。</w:t>
      </w:r>
    </w:p>
    <w:p w14:paraId="0239BC5D">
      <w:pPr>
        <w:widowControl w:val="0"/>
        <w:spacing w:before="65" w:line="360" w:lineRule="auto"/>
        <w:jc w:val="both"/>
        <w:rPr>
          <w:rFonts w:hint="eastAsia" w:ascii="宋体" w:hAnsi="宋体" w:eastAsia="宋体" w:cs="宋体"/>
          <w:color w:val="auto"/>
          <w:highlight w:val="none"/>
          <w:lang w:eastAsia="zh-CN"/>
        </w:rPr>
      </w:pPr>
      <w:r>
        <w:rPr>
          <w:rFonts w:hint="eastAsia" w:ascii="宋体" w:hAnsi="宋体" w:eastAsia="宋体" w:cs="宋体"/>
          <w:color w:val="auto"/>
          <w:sz w:val="24"/>
          <w:szCs w:val="24"/>
          <w:highlight w:val="none"/>
          <w:lang w:eastAsia="zh-CN"/>
        </w:rPr>
        <w:t>14.5最低报价不能作为中标的保证。</w:t>
      </w:r>
    </w:p>
    <w:p w14:paraId="26928C53">
      <w:pPr>
        <w:widowControl w:val="0"/>
        <w:spacing w:before="58" w:line="360" w:lineRule="auto"/>
        <w:jc w:val="both"/>
        <w:outlineLvl w:val="2"/>
        <w:rPr>
          <w:rFonts w:hint="eastAsia" w:ascii="宋体" w:hAnsi="宋体" w:eastAsia="宋体" w:cs="宋体"/>
          <w:color w:val="auto"/>
          <w:sz w:val="24"/>
          <w:szCs w:val="24"/>
          <w:highlight w:val="none"/>
          <w:lang w:eastAsia="zh-CN"/>
        </w:rPr>
      </w:pPr>
      <w:bookmarkStart w:id="66" w:name="_Toc13969"/>
      <w:bookmarkStart w:id="67" w:name="_Toc23967"/>
      <w:r>
        <w:rPr>
          <w:rFonts w:hint="eastAsia" w:ascii="宋体" w:hAnsi="宋体" w:eastAsia="宋体" w:cs="宋体"/>
          <w:color w:val="auto"/>
          <w:sz w:val="24"/>
          <w:szCs w:val="24"/>
          <w:highlight w:val="none"/>
          <w:lang w:eastAsia="zh-CN"/>
        </w:rPr>
        <w:t>15.投标</w:t>
      </w:r>
      <w:bookmarkEnd w:id="66"/>
      <w:bookmarkEnd w:id="67"/>
      <w:r>
        <w:rPr>
          <w:rFonts w:hint="eastAsia" w:ascii="宋体" w:hAnsi="宋体" w:eastAsia="宋体" w:cs="宋体"/>
          <w:color w:val="auto"/>
          <w:sz w:val="24"/>
          <w:szCs w:val="24"/>
          <w:highlight w:val="none"/>
          <w:lang w:eastAsia="zh-CN"/>
        </w:rPr>
        <w:t>保证金</w:t>
      </w:r>
    </w:p>
    <w:p w14:paraId="2BFDC006">
      <w:pPr>
        <w:widowControl w:val="0"/>
        <w:spacing w:line="360" w:lineRule="auto"/>
        <w:ind w:left="600" w:right="61" w:hanging="600" w:hangingChars="25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15.1 投标人须在投标文件递交截止时间之前向采购代理机构提交投标保证金，并作为其投标文件的一部分，详见“投标人须知前附表 ”。联合体投标的，可以由联合体中的一方或者共同提交投标保证金，以一方名义提交投标保证金的，对联合体各方均具有约束力。（适用联合体投标）</w:t>
      </w:r>
    </w:p>
    <w:p w14:paraId="533042D1">
      <w:pPr>
        <w:widowControl w:val="0"/>
        <w:spacing w:line="360" w:lineRule="auto"/>
        <w:ind w:left="600" w:right="61" w:hanging="600" w:hangingChars="25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15.2 任何未按“投标人须知第15.1 条 ”要求提交投标保证金的投标文件，投标无效。</w:t>
      </w:r>
    </w:p>
    <w:p w14:paraId="13B138A0">
      <w:pPr>
        <w:widowControl w:val="0"/>
        <w:spacing w:line="360" w:lineRule="auto"/>
        <w:ind w:left="602" w:right="61" w:hanging="602" w:hangingChars="251"/>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15.3 自中标通知书发出之日起5个工作日内退还未中标人的投标保证金，自采购合同签订之日起5个工作日内退还中标人的投标保证金。</w:t>
      </w:r>
    </w:p>
    <w:p w14:paraId="68B08BB6">
      <w:pPr>
        <w:widowControl w:val="0"/>
        <w:spacing w:line="360" w:lineRule="auto"/>
        <w:ind w:left="602" w:right="61" w:hanging="602" w:hangingChars="251"/>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15.4 投标人在投标截止时间前撤回已提交的投标文件的，采购代理机构应当自投标截止之日起5个工作日内，退还已收取的投标保证金，但因投标人自身原因导致无法及时退还的除外。</w:t>
      </w:r>
    </w:p>
    <w:p w14:paraId="213FFDC9">
      <w:pPr>
        <w:widowControl w:val="0"/>
        <w:spacing w:line="360" w:lineRule="auto"/>
        <w:ind w:left="472" w:right="3174" w:hanging="473"/>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15.5 下列任何情况发生时，投标保证金不予退： </w:t>
      </w:r>
    </w:p>
    <w:p w14:paraId="0B21DEBC">
      <w:pPr>
        <w:widowControl w:val="0"/>
        <w:spacing w:line="360" w:lineRule="auto"/>
        <w:ind w:left="657" w:leftChars="200" w:right="3174" w:hanging="237" w:hangingChars="99"/>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（1)投标人在投标有效期内撤销其投标；</w:t>
      </w:r>
    </w:p>
    <w:p w14:paraId="445495EF">
      <w:pPr>
        <w:widowControl w:val="0"/>
        <w:spacing w:line="360" w:lineRule="auto"/>
        <w:ind w:left="473"/>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（2)中标人未按招标文件所述规定签订合同；</w:t>
      </w:r>
    </w:p>
    <w:p w14:paraId="00F6C4E1">
      <w:pPr>
        <w:widowControl w:val="0"/>
        <w:spacing w:line="360" w:lineRule="auto"/>
        <w:ind w:left="473"/>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（3)中标人未按招标文件规定支付采购代理服务费；</w:t>
      </w:r>
    </w:p>
    <w:p w14:paraId="39734F71">
      <w:pPr>
        <w:widowControl w:val="0"/>
        <w:spacing w:line="360" w:lineRule="auto"/>
        <w:ind w:left="471"/>
        <w:jc w:val="both"/>
        <w:rPr>
          <w:rFonts w:hint="eastAsia" w:ascii="宋体" w:hAnsi="宋体" w:eastAsia="宋体" w:cs="宋体"/>
          <w:color w:val="auto"/>
          <w:sz w:val="10"/>
          <w:szCs w:val="10"/>
          <w:highlight w:val="none"/>
          <w:lang w:eastAsia="zh-CN"/>
        </w:rPr>
      </w:pPr>
      <w:r>
        <w:rPr>
          <w:rFonts w:hint="eastAsia" w:ascii="宋体" w:hAnsi="宋体" w:eastAsia="宋体" w:cs="宋体"/>
          <w:color w:val="auto"/>
          <w:sz w:val="24"/>
          <w:szCs w:val="24"/>
          <w:highlight w:val="none"/>
          <w:lang w:eastAsia="zh-CN"/>
        </w:rPr>
        <w:t>（4)中标人未按招标文件规定提交履约保证金；（如要求提供履约保证金）</w:t>
      </w:r>
    </w:p>
    <w:p w14:paraId="47E3DB33">
      <w:pPr>
        <w:widowControl w:val="0"/>
        <w:spacing w:line="360" w:lineRule="auto"/>
        <w:ind w:left="471"/>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（5)投标人提供虚假材料谋取中标。</w:t>
      </w:r>
    </w:p>
    <w:p w14:paraId="2FDDF02E">
      <w:pPr>
        <w:widowControl w:val="0"/>
        <w:spacing w:before="78" w:line="360" w:lineRule="auto"/>
        <w:jc w:val="both"/>
        <w:outlineLvl w:val="2"/>
        <w:rPr>
          <w:rFonts w:hint="eastAsia" w:ascii="宋体" w:hAnsi="宋体" w:eastAsia="宋体" w:cs="宋体"/>
          <w:color w:val="auto"/>
          <w:sz w:val="24"/>
          <w:szCs w:val="24"/>
          <w:highlight w:val="none"/>
          <w:lang w:eastAsia="zh-CN"/>
        </w:rPr>
      </w:pPr>
      <w:bookmarkStart w:id="68" w:name="_Toc16929"/>
      <w:bookmarkStart w:id="69" w:name="_Toc27215"/>
      <w:r>
        <w:rPr>
          <w:rFonts w:hint="eastAsia" w:ascii="宋体" w:hAnsi="宋体" w:eastAsia="宋体" w:cs="宋体"/>
          <w:color w:val="auto"/>
          <w:sz w:val="24"/>
          <w:szCs w:val="24"/>
          <w:highlight w:val="none"/>
          <w:lang w:eastAsia="zh-CN"/>
        </w:rPr>
        <w:t>16.投标有效期</w:t>
      </w:r>
      <w:bookmarkEnd w:id="68"/>
      <w:bookmarkEnd w:id="69"/>
    </w:p>
    <w:p w14:paraId="766CE5ED">
      <w:pPr>
        <w:widowControl w:val="0"/>
        <w:kinsoku/>
        <w:spacing w:before="182" w:line="360" w:lineRule="auto"/>
        <w:ind w:left="631" w:right="79" w:hanging="631" w:hangingChars="263"/>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16.1 投标有效期从提交投标文件的截止之日起算。投标文件中承诺的投标有效期应不少于招标文件中载明的投标有效期。并在投标文件中承诺的投标有效期内保持有效。招标文件中载明的投标有效期详见“投标人须知前附表 ”，投标有效期不足的投标，投标无效。</w:t>
      </w:r>
    </w:p>
    <w:p w14:paraId="699B4BD8">
      <w:pPr>
        <w:widowControl w:val="0"/>
        <w:spacing w:before="181" w:line="360" w:lineRule="auto"/>
        <w:ind w:left="631" w:hanging="631"/>
        <w:jc w:val="both"/>
        <w:rPr>
          <w:rFonts w:hint="eastAsia" w:ascii="宋体" w:hAnsi="宋体" w:eastAsia="宋体" w:cs="宋体"/>
          <w:color w:val="auto"/>
          <w:highlight w:val="none"/>
          <w:lang w:eastAsia="zh-CN"/>
        </w:rPr>
      </w:pPr>
      <w:r>
        <w:rPr>
          <w:rFonts w:hint="eastAsia" w:ascii="宋体" w:hAnsi="宋体" w:eastAsia="宋体" w:cs="宋体"/>
          <w:color w:val="auto"/>
          <w:sz w:val="24"/>
          <w:szCs w:val="24"/>
          <w:highlight w:val="none"/>
          <w:lang w:eastAsia="zh-CN"/>
        </w:rPr>
        <w:t>16.2 在特殊情况下，采购代理机构可延长投标有效期。延长投标有效期在中国招标公共服务平台（http://www.cebpubservice.com/）、江西省招标投标网（http://www.jxtb.org.cn/）发布，延期函以网上公告的形式通知所有已参加投标的投标人。已参加投标的投标人应以书面形式答复采购代理机构，同意延长有效期的投标人不能修改其投标文件，有关投标保证金的规定在投标有效期的延长期内继续有效。</w:t>
      </w:r>
    </w:p>
    <w:p w14:paraId="27552349">
      <w:pPr>
        <w:widowControl w:val="0"/>
        <w:spacing w:before="78" w:line="360" w:lineRule="auto"/>
        <w:jc w:val="both"/>
        <w:outlineLvl w:val="2"/>
        <w:rPr>
          <w:rFonts w:hint="eastAsia" w:ascii="宋体" w:hAnsi="宋体" w:eastAsia="宋体" w:cs="宋体"/>
          <w:color w:val="auto"/>
          <w:sz w:val="24"/>
          <w:szCs w:val="24"/>
          <w:highlight w:val="none"/>
          <w:lang w:eastAsia="zh-CN"/>
        </w:rPr>
      </w:pPr>
      <w:bookmarkStart w:id="70" w:name="_Toc20904"/>
      <w:bookmarkStart w:id="71" w:name="_Toc30529"/>
      <w:r>
        <w:rPr>
          <w:rFonts w:hint="eastAsia" w:ascii="宋体" w:hAnsi="宋体" w:eastAsia="宋体" w:cs="宋体"/>
          <w:color w:val="auto"/>
          <w:sz w:val="24"/>
          <w:szCs w:val="24"/>
          <w:highlight w:val="none"/>
          <w:lang w:eastAsia="zh-CN"/>
        </w:rPr>
        <w:t>17.投标文件的递交</w:t>
      </w:r>
      <w:bookmarkEnd w:id="70"/>
      <w:bookmarkEnd w:id="71"/>
    </w:p>
    <w:p w14:paraId="38F2DF2B">
      <w:pPr>
        <w:widowControl w:val="0"/>
        <w:spacing w:before="183" w:line="360" w:lineRule="auto"/>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17.1 投标截止时间</w:t>
      </w:r>
    </w:p>
    <w:p w14:paraId="51CD6958">
      <w:pPr>
        <w:widowControl w:val="0"/>
        <w:spacing w:before="181" w:line="360" w:lineRule="auto"/>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17.1.1 投标截止时间详见“第一章 投标邀请 ”。</w:t>
      </w:r>
    </w:p>
    <w:p w14:paraId="4476AD0A">
      <w:pPr>
        <w:widowControl w:val="0"/>
        <w:spacing w:before="184" w:line="360" w:lineRule="auto"/>
        <w:ind w:left="586" w:right="82" w:hanging="585" w:hangingChars="244"/>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17.1.2 投标文件必须在招标文件规定的投标截止时间前</w:t>
      </w:r>
      <w:r>
        <w:rPr>
          <w:rFonts w:hint="eastAsia" w:ascii="宋体" w:hAnsi="宋体" w:eastAsia="宋体" w:cs="宋体"/>
          <w:color w:val="auto"/>
          <w:sz w:val="24"/>
          <w:szCs w:val="24"/>
          <w:highlight w:val="none"/>
          <w:lang w:val="en-US" w:eastAsia="zh-CN"/>
        </w:rPr>
        <w:t>递交到指定地点</w:t>
      </w:r>
      <w:r>
        <w:rPr>
          <w:rFonts w:hint="eastAsia" w:ascii="宋体" w:hAnsi="宋体" w:eastAsia="宋体" w:cs="宋体"/>
          <w:color w:val="auto"/>
          <w:sz w:val="24"/>
          <w:szCs w:val="24"/>
          <w:highlight w:val="none"/>
          <w:lang w:eastAsia="zh-CN"/>
        </w:rPr>
        <w:t>，否则投标无效。</w:t>
      </w:r>
    </w:p>
    <w:p w14:paraId="248593F8">
      <w:pPr>
        <w:widowControl w:val="0"/>
        <w:spacing w:before="182" w:line="360" w:lineRule="auto"/>
        <w:ind w:left="586" w:right="77" w:hanging="585" w:hangingChars="244"/>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17.1.3 采购代理机构推迟投标截止时间，在中国招标公共服务平台（http://www.cebpubservice.com/）、江西省招标投标网（http://www.jxtb.org.cn/）发布延期公告，延期函以网上公告的形式通知所有已下载招标文件的投标人。在这种情况下，采购代理机构、采购人和投标人受投标截止时间制约的所有权利和义务均应延长至新的投标截止时间。</w:t>
      </w:r>
    </w:p>
    <w:p w14:paraId="0B5A0EC6">
      <w:pPr>
        <w:widowControl w:val="0"/>
        <w:spacing w:before="183" w:line="360" w:lineRule="auto"/>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17.2 迟交的投标文件</w:t>
      </w:r>
    </w:p>
    <w:p w14:paraId="62E85060">
      <w:pPr>
        <w:pStyle w:val="7"/>
        <w:widowControl w:val="0"/>
        <w:spacing w:after="0" w:line="360" w:lineRule="auto"/>
        <w:ind w:left="480" w:leftChars="0" w:hanging="480" w:hangingChars="200"/>
        <w:jc w:val="both"/>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lang w:eastAsia="zh-CN"/>
        </w:rPr>
        <w:t>17.2.1 在投标截止时间以后送达的CA数字证书，采购代理机构将拒绝接收。</w:t>
      </w:r>
      <w:r>
        <w:rPr>
          <w:rFonts w:hint="eastAsia" w:ascii="宋体" w:hAnsi="宋体" w:eastAsia="宋体" w:cs="宋体"/>
          <w:b/>
          <w:bCs/>
          <w:color w:val="auto"/>
          <w:szCs w:val="24"/>
          <w:highlight w:val="none"/>
          <w:lang w:eastAsia="zh-CN"/>
        </w:rPr>
        <w:t>（适用于见面开标方式）</w:t>
      </w:r>
    </w:p>
    <w:p w14:paraId="1654A62E">
      <w:pPr>
        <w:widowControl w:val="0"/>
        <w:spacing w:line="360" w:lineRule="auto"/>
        <w:ind w:left="480" w:hanging="480" w:hanging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17.2.2 未在投标截止时间前进行网上在线签到的，视为投标无效。</w:t>
      </w:r>
      <w:r>
        <w:rPr>
          <w:rFonts w:hint="eastAsia" w:ascii="宋体" w:hAnsi="宋体" w:eastAsia="宋体" w:cs="宋体"/>
          <w:b/>
          <w:bCs/>
          <w:color w:val="auto"/>
          <w:sz w:val="24"/>
          <w:szCs w:val="24"/>
          <w:highlight w:val="none"/>
          <w:lang w:eastAsia="zh-CN"/>
        </w:rPr>
        <w:t>（适用于不见面开标方式）</w:t>
      </w:r>
    </w:p>
    <w:p w14:paraId="7111F033">
      <w:pPr>
        <w:widowControl w:val="0"/>
        <w:spacing w:before="183" w:line="360" w:lineRule="auto"/>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17.3 投标文件的修改和撤回</w:t>
      </w:r>
    </w:p>
    <w:p w14:paraId="64CCF56A">
      <w:pPr>
        <w:widowControl w:val="0"/>
        <w:spacing w:before="184" w:line="360" w:lineRule="auto"/>
        <w:ind w:left="526" w:right="80" w:hanging="525" w:hangingChars="219"/>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17.3.1 在投标截止时间前，投标人修改或撤回投标文件的，投标人可以上重新上传修改后的投标文件或撤回其投标。</w:t>
      </w:r>
      <w:r>
        <w:rPr>
          <w:rFonts w:hint="eastAsia" w:ascii="宋体" w:hAnsi="宋体" w:eastAsia="宋体" w:cs="宋体"/>
          <w:b/>
          <w:bCs/>
          <w:color w:val="auto"/>
          <w:sz w:val="24"/>
          <w:szCs w:val="24"/>
          <w:highlight w:val="none"/>
          <w:lang w:eastAsia="zh-CN"/>
        </w:rPr>
        <w:t>（适用于不见面开标方式）</w:t>
      </w:r>
    </w:p>
    <w:p w14:paraId="7CE25EDD">
      <w:pPr>
        <w:widowControl w:val="0"/>
        <w:spacing w:before="184" w:line="360" w:lineRule="auto"/>
        <w:ind w:left="526" w:right="80" w:hanging="525" w:hangingChars="219"/>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17.3.2 投标有效期期满这段时间内，投标人不得撤销其投标，否则不予退还其交纳的投标保证金。</w:t>
      </w:r>
    </w:p>
    <w:p w14:paraId="2EE9308F">
      <w:pPr>
        <w:pStyle w:val="7"/>
        <w:widowControl w:val="0"/>
        <w:spacing w:after="0" w:line="360" w:lineRule="auto"/>
        <w:ind w:left="525" w:leftChars="0" w:hanging="525" w:hangingChars="219"/>
        <w:jc w:val="both"/>
        <w:rPr>
          <w:rFonts w:hint="eastAsia" w:ascii="宋体" w:hAnsi="宋体" w:eastAsia="宋体" w:cs="宋体"/>
          <w:color w:val="auto"/>
          <w:highlight w:val="none"/>
          <w:lang w:eastAsia="zh-CN"/>
        </w:rPr>
      </w:pPr>
      <w:r>
        <w:rPr>
          <w:rFonts w:hint="eastAsia" w:ascii="宋体" w:hAnsi="宋体" w:eastAsia="宋体" w:cs="宋体"/>
          <w:color w:val="auto"/>
          <w:szCs w:val="24"/>
          <w:highlight w:val="none"/>
          <w:lang w:eastAsia="zh-CN"/>
        </w:rPr>
        <w:t>17.4 原件及演示递交要求：招标文件要求提供材料原件、演示佐证的，必须将原件或演示材料在投标文件递交截止时间前递交至开标地点，逾期不予接收。具体要求详见“投标须知前附表”</w:t>
      </w:r>
    </w:p>
    <w:p w14:paraId="47C4B6A6">
      <w:pPr>
        <w:widowControl w:val="0"/>
        <w:spacing w:before="120" w:line="360" w:lineRule="auto"/>
        <w:jc w:val="both"/>
        <w:outlineLvl w:val="2"/>
        <w:rPr>
          <w:rFonts w:hint="eastAsia" w:ascii="宋体" w:hAnsi="宋体" w:eastAsia="宋体" w:cs="宋体"/>
          <w:color w:val="auto"/>
          <w:sz w:val="24"/>
          <w:szCs w:val="24"/>
          <w:highlight w:val="none"/>
          <w:lang w:eastAsia="zh-CN"/>
        </w:rPr>
      </w:pPr>
      <w:bookmarkStart w:id="72" w:name="_Toc32090"/>
      <w:bookmarkStart w:id="73" w:name="_Toc11811"/>
      <w:r>
        <w:rPr>
          <w:rFonts w:hint="eastAsia" w:ascii="宋体" w:hAnsi="宋体" w:eastAsia="宋体" w:cs="宋体"/>
          <w:color w:val="auto"/>
          <w:sz w:val="24"/>
          <w:szCs w:val="24"/>
          <w:highlight w:val="none"/>
          <w:lang w:eastAsia="zh-CN"/>
        </w:rPr>
        <w:t>18.分包的规定</w:t>
      </w:r>
      <w:bookmarkEnd w:id="72"/>
      <w:bookmarkEnd w:id="73"/>
    </w:p>
    <w:p w14:paraId="5BDFFA75">
      <w:pPr>
        <w:widowControl w:val="0"/>
        <w:spacing w:before="181" w:line="360" w:lineRule="auto"/>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18.1 本项目是否允许分包：详见“投标人须知前附表 ”。</w:t>
      </w:r>
    </w:p>
    <w:p w14:paraId="5F2E1241">
      <w:pPr>
        <w:widowControl w:val="0"/>
        <w:spacing w:before="183" w:line="360" w:lineRule="auto"/>
        <w:ind w:left="546" w:right="61" w:hanging="532"/>
        <w:jc w:val="both"/>
        <w:rPr>
          <w:rFonts w:hint="eastAsia" w:ascii="宋体" w:hAnsi="宋体" w:eastAsia="宋体" w:cs="宋体"/>
          <w:color w:val="auto"/>
          <w:highlight w:val="none"/>
          <w:lang w:eastAsia="zh-CN"/>
        </w:rPr>
      </w:pPr>
      <w:r>
        <w:rPr>
          <w:rFonts w:hint="eastAsia" w:ascii="宋体" w:hAnsi="宋体" w:eastAsia="宋体" w:cs="宋体"/>
          <w:color w:val="auto"/>
          <w:sz w:val="24"/>
          <w:szCs w:val="24"/>
          <w:highlight w:val="none"/>
          <w:lang w:eastAsia="zh-CN"/>
        </w:rPr>
        <w:t>18.2 在中标后将中标项目的非主体、非关键性工作分包的，应当在投标文件中载明分包承担主体，分包承担主体应当具备相应资质条件且不得再次分包。（适用于允许分包）</w:t>
      </w:r>
    </w:p>
    <w:p w14:paraId="6D009DEA">
      <w:pPr>
        <w:widowControl w:val="0"/>
        <w:spacing w:beforeLines="69" w:line="360" w:lineRule="auto"/>
        <w:ind w:left="546" w:hanging="546"/>
        <w:jc w:val="both"/>
        <w:outlineLvl w:val="1"/>
        <w:rPr>
          <w:rFonts w:hint="eastAsia" w:ascii="宋体" w:hAnsi="宋体" w:eastAsia="宋体" w:cs="宋体"/>
          <w:color w:val="auto"/>
          <w:highlight w:val="none"/>
          <w:lang w:eastAsia="zh-CN"/>
        </w:rPr>
      </w:pPr>
      <w:bookmarkStart w:id="74" w:name="_Toc28915"/>
      <w:bookmarkStart w:id="75" w:name="_Toc13294"/>
      <w:r>
        <w:rPr>
          <w:rFonts w:hint="eastAsia" w:ascii="宋体" w:hAnsi="宋体" w:eastAsia="宋体" w:cs="宋体"/>
          <w:color w:val="auto"/>
          <w:sz w:val="24"/>
          <w:szCs w:val="24"/>
          <w:highlight w:val="none"/>
          <w:lang w:eastAsia="zh-CN"/>
        </w:rPr>
        <w:t>18.3 依据《政府采购促进中小企业发展管理办法》规定享受扶持政策获得政府采购合同的，小微企业不得将合同分包给大中型企业，中型企业不得将合同分包给大型企业。（适用于允许分包）</w:t>
      </w:r>
      <w:bookmarkEnd w:id="74"/>
      <w:bookmarkEnd w:id="75"/>
    </w:p>
    <w:p w14:paraId="6702511E">
      <w:pPr>
        <w:widowControl w:val="0"/>
        <w:spacing w:before="79" w:line="360" w:lineRule="auto"/>
        <w:jc w:val="both"/>
        <w:outlineLvl w:val="2"/>
        <w:rPr>
          <w:rFonts w:hint="eastAsia" w:ascii="宋体" w:hAnsi="宋体" w:eastAsia="宋体" w:cs="宋体"/>
          <w:color w:val="auto"/>
          <w:highlight w:val="none"/>
          <w:lang w:eastAsia="zh-CN"/>
        </w:rPr>
      </w:pPr>
      <w:bookmarkStart w:id="76" w:name="_Toc1669"/>
      <w:bookmarkStart w:id="77" w:name="_Toc29550"/>
      <w:r>
        <w:rPr>
          <w:rFonts w:hint="eastAsia" w:ascii="宋体" w:hAnsi="宋体" w:eastAsia="宋体" w:cs="宋体"/>
          <w:color w:val="auto"/>
          <w:sz w:val="24"/>
          <w:szCs w:val="24"/>
          <w:highlight w:val="none"/>
          <w:lang w:eastAsia="zh-CN"/>
        </w:rPr>
        <w:t>19.恶意串通等行为的处理及串通投标情形的认定</w:t>
      </w:r>
      <w:bookmarkEnd w:id="76"/>
      <w:bookmarkEnd w:id="77"/>
    </w:p>
    <w:p w14:paraId="705587F1">
      <w:pPr>
        <w:widowControl w:val="0"/>
        <w:spacing w:line="360" w:lineRule="auto"/>
        <w:ind w:left="588" w:hanging="588" w:hangingChars="245"/>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19.1 投标人应当遵循公平竞争的原则，不得恶意串通，不得妨碍其他投标人的竞争行为，不得损害采购人或者其他投标人的合法权益。在评标过程中发现投标人有上述情形的，评标委员会应当认定其投标无效，并书面报告本级财政部门。</w:t>
      </w:r>
    </w:p>
    <w:p w14:paraId="18540871">
      <w:pPr>
        <w:widowControl w:val="0"/>
        <w:spacing w:line="360" w:lineRule="auto"/>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19.2 有下列情形之一的，视为投标人串通投标，其投标无效</w:t>
      </w:r>
    </w:p>
    <w:p w14:paraId="2EA9990F">
      <w:pPr>
        <w:widowControl w:val="0"/>
        <w:spacing w:line="360" w:lineRule="auto"/>
        <w:ind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（1）不同投标人的投标文件由同一单位或者个人编制；</w:t>
      </w:r>
    </w:p>
    <w:p w14:paraId="06856E60">
      <w:pPr>
        <w:widowControl w:val="0"/>
        <w:spacing w:line="360" w:lineRule="auto"/>
        <w:ind w:left="488"/>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（2）不同投标人委托同一单位或者个人办理投标事宜；</w:t>
      </w:r>
    </w:p>
    <w:p w14:paraId="6ADEBFCB">
      <w:pPr>
        <w:widowControl w:val="0"/>
        <w:spacing w:line="360" w:lineRule="auto"/>
        <w:ind w:left="488"/>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（3）不同投标人的投标文件载明的项目管理成员或者联系人员为同一人；</w:t>
      </w:r>
    </w:p>
    <w:p w14:paraId="006A0863">
      <w:pPr>
        <w:widowControl w:val="0"/>
        <w:spacing w:line="360" w:lineRule="auto"/>
        <w:ind w:left="488"/>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（4）不同投标人的投标文件异常一致或者投标报价呈规律性差异；</w:t>
      </w:r>
    </w:p>
    <w:p w14:paraId="2DE76FC4">
      <w:pPr>
        <w:widowControl w:val="0"/>
        <w:spacing w:line="360" w:lineRule="auto"/>
        <w:ind w:left="488"/>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（5）不同投标人的投标文件相互混装；</w:t>
      </w:r>
    </w:p>
    <w:p w14:paraId="3C1D92DF">
      <w:pPr>
        <w:widowControl w:val="0"/>
        <w:spacing w:line="360" w:lineRule="auto"/>
        <w:ind w:firstLine="480" w:firstLineChars="200"/>
        <w:jc w:val="both"/>
        <w:rPr>
          <w:rFonts w:hint="eastAsia" w:ascii="宋体" w:hAnsi="宋体" w:eastAsia="宋体" w:cs="宋体"/>
          <w:color w:val="auto"/>
          <w:highlight w:val="none"/>
          <w:lang w:eastAsia="zh-CN"/>
        </w:rPr>
      </w:pPr>
      <w:r>
        <w:rPr>
          <w:rFonts w:hint="eastAsia" w:ascii="宋体" w:hAnsi="宋体" w:eastAsia="宋体" w:cs="宋体"/>
          <w:color w:val="auto"/>
          <w:sz w:val="24"/>
          <w:szCs w:val="24"/>
          <w:highlight w:val="none"/>
          <w:lang w:eastAsia="zh-CN"/>
        </w:rPr>
        <w:t>（6）不同投标人的投标保证金从同一单位或者个人的账户转出。</w:t>
      </w:r>
    </w:p>
    <w:p w14:paraId="73057224">
      <w:pPr>
        <w:widowControl w:val="0"/>
        <w:numPr>
          <w:ilvl w:val="0"/>
          <w:numId w:val="3"/>
        </w:numPr>
        <w:spacing w:beforeLines="100" w:afterLines="100" w:line="360" w:lineRule="auto"/>
        <w:ind w:left="3312" w:leftChars="1577" w:right="989" w:rightChars="471"/>
        <w:jc w:val="both"/>
        <w:outlineLvl w:val="1"/>
        <w:rPr>
          <w:rFonts w:hint="eastAsia" w:ascii="宋体" w:hAnsi="宋体" w:eastAsia="宋体" w:cs="宋体"/>
          <w:color w:val="auto"/>
          <w:sz w:val="24"/>
          <w:szCs w:val="24"/>
          <w:highlight w:val="none"/>
          <w:lang w:eastAsia="zh-CN"/>
        </w:rPr>
      </w:pPr>
      <w:bookmarkStart w:id="78" w:name="_Toc20519"/>
      <w:bookmarkStart w:id="79" w:name="_Toc30971"/>
      <w:r>
        <w:rPr>
          <w:rFonts w:hint="eastAsia" w:ascii="宋体" w:hAnsi="宋体" w:eastAsia="宋体" w:cs="宋体"/>
          <w:color w:val="auto"/>
          <w:sz w:val="24"/>
          <w:szCs w:val="24"/>
          <w:highlight w:val="none"/>
          <w:lang w:eastAsia="zh-CN"/>
        </w:rPr>
        <w:t>开标</w:t>
      </w:r>
      <w:bookmarkEnd w:id="78"/>
      <w:bookmarkEnd w:id="79"/>
    </w:p>
    <w:p w14:paraId="4E2D9D31">
      <w:pPr>
        <w:widowControl w:val="0"/>
        <w:spacing w:line="360" w:lineRule="auto"/>
        <w:jc w:val="both"/>
        <w:outlineLvl w:val="2"/>
        <w:rPr>
          <w:rFonts w:hint="eastAsia" w:ascii="宋体" w:hAnsi="宋体" w:eastAsia="宋体" w:cs="宋体"/>
          <w:color w:val="auto"/>
          <w:sz w:val="24"/>
          <w:szCs w:val="24"/>
          <w:highlight w:val="none"/>
          <w:lang w:eastAsia="zh-CN"/>
        </w:rPr>
      </w:pPr>
      <w:bookmarkStart w:id="80" w:name="_Toc15192"/>
      <w:bookmarkStart w:id="81" w:name="_Toc32428"/>
      <w:r>
        <w:rPr>
          <w:rFonts w:hint="eastAsia" w:ascii="宋体" w:hAnsi="宋体" w:eastAsia="宋体" w:cs="宋体"/>
          <w:color w:val="auto"/>
          <w:sz w:val="24"/>
          <w:szCs w:val="24"/>
          <w:highlight w:val="none"/>
          <w:lang w:eastAsia="zh-CN"/>
        </w:rPr>
        <w:t>20.开标</w:t>
      </w:r>
      <w:bookmarkEnd w:id="80"/>
      <w:bookmarkEnd w:id="81"/>
    </w:p>
    <w:p w14:paraId="4C7CEF18">
      <w:pPr>
        <w:widowControl w:val="0"/>
        <w:spacing w:line="360" w:lineRule="auto"/>
        <w:jc w:val="both"/>
        <w:outlineLvl w:val="1"/>
        <w:rPr>
          <w:rFonts w:hint="eastAsia" w:ascii="宋体" w:hAnsi="宋体" w:eastAsia="宋体" w:cs="宋体"/>
          <w:color w:val="auto"/>
          <w:sz w:val="24"/>
          <w:szCs w:val="24"/>
          <w:highlight w:val="none"/>
          <w:lang w:eastAsia="zh-CN"/>
        </w:rPr>
      </w:pPr>
      <w:bookmarkStart w:id="82" w:name="_Toc4478"/>
      <w:bookmarkStart w:id="83" w:name="_Toc23991"/>
      <w:r>
        <w:rPr>
          <w:rFonts w:hint="eastAsia" w:ascii="宋体" w:hAnsi="宋体" w:eastAsia="宋体" w:cs="宋体"/>
          <w:color w:val="auto"/>
          <w:sz w:val="24"/>
          <w:szCs w:val="24"/>
          <w:highlight w:val="none"/>
          <w:lang w:eastAsia="zh-CN"/>
        </w:rPr>
        <w:t>20.1 开标：本项目开标方式及开标注意事项详见第二章“投标人须知前附表”。</w:t>
      </w:r>
      <w:bookmarkEnd w:id="82"/>
      <w:bookmarkEnd w:id="83"/>
    </w:p>
    <w:p w14:paraId="474B82B8">
      <w:pPr>
        <w:widowControl w:val="0"/>
        <w:kinsoku/>
        <w:autoSpaceDE/>
        <w:autoSpaceDN/>
        <w:adjustRightInd/>
        <w:snapToGrid/>
        <w:spacing w:line="360" w:lineRule="auto"/>
        <w:ind w:left="593" w:hanging="592" w:hangingChars="247"/>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20.2 开标由采购代理机构主持，邀请投标人参加。评标委员会成员不得参加开标活动。</w:t>
      </w:r>
    </w:p>
    <w:p w14:paraId="7B05459D">
      <w:pPr>
        <w:widowControl w:val="0"/>
        <w:kinsoku/>
        <w:autoSpaceDE/>
        <w:autoSpaceDN/>
        <w:adjustRightInd/>
        <w:snapToGrid/>
        <w:spacing w:line="360" w:lineRule="auto"/>
        <w:ind w:left="480" w:hanging="480" w:hanging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20.3 投标人未在规定时间内使用CA数字证书完成解密投标文件的，</w:t>
      </w:r>
      <w:r>
        <w:rPr>
          <w:rFonts w:hint="eastAsia" w:ascii="宋体" w:hAnsi="宋体" w:eastAsia="宋体" w:cs="宋体"/>
          <w:b/>
          <w:bCs/>
          <w:color w:val="auto"/>
          <w:sz w:val="24"/>
          <w:szCs w:val="24"/>
          <w:highlight w:val="none"/>
          <w:lang w:eastAsia="zh-CN"/>
        </w:rPr>
        <w:t>投标无效。</w:t>
      </w:r>
      <w:r>
        <w:rPr>
          <w:rFonts w:hint="eastAsia" w:ascii="宋体" w:hAnsi="宋体" w:eastAsia="宋体" w:cs="宋体"/>
          <w:b/>
          <w:bCs/>
          <w:i/>
          <w:iCs/>
          <w:color w:val="auto"/>
          <w:sz w:val="24"/>
          <w:szCs w:val="24"/>
          <w:highlight w:val="none"/>
          <w:lang w:eastAsia="zh-CN"/>
        </w:rPr>
        <w:t>（本项目不适用）</w:t>
      </w:r>
    </w:p>
    <w:p w14:paraId="0AC5B7F0">
      <w:pPr>
        <w:widowControl w:val="0"/>
        <w:spacing w:line="360" w:lineRule="auto"/>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20.4 开标时，采购代理机构将宣读投标人名称、投标报价以及其他内容。</w:t>
      </w:r>
    </w:p>
    <w:p w14:paraId="12700260">
      <w:pPr>
        <w:widowControl w:val="0"/>
        <w:spacing w:line="360" w:lineRule="auto"/>
        <w:ind w:firstLine="590" w:firstLineChars="246"/>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投标人不足3家的，不得开标。</w:t>
      </w:r>
    </w:p>
    <w:p w14:paraId="5BC1A13E">
      <w:pPr>
        <w:widowControl w:val="0"/>
        <w:spacing w:line="360" w:lineRule="auto"/>
        <w:ind w:left="590" w:hanging="590" w:hangingChars="246"/>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20.5 开标过程应当由采购代理机构负责记录，并随采购文件一并存档。投标人代表对开标过程和开标记录有疑义，以及认为采购人、采购代理机构相关工作人员有需要回避的情形的，应当场提出询问或者回避申请。采购人、采购代理机构对投标人代表提出的询问或者回避申请应当及时处理。投标人未参加开标的，视同认可开标结果。</w:t>
      </w:r>
    </w:p>
    <w:p w14:paraId="7BEF7D77">
      <w:pPr>
        <w:widowControl w:val="0"/>
        <w:spacing w:before="360" w:line="360" w:lineRule="auto"/>
        <w:jc w:val="center"/>
        <w:outlineLvl w:val="1"/>
        <w:rPr>
          <w:rFonts w:hint="eastAsia" w:ascii="宋体" w:hAnsi="宋体" w:eastAsia="宋体" w:cs="宋体"/>
          <w:color w:val="auto"/>
          <w:highlight w:val="none"/>
          <w:lang w:eastAsia="zh-CN"/>
        </w:rPr>
      </w:pPr>
      <w:bookmarkStart w:id="84" w:name="_Toc22055"/>
      <w:bookmarkStart w:id="85" w:name="_Toc30875"/>
      <w:r>
        <w:rPr>
          <w:rFonts w:hint="eastAsia" w:ascii="宋体" w:hAnsi="宋体" w:eastAsia="宋体" w:cs="宋体"/>
          <w:color w:val="auto"/>
          <w:sz w:val="24"/>
          <w:szCs w:val="24"/>
          <w:highlight w:val="none"/>
          <w:lang w:eastAsia="zh-CN"/>
        </w:rPr>
        <w:t>五、评标</w:t>
      </w:r>
      <w:bookmarkEnd w:id="84"/>
      <w:bookmarkEnd w:id="85"/>
    </w:p>
    <w:p w14:paraId="71B2EBF3">
      <w:pPr>
        <w:widowControl w:val="0"/>
        <w:spacing w:before="79" w:line="360" w:lineRule="auto"/>
        <w:jc w:val="both"/>
        <w:outlineLvl w:val="2"/>
        <w:rPr>
          <w:rFonts w:hint="eastAsia" w:ascii="宋体" w:hAnsi="宋体" w:eastAsia="宋体" w:cs="宋体"/>
          <w:color w:val="auto"/>
          <w:sz w:val="24"/>
          <w:szCs w:val="24"/>
          <w:highlight w:val="none"/>
          <w:lang w:eastAsia="zh-CN"/>
        </w:rPr>
      </w:pPr>
      <w:bookmarkStart w:id="86" w:name="_Toc14943"/>
      <w:bookmarkStart w:id="87" w:name="_Toc13433"/>
      <w:r>
        <w:rPr>
          <w:rFonts w:hint="eastAsia" w:ascii="宋体" w:hAnsi="宋体" w:eastAsia="宋体" w:cs="宋体"/>
          <w:color w:val="auto"/>
          <w:sz w:val="24"/>
          <w:szCs w:val="24"/>
          <w:highlight w:val="none"/>
          <w:lang w:eastAsia="zh-CN"/>
        </w:rPr>
        <w:t>21.评标</w:t>
      </w:r>
      <w:bookmarkEnd w:id="86"/>
      <w:bookmarkEnd w:id="87"/>
    </w:p>
    <w:p w14:paraId="31C13523">
      <w:pPr>
        <w:widowControl w:val="0"/>
        <w:spacing w:before="47" w:line="360" w:lineRule="auto"/>
        <w:ind w:left="598" w:hanging="597" w:hangingChars="249"/>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21.1 公开招标采购项目开标结束后，采购人或者采购代理机构应当依法对投标人的资格进行审查。</w:t>
      </w:r>
    </w:p>
    <w:p w14:paraId="449EC4FF">
      <w:pPr>
        <w:widowControl w:val="0"/>
        <w:spacing w:line="360" w:lineRule="auto"/>
        <w:ind w:firstLine="597" w:firstLineChars="249"/>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合格投标人不足3家的，不得评标。</w:t>
      </w:r>
    </w:p>
    <w:p w14:paraId="44D55CDD">
      <w:pPr>
        <w:widowControl w:val="0"/>
        <w:spacing w:before="47" w:line="360" w:lineRule="auto"/>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21.2 评标委员会</w:t>
      </w:r>
    </w:p>
    <w:p w14:paraId="6366F8CE">
      <w:pPr>
        <w:widowControl w:val="0"/>
        <w:spacing w:before="47" w:line="360" w:lineRule="auto"/>
        <w:ind w:left="581"/>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评标由依照有关法规组建的评标委员会负责。</w:t>
      </w:r>
    </w:p>
    <w:p w14:paraId="6920D2D0">
      <w:pPr>
        <w:widowControl w:val="0"/>
        <w:spacing w:before="47" w:line="360" w:lineRule="auto"/>
        <w:ind w:left="590" w:hanging="590" w:hangingChars="246"/>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21.3 评标委员会应当对符合资格的投标人的投标文件进行符合性审查，以确定其是否满足招标文件的实质性要求。</w:t>
      </w:r>
    </w:p>
    <w:p w14:paraId="34196C29">
      <w:pPr>
        <w:widowControl w:val="0"/>
        <w:spacing w:line="360" w:lineRule="auto"/>
        <w:ind w:left="581" w:right="2" w:hanging="57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21.4 对于投标文件中含义不明确、同类问题表述不一致或者有明显文字和计算错误的内容，评标委员会应当以书面形式要求投标人做出必要的澄清、说明或者补正。</w:t>
      </w:r>
    </w:p>
    <w:p w14:paraId="5404BBE4">
      <w:pPr>
        <w:widowControl w:val="0"/>
        <w:spacing w:line="360" w:lineRule="auto"/>
        <w:ind w:left="580" w:leftChars="276"/>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投标人的澄清、说明或者补正应当采用书面形式，并加盖公章，或者由法定代表人或其授权的代表签字。投标人的澄清、说明或者补正不得超出投标文件的范围或者改变投标文件的实质性内容。</w:t>
      </w:r>
    </w:p>
    <w:p w14:paraId="20CE4598">
      <w:pPr>
        <w:widowControl w:val="0"/>
        <w:spacing w:line="360" w:lineRule="auto"/>
        <w:ind w:left="638" w:hanging="638" w:hangingChars="266"/>
        <w:jc w:val="both"/>
        <w:rPr>
          <w:rFonts w:hint="eastAsia" w:ascii="宋体" w:hAnsi="宋体" w:eastAsia="宋体" w:cs="宋体"/>
          <w:color w:val="auto"/>
          <w:highlight w:val="none"/>
          <w:lang w:eastAsia="zh-CN"/>
        </w:rPr>
      </w:pPr>
      <w:r>
        <w:rPr>
          <w:rFonts w:hint="eastAsia" w:ascii="宋体" w:hAnsi="宋体" w:eastAsia="宋体" w:cs="宋体"/>
          <w:color w:val="auto"/>
          <w:sz w:val="24"/>
          <w:szCs w:val="24"/>
          <w:highlight w:val="none"/>
          <w:lang w:eastAsia="zh-CN"/>
        </w:rPr>
        <w:t>21.5 评标委员会应当按照招标文件中规定的评标方法和标准，对符合性审查合格的投标文件进行商务和技术评估，综合比较与评价。</w:t>
      </w:r>
    </w:p>
    <w:p w14:paraId="0A1B4701">
      <w:pPr>
        <w:widowControl w:val="0"/>
        <w:spacing w:line="360" w:lineRule="auto"/>
        <w:ind w:left="583" w:leftChars="5" w:hanging="573" w:hangingChars="239"/>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21.6 评标委员会根据全体评标成员签字的原始评标记录和评标结果编写评标报告。</w:t>
      </w:r>
    </w:p>
    <w:p w14:paraId="139AD0C3">
      <w:pPr>
        <w:widowControl w:val="0"/>
        <w:spacing w:line="360" w:lineRule="auto"/>
        <w:ind w:left="583" w:leftChars="5" w:hanging="573" w:hangingChars="239"/>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21.7投标文件报价出现前后不一致的，除招标文件另有规定外，按照下列规定修正：</w:t>
      </w:r>
    </w:p>
    <w:p w14:paraId="575A9243">
      <w:pPr>
        <w:widowControl w:val="0"/>
        <w:spacing w:line="360" w:lineRule="auto"/>
        <w:ind w:left="633" w:leftChars="232" w:hanging="146" w:hangingChars="61"/>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（1）投标文件中开标一览表（报价表）内容与投标文件中相应内容不一致的，以开标一览表（报价表）为准；</w:t>
      </w:r>
    </w:p>
    <w:p w14:paraId="70470CBA">
      <w:pPr>
        <w:widowControl w:val="0"/>
        <w:spacing w:line="360" w:lineRule="auto"/>
        <w:ind w:left="11"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（2）大写金额和小写金额不一致的，以大写金额为准；</w:t>
      </w:r>
    </w:p>
    <w:p w14:paraId="71E33729">
      <w:pPr>
        <w:widowControl w:val="0"/>
        <w:spacing w:line="360" w:lineRule="auto"/>
        <w:ind w:left="489" w:leftChars="233"/>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（3）单价金额小数点或者百分比有明显错位的，以开标一览表的总价为准，并修改单价；</w:t>
      </w:r>
    </w:p>
    <w:p w14:paraId="5400DDB7">
      <w:pPr>
        <w:widowControl w:val="0"/>
        <w:spacing w:line="360" w:lineRule="auto"/>
        <w:ind w:left="10" w:leftChars="5" w:firstLine="388" w:firstLineChars="162"/>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（4）总价金额与按单价汇总金额不一致的，以单价金额计算结果为准。</w:t>
      </w:r>
    </w:p>
    <w:p w14:paraId="447C9DCA">
      <w:pPr>
        <w:widowControl w:val="0"/>
        <w:spacing w:line="360" w:lineRule="auto"/>
        <w:ind w:left="489" w:leftChars="233"/>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同时出现两种以上不一致的，按照前款规定的顺序修正。修正后的报价按照投标人的澄清、说明或者补正应当采用书面形式，并加盖公章，或者由法定代表人或其授权的代表签字。投标人的澄清、说明或者补正不得超出投标文件的范围或者改变投标文件的实质性内容的规定经投标人确认后产生约束力，投标人不确认的，其投标无效。</w:t>
      </w:r>
    </w:p>
    <w:p w14:paraId="76153B51">
      <w:pPr>
        <w:widowControl w:val="0"/>
        <w:spacing w:before="180" w:line="360" w:lineRule="auto"/>
        <w:ind w:left="573" w:hanging="573"/>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21.8 评标委员会认为投标人的报价明显低于其他通过符合性审查投标人的报价，有可能影响产品质量或者不能诚信履约的，应当要求其在询标环节规定的合理时间内提供书面说明，必要时提交相关证明材料；投标人不能证明其报价合理性的，评标委员会应当将其作为无效投标处理。</w:t>
      </w:r>
    </w:p>
    <w:p w14:paraId="5EEC4857">
      <w:pPr>
        <w:widowControl w:val="0"/>
        <w:spacing w:beforeLines="50" w:line="360" w:lineRule="auto"/>
        <w:ind w:left="11"/>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21.9 投标人存在下列情况之一的，投标无效：</w:t>
      </w:r>
    </w:p>
    <w:p w14:paraId="353A8519">
      <w:pPr>
        <w:widowControl w:val="0"/>
        <w:spacing w:line="360" w:lineRule="auto"/>
        <w:ind w:left="548" w:leftChars="261"/>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（1）未按照招标文件的规定提交投标保证金的；</w:t>
      </w:r>
    </w:p>
    <w:p w14:paraId="19181A03">
      <w:pPr>
        <w:widowControl w:val="0"/>
        <w:spacing w:line="360" w:lineRule="auto"/>
        <w:ind w:left="548" w:leftChars="261"/>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（2）投标文件未按招标文件要求签署、盖章的；</w:t>
      </w:r>
    </w:p>
    <w:p w14:paraId="5D7F6785">
      <w:pPr>
        <w:widowControl w:val="0"/>
        <w:spacing w:line="360" w:lineRule="auto"/>
        <w:ind w:firstLine="547" w:firstLineChars="228"/>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（3）不具备招标文件中规定的资格要求的；</w:t>
      </w:r>
    </w:p>
    <w:p w14:paraId="3ADBB1DD">
      <w:pPr>
        <w:widowControl w:val="0"/>
        <w:spacing w:line="360" w:lineRule="auto"/>
        <w:ind w:left="546" w:leftChars="26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（4）报价超过招标文件中规定的预算金额或者最高限价的；</w:t>
      </w:r>
    </w:p>
    <w:p w14:paraId="4E0F588E">
      <w:pPr>
        <w:widowControl w:val="0"/>
        <w:spacing w:line="360" w:lineRule="auto"/>
        <w:ind w:left="546"/>
        <w:jc w:val="both"/>
        <w:rPr>
          <w:rFonts w:hint="eastAsia" w:ascii="宋体" w:hAnsi="宋体" w:eastAsia="宋体" w:cs="宋体"/>
          <w:color w:val="auto"/>
          <w:highlight w:val="none"/>
          <w:lang w:eastAsia="zh-CN"/>
        </w:rPr>
      </w:pPr>
      <w:r>
        <w:rPr>
          <w:rFonts w:hint="eastAsia" w:ascii="宋体" w:hAnsi="宋体" w:eastAsia="宋体" w:cs="宋体"/>
          <w:color w:val="auto"/>
          <w:sz w:val="24"/>
          <w:szCs w:val="24"/>
          <w:highlight w:val="none"/>
          <w:lang w:eastAsia="zh-CN"/>
        </w:rPr>
        <w:t>（5）投标文件含有采购人不能接受的附加条件的；</w:t>
      </w:r>
    </w:p>
    <w:p w14:paraId="5CF7F6A2">
      <w:pPr>
        <w:widowControl w:val="0"/>
        <w:spacing w:line="360" w:lineRule="auto"/>
        <w:ind w:left="546"/>
        <w:jc w:val="both"/>
        <w:rPr>
          <w:rFonts w:hint="eastAsia" w:ascii="宋体" w:hAnsi="宋体" w:eastAsia="宋体" w:cs="宋体"/>
          <w:color w:val="auto"/>
          <w:highlight w:val="none"/>
          <w:lang w:eastAsia="zh-CN"/>
        </w:rPr>
      </w:pPr>
      <w:r>
        <w:rPr>
          <w:rFonts w:hint="eastAsia" w:ascii="宋体" w:hAnsi="宋体" w:eastAsia="宋体" w:cs="宋体"/>
          <w:color w:val="auto"/>
          <w:sz w:val="24"/>
          <w:szCs w:val="24"/>
          <w:highlight w:val="none"/>
          <w:lang w:eastAsia="zh-CN"/>
        </w:rPr>
        <w:t>（6）法律、法规和招标文件规定的其他无效情形。</w:t>
      </w:r>
    </w:p>
    <w:p w14:paraId="72BB0DA8">
      <w:pPr>
        <w:widowControl w:val="0"/>
        <w:spacing w:before="182" w:line="360" w:lineRule="auto"/>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21.10 在招标采购中，出现下列情形之一的，应予废标：</w:t>
      </w:r>
    </w:p>
    <w:p w14:paraId="481608D6">
      <w:pPr>
        <w:widowControl w:val="0"/>
        <w:spacing w:line="360" w:lineRule="auto"/>
        <w:ind w:left="666" w:leftChars="260" w:hanging="120" w:hangingChars="5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（1）符合专业条件的投标人或者对招标文件作实质响应的投标人不足三家的；</w:t>
      </w:r>
    </w:p>
    <w:p w14:paraId="3AA95C28">
      <w:pPr>
        <w:widowControl w:val="0"/>
        <w:spacing w:line="360" w:lineRule="auto"/>
        <w:ind w:left="546" w:leftChars="26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（2）出现影响采购公正的违法、违规行为的；</w:t>
      </w:r>
    </w:p>
    <w:p w14:paraId="6155A294">
      <w:pPr>
        <w:widowControl w:val="0"/>
        <w:spacing w:line="360" w:lineRule="auto"/>
        <w:ind w:left="546" w:leftChars="26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（3）投标人的报价均超过了采购预算，采购人不能支付的；</w:t>
      </w:r>
    </w:p>
    <w:p w14:paraId="01C59B98">
      <w:pPr>
        <w:widowControl w:val="0"/>
        <w:spacing w:line="360" w:lineRule="auto"/>
        <w:ind w:left="546" w:leftChars="26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（4）因重大变故，采购任务取消。</w:t>
      </w:r>
    </w:p>
    <w:p w14:paraId="1FCFE93E">
      <w:pPr>
        <w:widowControl w:val="0"/>
        <w:kinsoku/>
        <w:spacing w:line="500" w:lineRule="atLeast"/>
        <w:ind w:left="720" w:hanging="720" w:hangingChars="3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21.11 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43079E82">
      <w:pPr>
        <w:widowControl w:val="0"/>
        <w:kinsoku/>
        <w:spacing w:line="500" w:lineRule="atLeast"/>
        <w:ind w:left="720" w:right="-92" w:rightChars="-44" w:hanging="720" w:hangingChars="300"/>
        <w:jc w:val="both"/>
        <w:textAlignment w:val="auto"/>
        <w:rPr>
          <w:rFonts w:hint="eastAsia" w:ascii="宋体" w:hAnsi="宋体" w:eastAsia="宋体" w:cs="宋体"/>
          <w:color w:val="auto"/>
          <w:highlight w:val="none"/>
          <w:lang w:eastAsia="zh-CN"/>
        </w:rPr>
      </w:pPr>
      <w:r>
        <w:rPr>
          <w:rFonts w:hint="eastAsia" w:ascii="宋体" w:hAnsi="宋体" w:eastAsia="宋体" w:cs="宋体"/>
          <w:color w:val="auto"/>
          <w:sz w:val="24"/>
          <w:szCs w:val="24"/>
          <w:highlight w:val="none"/>
          <w:lang w:eastAsia="zh-CN"/>
        </w:rPr>
        <w:t>21.12 评标委员会决定投标的实质性响应，只根据投标本身的真实无误的内容，评审工作不依据外部的证据，但投标有不真实不正确的内容时除外。</w:t>
      </w:r>
    </w:p>
    <w:p w14:paraId="0F0D968F">
      <w:pPr>
        <w:widowControl w:val="0"/>
        <w:spacing w:before="78" w:line="500" w:lineRule="atLeast"/>
        <w:jc w:val="both"/>
        <w:outlineLvl w:val="2"/>
        <w:rPr>
          <w:rFonts w:hint="eastAsia" w:ascii="宋体" w:hAnsi="宋体" w:eastAsia="宋体" w:cs="宋体"/>
          <w:color w:val="auto"/>
          <w:sz w:val="24"/>
          <w:szCs w:val="24"/>
          <w:highlight w:val="none"/>
          <w:lang w:eastAsia="zh-CN"/>
        </w:rPr>
      </w:pPr>
      <w:bookmarkStart w:id="88" w:name="_Toc8336"/>
      <w:bookmarkStart w:id="89" w:name="_Toc32108"/>
      <w:r>
        <w:rPr>
          <w:rFonts w:hint="eastAsia" w:ascii="宋体" w:hAnsi="宋体" w:eastAsia="宋体" w:cs="宋体"/>
          <w:color w:val="auto"/>
          <w:sz w:val="24"/>
          <w:szCs w:val="24"/>
          <w:highlight w:val="none"/>
          <w:lang w:eastAsia="zh-CN"/>
        </w:rPr>
        <w:t>22.评标方法和评标标准</w:t>
      </w:r>
      <w:bookmarkEnd w:id="88"/>
      <w:bookmarkEnd w:id="89"/>
    </w:p>
    <w:p w14:paraId="3C723D40">
      <w:pPr>
        <w:widowControl w:val="0"/>
        <w:spacing w:before="180" w:line="360" w:lineRule="auto"/>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22.1评标方法，见“投标人须知前附表”</w:t>
      </w:r>
    </w:p>
    <w:p w14:paraId="7A5C02DD">
      <w:pPr>
        <w:widowControl w:val="0"/>
        <w:spacing w:before="180" w:line="360" w:lineRule="auto"/>
        <w:ind w:left="630" w:leftChars="3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22.1.1综合评分法，是指投标文件满足招标文件全部实质性要求，且按照评审因素的量化指标评审得分最高的投标人为中标候选人的评标方法。采用综合评分法的，评标结果按评审后得分由高到低顺序排列。得分相同的，按投标报价由低到高顺序排列。得分且投标报价相同的，按服务响应优劣顺序排列。得分、投标报价、服务响应优劣均相同的，由评标委员会随机抽取确定排序。</w:t>
      </w:r>
    </w:p>
    <w:p w14:paraId="4A930EEB">
      <w:pPr>
        <w:widowControl w:val="0"/>
        <w:spacing w:before="180" w:line="360" w:lineRule="auto"/>
        <w:ind w:left="631" w:hanging="631" w:hangingChars="263"/>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22.1.2最低评标价法，是指投标文件满足招标文件全部实质性要求，且投标报价最低的投标人为中标候选人的评标方法。采用最低评标价法的，评标结果按投标报价由低到高顺序排列。投标文件满足招标文件全部实质性要求且投标报价最低的投标人为排名第一的中标候选人。投标报价相同的，按服务响应优劣顺序排列。投标报价、服务响应优劣等均相同的，由评标委员会随机抽取确定排序。</w:t>
      </w:r>
    </w:p>
    <w:p w14:paraId="449E882A">
      <w:pPr>
        <w:widowControl w:val="0"/>
        <w:spacing w:before="180" w:line="360" w:lineRule="auto"/>
        <w:jc w:val="both"/>
        <w:rPr>
          <w:rFonts w:hint="eastAsia" w:ascii="宋体" w:hAnsi="宋体" w:eastAsia="宋体" w:cs="宋体"/>
          <w:color w:val="auto"/>
          <w:highlight w:val="none"/>
          <w:lang w:eastAsia="zh-CN"/>
        </w:rPr>
      </w:pPr>
      <w:r>
        <w:rPr>
          <w:rFonts w:hint="eastAsia" w:ascii="宋体" w:hAnsi="宋体" w:eastAsia="宋体" w:cs="宋体"/>
          <w:color w:val="auto"/>
          <w:sz w:val="24"/>
          <w:szCs w:val="24"/>
          <w:highlight w:val="none"/>
          <w:lang w:eastAsia="zh-CN"/>
        </w:rPr>
        <w:t>22.2评标标准（详见“第六章 评标标准”）。</w:t>
      </w:r>
    </w:p>
    <w:p w14:paraId="3653A607">
      <w:pPr>
        <w:widowControl w:val="0"/>
        <w:numPr>
          <w:ilvl w:val="0"/>
          <w:numId w:val="4"/>
        </w:numPr>
        <w:spacing w:before="182" w:line="360" w:lineRule="auto"/>
        <w:jc w:val="center"/>
        <w:outlineLvl w:val="1"/>
        <w:rPr>
          <w:rFonts w:hint="eastAsia" w:ascii="宋体" w:hAnsi="宋体" w:eastAsia="宋体" w:cs="宋体"/>
          <w:color w:val="auto"/>
          <w:sz w:val="24"/>
          <w:szCs w:val="24"/>
          <w:highlight w:val="none"/>
          <w:lang w:eastAsia="zh-CN"/>
        </w:rPr>
      </w:pPr>
      <w:bookmarkStart w:id="90" w:name="_Toc31837"/>
      <w:bookmarkStart w:id="91" w:name="_Toc806"/>
      <w:r>
        <w:rPr>
          <w:rFonts w:hint="eastAsia" w:ascii="宋体" w:hAnsi="宋体" w:eastAsia="宋体" w:cs="宋体"/>
          <w:color w:val="auto"/>
          <w:sz w:val="24"/>
          <w:szCs w:val="24"/>
          <w:highlight w:val="none"/>
          <w:lang w:eastAsia="zh-CN"/>
        </w:rPr>
        <w:t>意外情况的情形和处理</w:t>
      </w:r>
      <w:bookmarkEnd w:id="90"/>
      <w:bookmarkEnd w:id="91"/>
    </w:p>
    <w:p w14:paraId="6C594EA5">
      <w:pPr>
        <w:widowControl w:val="0"/>
        <w:spacing w:before="182" w:line="360" w:lineRule="auto"/>
        <w:jc w:val="both"/>
        <w:outlineLvl w:val="2"/>
        <w:rPr>
          <w:rFonts w:hint="eastAsia" w:ascii="宋体" w:hAnsi="宋体" w:eastAsia="宋体" w:cs="宋体"/>
          <w:color w:val="auto"/>
          <w:sz w:val="24"/>
          <w:szCs w:val="24"/>
          <w:highlight w:val="none"/>
          <w:lang w:eastAsia="zh-CN"/>
        </w:rPr>
      </w:pPr>
      <w:bookmarkStart w:id="92" w:name="_Toc17376"/>
      <w:bookmarkStart w:id="93" w:name="_Toc29400"/>
      <w:r>
        <w:rPr>
          <w:rFonts w:hint="eastAsia" w:ascii="宋体" w:hAnsi="宋体" w:eastAsia="宋体" w:cs="宋体"/>
          <w:color w:val="auto"/>
          <w:sz w:val="24"/>
          <w:szCs w:val="24"/>
          <w:highlight w:val="none"/>
          <w:lang w:eastAsia="zh-CN"/>
        </w:rPr>
        <w:t>23.意外情况的情形</w:t>
      </w:r>
      <w:bookmarkEnd w:id="92"/>
      <w:bookmarkEnd w:id="93"/>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本项目不适用</w:t>
      </w:r>
      <w:r>
        <w:rPr>
          <w:rFonts w:hint="eastAsia" w:ascii="宋体" w:hAnsi="宋体" w:eastAsia="宋体" w:cs="宋体"/>
          <w:b/>
          <w:bCs/>
          <w:color w:val="auto"/>
          <w:sz w:val="24"/>
          <w:szCs w:val="24"/>
          <w:highlight w:val="none"/>
          <w:lang w:eastAsia="zh-CN"/>
        </w:rPr>
        <w:t>）</w:t>
      </w:r>
    </w:p>
    <w:p w14:paraId="46F34A6D">
      <w:pPr>
        <w:widowControl w:val="0"/>
        <w:spacing w:line="360" w:lineRule="auto"/>
        <w:ind w:left="613" w:leftChars="6" w:right="80" w:hanging="600" w:hangingChars="25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23.1 因客观原因造成电子化政府采购系统无法正常运行或者无法承诺采购活动信息安全，应采取意外情况的处理措施。意外情况包括以下情形：</w:t>
      </w:r>
    </w:p>
    <w:p w14:paraId="345DEEE9">
      <w:pPr>
        <w:widowControl w:val="0"/>
        <w:spacing w:line="360" w:lineRule="auto"/>
        <w:ind w:left="479" w:leftChars="228"/>
        <w:jc w:val="both"/>
        <w:outlineLvl w:val="1"/>
        <w:rPr>
          <w:rFonts w:hint="eastAsia" w:ascii="宋体" w:hAnsi="宋体" w:eastAsia="宋体" w:cs="宋体"/>
          <w:color w:val="auto"/>
          <w:sz w:val="24"/>
          <w:szCs w:val="24"/>
          <w:highlight w:val="none"/>
          <w:lang w:eastAsia="zh-CN"/>
        </w:rPr>
      </w:pPr>
      <w:bookmarkStart w:id="94" w:name="_Toc27459"/>
      <w:bookmarkStart w:id="95" w:name="_Toc6291"/>
      <w:r>
        <w:rPr>
          <w:rFonts w:hint="eastAsia" w:ascii="宋体" w:hAnsi="宋体" w:eastAsia="宋体" w:cs="宋体"/>
          <w:color w:val="auto"/>
          <w:sz w:val="24"/>
          <w:szCs w:val="24"/>
          <w:highlight w:val="none"/>
          <w:lang w:eastAsia="zh-CN"/>
        </w:rPr>
        <w:t>（1）网络系统及其他设备发生故障，导致无法访问网站或无法使用电子化政府采购系统的；</w:t>
      </w:r>
      <w:bookmarkEnd w:id="94"/>
      <w:bookmarkEnd w:id="95"/>
    </w:p>
    <w:p w14:paraId="27FCFAD4">
      <w:pPr>
        <w:widowControl w:val="0"/>
        <w:spacing w:line="360" w:lineRule="auto"/>
        <w:ind w:left="479" w:leftChars="228"/>
        <w:jc w:val="both"/>
        <w:outlineLvl w:val="1"/>
        <w:rPr>
          <w:rFonts w:hint="eastAsia" w:ascii="宋体" w:hAnsi="宋体" w:eastAsia="宋体" w:cs="宋体"/>
          <w:color w:val="auto"/>
          <w:sz w:val="24"/>
          <w:szCs w:val="24"/>
          <w:highlight w:val="none"/>
          <w:lang w:eastAsia="zh-CN"/>
        </w:rPr>
      </w:pPr>
      <w:bookmarkStart w:id="96" w:name="_Toc22367"/>
      <w:bookmarkStart w:id="97" w:name="_Toc23168"/>
      <w:r>
        <w:rPr>
          <w:rFonts w:hint="eastAsia" w:ascii="宋体" w:hAnsi="宋体" w:eastAsia="宋体" w:cs="宋体"/>
          <w:color w:val="auto"/>
          <w:sz w:val="24"/>
          <w:szCs w:val="24"/>
          <w:highlight w:val="none"/>
          <w:lang w:eastAsia="zh-CN"/>
        </w:rPr>
        <w:t>（2）电子化政府采购系统的软件或网络数据库出现错误，导致无法正常操作的；</w:t>
      </w:r>
      <w:bookmarkEnd w:id="96"/>
      <w:bookmarkEnd w:id="97"/>
    </w:p>
    <w:p w14:paraId="50CA378B">
      <w:pPr>
        <w:widowControl w:val="0"/>
        <w:spacing w:line="360" w:lineRule="auto"/>
        <w:ind w:firstLine="480" w:firstLineChars="200"/>
        <w:jc w:val="both"/>
        <w:outlineLvl w:val="1"/>
        <w:rPr>
          <w:rFonts w:hint="eastAsia" w:ascii="宋体" w:hAnsi="宋体" w:eastAsia="宋体" w:cs="宋体"/>
          <w:color w:val="auto"/>
          <w:sz w:val="24"/>
          <w:szCs w:val="24"/>
          <w:highlight w:val="none"/>
          <w:lang w:eastAsia="zh-CN"/>
        </w:rPr>
      </w:pPr>
      <w:bookmarkStart w:id="98" w:name="_Toc32520"/>
      <w:bookmarkStart w:id="99" w:name="_Toc8115"/>
      <w:r>
        <w:rPr>
          <w:rFonts w:hint="eastAsia" w:ascii="宋体" w:hAnsi="宋体" w:eastAsia="宋体" w:cs="宋体"/>
          <w:color w:val="auto"/>
          <w:sz w:val="24"/>
          <w:szCs w:val="24"/>
          <w:highlight w:val="none"/>
          <w:lang w:eastAsia="zh-CN"/>
        </w:rPr>
        <w:t>（3）电子化政府采购系统发现有安全漏洞，有潜在泄密危险的；</w:t>
      </w:r>
      <w:bookmarkEnd w:id="98"/>
      <w:bookmarkEnd w:id="99"/>
    </w:p>
    <w:p w14:paraId="531F50FD">
      <w:pPr>
        <w:widowControl w:val="0"/>
        <w:spacing w:line="360" w:lineRule="auto"/>
        <w:ind w:firstLine="480"/>
        <w:jc w:val="both"/>
        <w:outlineLvl w:val="1"/>
        <w:rPr>
          <w:rFonts w:hint="eastAsia" w:ascii="宋体" w:hAnsi="宋体" w:eastAsia="宋体" w:cs="宋体"/>
          <w:color w:val="auto"/>
          <w:highlight w:val="none"/>
          <w:lang w:eastAsia="zh-CN"/>
        </w:rPr>
      </w:pPr>
      <w:bookmarkStart w:id="100" w:name="_Toc14976"/>
      <w:bookmarkStart w:id="101" w:name="_Toc4965"/>
      <w:r>
        <w:rPr>
          <w:rFonts w:hint="eastAsia" w:ascii="宋体" w:hAnsi="宋体" w:eastAsia="宋体" w:cs="宋体"/>
          <w:color w:val="auto"/>
          <w:sz w:val="24"/>
          <w:szCs w:val="24"/>
          <w:highlight w:val="none"/>
          <w:lang w:eastAsia="zh-CN"/>
        </w:rPr>
        <w:t>（4）其他无法承诺采购活动正常进行的。</w:t>
      </w:r>
      <w:bookmarkEnd w:id="100"/>
      <w:bookmarkEnd w:id="101"/>
    </w:p>
    <w:p w14:paraId="209D3F8D">
      <w:pPr>
        <w:widowControl w:val="0"/>
        <w:spacing w:before="78" w:line="360" w:lineRule="auto"/>
        <w:jc w:val="both"/>
        <w:outlineLvl w:val="2"/>
        <w:rPr>
          <w:rFonts w:hint="eastAsia" w:ascii="宋体" w:hAnsi="宋体" w:eastAsia="宋体" w:cs="宋体"/>
          <w:color w:val="auto"/>
          <w:highlight w:val="none"/>
          <w:lang w:eastAsia="zh-CN"/>
        </w:rPr>
      </w:pPr>
      <w:bookmarkStart w:id="102" w:name="_Toc1633"/>
      <w:bookmarkStart w:id="103" w:name="_Toc18670"/>
      <w:r>
        <w:rPr>
          <w:rFonts w:hint="eastAsia" w:ascii="宋体" w:hAnsi="宋体" w:eastAsia="宋体" w:cs="宋体"/>
          <w:color w:val="auto"/>
          <w:sz w:val="24"/>
          <w:szCs w:val="24"/>
          <w:highlight w:val="none"/>
          <w:lang w:eastAsia="zh-CN"/>
        </w:rPr>
        <w:t>24.意外情况的处理</w:t>
      </w:r>
      <w:bookmarkEnd w:id="102"/>
      <w:bookmarkEnd w:id="103"/>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本项目不适用</w:t>
      </w:r>
      <w:r>
        <w:rPr>
          <w:rFonts w:hint="eastAsia" w:ascii="宋体" w:hAnsi="宋体" w:eastAsia="宋体" w:cs="宋体"/>
          <w:b/>
          <w:bCs/>
          <w:color w:val="auto"/>
          <w:sz w:val="24"/>
          <w:szCs w:val="24"/>
          <w:highlight w:val="none"/>
          <w:lang w:eastAsia="zh-CN"/>
        </w:rPr>
        <w:t>）</w:t>
      </w:r>
    </w:p>
    <w:p w14:paraId="469B36D4">
      <w:pPr>
        <w:widowControl w:val="0"/>
        <w:spacing w:before="183" w:line="360" w:lineRule="auto"/>
        <w:ind w:left="479" w:leftChars="228"/>
        <w:jc w:val="both"/>
        <w:outlineLvl w:val="1"/>
        <w:rPr>
          <w:rFonts w:hint="eastAsia" w:ascii="宋体" w:hAnsi="宋体" w:eastAsia="宋体" w:cs="宋体"/>
          <w:color w:val="auto"/>
          <w:sz w:val="24"/>
          <w:szCs w:val="24"/>
          <w:highlight w:val="none"/>
          <w:lang w:eastAsia="zh-CN"/>
        </w:rPr>
      </w:pPr>
      <w:bookmarkStart w:id="104" w:name="_Toc4755"/>
      <w:bookmarkStart w:id="105" w:name="_Toc15206"/>
      <w:r>
        <w:rPr>
          <w:rFonts w:hint="eastAsia" w:ascii="宋体" w:hAnsi="宋体" w:eastAsia="宋体" w:cs="宋体"/>
          <w:color w:val="auto"/>
          <w:sz w:val="24"/>
          <w:szCs w:val="24"/>
          <w:highlight w:val="none"/>
          <w:lang w:eastAsia="zh-CN"/>
        </w:rPr>
        <w:t>出现23.1情况，故障当日（工作时间内）可排除的，电子化政府采购恢复进行；如故障当日无法排除的，采购活动终止，重新组织采购活动。</w:t>
      </w:r>
      <w:bookmarkEnd w:id="104"/>
      <w:bookmarkEnd w:id="105"/>
      <w:r>
        <w:rPr>
          <w:rFonts w:hint="eastAsia" w:ascii="宋体" w:hAnsi="宋体" w:eastAsia="宋体" w:cs="宋体"/>
          <w:b/>
          <w:bCs/>
          <w:color w:val="auto"/>
          <w:sz w:val="24"/>
          <w:szCs w:val="24"/>
          <w:highlight w:val="none"/>
          <w:lang w:val="en-US" w:eastAsia="zh-CN"/>
        </w:rPr>
        <w:t xml:space="preserve"> </w:t>
      </w:r>
    </w:p>
    <w:p w14:paraId="019B2154">
      <w:pPr>
        <w:widowControl w:val="0"/>
        <w:spacing w:line="700" w:lineRule="atLeast"/>
        <w:jc w:val="center"/>
        <w:outlineLvl w:val="1"/>
        <w:rPr>
          <w:rFonts w:hint="eastAsia" w:ascii="宋体" w:hAnsi="宋体" w:eastAsia="宋体" w:cs="宋体"/>
          <w:color w:val="auto"/>
          <w:sz w:val="24"/>
          <w:szCs w:val="24"/>
          <w:highlight w:val="none"/>
          <w:lang w:eastAsia="zh-CN"/>
        </w:rPr>
      </w:pPr>
      <w:bookmarkStart w:id="106" w:name="_Toc22488"/>
      <w:bookmarkStart w:id="107" w:name="_Toc25224"/>
      <w:r>
        <w:rPr>
          <w:rFonts w:hint="eastAsia" w:ascii="宋体" w:hAnsi="宋体" w:eastAsia="宋体" w:cs="宋体"/>
          <w:color w:val="auto"/>
          <w:sz w:val="24"/>
          <w:szCs w:val="24"/>
          <w:highlight w:val="none"/>
          <w:lang w:eastAsia="zh-CN"/>
        </w:rPr>
        <w:t>七、中标和合同</w:t>
      </w:r>
      <w:bookmarkEnd w:id="106"/>
      <w:bookmarkEnd w:id="107"/>
    </w:p>
    <w:p w14:paraId="099C0796">
      <w:pPr>
        <w:widowControl w:val="0"/>
        <w:spacing w:line="363" w:lineRule="auto"/>
        <w:jc w:val="both"/>
        <w:rPr>
          <w:rFonts w:hint="eastAsia" w:ascii="宋体" w:hAnsi="宋体" w:eastAsia="宋体" w:cs="宋体"/>
          <w:color w:val="auto"/>
          <w:highlight w:val="none"/>
          <w:lang w:eastAsia="zh-CN"/>
        </w:rPr>
      </w:pPr>
    </w:p>
    <w:p w14:paraId="463202D8">
      <w:pPr>
        <w:widowControl w:val="0"/>
        <w:spacing w:line="360" w:lineRule="auto"/>
        <w:ind w:left="14"/>
        <w:jc w:val="both"/>
        <w:outlineLvl w:val="2"/>
        <w:rPr>
          <w:rFonts w:hint="eastAsia" w:ascii="宋体" w:hAnsi="宋体" w:eastAsia="宋体" w:cs="宋体"/>
          <w:color w:val="auto"/>
          <w:highlight w:val="none"/>
          <w:lang w:eastAsia="zh-CN"/>
        </w:rPr>
      </w:pPr>
      <w:bookmarkStart w:id="108" w:name="_Toc24497"/>
      <w:bookmarkStart w:id="109" w:name="_Toc2289"/>
      <w:r>
        <w:rPr>
          <w:rFonts w:hint="eastAsia" w:ascii="宋体" w:hAnsi="宋体" w:eastAsia="宋体" w:cs="宋体"/>
          <w:color w:val="auto"/>
          <w:sz w:val="24"/>
          <w:szCs w:val="24"/>
          <w:highlight w:val="none"/>
          <w:lang w:eastAsia="zh-CN"/>
        </w:rPr>
        <w:t>25.中标人的确定</w:t>
      </w:r>
      <w:bookmarkEnd w:id="108"/>
      <w:bookmarkEnd w:id="109"/>
    </w:p>
    <w:p w14:paraId="5AB5FAA0">
      <w:pPr>
        <w:widowControl w:val="0"/>
        <w:spacing w:line="360" w:lineRule="auto"/>
        <w:ind w:left="641" w:leftChars="6" w:right="80" w:hanging="628" w:hangingChars="262"/>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25.1采购人应当自收到评标报告之日起5个工作日内，在评标报告确定的中标候选人名单中按顺序确定中标人。</w:t>
      </w:r>
    </w:p>
    <w:p w14:paraId="1F7BB451">
      <w:pPr>
        <w:widowControl w:val="0"/>
        <w:spacing w:line="360" w:lineRule="auto"/>
        <w:ind w:left="11"/>
        <w:jc w:val="both"/>
        <w:outlineLvl w:val="2"/>
        <w:rPr>
          <w:rFonts w:hint="eastAsia" w:ascii="宋体" w:hAnsi="宋体" w:eastAsia="宋体" w:cs="宋体"/>
          <w:color w:val="auto"/>
          <w:sz w:val="24"/>
          <w:szCs w:val="24"/>
          <w:highlight w:val="none"/>
          <w:lang w:eastAsia="zh-CN"/>
        </w:rPr>
      </w:pPr>
      <w:bookmarkStart w:id="110" w:name="_Toc15371"/>
      <w:bookmarkStart w:id="111" w:name="_Toc16776"/>
      <w:r>
        <w:rPr>
          <w:rFonts w:hint="eastAsia" w:ascii="宋体" w:hAnsi="宋体" w:eastAsia="宋体" w:cs="宋体"/>
          <w:color w:val="auto"/>
          <w:sz w:val="24"/>
          <w:szCs w:val="24"/>
          <w:highlight w:val="none"/>
          <w:lang w:eastAsia="zh-CN"/>
        </w:rPr>
        <w:t>26.中标结果公告</w:t>
      </w:r>
      <w:bookmarkEnd w:id="110"/>
      <w:bookmarkEnd w:id="111"/>
    </w:p>
    <w:p w14:paraId="52D77172">
      <w:pPr>
        <w:widowControl w:val="0"/>
        <w:spacing w:before="78" w:line="360" w:lineRule="auto"/>
        <w:ind w:left="480" w:right="80" w:hanging="480" w:hangingChars="200"/>
        <w:jc w:val="both"/>
        <w:rPr>
          <w:rFonts w:hint="eastAsia" w:ascii="宋体" w:hAnsi="宋体" w:eastAsia="宋体" w:cs="宋体"/>
          <w:color w:val="auto"/>
          <w:highlight w:val="none"/>
          <w:lang w:eastAsia="zh-CN"/>
        </w:rPr>
      </w:pPr>
      <w:r>
        <w:rPr>
          <w:rFonts w:hint="eastAsia" w:ascii="宋体" w:hAnsi="宋体" w:eastAsia="宋体" w:cs="宋体"/>
          <w:color w:val="auto"/>
          <w:sz w:val="24"/>
          <w:szCs w:val="24"/>
          <w:highlight w:val="none"/>
          <w:lang w:eastAsia="zh-CN"/>
        </w:rPr>
        <w:t>26.1 中标人确定后，采购代理机构在中国招标公共服务平台（http://www.cebpubservice.com/）、江西省招标投标网（http://www.jxtb.org.cn/）上公告中标结果，中标公告期限为1个工作日。</w:t>
      </w:r>
    </w:p>
    <w:p w14:paraId="5F1315F7">
      <w:pPr>
        <w:widowControl w:val="0"/>
        <w:spacing w:before="78" w:line="360" w:lineRule="auto"/>
        <w:ind w:left="14"/>
        <w:jc w:val="both"/>
        <w:outlineLvl w:val="2"/>
        <w:rPr>
          <w:rFonts w:hint="eastAsia" w:ascii="宋体" w:hAnsi="宋体" w:eastAsia="宋体" w:cs="宋体"/>
          <w:color w:val="auto"/>
          <w:sz w:val="24"/>
          <w:szCs w:val="24"/>
          <w:highlight w:val="none"/>
          <w:lang w:eastAsia="zh-CN"/>
        </w:rPr>
      </w:pPr>
      <w:bookmarkStart w:id="112" w:name="_Toc15631"/>
      <w:bookmarkStart w:id="113" w:name="_Toc13355"/>
      <w:r>
        <w:rPr>
          <w:rFonts w:hint="eastAsia" w:ascii="宋体" w:hAnsi="宋体" w:eastAsia="宋体" w:cs="宋体"/>
          <w:color w:val="auto"/>
          <w:sz w:val="24"/>
          <w:szCs w:val="24"/>
          <w:highlight w:val="none"/>
          <w:lang w:eastAsia="zh-CN"/>
        </w:rPr>
        <w:t>27.履约</w:t>
      </w:r>
      <w:bookmarkEnd w:id="112"/>
      <w:bookmarkEnd w:id="113"/>
      <w:r>
        <w:rPr>
          <w:rFonts w:hint="eastAsia" w:ascii="宋体" w:hAnsi="宋体" w:eastAsia="宋体" w:cs="宋体"/>
          <w:color w:val="auto"/>
          <w:sz w:val="24"/>
          <w:szCs w:val="24"/>
          <w:highlight w:val="none"/>
          <w:lang w:eastAsia="zh-CN"/>
        </w:rPr>
        <w:t>保证金</w:t>
      </w:r>
    </w:p>
    <w:p w14:paraId="0DC6166F">
      <w:pPr>
        <w:widowControl w:val="0"/>
        <w:spacing w:line="360" w:lineRule="auto"/>
        <w:ind w:left="568" w:right="56" w:hanging="554"/>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27.1 中标人在与采购人签订采购合同时，应向采购人提交“投标人须知前附表”规定的履约保证金。</w:t>
      </w:r>
    </w:p>
    <w:p w14:paraId="7D9CDE5F">
      <w:pPr>
        <w:widowControl w:val="0"/>
        <w:spacing w:line="360" w:lineRule="auto"/>
        <w:ind w:left="14"/>
        <w:jc w:val="both"/>
        <w:rPr>
          <w:rFonts w:hint="eastAsia" w:ascii="宋体" w:hAnsi="宋体" w:eastAsia="宋体" w:cs="宋体"/>
          <w:color w:val="auto"/>
          <w:highlight w:val="none"/>
          <w:lang w:eastAsia="zh-CN"/>
        </w:rPr>
      </w:pPr>
      <w:r>
        <w:rPr>
          <w:rFonts w:hint="eastAsia" w:ascii="宋体" w:hAnsi="宋体" w:eastAsia="宋体" w:cs="宋体"/>
          <w:color w:val="auto"/>
          <w:sz w:val="24"/>
          <w:szCs w:val="24"/>
          <w:highlight w:val="none"/>
          <w:lang w:eastAsia="zh-CN"/>
        </w:rPr>
        <w:t>27.2 履约保证金用于补偿因中标人不能完成其合同义务而使采购人蒙受的损失。</w:t>
      </w:r>
    </w:p>
    <w:p w14:paraId="18D0432C">
      <w:pPr>
        <w:widowControl w:val="0"/>
        <w:spacing w:before="79" w:line="360" w:lineRule="auto"/>
        <w:ind w:left="14"/>
        <w:jc w:val="both"/>
        <w:outlineLvl w:val="2"/>
        <w:rPr>
          <w:rFonts w:hint="eastAsia" w:ascii="宋体" w:hAnsi="宋体" w:eastAsia="宋体" w:cs="宋体"/>
          <w:color w:val="auto"/>
          <w:sz w:val="24"/>
          <w:szCs w:val="24"/>
          <w:highlight w:val="none"/>
          <w:lang w:eastAsia="zh-CN"/>
        </w:rPr>
      </w:pPr>
      <w:bookmarkStart w:id="114" w:name="_Toc18997"/>
      <w:bookmarkStart w:id="115" w:name="_Toc32711"/>
      <w:r>
        <w:rPr>
          <w:rFonts w:hint="eastAsia" w:ascii="宋体" w:hAnsi="宋体" w:eastAsia="宋体" w:cs="宋体"/>
          <w:color w:val="auto"/>
          <w:sz w:val="24"/>
          <w:szCs w:val="24"/>
          <w:highlight w:val="none"/>
          <w:lang w:eastAsia="zh-CN"/>
        </w:rPr>
        <w:t>28.签订合同</w:t>
      </w:r>
      <w:bookmarkEnd w:id="114"/>
      <w:bookmarkEnd w:id="115"/>
    </w:p>
    <w:p w14:paraId="7DACDB3F">
      <w:pPr>
        <w:widowControl w:val="0"/>
        <w:spacing w:line="360" w:lineRule="auto"/>
        <w:ind w:left="641" w:leftChars="6" w:right="80" w:hanging="628" w:hangingChars="262"/>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28.1中标人应按中标通知书规定的时间与采购人签订合同，否则按拒绝签订合同处理。</w:t>
      </w:r>
    </w:p>
    <w:p w14:paraId="6156060C">
      <w:pPr>
        <w:widowControl w:val="0"/>
        <w:spacing w:line="360" w:lineRule="auto"/>
        <w:ind w:left="651" w:leftChars="6" w:hanging="638" w:hangingChars="266"/>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28.2 招标文件、中标人的投标文件及评标过程中有关澄清文件均为签订合同的依据。</w:t>
      </w:r>
    </w:p>
    <w:p w14:paraId="7CF8B0CB">
      <w:pPr>
        <w:widowControl w:val="0"/>
        <w:spacing w:line="360" w:lineRule="auto"/>
        <w:ind w:left="14"/>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28.3中标通知书是合同的一个组成部分。</w:t>
      </w:r>
    </w:p>
    <w:p w14:paraId="0EA958D7">
      <w:pPr>
        <w:widowControl w:val="0"/>
        <w:spacing w:line="360" w:lineRule="auto"/>
        <w:ind w:left="14"/>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28.4采购人与中标人应当根据合同的约定依法履行合同义务。</w:t>
      </w:r>
    </w:p>
    <w:p w14:paraId="41343412">
      <w:pPr>
        <w:widowControl w:val="0"/>
        <w:spacing w:line="360" w:lineRule="auto"/>
        <w:ind w:left="636" w:leftChars="303"/>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政府采购合同的履行、违约责任和解决争议的方法等适用《中华人民共和国民法典》。</w:t>
      </w:r>
    </w:p>
    <w:p w14:paraId="269D2700">
      <w:pPr>
        <w:widowControl w:val="0"/>
        <w:spacing w:line="360" w:lineRule="auto"/>
        <w:ind w:left="562" w:hanging="562"/>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28.5采购人应当加强对中标人的履约管理，并按照采购合同约定，及时向中标人支付采购资金。对于中标人违反采购合同约定的行为，采购人应当及时处理，依法追究其违约责任。</w:t>
      </w:r>
    </w:p>
    <w:p w14:paraId="478CAA52">
      <w:pPr>
        <w:widowControl w:val="0"/>
        <w:spacing w:line="360" w:lineRule="auto"/>
        <w:ind w:left="562" w:hanging="562"/>
        <w:jc w:val="both"/>
        <w:rPr>
          <w:rFonts w:hint="eastAsia" w:ascii="宋体" w:hAnsi="宋体" w:eastAsia="宋体" w:cs="宋体"/>
          <w:color w:val="auto"/>
          <w:highlight w:val="none"/>
          <w:lang w:eastAsia="zh-CN"/>
        </w:rPr>
      </w:pPr>
      <w:r>
        <w:rPr>
          <w:rFonts w:hint="eastAsia" w:ascii="宋体" w:hAnsi="宋体" w:eastAsia="宋体" w:cs="宋体"/>
          <w:color w:val="auto"/>
          <w:sz w:val="24"/>
          <w:szCs w:val="24"/>
          <w:highlight w:val="none"/>
          <w:lang w:eastAsia="zh-CN"/>
        </w:rPr>
        <w:t>28.6合同履行中，采购人需追加与合同标的相同的服务的，在不改变合同其他条款的前提下，可以与中标人协商签订补充合同，但所有补充合同的采购金额不得超过原合同采购金额的百分之十。</w:t>
      </w:r>
    </w:p>
    <w:p w14:paraId="6AD55DB6">
      <w:pPr>
        <w:widowControl w:val="0"/>
        <w:spacing w:line="360" w:lineRule="auto"/>
        <w:ind w:left="638" w:hanging="638" w:hangingChars="266"/>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28.7 中标人拒绝与采购人签订合同的，采购人可以按照评审报告推荐的中标候选人名单排序，确定下一候选人为中标人，也可以重新开展政府采购活动；拒绝签订政府采购合同的中标人视为撤销投标文件，不予退还其交纳的投标保证金。</w:t>
      </w:r>
    </w:p>
    <w:p w14:paraId="0011BC28">
      <w:pPr>
        <w:widowControl w:val="0"/>
        <w:spacing w:line="360" w:lineRule="auto"/>
        <w:ind w:left="638" w:hanging="638" w:hangingChars="266"/>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28.8 中标人与采购人签订合同后两个工作日内，将采购合同扫描件交予采购代理机构，以便退还投标保证金。</w:t>
      </w:r>
    </w:p>
    <w:p w14:paraId="583EF8ED">
      <w:pPr>
        <w:pStyle w:val="3"/>
        <w:rPr>
          <w:rFonts w:hint="eastAsia" w:ascii="宋体" w:hAnsi="宋体" w:eastAsia="宋体" w:cs="宋体"/>
          <w:color w:val="auto"/>
          <w:highlight w:val="none"/>
          <w:lang w:eastAsia="zh-CN"/>
        </w:rPr>
      </w:pPr>
    </w:p>
    <w:p w14:paraId="220627BA">
      <w:pPr>
        <w:widowControl w:val="0"/>
        <w:spacing w:before="302" w:line="500" w:lineRule="atLeast"/>
        <w:ind w:left="3833"/>
        <w:jc w:val="both"/>
        <w:outlineLvl w:val="1"/>
        <w:rPr>
          <w:rFonts w:hint="eastAsia" w:ascii="宋体" w:hAnsi="宋体" w:eastAsia="宋体" w:cs="宋体"/>
          <w:color w:val="auto"/>
          <w:sz w:val="24"/>
          <w:szCs w:val="24"/>
          <w:highlight w:val="none"/>
          <w:lang w:eastAsia="zh-CN"/>
        </w:rPr>
      </w:pPr>
      <w:bookmarkStart w:id="116" w:name="_Toc13515"/>
      <w:bookmarkStart w:id="117" w:name="_Toc3685"/>
      <w:r>
        <w:rPr>
          <w:rFonts w:hint="eastAsia" w:ascii="宋体" w:hAnsi="宋体" w:eastAsia="宋体" w:cs="宋体"/>
          <w:color w:val="auto"/>
          <w:sz w:val="24"/>
          <w:szCs w:val="24"/>
          <w:highlight w:val="none"/>
          <w:lang w:eastAsia="zh-CN"/>
        </w:rPr>
        <w:t>八、询问和质疑</w:t>
      </w:r>
      <w:bookmarkEnd w:id="116"/>
      <w:bookmarkEnd w:id="117"/>
    </w:p>
    <w:p w14:paraId="0AB2A884">
      <w:pPr>
        <w:widowControl w:val="0"/>
        <w:spacing w:line="500" w:lineRule="atLeast"/>
        <w:jc w:val="both"/>
        <w:rPr>
          <w:rFonts w:hint="eastAsia" w:ascii="宋体" w:hAnsi="宋体" w:eastAsia="宋体" w:cs="宋体"/>
          <w:color w:val="auto"/>
          <w:highlight w:val="none"/>
          <w:lang w:eastAsia="zh-CN"/>
        </w:rPr>
      </w:pPr>
    </w:p>
    <w:p w14:paraId="2297DE04">
      <w:pPr>
        <w:widowControl w:val="0"/>
        <w:spacing w:before="78" w:line="360" w:lineRule="auto"/>
        <w:ind w:left="1"/>
        <w:jc w:val="both"/>
        <w:outlineLvl w:val="2"/>
        <w:rPr>
          <w:rFonts w:hint="eastAsia" w:ascii="宋体" w:hAnsi="宋体" w:eastAsia="宋体" w:cs="宋体"/>
          <w:color w:val="auto"/>
          <w:sz w:val="24"/>
          <w:szCs w:val="24"/>
          <w:highlight w:val="none"/>
          <w:lang w:eastAsia="zh-CN"/>
        </w:rPr>
      </w:pPr>
      <w:bookmarkStart w:id="118" w:name="_Toc14108"/>
      <w:bookmarkStart w:id="119" w:name="_Toc14889"/>
      <w:r>
        <w:rPr>
          <w:rFonts w:hint="eastAsia" w:ascii="宋体" w:hAnsi="宋体" w:eastAsia="宋体" w:cs="宋体"/>
          <w:color w:val="auto"/>
          <w:sz w:val="24"/>
          <w:szCs w:val="24"/>
          <w:highlight w:val="none"/>
          <w:lang w:eastAsia="zh-CN"/>
        </w:rPr>
        <w:t>29.询问</w:t>
      </w:r>
      <w:bookmarkEnd w:id="118"/>
      <w:bookmarkEnd w:id="119"/>
    </w:p>
    <w:p w14:paraId="0B86B4A9">
      <w:pPr>
        <w:widowControl w:val="0"/>
        <w:spacing w:before="1" w:line="360" w:lineRule="auto"/>
        <w:ind w:left="583" w:hanging="583" w:hangingChars="243"/>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29.1 投标人对政府采购活动事项有疑问的，可以向采购人或者采购代理机构提出询问，采购代理机构应当在3个工作日内对投标人依法提出的询问做出答复。</w:t>
      </w:r>
    </w:p>
    <w:p w14:paraId="16ACD417">
      <w:pPr>
        <w:widowControl w:val="0"/>
        <w:spacing w:before="1" w:line="360" w:lineRule="auto"/>
        <w:jc w:val="both"/>
        <w:outlineLvl w:val="2"/>
        <w:rPr>
          <w:rFonts w:hint="eastAsia" w:ascii="宋体" w:hAnsi="宋体" w:eastAsia="宋体" w:cs="宋体"/>
          <w:color w:val="auto"/>
          <w:sz w:val="24"/>
          <w:szCs w:val="24"/>
          <w:highlight w:val="none"/>
          <w:lang w:eastAsia="zh-CN"/>
        </w:rPr>
      </w:pPr>
      <w:bookmarkStart w:id="120" w:name="_Toc20830"/>
      <w:r>
        <w:rPr>
          <w:rFonts w:hint="eastAsia" w:ascii="宋体" w:hAnsi="宋体" w:eastAsia="宋体" w:cs="宋体"/>
          <w:color w:val="auto"/>
          <w:sz w:val="24"/>
          <w:szCs w:val="24"/>
          <w:highlight w:val="none"/>
          <w:lang w:eastAsia="zh-CN"/>
        </w:rPr>
        <w:t>30.质疑</w:t>
      </w:r>
      <w:bookmarkEnd w:id="120"/>
    </w:p>
    <w:p w14:paraId="5998AAD3">
      <w:pPr>
        <w:widowControl w:val="0"/>
        <w:spacing w:line="360" w:lineRule="auto"/>
        <w:ind w:left="579" w:right="2" w:hanging="578"/>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30.1 投标人认为招标文件、招标过程、中标结果使自己的权益受到损害的，可以在知道或者应知其权益受到损害之日起7个工作日内，以书面形式向采购人、采购代理机构提出质疑。</w:t>
      </w:r>
    </w:p>
    <w:p w14:paraId="3BCD98B2">
      <w:pPr>
        <w:widowControl w:val="0"/>
        <w:spacing w:line="360" w:lineRule="auto"/>
        <w:ind w:left="582" w:leftChars="104" w:hanging="364" w:hangingChars="152"/>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1）对可以质疑的招标文件提出质疑的，为收到招标文件之日或者招标文件公告期限届满之日起7个工作日内；</w:t>
      </w:r>
    </w:p>
    <w:p w14:paraId="7320602C">
      <w:pPr>
        <w:widowControl w:val="0"/>
        <w:spacing w:line="360" w:lineRule="auto"/>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  2）对招标过程提出质疑的，为各招标程序环节结束之日起7个工作日内；</w:t>
      </w:r>
    </w:p>
    <w:p w14:paraId="4DEDEF1E">
      <w:pPr>
        <w:widowControl w:val="0"/>
        <w:spacing w:line="360" w:lineRule="auto"/>
        <w:ind w:firstLine="240" w:firstLineChars="1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3）对中标结果提出质疑的，为中标结果公告期限届满之日起7个工作日内。</w:t>
      </w:r>
    </w:p>
    <w:p w14:paraId="6B53A845">
      <w:pPr>
        <w:widowControl w:val="0"/>
        <w:spacing w:line="360" w:lineRule="auto"/>
        <w:ind w:left="1"/>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30.2 投标人应在法定质疑期内一次性提出针对同一采购程序环节的质疑。</w:t>
      </w:r>
    </w:p>
    <w:p w14:paraId="6B6D7C96">
      <w:pPr>
        <w:widowControl w:val="0"/>
        <w:spacing w:line="360" w:lineRule="auto"/>
        <w:ind w:left="1"/>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30.3 提出质疑的投标人应当是参与所质疑项目采购活动的投标人。</w:t>
      </w:r>
    </w:p>
    <w:p w14:paraId="5862E7CC">
      <w:pPr>
        <w:widowControl w:val="0"/>
        <w:spacing w:line="360" w:lineRule="auto"/>
        <w:ind w:left="1"/>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30.4 潜在投标人已依法获取其可质疑的招标文件的，可以对该文件提出质疑。</w:t>
      </w:r>
    </w:p>
    <w:p w14:paraId="7C32F2E0">
      <w:pPr>
        <w:widowControl w:val="0"/>
        <w:spacing w:line="360" w:lineRule="auto"/>
        <w:ind w:left="593" w:hanging="592" w:hangingChars="247"/>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30.5 投标人提出质疑应当提交质疑函和必要的证明材料。质疑函应当包括下列内容</w:t>
      </w:r>
      <w:r>
        <w:rPr>
          <w:rFonts w:hint="eastAsia" w:ascii="宋体" w:hAnsi="宋体" w:eastAsia="宋体" w:cs="宋体"/>
          <w:b/>
          <w:bCs/>
          <w:color w:val="auto"/>
          <w:sz w:val="24"/>
          <w:szCs w:val="24"/>
          <w:highlight w:val="none"/>
          <w:lang w:eastAsia="zh-CN"/>
        </w:rPr>
        <w:t>（根据当地监管部门要求调整格式要求）：</w:t>
      </w:r>
    </w:p>
    <w:p w14:paraId="67FEC98D">
      <w:pPr>
        <w:widowControl w:val="0"/>
        <w:spacing w:line="360" w:lineRule="auto"/>
        <w:ind w:left="492"/>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（一）投标人的姓名或者名称、地址、邮编、联系人及联系电话；</w:t>
      </w:r>
    </w:p>
    <w:p w14:paraId="25063CC2">
      <w:pPr>
        <w:widowControl w:val="0"/>
        <w:spacing w:line="360" w:lineRule="auto"/>
        <w:ind w:left="492"/>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（二）质疑项目的名称、编号；</w:t>
      </w:r>
    </w:p>
    <w:p w14:paraId="591BA630">
      <w:pPr>
        <w:widowControl w:val="0"/>
        <w:spacing w:line="360" w:lineRule="auto"/>
        <w:ind w:left="492"/>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（三）具体、明确的质疑事项和与质疑事项相关的请求；</w:t>
      </w:r>
    </w:p>
    <w:p w14:paraId="0EE4E768">
      <w:pPr>
        <w:widowControl w:val="0"/>
        <w:spacing w:line="360" w:lineRule="auto"/>
        <w:ind w:left="492"/>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（四）事实依据；</w:t>
      </w:r>
    </w:p>
    <w:p w14:paraId="0164292E">
      <w:pPr>
        <w:widowControl w:val="0"/>
        <w:spacing w:line="360" w:lineRule="auto"/>
        <w:ind w:left="492"/>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（五）必要的法律依据；</w:t>
      </w:r>
    </w:p>
    <w:p w14:paraId="52DB5F1F">
      <w:pPr>
        <w:widowControl w:val="0"/>
        <w:spacing w:line="360" w:lineRule="auto"/>
        <w:ind w:left="492"/>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（六）提出质疑的日期。</w:t>
      </w:r>
    </w:p>
    <w:p w14:paraId="662F8707">
      <w:pPr>
        <w:widowControl w:val="0"/>
        <w:spacing w:line="360" w:lineRule="auto"/>
        <w:ind w:left="491" w:leftChars="234"/>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投标人为自然人的，应当由本人签字；投标人为法人或者其他组织的，应当由法定代表人、主要负责人，或者其授权代表签字或者盖章，并加盖公章。并同时提供下载招标文件的凭证。</w:t>
      </w:r>
    </w:p>
    <w:p w14:paraId="28263E38">
      <w:pPr>
        <w:widowControl w:val="0"/>
        <w:spacing w:line="360" w:lineRule="auto"/>
        <w:ind w:left="5"/>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30.6 质疑函接收方式</w:t>
      </w:r>
    </w:p>
    <w:p w14:paraId="0F3BB503">
      <w:pPr>
        <w:widowControl w:val="0"/>
        <w:spacing w:before="47" w:line="219" w:lineRule="auto"/>
        <w:ind w:left="561" w:leftChars="267"/>
        <w:jc w:val="both"/>
        <w:outlineLvl w:val="1"/>
        <w:rPr>
          <w:rFonts w:hint="eastAsia" w:ascii="宋体" w:hAnsi="宋体" w:eastAsia="宋体" w:cs="宋体"/>
          <w:color w:val="auto"/>
          <w:sz w:val="24"/>
          <w:szCs w:val="24"/>
          <w:highlight w:val="none"/>
          <w:lang w:eastAsia="zh-CN"/>
        </w:rPr>
      </w:pPr>
      <w:bookmarkStart w:id="121" w:name="_Toc23605"/>
      <w:bookmarkStart w:id="122" w:name="_Toc10405"/>
      <w:r>
        <w:rPr>
          <w:rFonts w:hint="eastAsia" w:ascii="宋体" w:hAnsi="宋体" w:eastAsia="宋体" w:cs="宋体"/>
          <w:color w:val="auto"/>
          <w:sz w:val="24"/>
          <w:szCs w:val="24"/>
          <w:highlight w:val="none"/>
          <w:lang w:eastAsia="zh-CN"/>
        </w:rPr>
        <w:t>详见“投标人须知前附表”</w:t>
      </w:r>
      <w:bookmarkEnd w:id="121"/>
      <w:bookmarkEnd w:id="122"/>
    </w:p>
    <w:p w14:paraId="5C5ADC31">
      <w:pPr>
        <w:widowControl w:val="0"/>
        <w:spacing w:before="240" w:line="219" w:lineRule="auto"/>
        <w:jc w:val="center"/>
        <w:outlineLvl w:val="1"/>
        <w:rPr>
          <w:rFonts w:hint="eastAsia" w:ascii="宋体" w:hAnsi="宋体" w:eastAsia="宋体" w:cs="宋体"/>
          <w:color w:val="auto"/>
          <w:sz w:val="24"/>
          <w:szCs w:val="24"/>
          <w:highlight w:val="none"/>
          <w:lang w:eastAsia="zh-CN"/>
        </w:rPr>
      </w:pPr>
      <w:bookmarkStart w:id="123" w:name="_Toc16760"/>
      <w:bookmarkStart w:id="124" w:name="_Toc21404"/>
      <w:r>
        <w:rPr>
          <w:rFonts w:hint="eastAsia" w:ascii="宋体" w:hAnsi="宋体" w:eastAsia="宋体" w:cs="宋体"/>
          <w:color w:val="auto"/>
          <w:sz w:val="24"/>
          <w:szCs w:val="24"/>
          <w:highlight w:val="none"/>
          <w:lang w:eastAsia="zh-CN"/>
        </w:rPr>
        <w:t>九、其他事项</w:t>
      </w:r>
      <w:bookmarkEnd w:id="123"/>
      <w:bookmarkEnd w:id="124"/>
    </w:p>
    <w:p w14:paraId="5750C84F">
      <w:pPr>
        <w:widowControl w:val="0"/>
        <w:spacing w:line="364" w:lineRule="auto"/>
        <w:jc w:val="both"/>
        <w:rPr>
          <w:rFonts w:hint="eastAsia" w:ascii="宋体" w:hAnsi="宋体" w:eastAsia="宋体" w:cs="宋体"/>
          <w:color w:val="auto"/>
          <w:highlight w:val="none"/>
          <w:lang w:eastAsia="zh-CN"/>
        </w:rPr>
      </w:pPr>
    </w:p>
    <w:p w14:paraId="0B9EF266">
      <w:pPr>
        <w:widowControl w:val="0"/>
        <w:spacing w:before="78" w:line="360" w:lineRule="auto"/>
        <w:jc w:val="both"/>
        <w:outlineLvl w:val="2"/>
        <w:rPr>
          <w:rFonts w:hint="eastAsia" w:ascii="宋体" w:hAnsi="宋体" w:eastAsia="宋体" w:cs="宋体"/>
          <w:color w:val="auto"/>
          <w:sz w:val="24"/>
          <w:szCs w:val="24"/>
          <w:highlight w:val="none"/>
          <w:lang w:eastAsia="zh-CN"/>
        </w:rPr>
      </w:pPr>
      <w:bookmarkStart w:id="125" w:name="_Toc15658"/>
      <w:bookmarkStart w:id="126" w:name="_Toc6017"/>
      <w:r>
        <w:rPr>
          <w:rFonts w:hint="eastAsia" w:ascii="宋体" w:hAnsi="宋体" w:eastAsia="宋体" w:cs="宋体"/>
          <w:color w:val="auto"/>
          <w:sz w:val="24"/>
          <w:szCs w:val="24"/>
          <w:highlight w:val="none"/>
          <w:lang w:eastAsia="zh-CN"/>
        </w:rPr>
        <w:t>31.采购代理服务费</w:t>
      </w:r>
      <w:bookmarkEnd w:id="125"/>
      <w:bookmarkEnd w:id="126"/>
    </w:p>
    <w:p w14:paraId="5FB099F6">
      <w:pPr>
        <w:widowControl w:val="0"/>
        <w:spacing w:before="184" w:line="360" w:lineRule="auto"/>
        <w:ind w:left="560" w:hanging="56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31.1 如为中标人支付采购代理服务费，中标人在领取中标通知书时须按“投标人须知前附表”规定的收费标准，向采购代理机构缴纳采购代理服务费。</w:t>
      </w:r>
    </w:p>
    <w:p w14:paraId="7712A481">
      <w:pPr>
        <w:widowControl w:val="0"/>
        <w:spacing w:before="78" w:line="360" w:lineRule="auto"/>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31.2 采购代理服务费采用银行转账、支票、汇票、本票等非现金形式交纳。</w:t>
      </w:r>
    </w:p>
    <w:p w14:paraId="521E9146">
      <w:pPr>
        <w:widowControl w:val="0"/>
        <w:spacing w:before="78" w:line="360" w:lineRule="auto"/>
        <w:ind w:left="477" w:hanging="477"/>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31.3 中标人如未按本须知“第 31.1 条 ”规定办理，采购代理机构将按本须知“第 15.5 条 ”规定不予退还其投标保证金。</w:t>
      </w:r>
    </w:p>
    <w:p w14:paraId="74607864">
      <w:pPr>
        <w:widowControl w:val="0"/>
        <w:spacing w:before="78" w:line="360" w:lineRule="auto"/>
        <w:jc w:val="both"/>
        <w:outlineLvl w:val="2"/>
        <w:rPr>
          <w:rFonts w:hint="eastAsia" w:ascii="宋体" w:hAnsi="宋体" w:eastAsia="宋体" w:cs="宋体"/>
          <w:color w:val="auto"/>
          <w:sz w:val="24"/>
          <w:szCs w:val="24"/>
          <w:highlight w:val="none"/>
          <w:lang w:eastAsia="zh-CN"/>
        </w:rPr>
      </w:pPr>
      <w:bookmarkStart w:id="127" w:name="_Toc24216"/>
      <w:bookmarkStart w:id="128" w:name="_Toc14303"/>
      <w:r>
        <w:rPr>
          <w:rFonts w:hint="eastAsia" w:ascii="宋体" w:hAnsi="宋体" w:eastAsia="宋体" w:cs="宋体"/>
          <w:color w:val="auto"/>
          <w:sz w:val="24"/>
          <w:szCs w:val="24"/>
          <w:highlight w:val="none"/>
          <w:lang w:eastAsia="zh-CN"/>
        </w:rPr>
        <w:t>32.适用法律</w:t>
      </w:r>
      <w:bookmarkEnd w:id="127"/>
      <w:bookmarkEnd w:id="128"/>
    </w:p>
    <w:p w14:paraId="319F4CC9">
      <w:pPr>
        <w:pStyle w:val="8"/>
        <w:widowControl w:val="0"/>
        <w:spacing w:line="360" w:lineRule="auto"/>
        <w:ind w:left="19" w:leftChars="9" w:firstLine="458" w:firstLineChars="191"/>
        <w:jc w:val="both"/>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采购代理机构及投标人的一切招标投标活动均参照于《中华人民共和国政府采购法》及相关规定。</w:t>
      </w:r>
    </w:p>
    <w:p w14:paraId="375726FB">
      <w:pPr>
        <w:widowControl w:val="0"/>
        <w:spacing w:before="78" w:line="360" w:lineRule="auto"/>
        <w:jc w:val="both"/>
        <w:outlineLvl w:val="2"/>
        <w:rPr>
          <w:rFonts w:hint="eastAsia" w:ascii="宋体" w:hAnsi="宋体" w:eastAsia="宋体" w:cs="宋体"/>
          <w:color w:val="auto"/>
          <w:sz w:val="24"/>
          <w:szCs w:val="24"/>
          <w:highlight w:val="none"/>
          <w:lang w:eastAsia="zh-CN"/>
        </w:rPr>
      </w:pPr>
      <w:bookmarkStart w:id="129" w:name="_Toc9040"/>
      <w:bookmarkStart w:id="130" w:name="_Toc14319"/>
      <w:r>
        <w:rPr>
          <w:rFonts w:hint="eastAsia" w:ascii="宋体" w:hAnsi="宋体" w:eastAsia="宋体" w:cs="宋体"/>
          <w:color w:val="auto"/>
          <w:sz w:val="24"/>
          <w:szCs w:val="24"/>
          <w:highlight w:val="none"/>
          <w:lang w:eastAsia="zh-CN"/>
        </w:rPr>
        <w:t>33.解释权</w:t>
      </w:r>
      <w:bookmarkEnd w:id="129"/>
      <w:bookmarkEnd w:id="130"/>
    </w:p>
    <w:p w14:paraId="497162FD">
      <w:pPr>
        <w:pStyle w:val="7"/>
        <w:widowControl w:val="0"/>
        <w:spacing w:after="0" w:line="360" w:lineRule="auto"/>
        <w:ind w:left="0" w:leftChars="0" w:firstLine="525" w:firstLineChars="219"/>
        <w:jc w:val="both"/>
        <w:rPr>
          <w:rFonts w:hint="eastAsia" w:ascii="宋体" w:hAnsi="宋体" w:eastAsia="宋体" w:cs="宋体"/>
          <w:color w:val="auto"/>
          <w:highlight w:val="none"/>
          <w:u w:val="single"/>
          <w:lang w:eastAsia="zh-CN"/>
        </w:rPr>
        <w:sectPr>
          <w:footerReference r:id="rId6" w:type="default"/>
          <w:pgSz w:w="11906" w:h="16839"/>
          <w:pgMar w:top="1440" w:right="1701" w:bottom="1440" w:left="1701" w:header="0" w:footer="1200" w:gutter="0"/>
          <w:pgNumType w:fmt="decimal"/>
          <w:cols w:space="720" w:num="1"/>
        </w:sectPr>
      </w:pPr>
      <w:r>
        <w:rPr>
          <w:rFonts w:hint="eastAsia" w:ascii="宋体" w:hAnsi="宋体" w:eastAsia="宋体" w:cs="宋体"/>
          <w:bCs/>
          <w:color w:val="auto"/>
          <w:szCs w:val="24"/>
          <w:highlight w:val="none"/>
          <w:lang w:eastAsia="zh-CN"/>
        </w:rPr>
        <w:t>本招标文件是根据国家有关法律、法规以及政府采购管理有关规定编制，招标文件的最终解释权属于采购人、采购代理机构。</w:t>
      </w:r>
      <w:r>
        <w:rPr>
          <w:rFonts w:hint="eastAsia" w:ascii="宋体" w:hAnsi="宋体" w:eastAsia="宋体" w:cs="宋体"/>
          <w:b/>
          <w:bCs/>
          <w:color w:val="auto"/>
          <w:szCs w:val="24"/>
          <w:highlight w:val="none"/>
          <w:lang w:eastAsia="zh-CN"/>
        </w:rPr>
        <w:t>（注：本项目为企业采购，参照中国政府采购法编制，最终解释权属于采购人、采购代理机构）</w:t>
      </w:r>
    </w:p>
    <w:p w14:paraId="57166EFB">
      <w:pPr>
        <w:widowControl w:val="0"/>
        <w:spacing w:before="83" w:afterLines="150" w:line="224" w:lineRule="auto"/>
        <w:jc w:val="center"/>
        <w:outlineLvl w:val="0"/>
        <w:rPr>
          <w:rFonts w:hint="eastAsia" w:ascii="宋体" w:hAnsi="宋体" w:eastAsia="宋体" w:cs="宋体"/>
          <w:color w:val="auto"/>
          <w:sz w:val="31"/>
          <w:szCs w:val="31"/>
          <w:highlight w:val="none"/>
          <w:lang w:eastAsia="zh-CN"/>
        </w:rPr>
      </w:pPr>
      <w:bookmarkStart w:id="131" w:name="_Toc2380"/>
      <w:bookmarkStart w:id="132" w:name="_Toc16759"/>
      <w:r>
        <w:rPr>
          <w:rFonts w:hint="eastAsia" w:ascii="宋体" w:hAnsi="宋体" w:eastAsia="宋体" w:cs="宋体"/>
          <w:color w:val="auto"/>
          <w:sz w:val="31"/>
          <w:szCs w:val="31"/>
          <w:highlight w:val="none"/>
          <w:lang w:eastAsia="zh-CN"/>
        </w:rPr>
        <w:t>第三章拟签订的合同文本</w:t>
      </w:r>
      <w:bookmarkEnd w:id="131"/>
      <w:bookmarkEnd w:id="132"/>
    </w:p>
    <w:tbl>
      <w:tblPr>
        <w:tblStyle w:val="16"/>
        <w:tblW w:w="0" w:type="auto"/>
        <w:tblInd w:w="108" w:type="dxa"/>
        <w:tblLayout w:type="fixed"/>
        <w:tblCellMar>
          <w:top w:w="0" w:type="dxa"/>
          <w:left w:w="108" w:type="dxa"/>
          <w:bottom w:w="0" w:type="dxa"/>
          <w:right w:w="108" w:type="dxa"/>
        </w:tblCellMar>
      </w:tblPr>
      <w:tblGrid>
        <w:gridCol w:w="10260"/>
      </w:tblGrid>
      <w:tr w14:paraId="1EEFCB39">
        <w:tblPrEx>
          <w:tblCellMar>
            <w:top w:w="0" w:type="dxa"/>
            <w:left w:w="108" w:type="dxa"/>
            <w:bottom w:w="0" w:type="dxa"/>
            <w:right w:w="108" w:type="dxa"/>
          </w:tblCellMar>
        </w:tblPrEx>
        <w:trPr>
          <w:trHeight w:val="623" w:hRule="atLeast"/>
        </w:trPr>
        <w:tc>
          <w:tcPr>
            <w:tcW w:w="10260" w:type="dxa"/>
            <w:tcBorders>
              <w:top w:val="nil"/>
              <w:left w:val="nil"/>
              <w:bottom w:val="nil"/>
              <w:right w:val="nil"/>
            </w:tcBorders>
            <w:noWrap w:val="0"/>
            <w:vAlign w:val="center"/>
          </w:tcPr>
          <w:p w14:paraId="5A7599A6">
            <w:pPr>
              <w:widowControl/>
              <w:ind w:right="480" w:firstLine="6240" w:firstLineChars="2600"/>
              <w:rPr>
                <w:rFonts w:hint="eastAsia" w:ascii="宋体" w:hAnsi="宋体" w:eastAsia="宋体" w:cs="宋体"/>
                <w:b/>
                <w:bCs/>
                <w:color w:val="auto"/>
                <w:kern w:val="0"/>
                <w:sz w:val="24"/>
                <w:highlight w:val="none"/>
              </w:rPr>
            </w:pPr>
            <w:bookmarkStart w:id="133" w:name="_Toc22559"/>
            <w:r>
              <w:rPr>
                <w:rFonts w:hint="eastAsia" w:ascii="宋体" w:hAnsi="宋体" w:eastAsia="宋体" w:cs="宋体"/>
                <w:color w:val="auto"/>
                <w:sz w:val="24"/>
                <w:highlight w:val="none"/>
              </w:rPr>
              <w:t>合同编号：____________</w:t>
            </w:r>
          </w:p>
        </w:tc>
      </w:tr>
    </w:tbl>
    <w:p w14:paraId="4EDC3BC7">
      <w:pPr>
        <w:tabs>
          <w:tab w:val="left" w:pos="720"/>
        </w:tabs>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甲方：</w:t>
      </w:r>
      <w:r>
        <w:rPr>
          <w:rFonts w:hint="eastAsia" w:ascii="宋体" w:hAnsi="宋体" w:eastAsia="宋体" w:cs="宋体"/>
          <w:b/>
          <w:color w:val="auto"/>
          <w:sz w:val="24"/>
          <w:highlight w:val="none"/>
          <w:u w:val="single"/>
        </w:rPr>
        <w:t xml:space="preserve">      （采购人）      </w:t>
      </w:r>
    </w:p>
    <w:p w14:paraId="008B02F2">
      <w:pPr>
        <w:spacing w:line="360" w:lineRule="auto"/>
        <w:jc w:val="left"/>
        <w:rPr>
          <w:rFonts w:hint="eastAsia" w:ascii="宋体" w:hAnsi="宋体" w:eastAsia="宋体" w:cs="宋体"/>
          <w:b/>
          <w:color w:val="auto"/>
          <w:sz w:val="24"/>
          <w:highlight w:val="none"/>
          <w:u w:val="single"/>
          <w:lang w:eastAsia="zh-CN"/>
        </w:rPr>
      </w:pPr>
      <w:r>
        <w:rPr>
          <w:rFonts w:hint="eastAsia" w:ascii="宋体" w:hAnsi="宋体" w:eastAsia="宋体" w:cs="宋体"/>
          <w:b/>
          <w:color w:val="auto"/>
          <w:sz w:val="24"/>
          <w:highlight w:val="none"/>
        </w:rPr>
        <w:t>乙方：</w:t>
      </w:r>
      <w:r>
        <w:rPr>
          <w:rFonts w:hint="eastAsia" w:ascii="宋体" w:hAnsi="宋体" w:eastAsia="宋体" w:cs="宋体"/>
          <w:b/>
          <w:color w:val="auto"/>
          <w:sz w:val="24"/>
          <w:highlight w:val="none"/>
          <w:u w:val="single"/>
        </w:rPr>
        <w:t xml:space="preserve">      （投标人）      </w:t>
      </w:r>
    </w:p>
    <w:p w14:paraId="213C0564">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根据《中华人民共和国政府采购法》、《中华人民共和国民法典》、招标文件的要求，经双方协商，本着平等互利和诚实信用的原则，一致同意签订本合同如下。</w:t>
      </w:r>
    </w:p>
    <w:p w14:paraId="026DC97C">
      <w:pPr>
        <w:spacing w:line="480" w:lineRule="exac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一、项目名称</w:t>
      </w:r>
    </w:p>
    <w:p w14:paraId="028638CE">
      <w:pPr>
        <w:tabs>
          <w:tab w:val="left" w:pos="720"/>
        </w:tabs>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p>
    <w:p w14:paraId="5AC9A713">
      <w:pPr>
        <w:tabs>
          <w:tab w:val="left" w:pos="720"/>
        </w:tabs>
        <w:spacing w:line="480" w:lineRule="exact"/>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采购编号：</w:t>
      </w:r>
    </w:p>
    <w:p w14:paraId="39C6D451">
      <w:pPr>
        <w:spacing w:line="480" w:lineRule="exac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二、合同金额（即成交金额）</w:t>
      </w:r>
    </w:p>
    <w:p w14:paraId="7D0C38B6">
      <w:pPr>
        <w:tabs>
          <w:tab w:val="left" w:pos="0"/>
        </w:tabs>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合同总额人民币  小写：   大写：</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(包括但不限于：人工工资、赔偿款、材料费、垃圾外运费、税金、利润、员工保险、机械费、检测费、员工意外伤亡赔偿、服装费、福利费和管理费及合同实施过程中不可预见费用等,甲方不另行支付其他费用)。</w:t>
      </w:r>
    </w:p>
    <w:p w14:paraId="0617934C">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三、</w:t>
      </w:r>
      <w:bookmarkStart w:id="134" w:name="_Toc320944799"/>
      <w:r>
        <w:rPr>
          <w:rFonts w:hint="eastAsia" w:ascii="宋体" w:hAnsi="宋体" w:eastAsia="宋体" w:cs="宋体"/>
          <w:b/>
          <w:color w:val="auto"/>
          <w:sz w:val="24"/>
          <w:highlight w:val="none"/>
        </w:rPr>
        <w:t>服务期限及服务地点</w:t>
      </w:r>
    </w:p>
    <w:p w14:paraId="0115F7D1">
      <w:pPr>
        <w:adjustRightInd w:val="0"/>
        <w:snapToGrid w:val="0"/>
        <w:spacing w:line="360" w:lineRule="auto"/>
        <w:ind w:firstLine="360" w:firstLineChars="15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1、服务期限：12个月，自   年   月    日至    年   月   日止。</w:t>
      </w:r>
    </w:p>
    <w:p w14:paraId="62AFAE66">
      <w:pPr>
        <w:adjustRightInd w:val="0"/>
        <w:snapToGrid w:val="0"/>
        <w:spacing w:line="360" w:lineRule="auto"/>
        <w:ind w:firstLine="360" w:firstLineChars="15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2、服务地点：</w:t>
      </w:r>
      <w:r>
        <w:rPr>
          <w:rFonts w:hint="eastAsia" w:ascii="宋体" w:hAnsi="宋体" w:eastAsia="宋体" w:cs="宋体"/>
          <w:color w:val="auto"/>
          <w:sz w:val="24"/>
          <w:highlight w:val="none"/>
        </w:rPr>
        <w:t>江西</w:t>
      </w:r>
      <w:r>
        <w:rPr>
          <w:rFonts w:hint="eastAsia" w:ascii="宋体" w:hAnsi="宋体" w:eastAsia="宋体" w:cs="宋体"/>
          <w:color w:val="auto"/>
          <w:sz w:val="24"/>
          <w:highlight w:val="none"/>
          <w:lang w:val="en-US" w:eastAsia="zh-CN"/>
        </w:rPr>
        <w:t>吉瑞实业有限公司</w:t>
      </w:r>
      <w:r>
        <w:rPr>
          <w:rFonts w:hint="eastAsia" w:ascii="宋体" w:hAnsi="宋体" w:eastAsia="宋体" w:cs="宋体"/>
          <w:color w:val="auto"/>
          <w:sz w:val="24"/>
          <w:highlight w:val="none"/>
        </w:rPr>
        <w:t>（甲方指定地点）。</w:t>
      </w:r>
    </w:p>
    <w:p w14:paraId="3D7A622D">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四、</w:t>
      </w:r>
      <w:bookmarkEnd w:id="134"/>
      <w:r>
        <w:rPr>
          <w:rFonts w:hint="eastAsia" w:ascii="宋体" w:hAnsi="宋体" w:eastAsia="宋体" w:cs="宋体"/>
          <w:b/>
          <w:color w:val="auto"/>
          <w:sz w:val="24"/>
          <w:highlight w:val="none"/>
        </w:rPr>
        <w:t>付款方式</w:t>
      </w:r>
    </w:p>
    <w:p w14:paraId="77796382">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保安服务费实行月结制，</w:t>
      </w:r>
      <w:r>
        <w:rPr>
          <w:rFonts w:hint="eastAsia" w:ascii="宋体" w:hAnsi="宋体" w:eastAsia="宋体" w:cs="宋体"/>
          <w:color w:val="auto"/>
          <w:sz w:val="24"/>
          <w:highlight w:val="none"/>
        </w:rPr>
        <w:t>月结金额=投标报价÷12。</w:t>
      </w:r>
      <w:r>
        <w:rPr>
          <w:rFonts w:hint="eastAsia" w:ascii="宋体" w:hAnsi="宋体" w:eastAsia="宋体" w:cs="宋体"/>
          <w:bCs/>
          <w:color w:val="auto"/>
          <w:sz w:val="24"/>
          <w:highlight w:val="none"/>
        </w:rPr>
        <w:t>服务满一个月后，乙方按甲方考核结果向甲方开具国家规定的正式发票，甲方在收到发票的5个工作日内进行核定支付，支付采取转账的方式（特殊情况除外）；乙方开票延迟的，甲方有权推延付款，且不视为甲方违约。乙方应在甲方付款前开具符合法律法规及甲方财务要求增值税发票，否则甲方有权暂不付款且不承担任何款项逾期责任。如乙方提供的发票不能通过税务认证的，甲方有权拒收或于发现问题后退回，乙方应及时更换并承担甲方因此遭受的损失。如乙方账户信息变更的，乙方应在变更后五日内，且应在甲方付款前书面告知甲方变更后的银行账户信息，否则由此产生的任何风险均由乙方自行承担。</w:t>
      </w:r>
    </w:p>
    <w:p w14:paraId="40A8EE12">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五、履约保证金</w:t>
      </w:r>
    </w:p>
    <w:p w14:paraId="0A2EF035">
      <w:pPr>
        <w:adjustRightInd w:val="0"/>
        <w:snapToGrid w:val="0"/>
        <w:spacing w:line="360" w:lineRule="auto"/>
        <w:ind w:firstLine="360" w:firstLineChars="150"/>
        <w:jc w:val="left"/>
        <w:rPr>
          <w:rFonts w:hint="eastAsia" w:ascii="宋体" w:hAnsi="宋体" w:eastAsia="宋体" w:cs="宋体"/>
          <w:bCs/>
          <w:color w:val="auto"/>
          <w:sz w:val="24"/>
          <w:highlight w:val="none"/>
        </w:rPr>
      </w:pPr>
      <w:r>
        <w:rPr>
          <w:rFonts w:hint="eastAsia" w:ascii="宋体" w:hAnsi="宋体" w:eastAsia="宋体" w:cs="宋体"/>
          <w:color w:val="auto"/>
          <w:sz w:val="24"/>
          <w:szCs w:val="24"/>
          <w:highlight w:val="none"/>
        </w:rPr>
        <w:t>合同签订后3</w:t>
      </w:r>
      <w:r>
        <w:rPr>
          <w:rFonts w:hint="eastAsia" w:ascii="宋体" w:hAnsi="宋体" w:eastAsia="宋体" w:cs="宋体"/>
          <w:color w:val="auto"/>
          <w:sz w:val="24"/>
          <w:highlight w:val="none"/>
        </w:rPr>
        <w:t>个工作日内</w:t>
      </w:r>
      <w:r>
        <w:rPr>
          <w:rFonts w:hint="eastAsia" w:ascii="宋体" w:hAnsi="宋体" w:eastAsia="宋体" w:cs="宋体"/>
          <w:bCs/>
          <w:color w:val="auto"/>
          <w:sz w:val="24"/>
          <w:highlight w:val="none"/>
        </w:rPr>
        <w:t>，乙方向甲方指定账户（</w:t>
      </w:r>
      <w:r>
        <w:rPr>
          <w:rFonts w:hint="eastAsia" w:ascii="宋体" w:hAnsi="宋体" w:eastAsia="宋体" w:cs="宋体"/>
          <w:color w:val="auto"/>
          <w:sz w:val="24"/>
          <w:highlight w:val="none"/>
        </w:rPr>
        <w:t>单位名称：</w:t>
      </w:r>
      <w:r>
        <w:rPr>
          <w:rFonts w:hint="eastAsia" w:ascii="宋体" w:hAnsi="宋体" w:eastAsia="宋体" w:cs="宋体"/>
          <w:color w:val="auto"/>
          <w:sz w:val="24"/>
          <w:highlight w:val="none"/>
          <w:lang w:val="en-US" w:eastAsia="zh-CN"/>
        </w:rPr>
        <w:t>江西吉瑞实业有限公司</w:t>
      </w:r>
      <w:r>
        <w:rPr>
          <w:rFonts w:hint="eastAsia" w:ascii="宋体" w:hAnsi="宋体" w:eastAsia="宋体" w:cs="宋体"/>
          <w:color w:val="auto"/>
          <w:sz w:val="24"/>
          <w:highlight w:val="none"/>
        </w:rPr>
        <w:t>；开户银行：</w:t>
      </w:r>
      <w:r>
        <w:rPr>
          <w:rFonts w:hint="eastAsia" w:ascii="宋体" w:hAnsi="宋体" w:eastAsia="宋体" w:cs="宋体"/>
          <w:color w:val="auto"/>
          <w:sz w:val="24"/>
          <w:highlight w:val="none"/>
          <w:lang w:val="en-US" w:eastAsia="zh-CN"/>
        </w:rPr>
        <w:t>农行吉安吉州支行营业部</w:t>
      </w:r>
      <w:r>
        <w:rPr>
          <w:rFonts w:hint="eastAsia" w:ascii="宋体" w:hAnsi="宋体" w:eastAsia="宋体" w:cs="宋体"/>
          <w:color w:val="auto"/>
          <w:sz w:val="24"/>
          <w:highlight w:val="none"/>
        </w:rPr>
        <w:t>；账号：</w:t>
      </w:r>
      <w:r>
        <w:rPr>
          <w:rFonts w:hint="eastAsia" w:ascii="宋体" w:hAnsi="宋体" w:eastAsia="宋体" w:cs="宋体"/>
          <w:color w:val="auto"/>
          <w:sz w:val="24"/>
          <w:highlight w:val="none"/>
          <w:lang w:val="en-US" w:eastAsia="zh-CN"/>
        </w:rPr>
        <w:t>14093101040001350</w:t>
      </w:r>
      <w:r>
        <w:rPr>
          <w:rFonts w:hint="eastAsia" w:ascii="宋体" w:hAnsi="宋体" w:eastAsia="宋体" w:cs="宋体"/>
          <w:bCs/>
          <w:color w:val="auto"/>
          <w:sz w:val="24"/>
          <w:highlight w:val="none"/>
        </w:rPr>
        <w:t>）交纳数额为合同金额5%的履约保证金，待合同服务履行结束且无服务质量问题后十五个工作日内，甲方一次性无息退回。</w:t>
      </w:r>
    </w:p>
    <w:p w14:paraId="083866D0">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六、甲方权利和义务</w:t>
      </w:r>
    </w:p>
    <w:p w14:paraId="7823CD44">
      <w:pPr>
        <w:adjustRightInd w:val="0"/>
        <w:snapToGrid w:val="0"/>
        <w:spacing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 乙方服务人员由乙方确定，经甲方考核上岗工作。</w:t>
      </w:r>
    </w:p>
    <w:p w14:paraId="08B96180">
      <w:pPr>
        <w:adjustRightInd w:val="0"/>
        <w:snapToGrid w:val="0"/>
        <w:spacing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 甲方应按照实施流程和需要，向乙方服务人员提供完成外包项目所必须的工作条件。</w:t>
      </w:r>
    </w:p>
    <w:p w14:paraId="4CEA99D2">
      <w:pPr>
        <w:spacing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3. 甲方对于违反甲方规章制度或者不胜任工作的乙方服务人员，有权退回乙方。乙方应当在五日内更换服务人员并经甲方考核确定后，接替其工作岗位。</w:t>
      </w:r>
    </w:p>
    <w:p w14:paraId="3AAD56EB">
      <w:pPr>
        <w:spacing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4. 甲方有权对乙方服务人员的劳动过程实施监督和检查，服务人员工作合格的验收标准由甲方确定，并向乙方备案。</w:t>
      </w:r>
    </w:p>
    <w:p w14:paraId="0B6578FD">
      <w:pPr>
        <w:adjustRightInd w:val="0"/>
        <w:snapToGrid w:val="0"/>
        <w:spacing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5、招标文件中技术部分约定乙方的其他义务。</w:t>
      </w:r>
    </w:p>
    <w:p w14:paraId="37FD763A">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七、乙方权利和义务</w:t>
      </w:r>
    </w:p>
    <w:p w14:paraId="4B89F930">
      <w:pPr>
        <w:spacing w:line="360" w:lineRule="auto"/>
        <w:ind w:left="358" w:hanging="357" w:hangingChars="149"/>
        <w:rPr>
          <w:rFonts w:hint="eastAsia" w:ascii="宋体" w:hAnsi="宋体" w:eastAsia="宋体" w:cs="宋体"/>
          <w:color w:val="auto"/>
          <w:sz w:val="24"/>
          <w:highlight w:val="none"/>
        </w:rPr>
      </w:pPr>
      <w:r>
        <w:rPr>
          <w:rFonts w:hint="eastAsia" w:ascii="宋体" w:hAnsi="宋体" w:eastAsia="宋体" w:cs="宋体"/>
          <w:color w:val="auto"/>
          <w:sz w:val="24"/>
          <w:highlight w:val="none"/>
        </w:rPr>
        <w:t>1. 乙方应及时根据甲方要求调换不适合在甲方工作的服务人员。派驻服务人员与乙方签订劳动用工合同，属于乙方员工，派驻到甲方从事安保工作，甲方与服务人员之间不存在任何雇佣关系，任何劳动关系和纠纷均由乙方负责处理。乙方派驻的人员在甲方工作期间，由于派驻人员造成的任何对其自身（包括服务人员在值班期间突发疾病死亡造成的工伤等）、对甲方人员（包括服刑犯）或任何第三方的经济赔偿，均由乙方负责处理并承担全部责任，若因乙方服务人员行为导致甲方承担相关责任的，甲方有权向乙方进行追偿。</w:t>
      </w:r>
    </w:p>
    <w:p w14:paraId="1F9B3771">
      <w:pPr>
        <w:spacing w:line="360" w:lineRule="auto"/>
        <w:ind w:left="358" w:hanging="357" w:hangingChars="149"/>
        <w:rPr>
          <w:rFonts w:hint="eastAsia" w:ascii="宋体" w:hAnsi="宋体" w:eastAsia="宋体" w:cs="宋体"/>
          <w:color w:val="auto"/>
          <w:sz w:val="24"/>
          <w:highlight w:val="none"/>
        </w:rPr>
      </w:pPr>
      <w:r>
        <w:rPr>
          <w:rFonts w:hint="eastAsia" w:ascii="宋体" w:hAnsi="宋体" w:eastAsia="宋体" w:cs="宋体"/>
          <w:color w:val="auto"/>
          <w:sz w:val="24"/>
          <w:highlight w:val="none"/>
        </w:rPr>
        <w:t>2. 乙方保证所派人员具备任职岗位职业资格，并承担所派人员安全技能等方面的培训工作。</w:t>
      </w:r>
    </w:p>
    <w:p w14:paraId="3D12D67F">
      <w:pPr>
        <w:spacing w:line="360" w:lineRule="auto"/>
        <w:ind w:left="358" w:hanging="357" w:hangingChars="149"/>
        <w:rPr>
          <w:rFonts w:hint="eastAsia" w:ascii="宋体" w:hAnsi="宋体" w:eastAsia="宋体" w:cs="宋体"/>
          <w:color w:val="auto"/>
          <w:sz w:val="24"/>
          <w:highlight w:val="none"/>
        </w:rPr>
      </w:pPr>
      <w:r>
        <w:rPr>
          <w:rFonts w:hint="eastAsia" w:ascii="宋体" w:hAnsi="宋体" w:eastAsia="宋体" w:cs="宋体"/>
          <w:color w:val="auto"/>
          <w:sz w:val="24"/>
          <w:highlight w:val="none"/>
        </w:rPr>
        <w:t>3. 乙方所派员工在甲方工作期间应当遵守甲方规章制度，服从甲方工作安排，妥善完成甲方工作任务，执行劳动安全卫生规程。</w:t>
      </w:r>
    </w:p>
    <w:p w14:paraId="458F7DBE">
      <w:pPr>
        <w:spacing w:line="360" w:lineRule="auto"/>
        <w:ind w:left="358" w:hanging="357" w:hangingChars="149"/>
        <w:rPr>
          <w:rFonts w:hint="eastAsia" w:ascii="宋体" w:hAnsi="宋体" w:eastAsia="宋体" w:cs="宋体"/>
          <w:color w:val="auto"/>
          <w:sz w:val="24"/>
          <w:highlight w:val="none"/>
        </w:rPr>
      </w:pPr>
      <w:r>
        <w:rPr>
          <w:rFonts w:hint="eastAsia" w:ascii="宋体" w:hAnsi="宋体" w:eastAsia="宋体" w:cs="宋体"/>
          <w:color w:val="auto"/>
          <w:sz w:val="24"/>
          <w:highlight w:val="none"/>
        </w:rPr>
        <w:t>4. 乙方在本合同的执行期内应保守甲方的各项商业秘密，不得将有关资料透露给任何第三方。乙方应教育员工保守甲方的各项工作秘密，如因乙方员工的原因（经甲方允许事宜除外）导致甲方有关的任何秘密泄露，甲方可以追究乙方和乙方员工承担相应的法律责任和经济责任。</w:t>
      </w:r>
    </w:p>
    <w:p w14:paraId="48E2B367">
      <w:pPr>
        <w:spacing w:line="360" w:lineRule="auto"/>
        <w:ind w:left="358" w:hanging="357" w:hangingChars="149"/>
        <w:rPr>
          <w:rFonts w:hint="eastAsia" w:ascii="宋体" w:hAnsi="宋体" w:eastAsia="宋体" w:cs="宋体"/>
          <w:color w:val="auto"/>
          <w:sz w:val="24"/>
          <w:highlight w:val="none"/>
        </w:rPr>
      </w:pPr>
      <w:r>
        <w:rPr>
          <w:rFonts w:hint="eastAsia" w:ascii="宋体" w:hAnsi="宋体" w:eastAsia="宋体" w:cs="宋体"/>
          <w:color w:val="auto"/>
          <w:sz w:val="24"/>
          <w:highlight w:val="none"/>
        </w:rPr>
        <w:t>5. 乙方不得就该合同进行转包、分包，若出现此情况，甲方有权单方解除本合同，并不支付任何费用，且乙方应支付甲方本合同总额30%的违约金。</w:t>
      </w:r>
    </w:p>
    <w:p w14:paraId="33BD1F1C">
      <w:pPr>
        <w:spacing w:line="360" w:lineRule="auto"/>
        <w:ind w:left="358" w:hanging="357" w:hangingChars="149"/>
        <w:rPr>
          <w:rFonts w:hint="eastAsia" w:ascii="宋体" w:hAnsi="宋体" w:eastAsia="宋体" w:cs="宋体"/>
          <w:color w:val="auto"/>
          <w:sz w:val="24"/>
          <w:highlight w:val="none"/>
        </w:rPr>
      </w:pPr>
      <w:r>
        <w:rPr>
          <w:rFonts w:hint="eastAsia" w:ascii="宋体" w:hAnsi="宋体" w:eastAsia="宋体" w:cs="宋体"/>
          <w:color w:val="auto"/>
          <w:sz w:val="24"/>
          <w:highlight w:val="none"/>
        </w:rPr>
        <w:t>6. 乙方服务人员的具体岗位、职责防范和勤务安排，由甲方根据自身实际情况与安保工作的需要进行安排，乙方有义务要求服务人员服从安排。</w:t>
      </w:r>
    </w:p>
    <w:p w14:paraId="60E0E526">
      <w:pPr>
        <w:spacing w:line="360" w:lineRule="auto"/>
        <w:ind w:left="358" w:hanging="357" w:hangingChars="149"/>
        <w:rPr>
          <w:rFonts w:hint="eastAsia" w:ascii="宋体" w:hAnsi="宋体" w:eastAsia="宋体" w:cs="宋体"/>
          <w:color w:val="auto"/>
          <w:sz w:val="24"/>
          <w:highlight w:val="none"/>
        </w:rPr>
      </w:pPr>
      <w:r>
        <w:rPr>
          <w:rFonts w:hint="eastAsia" w:ascii="宋体" w:hAnsi="宋体" w:eastAsia="宋体" w:cs="宋体"/>
          <w:color w:val="auto"/>
          <w:sz w:val="24"/>
          <w:highlight w:val="none"/>
        </w:rPr>
        <w:t>7. 甲方的安全、消防设施和卫生条件等应符合国家规定的标准。甲方在行政活动中依法执行公务，不得要求乙方人员参与法律、法规所禁止的行为。</w:t>
      </w:r>
    </w:p>
    <w:p w14:paraId="729FBE52">
      <w:pPr>
        <w:spacing w:line="360" w:lineRule="auto"/>
        <w:ind w:left="358" w:hanging="357" w:hangingChars="149"/>
        <w:rPr>
          <w:rFonts w:hint="eastAsia" w:ascii="宋体" w:hAnsi="宋体" w:eastAsia="宋体" w:cs="宋体"/>
          <w:color w:val="auto"/>
          <w:sz w:val="24"/>
          <w:highlight w:val="none"/>
        </w:rPr>
      </w:pPr>
      <w:r>
        <w:rPr>
          <w:rFonts w:hint="eastAsia" w:ascii="宋体" w:hAnsi="宋体" w:eastAsia="宋体" w:cs="宋体"/>
          <w:color w:val="auto"/>
          <w:sz w:val="24"/>
          <w:highlight w:val="none"/>
        </w:rPr>
        <w:t>8.乙方派驻服务人员不得携带任何违禁品，不得带手机进监，不得与犯人接触，更不得帮犯人传带物品。一经发现，甲方有权解除合同并要求乙方承担合同金额的30％违约金。严重者按相关法律交由司法机关处理。</w:t>
      </w:r>
    </w:p>
    <w:p w14:paraId="3F1C1054">
      <w:pPr>
        <w:spacing w:line="360" w:lineRule="auto"/>
        <w:ind w:left="358" w:hanging="357" w:hangingChars="149"/>
        <w:rPr>
          <w:rFonts w:hint="eastAsia" w:ascii="宋体" w:hAnsi="宋体" w:eastAsia="宋体" w:cs="宋体"/>
          <w:color w:val="auto"/>
          <w:sz w:val="24"/>
          <w:highlight w:val="none"/>
        </w:rPr>
      </w:pPr>
      <w:r>
        <w:rPr>
          <w:rFonts w:hint="eastAsia" w:ascii="宋体" w:hAnsi="宋体" w:eastAsia="宋体" w:cs="宋体"/>
          <w:color w:val="auto"/>
          <w:sz w:val="24"/>
          <w:highlight w:val="none"/>
        </w:rPr>
        <w:t>9.乙方应保证甲方在使用合同项下服务或其任何一部分时不受第三方提出的侵犯专利权、著作权、商标权和工业设计权等知识产权的起诉。如果任何第三方提出侵权指控，乙方须与第三方交涉并承担由此发生的一切责任、费用和经济赔偿。如造成甲方损失的，乙方应承担全部赔偿责任。</w:t>
      </w:r>
    </w:p>
    <w:p w14:paraId="2042ACEC">
      <w:pPr>
        <w:spacing w:line="360" w:lineRule="auto"/>
        <w:ind w:hanging="84"/>
        <w:rPr>
          <w:rFonts w:hint="eastAsia" w:ascii="宋体" w:hAnsi="宋体" w:eastAsia="宋体" w:cs="宋体"/>
          <w:bCs/>
          <w:color w:val="auto"/>
          <w:sz w:val="24"/>
          <w:highlight w:val="none"/>
        </w:rPr>
      </w:pPr>
      <w:r>
        <w:rPr>
          <w:rFonts w:hint="eastAsia" w:ascii="宋体" w:hAnsi="宋体" w:eastAsia="宋体" w:cs="宋体"/>
          <w:b/>
          <w:color w:val="auto"/>
          <w:sz w:val="24"/>
          <w:highlight w:val="none"/>
        </w:rPr>
        <w:t>八、争议的解决</w:t>
      </w:r>
    </w:p>
    <w:p w14:paraId="289F725F">
      <w:pPr>
        <w:spacing w:line="360" w:lineRule="auto"/>
        <w:ind w:left="358" w:hanging="357" w:hangingChars="149"/>
        <w:rPr>
          <w:rFonts w:hint="eastAsia" w:ascii="宋体" w:hAnsi="宋体" w:eastAsia="宋体" w:cs="宋体"/>
          <w:color w:val="auto"/>
          <w:sz w:val="24"/>
          <w:highlight w:val="none"/>
        </w:rPr>
      </w:pPr>
      <w:r>
        <w:rPr>
          <w:rFonts w:hint="eastAsia" w:ascii="宋体" w:hAnsi="宋体" w:eastAsia="宋体" w:cs="宋体"/>
          <w:color w:val="auto"/>
          <w:sz w:val="24"/>
          <w:highlight w:val="none"/>
        </w:rPr>
        <w:t>1. 合同执行过程中发生的任何争议，应友好协商解决。如双方未能通过友好协商解决，应向甲方所在地人民法院提起诉讼。</w:t>
      </w:r>
    </w:p>
    <w:p w14:paraId="3062F271">
      <w:pPr>
        <w:tabs>
          <w:tab w:val="left" w:pos="824"/>
        </w:tabs>
        <w:spacing w:line="360" w:lineRule="auto"/>
        <w:ind w:left="240" w:hanging="240" w:hanging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2. 在法院审理期间，除提交法院审理的事项外，合同其它事项和条款仍应继续履行。</w:t>
      </w:r>
    </w:p>
    <w:p w14:paraId="75D13CFF">
      <w:pPr>
        <w:spacing w:line="360" w:lineRule="auto"/>
        <w:ind w:hanging="84"/>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九、不可抗力</w:t>
      </w:r>
    </w:p>
    <w:p w14:paraId="69528482">
      <w:pPr>
        <w:spacing w:line="360" w:lineRule="auto"/>
        <w:ind w:left="358"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任何一方由于不可抗力原因不能履行合同时，应在不可抗力事件结束后1天内向对方通报，以减轻可能给对方造成的损失，在取得有关机构的不可抗力证明或双方谅解确认后，允许延期履行或修订合同，并根据情况可部分或全部免于承担违约责任。甲方由于不可抗力，例如：疫情防控等突发情况。导致甲方的服务标准及要求发生重大变化时，由甲乙两方友好协商重新修订服务内容。   </w:t>
      </w:r>
    </w:p>
    <w:p w14:paraId="65C28023">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十、违约责任</w:t>
      </w:r>
    </w:p>
    <w:p w14:paraId="1829425C">
      <w:pPr>
        <w:spacing w:line="480" w:lineRule="exact"/>
        <w:ind w:firstLine="432"/>
        <w:rPr>
          <w:rFonts w:hint="eastAsia" w:ascii="宋体" w:hAnsi="宋体" w:eastAsia="宋体" w:cs="宋体"/>
          <w:color w:val="auto"/>
          <w:sz w:val="24"/>
          <w:highlight w:val="none"/>
        </w:rPr>
      </w:pPr>
      <w:r>
        <w:rPr>
          <w:rFonts w:hint="eastAsia" w:ascii="宋体" w:hAnsi="宋体" w:eastAsia="宋体" w:cs="宋体"/>
          <w:color w:val="auto"/>
          <w:sz w:val="24"/>
          <w:highlight w:val="none"/>
        </w:rPr>
        <w:t>1、甲、乙双方除不可抗拒或法律规定的其他因素如有一方违约或致使本合同无法继续履行的，除赔偿损失外，违约方应向守约方支付本合同总额30%的违约金（本合同另有约定除外）。违约金不足以弥补守约方损失（包括但不限于直接经济损失、预期可得利益损失、案件受理费、保全费、律师费等，“下同”）的，违约方应继续弥补至填补守约方全部损失。</w:t>
      </w:r>
    </w:p>
    <w:p w14:paraId="6FCE1968">
      <w:pPr>
        <w:spacing w:line="480" w:lineRule="exact"/>
        <w:ind w:firstLine="432"/>
        <w:rPr>
          <w:rFonts w:hint="eastAsia" w:ascii="宋体" w:hAnsi="宋体" w:eastAsia="宋体" w:cs="宋体"/>
          <w:color w:val="auto"/>
          <w:sz w:val="24"/>
          <w:highlight w:val="none"/>
        </w:rPr>
      </w:pPr>
      <w:r>
        <w:rPr>
          <w:rFonts w:hint="eastAsia" w:ascii="宋体" w:hAnsi="宋体" w:eastAsia="宋体" w:cs="宋体"/>
          <w:color w:val="auto"/>
          <w:sz w:val="24"/>
          <w:highlight w:val="none"/>
        </w:rPr>
        <w:t>2、若乙方违反本合同的约定或因服务人员工作不到位给甲方造成或不良影响，甲方有权单方解除本合同，并向乙方索赔。甲方有权在未支付的服务费中扣除，不足部分向乙方及其服务人员进行追偿，乙方对其服务人员给甲方造成的经济损失承担相应的连带责任。</w:t>
      </w:r>
    </w:p>
    <w:p w14:paraId="26F6914D">
      <w:pPr>
        <w:spacing w:line="480" w:lineRule="exact"/>
        <w:ind w:firstLine="432"/>
        <w:rPr>
          <w:rFonts w:hint="eastAsia" w:ascii="宋体" w:hAnsi="宋体" w:eastAsia="宋体" w:cs="宋体"/>
          <w:color w:val="auto"/>
          <w:sz w:val="24"/>
          <w:highlight w:val="none"/>
        </w:rPr>
      </w:pPr>
      <w:r>
        <w:rPr>
          <w:rFonts w:hint="eastAsia" w:ascii="宋体" w:hAnsi="宋体" w:eastAsia="宋体" w:cs="宋体"/>
          <w:color w:val="auto"/>
          <w:sz w:val="24"/>
          <w:highlight w:val="none"/>
        </w:rPr>
        <w:t>3、甲方将不能胜任相关工作的服务人员退回乙方，乙方未作调整更换或乙方未按约定时间更换服务人员的，由乙方向甲方支付未履行完期间服务总费用的30%违约金，甲方有权聘请第三方进行服务，因此产生的费用及甲方损失由乙方承担。</w:t>
      </w:r>
    </w:p>
    <w:p w14:paraId="291DDA4D">
      <w:pPr>
        <w:spacing w:line="480" w:lineRule="exact"/>
        <w:ind w:firstLine="432"/>
        <w:rPr>
          <w:rFonts w:hint="eastAsia" w:ascii="宋体" w:hAnsi="宋体" w:eastAsia="宋体" w:cs="宋体"/>
          <w:color w:val="auto"/>
          <w:sz w:val="24"/>
          <w:highlight w:val="none"/>
        </w:rPr>
      </w:pPr>
      <w:r>
        <w:rPr>
          <w:rFonts w:hint="eastAsia" w:ascii="宋体" w:hAnsi="宋体" w:eastAsia="宋体" w:cs="宋体"/>
          <w:color w:val="auto"/>
          <w:sz w:val="24"/>
          <w:highlight w:val="none"/>
        </w:rPr>
        <w:t>4、乙方必须保证所派驻的服务人员符合本合同约定条件，不存在弄虚作假，否则向甲方承担未履行完期间服务总费用的30%违约责任，并且甲方有权解除合同。</w:t>
      </w:r>
    </w:p>
    <w:p w14:paraId="0E42A9A3">
      <w:pPr>
        <w:spacing w:line="480" w:lineRule="exact"/>
        <w:ind w:firstLine="432"/>
        <w:rPr>
          <w:rFonts w:hint="eastAsia" w:ascii="宋体" w:hAnsi="宋体" w:eastAsia="宋体" w:cs="宋体"/>
          <w:color w:val="auto"/>
          <w:sz w:val="24"/>
          <w:highlight w:val="none"/>
        </w:rPr>
      </w:pPr>
      <w:r>
        <w:rPr>
          <w:rFonts w:hint="eastAsia" w:ascii="宋体" w:hAnsi="宋体" w:eastAsia="宋体" w:cs="宋体"/>
          <w:color w:val="auto"/>
          <w:sz w:val="24"/>
          <w:highlight w:val="none"/>
        </w:rPr>
        <w:t>5、乙方单方解除合同的，应返还全部甲方已支付合同款项，违约金按合同总金额的 %计收，造成甲方损失的，还应承担甲方全部损失。</w:t>
      </w:r>
    </w:p>
    <w:p w14:paraId="334AF60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6、本合同的违约金和甲方损失，甲方均可先行从合同中应付合同款项中先行予以扣减，若仍不足的，乙方应继续承担责任。</w:t>
      </w:r>
    </w:p>
    <w:p w14:paraId="735E5488">
      <w:pPr>
        <w:spacing w:line="480" w:lineRule="exact"/>
        <w:ind w:firstLine="432"/>
        <w:rPr>
          <w:rFonts w:hint="eastAsia" w:ascii="宋体" w:hAnsi="宋体" w:eastAsia="宋体" w:cs="宋体"/>
          <w:color w:val="auto"/>
          <w:sz w:val="24"/>
          <w:highlight w:val="none"/>
        </w:rPr>
      </w:pPr>
      <w:r>
        <w:rPr>
          <w:rFonts w:hint="eastAsia" w:ascii="宋体" w:hAnsi="宋体" w:eastAsia="宋体" w:cs="宋体"/>
          <w:color w:val="auto"/>
          <w:sz w:val="24"/>
          <w:highlight w:val="none"/>
        </w:rPr>
        <w:t>7、乙方有义务承担保密责任，保密内容包括但不限于在本合同洽谈和履行过程中了解和掌握甲方的经营信息、技术信息、客户信息和甲方要求保密的信息和资料。涉密人员范围包括乙方参与配合本合同履行的全体人员。保密期限为自本合同签订之日起，至甲方书面声明乙方可以不履行保密义务之日止。乙方泄露秘密给甲方造成经济损失、不利影响的，应当承担赔偿责任。</w:t>
      </w:r>
    </w:p>
    <w:p w14:paraId="0384D45D">
      <w:pPr>
        <w:spacing w:line="480" w:lineRule="exact"/>
        <w:ind w:firstLine="432"/>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8、被外派人员发生工伤工亡事故时，乙方在接到甲方通知后，按《工伤保险条例》妥善处理，并由保险公司及第三方肇事者承担赔偿，超出工伤保险部分由乙方解决赔偿。被外派人员因个人原因或意外，或在非工作时间发生人身伤害、死亡情形的，由乙方负责处理，甲方概不负责。 </w:t>
      </w:r>
    </w:p>
    <w:p w14:paraId="675EFA1A">
      <w:pPr>
        <w:spacing w:line="480" w:lineRule="exact"/>
        <w:ind w:firstLine="432"/>
        <w:rPr>
          <w:rFonts w:hint="eastAsia" w:ascii="宋体" w:hAnsi="宋体" w:eastAsia="宋体" w:cs="宋体"/>
          <w:color w:val="auto"/>
          <w:sz w:val="24"/>
          <w:highlight w:val="none"/>
        </w:rPr>
      </w:pPr>
      <w:r>
        <w:rPr>
          <w:rFonts w:hint="eastAsia" w:ascii="宋体" w:hAnsi="宋体" w:eastAsia="宋体" w:cs="宋体"/>
          <w:color w:val="auto"/>
          <w:sz w:val="24"/>
          <w:highlight w:val="none"/>
        </w:rPr>
        <w:t>9、被外派人员应服从甲方工作安排，并严格遵守</w:t>
      </w:r>
      <w:r>
        <w:rPr>
          <w:rFonts w:hint="eastAsia" w:ascii="宋体" w:hAnsi="宋体" w:eastAsia="宋体" w:cs="宋体"/>
          <w:color w:val="auto"/>
          <w:sz w:val="24"/>
          <w:highlight w:val="none"/>
          <w:lang w:eastAsia="zh-CN"/>
        </w:rPr>
        <w:t>甲方</w:t>
      </w:r>
      <w:r>
        <w:rPr>
          <w:rFonts w:hint="eastAsia" w:ascii="宋体" w:hAnsi="宋体" w:eastAsia="宋体" w:cs="宋体"/>
          <w:color w:val="auto"/>
          <w:sz w:val="24"/>
          <w:highlight w:val="none"/>
        </w:rPr>
        <w:t>相关管理规章制度，若被外派人员违反</w:t>
      </w:r>
      <w:r>
        <w:rPr>
          <w:rFonts w:hint="eastAsia" w:ascii="宋体" w:hAnsi="宋体" w:eastAsia="宋体" w:cs="宋体"/>
          <w:color w:val="auto"/>
          <w:sz w:val="24"/>
          <w:highlight w:val="none"/>
          <w:lang w:eastAsia="zh-CN"/>
        </w:rPr>
        <w:t>甲方</w:t>
      </w:r>
      <w:r>
        <w:rPr>
          <w:rFonts w:hint="eastAsia" w:ascii="宋体" w:hAnsi="宋体" w:eastAsia="宋体" w:cs="宋体"/>
          <w:color w:val="auto"/>
          <w:sz w:val="24"/>
          <w:highlight w:val="none"/>
        </w:rPr>
        <w:t>相关管理规章制度由乙方负责，处1000-5000元不等违约金，可从履约保证金中先行扣除。</w:t>
      </w:r>
    </w:p>
    <w:p w14:paraId="3D67AE5B">
      <w:pPr>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10、乙方外派至</w:t>
      </w:r>
      <w:r>
        <w:rPr>
          <w:rFonts w:hint="eastAsia" w:ascii="宋体" w:hAnsi="宋体" w:eastAsia="宋体" w:cs="宋体"/>
          <w:color w:val="auto"/>
          <w:sz w:val="24"/>
          <w:highlight w:val="none"/>
          <w:lang w:eastAsia="zh-CN"/>
        </w:rPr>
        <w:t>甲方</w:t>
      </w:r>
      <w:r>
        <w:rPr>
          <w:rFonts w:hint="eastAsia" w:ascii="宋体" w:hAnsi="宋体" w:eastAsia="宋体" w:cs="宋体"/>
          <w:color w:val="auto"/>
          <w:sz w:val="24"/>
          <w:highlight w:val="none"/>
        </w:rPr>
        <w:t>工作的人员必须遵守合同的规定，遇特殊原因</w:t>
      </w:r>
      <w:r>
        <w:rPr>
          <w:rFonts w:hint="eastAsia" w:ascii="宋体" w:hAnsi="宋体" w:eastAsia="宋体" w:cs="宋体"/>
          <w:color w:val="auto"/>
          <w:sz w:val="24"/>
          <w:szCs w:val="24"/>
          <w:highlight w:val="none"/>
          <w:lang w:val="en-US" w:eastAsia="zh-CN"/>
        </w:rPr>
        <w:t>不向甲方提供服务</w:t>
      </w:r>
      <w:r>
        <w:rPr>
          <w:rFonts w:hint="eastAsia" w:ascii="宋体" w:hAnsi="宋体" w:eastAsia="宋体" w:cs="宋体"/>
          <w:color w:val="auto"/>
          <w:sz w:val="24"/>
          <w:highlight w:val="none"/>
        </w:rPr>
        <w:t>的需至少提前一个月向甲方提交书面报告，乙方应及时补充人员。若被外派人员未经批准，无故</w:t>
      </w:r>
      <w:r>
        <w:rPr>
          <w:rFonts w:hint="eastAsia" w:ascii="宋体" w:hAnsi="宋体" w:eastAsia="宋体" w:cs="宋体"/>
          <w:color w:val="auto"/>
          <w:sz w:val="24"/>
          <w:szCs w:val="24"/>
          <w:highlight w:val="none"/>
          <w:lang w:val="en-US" w:eastAsia="zh-CN"/>
        </w:rPr>
        <w:t>停止提供服务</w:t>
      </w:r>
      <w:r>
        <w:rPr>
          <w:rFonts w:hint="eastAsia" w:ascii="宋体" w:hAnsi="宋体" w:eastAsia="宋体" w:cs="宋体"/>
          <w:color w:val="auto"/>
          <w:sz w:val="24"/>
          <w:highlight w:val="none"/>
        </w:rPr>
        <w:t>的，乙方未应及时补充人员到位，处1000-5000元不等违约金，可从履约保证金中先行扣除。</w:t>
      </w:r>
    </w:p>
    <w:p w14:paraId="79562BB1">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十一、合同生效</w:t>
      </w:r>
    </w:p>
    <w:p w14:paraId="425E2982">
      <w:pPr>
        <w:tabs>
          <w:tab w:val="left" w:pos="800"/>
        </w:tabs>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本合同在甲乙双方法定代表人或其授权代理人签字并加盖公章之日起生效。</w:t>
      </w:r>
    </w:p>
    <w:p w14:paraId="43ABAA5C">
      <w:pPr>
        <w:spacing w:line="360" w:lineRule="auto"/>
        <w:ind w:left="840" w:hanging="84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十二、其它</w:t>
      </w:r>
    </w:p>
    <w:p w14:paraId="32C52F4E">
      <w:pPr>
        <w:spacing w:line="360" w:lineRule="auto"/>
        <w:ind w:left="358" w:hanging="357" w:hangingChars="149"/>
        <w:rPr>
          <w:rFonts w:hint="eastAsia" w:ascii="宋体" w:hAnsi="宋体" w:eastAsia="宋体" w:cs="宋体"/>
          <w:color w:val="auto"/>
          <w:sz w:val="24"/>
          <w:highlight w:val="none"/>
        </w:rPr>
      </w:pPr>
      <w:r>
        <w:rPr>
          <w:rFonts w:hint="eastAsia" w:ascii="宋体" w:hAnsi="宋体" w:eastAsia="宋体" w:cs="宋体"/>
          <w:color w:val="auto"/>
          <w:sz w:val="24"/>
          <w:highlight w:val="none"/>
        </w:rPr>
        <w:t>1. 所有经双方或多方签署确认的文件（包括会议纪要、补充协议、往来信函）、招标文件和投标承诺文件、合同的附件及《中标通知书》均为本合同不可分割的有效组成部分，与本合同具有同等的法律效力和履约义务，甲方有权确定前述文件的优先解释顺序。其生效日期为签字盖章确认之日期。</w:t>
      </w:r>
    </w:p>
    <w:p w14:paraId="0F23E558">
      <w:pPr>
        <w:spacing w:line="360" w:lineRule="auto"/>
        <w:ind w:left="358" w:hanging="357" w:hangingChars="149"/>
        <w:rPr>
          <w:rFonts w:hint="eastAsia" w:ascii="宋体" w:hAnsi="宋体" w:eastAsia="宋体" w:cs="宋体"/>
          <w:color w:val="auto"/>
          <w:sz w:val="24"/>
          <w:highlight w:val="none"/>
        </w:rPr>
      </w:pPr>
      <w:r>
        <w:rPr>
          <w:rFonts w:hint="eastAsia" w:ascii="宋体" w:hAnsi="宋体" w:eastAsia="宋体" w:cs="宋体"/>
          <w:color w:val="auto"/>
          <w:sz w:val="24"/>
          <w:highlight w:val="none"/>
        </w:rPr>
        <w:t>2.  甲乙双方确认：</w:t>
      </w:r>
    </w:p>
    <w:p w14:paraId="0016EACA">
      <w:pPr>
        <w:spacing w:line="360" w:lineRule="auto"/>
        <w:ind w:left="358" w:hanging="357" w:hangingChars="149"/>
        <w:rPr>
          <w:rFonts w:hint="eastAsia" w:ascii="宋体" w:hAnsi="宋体" w:eastAsia="宋体" w:cs="宋体"/>
          <w:color w:val="auto"/>
          <w:sz w:val="24"/>
          <w:highlight w:val="none"/>
        </w:rPr>
      </w:pPr>
      <w:r>
        <w:rPr>
          <w:rFonts w:hint="eastAsia" w:ascii="宋体" w:hAnsi="宋体" w:eastAsia="宋体" w:cs="宋体"/>
          <w:color w:val="auto"/>
          <w:sz w:val="24"/>
          <w:highlight w:val="none"/>
        </w:rPr>
        <w:t>（1）本合同内关于双方法定代表人或授权代理人、通讯地址、电话、传真、银行账户等信息均系真实有效，为各方履行合同、解决合同争议时向接收其他方商业文件信函或司法机关(法院、仲裁机构)诉讼、仲裁文书的地址和联系方式，且适用至本合同履行完毕或争议经过一审、二审至案件执行终结时止。如有变更，变更方应在变更后24小时内通知对方。</w:t>
      </w:r>
    </w:p>
    <w:p w14:paraId="1486DB2C">
      <w:pPr>
        <w:spacing w:line="360" w:lineRule="auto"/>
        <w:ind w:left="358" w:hanging="357" w:hangingChars="149"/>
        <w:rPr>
          <w:rFonts w:hint="eastAsia" w:ascii="宋体" w:hAnsi="宋体" w:eastAsia="宋体" w:cs="宋体"/>
          <w:color w:val="auto"/>
          <w:sz w:val="24"/>
          <w:highlight w:val="none"/>
        </w:rPr>
      </w:pPr>
      <w:r>
        <w:rPr>
          <w:rFonts w:hint="eastAsia" w:ascii="宋体" w:hAnsi="宋体" w:eastAsia="宋体" w:cs="宋体"/>
          <w:color w:val="auto"/>
          <w:sz w:val="24"/>
          <w:highlight w:val="none"/>
        </w:rPr>
        <w:t>（2）本合同一方按照本合同约定向另一方送达的任何文件、回复及其它任何联系，必须用书面形式，且采用挂号邮寄、快递、邮件或直接送达的方式，送达本合同所列另一方的地址或另一方以本条所述方式通知更改后的地址。如以挂号邮寄的方式，在投邮后（以寄出的邮戳日期为准）第七日将被视为已送达另一方；如以直接送达的方式送达，则以另一方签收时视作已送达。</w:t>
      </w:r>
    </w:p>
    <w:p w14:paraId="7F047567">
      <w:pPr>
        <w:spacing w:line="360" w:lineRule="auto"/>
        <w:ind w:left="240" w:hanging="240" w:hangingChars="100"/>
        <w:rPr>
          <w:rFonts w:hint="eastAsia" w:ascii="宋体" w:hAnsi="宋体" w:eastAsia="宋体" w:cs="宋体"/>
          <w:color w:val="auto"/>
          <w:sz w:val="24"/>
          <w:highlight w:val="none"/>
        </w:rPr>
      </w:pPr>
      <w:r>
        <w:rPr>
          <w:rFonts w:hint="eastAsia" w:ascii="宋体" w:hAnsi="宋体" w:eastAsia="宋体" w:cs="宋体"/>
          <w:bCs/>
          <w:color w:val="auto"/>
          <w:sz w:val="24"/>
          <w:highlight w:val="none"/>
        </w:rPr>
        <w:t>十三、</w:t>
      </w:r>
      <w:r>
        <w:rPr>
          <w:rFonts w:hint="eastAsia" w:ascii="宋体" w:hAnsi="宋体" w:eastAsia="宋体" w:cs="宋体"/>
          <w:color w:val="auto"/>
          <w:sz w:val="24"/>
          <w:highlight w:val="none"/>
        </w:rPr>
        <w:t xml:space="preserve"> </w:t>
      </w:r>
      <w:r>
        <w:rPr>
          <w:rFonts w:hint="eastAsia" w:ascii="宋体" w:hAnsi="宋体" w:eastAsia="宋体" w:cs="宋体"/>
          <w:bCs/>
          <w:color w:val="auto"/>
          <w:sz w:val="24"/>
          <w:highlight w:val="none"/>
        </w:rPr>
        <w:t>未经</w:t>
      </w:r>
      <w:r>
        <w:rPr>
          <w:rFonts w:hint="eastAsia" w:ascii="宋体" w:hAnsi="宋体" w:eastAsia="宋体" w:cs="宋体"/>
          <w:color w:val="auto"/>
          <w:sz w:val="24"/>
          <w:highlight w:val="none"/>
        </w:rPr>
        <w:t>甲方书面同意，乙方不得擅自向第三方转让其应履行的合同项下的义务。</w:t>
      </w:r>
    </w:p>
    <w:p w14:paraId="7BFA9329">
      <w:pPr>
        <w:spacing w:line="360" w:lineRule="auto"/>
        <w:ind w:left="353" w:hanging="352" w:hangingChars="147"/>
        <w:rPr>
          <w:rFonts w:hint="eastAsia" w:ascii="宋体" w:hAnsi="宋体" w:eastAsia="宋体" w:cs="宋体"/>
          <w:color w:val="auto"/>
          <w:sz w:val="24"/>
          <w:highlight w:val="none"/>
        </w:rPr>
      </w:pPr>
      <w:r>
        <w:rPr>
          <w:rFonts w:hint="eastAsia" w:ascii="宋体" w:hAnsi="宋体" w:eastAsia="宋体" w:cs="宋体"/>
          <w:color w:val="auto"/>
          <w:sz w:val="24"/>
          <w:highlight w:val="none"/>
        </w:rPr>
        <w:t>十四、本合同一式</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份，甲方、乙方双方各执</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份，江西省政府采购管理部门和</w:t>
      </w:r>
      <w:r>
        <w:rPr>
          <w:rFonts w:hint="eastAsia" w:ascii="宋体" w:hAnsi="宋体" w:eastAsia="宋体" w:cs="宋体"/>
          <w:color w:val="auto"/>
          <w:sz w:val="24"/>
          <w:highlight w:val="none"/>
          <w:lang w:eastAsia="zh-CN"/>
        </w:rPr>
        <w:t>吉安城投建设监理有限公司</w:t>
      </w:r>
      <w:r>
        <w:rPr>
          <w:rFonts w:hint="eastAsia" w:ascii="宋体" w:hAnsi="宋体" w:eastAsia="宋体" w:cs="宋体"/>
          <w:color w:val="auto"/>
          <w:sz w:val="24"/>
          <w:highlight w:val="none"/>
        </w:rPr>
        <w:t>各执一份。</w:t>
      </w:r>
    </w:p>
    <w:p w14:paraId="54919618">
      <w:pPr>
        <w:spacing w:line="360" w:lineRule="auto"/>
        <w:ind w:left="630" w:hanging="630"/>
        <w:rPr>
          <w:rFonts w:hint="eastAsia" w:ascii="宋体" w:hAnsi="宋体" w:eastAsia="宋体" w:cs="宋体"/>
          <w:color w:val="auto"/>
          <w:sz w:val="24"/>
          <w:highlight w:val="none"/>
        </w:rPr>
      </w:pPr>
      <w:r>
        <w:rPr>
          <w:rFonts w:hint="eastAsia" w:ascii="宋体" w:hAnsi="宋体" w:eastAsia="宋体" w:cs="宋体"/>
          <w:color w:val="auto"/>
          <w:sz w:val="24"/>
          <w:highlight w:val="none"/>
        </w:rPr>
        <w:t>十五、本合同共计  页A4纸张，缺页之合同为无效合同。</w:t>
      </w:r>
    </w:p>
    <w:p w14:paraId="2EA433BE">
      <w:pPr>
        <w:spacing w:line="360" w:lineRule="auto"/>
        <w:rPr>
          <w:rFonts w:hint="eastAsia" w:ascii="宋体" w:hAnsi="宋体" w:eastAsia="宋体" w:cs="宋体"/>
          <w:color w:val="auto"/>
          <w:sz w:val="24"/>
          <w:highlight w:val="none"/>
        </w:rPr>
      </w:pPr>
      <w:r>
        <w:rPr>
          <w:rFonts w:hint="eastAsia" w:ascii="宋体" w:hAnsi="宋体" w:eastAsia="宋体" w:cs="宋体"/>
          <w:bCs/>
          <w:color w:val="auto"/>
          <w:sz w:val="24"/>
          <w:highlight w:val="none"/>
        </w:rPr>
        <w:t>十六、</w:t>
      </w:r>
      <w:r>
        <w:rPr>
          <w:rFonts w:hint="eastAsia" w:ascii="宋体" w:hAnsi="宋体" w:eastAsia="宋体" w:cs="宋体"/>
          <w:color w:val="auto"/>
          <w:sz w:val="24"/>
          <w:highlight w:val="none"/>
        </w:rPr>
        <w:t>本合同签约履约地点：</w:t>
      </w:r>
    </w:p>
    <w:p w14:paraId="313D5577">
      <w:pPr>
        <w:spacing w:line="480" w:lineRule="exac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（本页以下无正文，为合同签署页）</w:t>
      </w:r>
    </w:p>
    <w:p w14:paraId="745A41D4">
      <w:pPr>
        <w:rPr>
          <w:rFonts w:hint="eastAsia" w:ascii="宋体" w:hAnsi="宋体" w:eastAsia="宋体" w:cs="宋体"/>
          <w:b/>
          <w:color w:val="auto"/>
          <w:sz w:val="24"/>
          <w:highlight w:val="none"/>
        </w:rPr>
      </w:pPr>
    </w:p>
    <w:p w14:paraId="7DA3CDB5">
      <w:pPr>
        <w:rPr>
          <w:rFonts w:hint="eastAsia" w:ascii="宋体" w:hAnsi="宋体" w:eastAsia="宋体" w:cs="宋体"/>
          <w:color w:val="auto"/>
          <w:highlight w:val="none"/>
        </w:rPr>
      </w:pPr>
    </w:p>
    <w:p w14:paraId="58B9B270">
      <w:pPr>
        <w:rPr>
          <w:rFonts w:hint="eastAsia" w:ascii="宋体" w:hAnsi="宋体" w:eastAsia="宋体" w:cs="宋体"/>
          <w:color w:val="auto"/>
          <w:highlight w:val="none"/>
        </w:rPr>
      </w:pPr>
      <w:r>
        <w:rPr>
          <w:rFonts w:hint="eastAsia" w:ascii="宋体" w:hAnsi="宋体" w:eastAsia="宋体" w:cs="宋体"/>
          <w:color w:val="auto"/>
          <w:highlight w:val="none"/>
        </w:rPr>
        <w:t>【本页为合同签署页】</w:t>
      </w:r>
    </w:p>
    <w:p w14:paraId="1397BF33">
      <w:pPr>
        <w:tabs>
          <w:tab w:val="left" w:pos="5103"/>
        </w:tabs>
        <w:spacing w:line="480" w:lineRule="exac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甲方（盖章）：</w:t>
      </w:r>
      <w:r>
        <w:rPr>
          <w:rFonts w:hint="eastAsia" w:ascii="宋体" w:hAnsi="宋体" w:eastAsia="宋体" w:cs="宋体"/>
          <w:b/>
          <w:color w:val="auto"/>
          <w:sz w:val="24"/>
          <w:highlight w:val="none"/>
        </w:rPr>
        <w:tab/>
      </w:r>
      <w:r>
        <w:rPr>
          <w:rFonts w:hint="eastAsia" w:ascii="宋体" w:hAnsi="宋体" w:eastAsia="宋体" w:cs="宋体"/>
          <w:b/>
          <w:color w:val="auto"/>
          <w:sz w:val="24"/>
          <w:highlight w:val="none"/>
        </w:rPr>
        <w:t>乙方（盖章）：</w:t>
      </w:r>
    </w:p>
    <w:p w14:paraId="0FD097EB">
      <w:pPr>
        <w:tabs>
          <w:tab w:val="left" w:pos="5103"/>
        </w:tabs>
        <w:spacing w:line="4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法定代表人或授权代理人（签字）：</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法定代表人或授权代理人（签字）：</w:t>
      </w:r>
    </w:p>
    <w:p w14:paraId="5939EA2E">
      <w:pPr>
        <w:tabs>
          <w:tab w:val="left" w:pos="5103"/>
        </w:tabs>
        <w:spacing w:line="4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法定及通讯地址：</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法定及通讯地址：</w:t>
      </w:r>
    </w:p>
    <w:p w14:paraId="01CCE465">
      <w:pPr>
        <w:tabs>
          <w:tab w:val="left" w:pos="5103"/>
        </w:tabs>
        <w:spacing w:line="4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电话：</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电话：</w:t>
      </w:r>
    </w:p>
    <w:p w14:paraId="6D04ACD0">
      <w:pPr>
        <w:tabs>
          <w:tab w:val="left" w:pos="5103"/>
        </w:tabs>
        <w:spacing w:line="4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传真：</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 xml:space="preserve">传真：               </w:t>
      </w:r>
    </w:p>
    <w:p w14:paraId="0BDECC39">
      <w:pPr>
        <w:spacing w:line="480" w:lineRule="exact"/>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签订日期：     年     月     日</w:t>
      </w:r>
    </w:p>
    <w:p w14:paraId="200FE597">
      <w:pPr>
        <w:tabs>
          <w:tab w:val="left" w:pos="5103"/>
        </w:tabs>
        <w:spacing w:line="4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汇款专户如下：</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收款专户如下：</w:t>
      </w:r>
    </w:p>
    <w:p w14:paraId="79392EE3">
      <w:pPr>
        <w:tabs>
          <w:tab w:val="left" w:pos="5103"/>
        </w:tabs>
        <w:spacing w:line="4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开户名称：</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开户名称：</w:t>
      </w:r>
    </w:p>
    <w:p w14:paraId="114F9C5A">
      <w:pPr>
        <w:tabs>
          <w:tab w:val="left" w:pos="5103"/>
        </w:tabs>
        <w:spacing w:line="4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银行帐号：</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银行帐号：</w:t>
      </w:r>
    </w:p>
    <w:p w14:paraId="3FED9C6A">
      <w:pPr>
        <w:pStyle w:val="3"/>
        <w:jc w:val="center"/>
        <w:rPr>
          <w:rFonts w:hint="eastAsia" w:ascii="宋体" w:hAnsi="宋体" w:eastAsia="宋体" w:cs="宋体"/>
          <w:color w:val="auto"/>
          <w:sz w:val="24"/>
          <w:highlight w:val="none"/>
        </w:rPr>
      </w:pPr>
      <w:bookmarkStart w:id="135" w:name="_Toc25812"/>
      <w:r>
        <w:rPr>
          <w:rFonts w:hint="eastAsia" w:ascii="宋体" w:hAnsi="宋体" w:eastAsia="宋体" w:cs="宋体"/>
          <w:color w:val="auto"/>
          <w:sz w:val="24"/>
          <w:highlight w:val="none"/>
        </w:rPr>
        <w:t>开 户 行：</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 xml:space="preserve">                                开 户 行：</w:t>
      </w:r>
      <w:bookmarkEnd w:id="135"/>
    </w:p>
    <w:p w14:paraId="1FB8AC16">
      <w:pPr>
        <w:rPr>
          <w:rFonts w:hint="eastAsia" w:ascii="宋体" w:hAnsi="宋体" w:eastAsia="宋体" w:cs="宋体"/>
          <w:color w:val="auto"/>
          <w:highlight w:val="none"/>
        </w:rPr>
      </w:pPr>
    </w:p>
    <w:p w14:paraId="5DDE4BB4">
      <w:pPr>
        <w:rPr>
          <w:rFonts w:hint="eastAsia" w:ascii="宋体" w:hAnsi="宋体" w:eastAsia="宋体" w:cs="宋体"/>
          <w:color w:val="auto"/>
          <w:highlight w:val="none"/>
          <w:lang w:eastAsia="zh-CN"/>
        </w:rPr>
      </w:pPr>
    </w:p>
    <w:p w14:paraId="36025CFF">
      <w:pPr>
        <w:rPr>
          <w:rFonts w:hint="eastAsia" w:ascii="宋体" w:hAnsi="宋体" w:eastAsia="宋体" w:cs="宋体"/>
          <w:color w:val="auto"/>
          <w:sz w:val="24"/>
          <w:szCs w:val="24"/>
          <w:highlight w:val="none"/>
        </w:rPr>
      </w:pPr>
    </w:p>
    <w:p w14:paraId="43A07DC7">
      <w:pPr>
        <w:rPr>
          <w:rFonts w:hint="eastAsia" w:ascii="宋体" w:hAnsi="宋体" w:eastAsia="宋体" w:cs="宋体"/>
          <w:color w:val="auto"/>
          <w:sz w:val="24"/>
          <w:szCs w:val="24"/>
          <w:highlight w:val="none"/>
        </w:rPr>
      </w:pPr>
    </w:p>
    <w:p w14:paraId="0CE1B7EA">
      <w:pPr>
        <w:rPr>
          <w:rFonts w:hint="eastAsia" w:ascii="宋体" w:hAnsi="宋体" w:eastAsia="宋体" w:cs="宋体"/>
          <w:color w:val="auto"/>
          <w:sz w:val="24"/>
          <w:szCs w:val="24"/>
          <w:highlight w:val="none"/>
        </w:rPr>
      </w:pPr>
    </w:p>
    <w:p w14:paraId="0003CE32">
      <w:pPr>
        <w:rPr>
          <w:rFonts w:hint="eastAsia" w:ascii="宋体" w:hAnsi="宋体" w:eastAsia="宋体" w:cs="宋体"/>
          <w:color w:val="auto"/>
          <w:sz w:val="24"/>
          <w:szCs w:val="24"/>
          <w:highlight w:val="none"/>
        </w:rPr>
      </w:pPr>
    </w:p>
    <w:p w14:paraId="7ED79BA2">
      <w:pPr>
        <w:rPr>
          <w:rFonts w:hint="eastAsia" w:ascii="宋体" w:hAnsi="宋体" w:eastAsia="宋体" w:cs="宋体"/>
          <w:color w:val="auto"/>
          <w:sz w:val="24"/>
          <w:szCs w:val="24"/>
          <w:highlight w:val="none"/>
        </w:rPr>
      </w:pPr>
    </w:p>
    <w:p w14:paraId="08700BB7">
      <w:pPr>
        <w:rPr>
          <w:rFonts w:hint="eastAsia" w:ascii="宋体" w:hAnsi="宋体" w:eastAsia="宋体" w:cs="宋体"/>
          <w:color w:val="auto"/>
          <w:sz w:val="24"/>
          <w:szCs w:val="24"/>
          <w:highlight w:val="none"/>
        </w:rPr>
      </w:pPr>
    </w:p>
    <w:p w14:paraId="5E205006">
      <w:pPr>
        <w:rPr>
          <w:rFonts w:hint="eastAsia" w:ascii="宋体" w:hAnsi="宋体" w:eastAsia="宋体" w:cs="宋体"/>
          <w:color w:val="auto"/>
          <w:sz w:val="24"/>
          <w:szCs w:val="24"/>
          <w:highlight w:val="none"/>
        </w:rPr>
      </w:pPr>
    </w:p>
    <w:p w14:paraId="1717BE62">
      <w:pPr>
        <w:spacing w:line="360" w:lineRule="auto"/>
        <w:jc w:val="center"/>
        <w:outlineLvl w:val="9"/>
        <w:rPr>
          <w:rFonts w:hint="eastAsia" w:ascii="宋体" w:hAnsi="宋体" w:eastAsia="宋体" w:cs="宋体"/>
          <w:color w:val="auto"/>
          <w:sz w:val="31"/>
          <w:szCs w:val="31"/>
          <w:highlight w:val="none"/>
          <w:lang w:eastAsia="zh-CN"/>
        </w:rPr>
      </w:pPr>
    </w:p>
    <w:p w14:paraId="0F771EB0">
      <w:pPr>
        <w:spacing w:line="360" w:lineRule="auto"/>
        <w:jc w:val="center"/>
        <w:outlineLvl w:val="0"/>
        <w:rPr>
          <w:rFonts w:hint="eastAsia" w:ascii="宋体" w:hAnsi="宋体" w:eastAsia="宋体" w:cs="宋体"/>
          <w:color w:val="auto"/>
          <w:sz w:val="31"/>
          <w:szCs w:val="31"/>
          <w:highlight w:val="none"/>
          <w:lang w:eastAsia="zh-CN"/>
        </w:rPr>
      </w:pPr>
      <w:bookmarkStart w:id="136" w:name="_Toc13997"/>
      <w:r>
        <w:rPr>
          <w:rFonts w:hint="eastAsia" w:ascii="宋体" w:hAnsi="宋体" w:eastAsia="宋体" w:cs="宋体"/>
          <w:color w:val="auto"/>
          <w:sz w:val="31"/>
          <w:szCs w:val="31"/>
          <w:highlight w:val="none"/>
          <w:lang w:eastAsia="zh-CN"/>
        </w:rPr>
        <w:t>第四章投标文件格式</w:t>
      </w:r>
      <w:bookmarkEnd w:id="133"/>
      <w:bookmarkEnd w:id="136"/>
    </w:p>
    <w:p w14:paraId="0B60AB6D">
      <w:pPr>
        <w:widowControl w:val="0"/>
        <w:spacing w:line="269" w:lineRule="auto"/>
        <w:jc w:val="center"/>
        <w:rPr>
          <w:rFonts w:hint="eastAsia" w:ascii="宋体" w:hAnsi="宋体" w:eastAsia="宋体" w:cs="宋体"/>
          <w:color w:val="auto"/>
          <w:highlight w:val="none"/>
          <w:lang w:eastAsia="zh-CN"/>
        </w:rPr>
      </w:pPr>
    </w:p>
    <w:p w14:paraId="1C905CB2">
      <w:pPr>
        <w:widowControl w:val="0"/>
        <w:spacing w:line="269" w:lineRule="auto"/>
        <w:jc w:val="center"/>
        <w:rPr>
          <w:rFonts w:hint="eastAsia" w:ascii="宋体" w:hAnsi="宋体" w:eastAsia="宋体" w:cs="宋体"/>
          <w:color w:val="auto"/>
          <w:highlight w:val="none"/>
          <w:lang w:eastAsia="zh-CN"/>
        </w:rPr>
      </w:pPr>
    </w:p>
    <w:p w14:paraId="6AE662A6">
      <w:pPr>
        <w:widowControl w:val="0"/>
        <w:spacing w:line="269" w:lineRule="auto"/>
        <w:jc w:val="center"/>
        <w:rPr>
          <w:rFonts w:hint="eastAsia" w:ascii="宋体" w:hAnsi="宋体" w:eastAsia="宋体" w:cs="宋体"/>
          <w:color w:val="auto"/>
          <w:highlight w:val="none"/>
          <w:lang w:eastAsia="zh-CN"/>
        </w:rPr>
      </w:pPr>
    </w:p>
    <w:p w14:paraId="1C7AC1EC">
      <w:pPr>
        <w:widowControl w:val="0"/>
        <w:spacing w:line="269" w:lineRule="auto"/>
        <w:jc w:val="center"/>
        <w:rPr>
          <w:rFonts w:hint="eastAsia" w:ascii="宋体" w:hAnsi="宋体" w:eastAsia="宋体" w:cs="宋体"/>
          <w:color w:val="auto"/>
          <w:highlight w:val="none"/>
          <w:lang w:eastAsia="zh-CN"/>
        </w:rPr>
      </w:pPr>
    </w:p>
    <w:p w14:paraId="7C109047">
      <w:pPr>
        <w:widowControl w:val="0"/>
        <w:spacing w:before="100" w:line="225" w:lineRule="auto"/>
        <w:jc w:val="center"/>
        <w:rPr>
          <w:rFonts w:hint="eastAsia" w:ascii="宋体" w:hAnsi="宋体" w:eastAsia="宋体" w:cs="宋体"/>
          <w:color w:val="auto"/>
          <w:sz w:val="31"/>
          <w:szCs w:val="31"/>
          <w:highlight w:val="none"/>
          <w:lang w:eastAsia="zh-CN"/>
        </w:rPr>
      </w:pPr>
      <w:r>
        <w:rPr>
          <w:rFonts w:hint="eastAsia" w:ascii="宋体" w:hAnsi="宋体" w:eastAsia="宋体" w:cs="宋体"/>
          <w:color w:val="auto"/>
          <w:sz w:val="31"/>
          <w:szCs w:val="31"/>
          <w:highlight w:val="none"/>
          <w:lang w:eastAsia="zh-CN"/>
        </w:rPr>
        <w:t>投标文件</w:t>
      </w:r>
    </w:p>
    <w:p w14:paraId="0A5F3958">
      <w:pPr>
        <w:widowControl w:val="0"/>
        <w:jc w:val="center"/>
        <w:rPr>
          <w:rFonts w:hint="eastAsia" w:ascii="宋体" w:hAnsi="宋体" w:eastAsia="宋体" w:cs="宋体"/>
          <w:color w:val="auto"/>
          <w:highlight w:val="none"/>
          <w:lang w:eastAsia="zh-CN"/>
        </w:rPr>
      </w:pPr>
    </w:p>
    <w:p w14:paraId="20F45F7C">
      <w:pPr>
        <w:widowControl w:val="0"/>
        <w:rPr>
          <w:rFonts w:hint="eastAsia" w:ascii="宋体" w:hAnsi="宋体" w:eastAsia="宋体" w:cs="宋体"/>
          <w:color w:val="auto"/>
          <w:highlight w:val="none"/>
          <w:lang w:eastAsia="zh-CN"/>
        </w:rPr>
      </w:pPr>
    </w:p>
    <w:p w14:paraId="0D181B1F">
      <w:pPr>
        <w:widowControl w:val="0"/>
        <w:rPr>
          <w:rFonts w:hint="eastAsia" w:ascii="宋体" w:hAnsi="宋体" w:eastAsia="宋体" w:cs="宋体"/>
          <w:color w:val="auto"/>
          <w:highlight w:val="none"/>
          <w:lang w:eastAsia="zh-CN"/>
        </w:rPr>
      </w:pPr>
    </w:p>
    <w:p w14:paraId="33F63501">
      <w:pPr>
        <w:widowControl w:val="0"/>
        <w:rPr>
          <w:rFonts w:hint="eastAsia" w:ascii="宋体" w:hAnsi="宋体" w:eastAsia="宋体" w:cs="宋体"/>
          <w:color w:val="auto"/>
          <w:highlight w:val="none"/>
          <w:lang w:eastAsia="zh-CN"/>
        </w:rPr>
      </w:pPr>
    </w:p>
    <w:p w14:paraId="603B9A75">
      <w:pPr>
        <w:widowControl w:val="0"/>
        <w:rPr>
          <w:rFonts w:hint="eastAsia" w:ascii="宋体" w:hAnsi="宋体" w:eastAsia="宋体" w:cs="宋体"/>
          <w:color w:val="auto"/>
          <w:highlight w:val="none"/>
          <w:lang w:eastAsia="zh-CN"/>
        </w:rPr>
      </w:pPr>
    </w:p>
    <w:p w14:paraId="53E0D084">
      <w:pPr>
        <w:widowControl w:val="0"/>
        <w:rPr>
          <w:rFonts w:hint="eastAsia" w:ascii="宋体" w:hAnsi="宋体" w:eastAsia="宋体" w:cs="宋体"/>
          <w:color w:val="auto"/>
          <w:highlight w:val="none"/>
          <w:lang w:eastAsia="zh-CN"/>
        </w:rPr>
      </w:pPr>
    </w:p>
    <w:p w14:paraId="05F5EB82">
      <w:pPr>
        <w:widowControl w:val="0"/>
        <w:rPr>
          <w:rFonts w:hint="eastAsia" w:ascii="宋体" w:hAnsi="宋体" w:eastAsia="宋体" w:cs="宋体"/>
          <w:color w:val="auto"/>
          <w:highlight w:val="none"/>
          <w:lang w:eastAsia="zh-CN"/>
        </w:rPr>
      </w:pPr>
    </w:p>
    <w:p w14:paraId="57E70DA8">
      <w:pPr>
        <w:widowControl w:val="0"/>
        <w:rPr>
          <w:rFonts w:hint="eastAsia" w:ascii="宋体" w:hAnsi="宋体" w:eastAsia="宋体" w:cs="宋体"/>
          <w:color w:val="auto"/>
          <w:highlight w:val="none"/>
          <w:lang w:eastAsia="zh-CN"/>
        </w:rPr>
      </w:pPr>
    </w:p>
    <w:p w14:paraId="04033EC3">
      <w:pPr>
        <w:widowControl w:val="0"/>
        <w:spacing w:line="241" w:lineRule="auto"/>
        <w:rPr>
          <w:rFonts w:hint="eastAsia" w:ascii="宋体" w:hAnsi="宋体" w:eastAsia="宋体" w:cs="宋体"/>
          <w:color w:val="auto"/>
          <w:highlight w:val="none"/>
          <w:lang w:eastAsia="zh-CN"/>
        </w:rPr>
      </w:pPr>
    </w:p>
    <w:p w14:paraId="7C44EDFC">
      <w:pPr>
        <w:widowControl w:val="0"/>
        <w:spacing w:line="241" w:lineRule="auto"/>
        <w:rPr>
          <w:rFonts w:hint="eastAsia" w:ascii="宋体" w:hAnsi="宋体" w:eastAsia="宋体" w:cs="宋体"/>
          <w:color w:val="auto"/>
          <w:highlight w:val="none"/>
          <w:lang w:eastAsia="zh-CN"/>
        </w:rPr>
      </w:pPr>
    </w:p>
    <w:p w14:paraId="5AE001F3">
      <w:pPr>
        <w:widowControl w:val="0"/>
        <w:spacing w:line="241" w:lineRule="auto"/>
        <w:rPr>
          <w:rFonts w:hint="eastAsia" w:ascii="宋体" w:hAnsi="宋体" w:eastAsia="宋体" w:cs="宋体"/>
          <w:color w:val="auto"/>
          <w:highlight w:val="none"/>
          <w:lang w:eastAsia="zh-CN"/>
        </w:rPr>
      </w:pPr>
    </w:p>
    <w:p w14:paraId="49557B31">
      <w:pPr>
        <w:widowControl w:val="0"/>
        <w:spacing w:line="241" w:lineRule="auto"/>
        <w:rPr>
          <w:rFonts w:hint="eastAsia" w:ascii="宋体" w:hAnsi="宋体" w:eastAsia="宋体" w:cs="宋体"/>
          <w:color w:val="auto"/>
          <w:highlight w:val="none"/>
          <w:lang w:eastAsia="zh-CN"/>
        </w:rPr>
      </w:pPr>
    </w:p>
    <w:p w14:paraId="30825254">
      <w:pPr>
        <w:widowControl w:val="0"/>
        <w:spacing w:line="241" w:lineRule="auto"/>
        <w:rPr>
          <w:rFonts w:hint="eastAsia" w:ascii="宋体" w:hAnsi="宋体" w:eastAsia="宋体" w:cs="宋体"/>
          <w:color w:val="auto"/>
          <w:highlight w:val="none"/>
          <w:lang w:eastAsia="zh-CN"/>
        </w:rPr>
      </w:pPr>
    </w:p>
    <w:p w14:paraId="6F72C7AC">
      <w:pPr>
        <w:widowControl w:val="0"/>
        <w:spacing w:line="241" w:lineRule="auto"/>
        <w:rPr>
          <w:rFonts w:hint="eastAsia" w:ascii="宋体" w:hAnsi="宋体" w:eastAsia="宋体" w:cs="宋体"/>
          <w:color w:val="auto"/>
          <w:highlight w:val="none"/>
          <w:lang w:eastAsia="zh-CN"/>
        </w:rPr>
      </w:pPr>
    </w:p>
    <w:p w14:paraId="22A31684">
      <w:pPr>
        <w:widowControl w:val="0"/>
        <w:spacing w:line="241" w:lineRule="auto"/>
        <w:rPr>
          <w:rFonts w:hint="eastAsia" w:ascii="宋体" w:hAnsi="宋体" w:eastAsia="宋体" w:cs="宋体"/>
          <w:color w:val="auto"/>
          <w:highlight w:val="none"/>
          <w:lang w:eastAsia="zh-CN"/>
        </w:rPr>
      </w:pPr>
    </w:p>
    <w:p w14:paraId="7D2BD5DC">
      <w:pPr>
        <w:widowControl w:val="0"/>
        <w:spacing w:line="241" w:lineRule="auto"/>
        <w:rPr>
          <w:rFonts w:hint="eastAsia" w:ascii="宋体" w:hAnsi="宋体" w:eastAsia="宋体" w:cs="宋体"/>
          <w:color w:val="auto"/>
          <w:highlight w:val="none"/>
          <w:lang w:eastAsia="zh-CN"/>
        </w:rPr>
      </w:pPr>
    </w:p>
    <w:p w14:paraId="4DBD6998">
      <w:pPr>
        <w:widowControl w:val="0"/>
        <w:spacing w:before="78" w:line="220" w:lineRule="auto"/>
        <w:ind w:left="1445"/>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项目名称：</w:t>
      </w:r>
    </w:p>
    <w:p w14:paraId="39443F60">
      <w:pPr>
        <w:widowControl w:val="0"/>
        <w:spacing w:line="258" w:lineRule="auto"/>
        <w:rPr>
          <w:rFonts w:hint="eastAsia" w:ascii="宋体" w:hAnsi="宋体" w:eastAsia="宋体" w:cs="宋体"/>
          <w:color w:val="auto"/>
          <w:highlight w:val="none"/>
          <w:lang w:eastAsia="zh-CN"/>
        </w:rPr>
      </w:pPr>
    </w:p>
    <w:p w14:paraId="5FE179AF">
      <w:pPr>
        <w:widowControl w:val="0"/>
        <w:spacing w:line="258" w:lineRule="auto"/>
        <w:rPr>
          <w:rFonts w:hint="eastAsia" w:ascii="宋体" w:hAnsi="宋体" w:eastAsia="宋体" w:cs="宋体"/>
          <w:color w:val="auto"/>
          <w:highlight w:val="none"/>
          <w:lang w:eastAsia="zh-CN"/>
        </w:rPr>
      </w:pPr>
    </w:p>
    <w:p w14:paraId="4CF4C36B">
      <w:pPr>
        <w:widowControl w:val="0"/>
        <w:spacing w:line="258" w:lineRule="auto"/>
        <w:rPr>
          <w:rFonts w:hint="eastAsia" w:ascii="宋体" w:hAnsi="宋体" w:eastAsia="宋体" w:cs="宋体"/>
          <w:color w:val="auto"/>
          <w:highlight w:val="none"/>
          <w:lang w:eastAsia="zh-CN"/>
        </w:rPr>
      </w:pPr>
    </w:p>
    <w:p w14:paraId="46429BBD">
      <w:pPr>
        <w:widowControl w:val="0"/>
        <w:spacing w:line="259" w:lineRule="auto"/>
        <w:rPr>
          <w:rFonts w:hint="eastAsia" w:ascii="宋体" w:hAnsi="宋体" w:eastAsia="宋体" w:cs="宋体"/>
          <w:color w:val="auto"/>
          <w:highlight w:val="none"/>
          <w:lang w:eastAsia="zh-CN"/>
        </w:rPr>
      </w:pPr>
    </w:p>
    <w:p w14:paraId="0035706D">
      <w:pPr>
        <w:widowControl w:val="0"/>
        <w:spacing w:before="79" w:line="219" w:lineRule="auto"/>
        <w:ind w:left="1445"/>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项目编号：</w:t>
      </w:r>
    </w:p>
    <w:p w14:paraId="59BA9A78">
      <w:pPr>
        <w:widowControl w:val="0"/>
        <w:spacing w:line="245" w:lineRule="auto"/>
        <w:rPr>
          <w:rFonts w:hint="eastAsia" w:ascii="宋体" w:hAnsi="宋体" w:eastAsia="宋体" w:cs="宋体"/>
          <w:color w:val="auto"/>
          <w:highlight w:val="none"/>
          <w:lang w:eastAsia="zh-CN"/>
        </w:rPr>
      </w:pPr>
    </w:p>
    <w:p w14:paraId="02970736">
      <w:pPr>
        <w:widowControl w:val="0"/>
        <w:spacing w:line="245" w:lineRule="auto"/>
        <w:rPr>
          <w:rFonts w:hint="eastAsia" w:ascii="宋体" w:hAnsi="宋体" w:eastAsia="宋体" w:cs="宋体"/>
          <w:color w:val="auto"/>
          <w:highlight w:val="none"/>
          <w:lang w:eastAsia="zh-CN"/>
        </w:rPr>
      </w:pPr>
    </w:p>
    <w:p w14:paraId="66F9E200">
      <w:pPr>
        <w:widowControl w:val="0"/>
        <w:spacing w:line="245" w:lineRule="auto"/>
        <w:rPr>
          <w:rFonts w:hint="eastAsia" w:ascii="宋体" w:hAnsi="宋体" w:eastAsia="宋体" w:cs="宋体"/>
          <w:color w:val="auto"/>
          <w:highlight w:val="none"/>
          <w:lang w:eastAsia="zh-CN"/>
        </w:rPr>
      </w:pPr>
    </w:p>
    <w:p w14:paraId="3B666536">
      <w:pPr>
        <w:widowControl w:val="0"/>
        <w:spacing w:line="245" w:lineRule="auto"/>
        <w:rPr>
          <w:rFonts w:hint="eastAsia" w:ascii="宋体" w:hAnsi="宋体" w:eastAsia="宋体" w:cs="宋体"/>
          <w:color w:val="auto"/>
          <w:highlight w:val="none"/>
          <w:lang w:eastAsia="zh-CN"/>
        </w:rPr>
      </w:pPr>
    </w:p>
    <w:p w14:paraId="76C5BBBE">
      <w:pPr>
        <w:widowControl w:val="0"/>
        <w:spacing w:line="246" w:lineRule="auto"/>
        <w:rPr>
          <w:rFonts w:hint="eastAsia" w:ascii="宋体" w:hAnsi="宋体" w:eastAsia="宋体" w:cs="宋体"/>
          <w:color w:val="auto"/>
          <w:highlight w:val="none"/>
          <w:lang w:eastAsia="zh-CN"/>
        </w:rPr>
      </w:pPr>
    </w:p>
    <w:p w14:paraId="0E00388F">
      <w:pPr>
        <w:widowControl w:val="0"/>
        <w:spacing w:line="246" w:lineRule="auto"/>
        <w:rPr>
          <w:rFonts w:hint="eastAsia" w:ascii="宋体" w:hAnsi="宋体" w:eastAsia="宋体" w:cs="宋体"/>
          <w:color w:val="auto"/>
          <w:highlight w:val="none"/>
          <w:lang w:eastAsia="zh-CN"/>
        </w:rPr>
      </w:pPr>
    </w:p>
    <w:p w14:paraId="201594C1">
      <w:pPr>
        <w:widowControl w:val="0"/>
        <w:spacing w:line="246" w:lineRule="auto"/>
        <w:rPr>
          <w:rFonts w:hint="eastAsia" w:ascii="宋体" w:hAnsi="宋体" w:eastAsia="宋体" w:cs="宋体"/>
          <w:color w:val="auto"/>
          <w:highlight w:val="none"/>
          <w:lang w:eastAsia="zh-CN"/>
        </w:rPr>
      </w:pPr>
    </w:p>
    <w:p w14:paraId="1CED5C72">
      <w:pPr>
        <w:widowControl w:val="0"/>
        <w:spacing w:line="246" w:lineRule="auto"/>
        <w:rPr>
          <w:rFonts w:hint="eastAsia" w:ascii="宋体" w:hAnsi="宋体" w:eastAsia="宋体" w:cs="宋体"/>
          <w:color w:val="auto"/>
          <w:highlight w:val="none"/>
          <w:lang w:eastAsia="zh-CN"/>
        </w:rPr>
      </w:pPr>
    </w:p>
    <w:p w14:paraId="27F88D18">
      <w:pPr>
        <w:widowControl w:val="0"/>
        <w:spacing w:before="78" w:line="219" w:lineRule="auto"/>
        <w:ind w:left="3362"/>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投标人（签章）</w:t>
      </w:r>
    </w:p>
    <w:p w14:paraId="2A4FA3C7">
      <w:pPr>
        <w:widowControl w:val="0"/>
        <w:spacing w:line="285" w:lineRule="auto"/>
        <w:rPr>
          <w:rFonts w:hint="eastAsia" w:ascii="宋体" w:hAnsi="宋体" w:eastAsia="宋体" w:cs="宋体"/>
          <w:color w:val="auto"/>
          <w:highlight w:val="none"/>
          <w:lang w:eastAsia="zh-CN"/>
        </w:rPr>
      </w:pPr>
    </w:p>
    <w:p w14:paraId="10E17050">
      <w:pPr>
        <w:widowControl w:val="0"/>
        <w:spacing w:line="285" w:lineRule="auto"/>
        <w:rPr>
          <w:rFonts w:hint="eastAsia" w:ascii="宋体" w:hAnsi="宋体" w:eastAsia="宋体" w:cs="宋体"/>
          <w:color w:val="auto"/>
          <w:highlight w:val="none"/>
          <w:lang w:eastAsia="zh-CN"/>
        </w:rPr>
      </w:pPr>
    </w:p>
    <w:p w14:paraId="76DF9631">
      <w:pPr>
        <w:widowControl w:val="0"/>
        <w:spacing w:before="79" w:line="219" w:lineRule="auto"/>
        <w:ind w:left="384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年   月   日</w:t>
      </w:r>
    </w:p>
    <w:p w14:paraId="734AD98C">
      <w:pPr>
        <w:widowControl w:val="0"/>
        <w:spacing w:line="219" w:lineRule="auto"/>
        <w:rPr>
          <w:rFonts w:hint="eastAsia" w:ascii="宋体" w:hAnsi="宋体" w:eastAsia="宋体" w:cs="宋体"/>
          <w:color w:val="auto"/>
          <w:sz w:val="24"/>
          <w:szCs w:val="24"/>
          <w:highlight w:val="none"/>
          <w:lang w:eastAsia="zh-CN"/>
        </w:rPr>
        <w:sectPr>
          <w:footerReference r:id="rId7" w:type="default"/>
          <w:pgSz w:w="11906" w:h="16839"/>
          <w:pgMar w:top="1253" w:right="1213" w:bottom="1366" w:left="1077" w:header="0" w:footer="1200" w:gutter="0"/>
          <w:pgNumType w:fmt="decimal"/>
          <w:cols w:space="720" w:num="1"/>
        </w:sectPr>
      </w:pPr>
    </w:p>
    <w:p w14:paraId="7A08BD7B">
      <w:pPr>
        <w:widowControl w:val="0"/>
        <w:spacing w:before="47" w:line="219" w:lineRule="auto"/>
        <w:jc w:val="center"/>
        <w:outlineLvl w:val="1"/>
        <w:rPr>
          <w:rFonts w:hint="eastAsia" w:ascii="宋体" w:hAnsi="宋体" w:eastAsia="宋体" w:cs="宋体"/>
          <w:color w:val="auto"/>
          <w:sz w:val="24"/>
          <w:szCs w:val="24"/>
          <w:highlight w:val="none"/>
          <w:lang w:eastAsia="zh-CN"/>
        </w:rPr>
      </w:pPr>
      <w:bookmarkStart w:id="137" w:name="_Toc30245"/>
      <w:r>
        <w:rPr>
          <w:rFonts w:hint="eastAsia" w:ascii="宋体" w:hAnsi="宋体" w:eastAsia="宋体" w:cs="宋体"/>
          <w:color w:val="auto"/>
          <w:sz w:val="24"/>
          <w:szCs w:val="24"/>
          <w:highlight w:val="none"/>
          <w:lang w:eastAsia="zh-CN"/>
        </w:rPr>
        <w:t>格式1．投标书</w:t>
      </w:r>
      <w:bookmarkEnd w:id="137"/>
    </w:p>
    <w:p w14:paraId="0CC5F2A0">
      <w:pPr>
        <w:widowControl w:val="0"/>
        <w:spacing w:before="183" w:line="220" w:lineRule="auto"/>
        <w:ind w:left="1"/>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致：</w:t>
      </w:r>
    </w:p>
    <w:p w14:paraId="15C4805E">
      <w:pPr>
        <w:widowControl w:val="0"/>
        <w:spacing w:before="115" w:line="308" w:lineRule="auto"/>
        <w:ind w:left="481"/>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根据贵方为(</w:t>
      </w:r>
      <w:r>
        <w:rPr>
          <w:rFonts w:hint="eastAsia" w:ascii="宋体" w:hAnsi="宋体" w:eastAsia="宋体" w:cs="宋体"/>
          <w:color w:val="auto"/>
          <w:sz w:val="24"/>
          <w:szCs w:val="24"/>
          <w:highlight w:val="none"/>
          <w:u w:val="single"/>
          <w:lang w:eastAsia="zh-CN"/>
        </w:rPr>
        <w:t>项目名称</w:t>
      </w:r>
      <w:r>
        <w:rPr>
          <w:rFonts w:hint="eastAsia" w:ascii="宋体" w:hAnsi="宋体" w:eastAsia="宋体" w:cs="宋体"/>
          <w:color w:val="auto"/>
          <w:sz w:val="24"/>
          <w:szCs w:val="24"/>
          <w:highlight w:val="none"/>
          <w:lang w:eastAsia="zh-CN"/>
        </w:rPr>
        <w:t>)项目招标采购有关服务的投标邀请(</w:t>
      </w:r>
      <w:r>
        <w:rPr>
          <w:rFonts w:hint="eastAsia" w:ascii="宋体" w:hAnsi="宋体" w:eastAsia="宋体" w:cs="宋体"/>
          <w:color w:val="auto"/>
          <w:sz w:val="24"/>
          <w:szCs w:val="24"/>
          <w:highlight w:val="none"/>
          <w:u w:val="single"/>
          <w:lang w:eastAsia="zh-CN"/>
        </w:rPr>
        <w:t>项目编号</w:t>
      </w:r>
      <w:r>
        <w:rPr>
          <w:rFonts w:hint="eastAsia" w:ascii="宋体" w:hAnsi="宋体" w:eastAsia="宋体" w:cs="宋体"/>
          <w:color w:val="auto"/>
          <w:sz w:val="24"/>
          <w:szCs w:val="24"/>
          <w:highlight w:val="none"/>
          <w:lang w:eastAsia="zh-CN"/>
        </w:rPr>
        <w:t>)签字代</w:t>
      </w:r>
    </w:p>
    <w:p w14:paraId="49B0031F">
      <w:pPr>
        <w:widowControl w:val="0"/>
        <w:spacing w:line="360" w:lineRule="auto"/>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表(</w:t>
      </w:r>
      <w:r>
        <w:rPr>
          <w:rFonts w:hint="eastAsia" w:ascii="宋体" w:hAnsi="宋体" w:eastAsia="宋体" w:cs="宋体"/>
          <w:color w:val="auto"/>
          <w:sz w:val="24"/>
          <w:szCs w:val="24"/>
          <w:highlight w:val="none"/>
          <w:u w:val="single"/>
          <w:lang w:eastAsia="zh-CN"/>
        </w:rPr>
        <w:t>姓名、职务</w:t>
      </w:r>
      <w:r>
        <w:rPr>
          <w:rFonts w:hint="eastAsia" w:ascii="宋体" w:hAnsi="宋体" w:eastAsia="宋体" w:cs="宋体"/>
          <w:color w:val="auto"/>
          <w:sz w:val="24"/>
          <w:szCs w:val="24"/>
          <w:highlight w:val="none"/>
          <w:lang w:eastAsia="zh-CN"/>
        </w:rPr>
        <w:t>)，经正式授权并代表投标人</w:t>
      </w:r>
      <w:r>
        <w:rPr>
          <w:rFonts w:hint="eastAsia" w:ascii="宋体" w:hAnsi="宋体" w:eastAsia="宋体" w:cs="宋体"/>
          <w:color w:val="auto"/>
          <w:sz w:val="24"/>
          <w:szCs w:val="24"/>
          <w:highlight w:val="none"/>
          <w:u w:val="single"/>
          <w:lang w:eastAsia="zh-CN"/>
        </w:rPr>
        <w:t>(投标人名称、地址)</w:t>
      </w:r>
      <w:r>
        <w:rPr>
          <w:rFonts w:hint="eastAsia" w:ascii="宋体" w:hAnsi="宋体" w:eastAsia="宋体" w:cs="宋体"/>
          <w:color w:val="auto"/>
          <w:sz w:val="24"/>
          <w:szCs w:val="24"/>
          <w:highlight w:val="none"/>
          <w:lang w:eastAsia="zh-CN"/>
        </w:rPr>
        <w:t>提交下述文件 ：</w:t>
      </w:r>
    </w:p>
    <w:p w14:paraId="3036463D">
      <w:pPr>
        <w:widowControl w:val="0"/>
        <w:spacing w:line="218" w:lineRule="auto"/>
        <w:ind w:left="444"/>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1、投标书（含自然人投标）</w:t>
      </w:r>
    </w:p>
    <w:p w14:paraId="1E59C0D9">
      <w:pPr>
        <w:widowControl w:val="0"/>
        <w:spacing w:before="117" w:line="220" w:lineRule="auto"/>
        <w:ind w:left="429"/>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2、开标一览表</w:t>
      </w:r>
    </w:p>
    <w:p w14:paraId="591B983E">
      <w:pPr>
        <w:widowControl w:val="0"/>
        <w:spacing w:before="117" w:line="220" w:lineRule="auto"/>
        <w:ind w:left="429"/>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、开标一览明细表</w:t>
      </w:r>
    </w:p>
    <w:p w14:paraId="69A3C76A">
      <w:pPr>
        <w:widowControl w:val="0"/>
        <w:spacing w:before="117" w:line="220" w:lineRule="auto"/>
        <w:ind w:left="420" w:left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、服务需求响应/偏离表</w:t>
      </w:r>
    </w:p>
    <w:p w14:paraId="06809283">
      <w:pPr>
        <w:widowControl w:val="0"/>
        <w:spacing w:before="117" w:line="220" w:lineRule="auto"/>
        <w:ind w:left="420" w:left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、商务条件响应/偏离表</w:t>
      </w:r>
    </w:p>
    <w:p w14:paraId="7D998B83">
      <w:pPr>
        <w:widowControl w:val="0"/>
        <w:spacing w:before="117" w:line="220" w:lineRule="auto"/>
        <w:ind w:left="429"/>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、投标人应当提交的资格、资信证明文件</w:t>
      </w:r>
    </w:p>
    <w:p w14:paraId="5AE8670C">
      <w:pPr>
        <w:widowControl w:val="0"/>
        <w:spacing w:before="117" w:line="220" w:lineRule="auto"/>
        <w:ind w:left="429"/>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eastAsia="zh-CN"/>
        </w:rPr>
        <w:t>、为落实政府采购政策投标人须提供的证明材料</w:t>
      </w:r>
    </w:p>
    <w:p w14:paraId="1CE4CB7A">
      <w:pPr>
        <w:widowControl w:val="0"/>
        <w:spacing w:before="117" w:line="220" w:lineRule="auto"/>
        <w:ind w:left="429"/>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eastAsia="zh-CN"/>
        </w:rPr>
        <w:t>、技术文件</w:t>
      </w:r>
    </w:p>
    <w:p w14:paraId="1AB589F5">
      <w:pPr>
        <w:widowControl w:val="0"/>
        <w:spacing w:before="117" w:line="220" w:lineRule="auto"/>
        <w:ind w:left="429"/>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lang w:eastAsia="zh-CN"/>
        </w:rPr>
        <w:t>、其他资料</w:t>
      </w:r>
    </w:p>
    <w:p w14:paraId="365FD354">
      <w:pPr>
        <w:widowControl w:val="0"/>
        <w:spacing w:before="117"/>
        <w:ind w:left="429"/>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lang w:eastAsia="zh-CN"/>
        </w:rPr>
        <w:t>、提交的投标保证金，金额为 。</w:t>
      </w:r>
    </w:p>
    <w:p w14:paraId="3408AB4F">
      <w:pPr>
        <w:widowControl w:val="0"/>
        <w:spacing w:before="117"/>
        <w:ind w:left="429"/>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据此函,签字代表宣布同意如下:</w:t>
      </w:r>
    </w:p>
    <w:p w14:paraId="2E1B4272">
      <w:pPr>
        <w:widowControl w:val="0"/>
        <w:spacing w:before="115" w:line="308" w:lineRule="auto"/>
        <w:ind w:left="481"/>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 所附开标一览表中规定的应提交和交付的服务投标总价为（用文字和数字表示的投标总价）。</w:t>
      </w:r>
    </w:p>
    <w:p w14:paraId="455F2A66">
      <w:pPr>
        <w:widowControl w:val="0"/>
        <w:spacing w:before="115" w:line="308" w:lineRule="auto"/>
        <w:ind w:left="481"/>
        <w:jc w:val="both"/>
        <w:outlineLvl w:val="1"/>
        <w:rPr>
          <w:rFonts w:hint="eastAsia" w:ascii="宋体" w:hAnsi="宋体" w:eastAsia="宋体" w:cs="宋体"/>
          <w:color w:val="auto"/>
          <w:sz w:val="24"/>
          <w:szCs w:val="24"/>
          <w:highlight w:val="none"/>
          <w:lang w:eastAsia="zh-CN"/>
        </w:rPr>
      </w:pPr>
      <w:bookmarkStart w:id="138" w:name="_Toc22011"/>
      <w:bookmarkStart w:id="139" w:name="_Toc24969"/>
      <w:r>
        <w:rPr>
          <w:rFonts w:hint="eastAsia" w:ascii="宋体" w:hAnsi="宋体" w:eastAsia="宋体" w:cs="宋体"/>
          <w:color w:val="auto"/>
          <w:sz w:val="24"/>
          <w:szCs w:val="24"/>
          <w:highlight w:val="none"/>
          <w:lang w:eastAsia="zh-CN"/>
        </w:rPr>
        <w:t>2. 投标人将按招标文件的规定履行合同责任和义务。</w:t>
      </w:r>
      <w:bookmarkEnd w:id="138"/>
      <w:bookmarkEnd w:id="139"/>
    </w:p>
    <w:p w14:paraId="0EE4B882">
      <w:pPr>
        <w:widowControl w:val="0"/>
        <w:spacing w:before="115" w:line="360" w:lineRule="auto"/>
        <w:ind w:left="481"/>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 投标人已详细审查全部招标文件，包括其他相关澄清、更正等相关资料。我们完全理解并同意放弃对这方面有不明及误解的权力。</w:t>
      </w:r>
    </w:p>
    <w:p w14:paraId="36CD83E0">
      <w:pPr>
        <w:widowControl w:val="0"/>
        <w:spacing w:before="67" w:line="219" w:lineRule="auto"/>
        <w:ind w:left="425"/>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 本投标有效期为从提交投标文件截止之日起</w:t>
      </w:r>
      <w:r>
        <w:rPr>
          <w:rFonts w:hint="eastAsia" w:ascii="宋体" w:hAnsi="宋体" w:eastAsia="宋体" w:cs="宋体"/>
          <w:color w:val="auto"/>
          <w:sz w:val="24"/>
          <w:szCs w:val="24"/>
          <w:highlight w:val="none"/>
          <w:u w:val="single"/>
          <w:lang w:eastAsia="zh-CN"/>
        </w:rPr>
        <w:t xml:space="preserve">  90  </w:t>
      </w:r>
      <w:r>
        <w:rPr>
          <w:rFonts w:hint="eastAsia" w:ascii="宋体" w:hAnsi="宋体" w:eastAsia="宋体" w:cs="宋体"/>
          <w:color w:val="auto"/>
          <w:sz w:val="24"/>
          <w:szCs w:val="24"/>
          <w:highlight w:val="none"/>
          <w:lang w:eastAsia="zh-CN"/>
        </w:rPr>
        <w:t xml:space="preserve"> 天。</w:t>
      </w:r>
    </w:p>
    <w:p w14:paraId="502A53D6">
      <w:pPr>
        <w:widowControl w:val="0"/>
        <w:spacing w:before="115" w:line="308" w:lineRule="auto"/>
        <w:ind w:left="481"/>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5. 如果在规定的开标时间后，投标人在投标有效期内撤销投标，投标保证金不予退还。</w:t>
      </w:r>
    </w:p>
    <w:p w14:paraId="1E5B6D08">
      <w:pPr>
        <w:widowControl w:val="0"/>
        <w:spacing w:line="360" w:lineRule="auto"/>
        <w:ind w:left="481"/>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6. 投标人同意提供按照贵方可能要求的与其投标有关的一切数据或资料，完全理解贵方不一定接受最低的投标或收到的任何投标。</w:t>
      </w:r>
    </w:p>
    <w:p w14:paraId="16AD190E">
      <w:pPr>
        <w:widowControl w:val="0"/>
        <w:spacing w:line="308" w:lineRule="auto"/>
        <w:ind w:left="481"/>
        <w:jc w:val="both"/>
        <w:outlineLvl w:val="1"/>
        <w:rPr>
          <w:rFonts w:hint="eastAsia" w:ascii="宋体" w:hAnsi="宋体" w:eastAsia="宋体" w:cs="宋体"/>
          <w:color w:val="auto"/>
          <w:sz w:val="24"/>
          <w:szCs w:val="24"/>
          <w:highlight w:val="none"/>
          <w:lang w:eastAsia="zh-CN"/>
        </w:rPr>
      </w:pPr>
      <w:bookmarkStart w:id="140" w:name="_Toc32358"/>
      <w:bookmarkStart w:id="141" w:name="_Toc18991"/>
      <w:r>
        <w:rPr>
          <w:rFonts w:hint="eastAsia" w:ascii="宋体" w:hAnsi="宋体" w:eastAsia="宋体" w:cs="宋体"/>
          <w:color w:val="auto"/>
          <w:sz w:val="24"/>
          <w:szCs w:val="24"/>
          <w:highlight w:val="none"/>
          <w:lang w:eastAsia="zh-CN"/>
        </w:rPr>
        <w:t>7. 与本投标有关的一切正式往来信函请寄:</w:t>
      </w:r>
      <w:bookmarkEnd w:id="140"/>
      <w:bookmarkEnd w:id="141"/>
    </w:p>
    <w:p w14:paraId="3798F7D8">
      <w:pPr>
        <w:widowControl w:val="0"/>
        <w:spacing w:afterLines="26" w:line="308" w:lineRule="auto"/>
        <w:ind w:left="481"/>
        <w:jc w:val="both"/>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lang w:eastAsia="zh-CN"/>
        </w:rPr>
        <w:t>地址：</w:t>
      </w:r>
    </w:p>
    <w:p w14:paraId="56CE78E9">
      <w:pPr>
        <w:widowControl w:val="0"/>
        <w:spacing w:line="221" w:lineRule="auto"/>
        <w:ind w:left="481" w:leftChars="229"/>
        <w:jc w:val="both"/>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lang w:eastAsia="zh-CN"/>
        </w:rPr>
        <w:t>电话：</w:t>
      </w:r>
    </w:p>
    <w:p w14:paraId="6C54B078">
      <w:pPr>
        <w:widowControl w:val="0"/>
        <w:spacing w:before="174" w:line="219" w:lineRule="auto"/>
        <w:ind w:left="481" w:leftChars="229"/>
        <w:jc w:val="both"/>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lang w:eastAsia="zh-CN"/>
        </w:rPr>
        <w:t>电子邮件：</w:t>
      </w:r>
    </w:p>
    <w:p w14:paraId="3E8CC8FF">
      <w:pPr>
        <w:widowControl w:val="0"/>
        <w:spacing w:before="112" w:line="219" w:lineRule="auto"/>
        <w:ind w:left="484"/>
        <w:jc w:val="both"/>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lang w:eastAsia="zh-CN"/>
        </w:rPr>
        <w:t>投标人盖章：</w:t>
      </w:r>
    </w:p>
    <w:p w14:paraId="45D8169E">
      <w:pPr>
        <w:widowControl w:val="0"/>
        <w:spacing w:before="117" w:line="401" w:lineRule="exact"/>
        <w:ind w:left="482"/>
        <w:jc w:val="both"/>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lang w:eastAsia="zh-CN"/>
        </w:rPr>
        <w:t>法定代表人或授权代表（或自然人）签字或签章：</w:t>
      </w:r>
    </w:p>
    <w:p w14:paraId="673C6706">
      <w:pPr>
        <w:widowControl w:val="0"/>
        <w:spacing w:beforeLines="50" w:line="220" w:lineRule="auto"/>
        <w:ind w:left="483" w:leftChars="230"/>
        <w:jc w:val="both"/>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lang w:eastAsia="zh-CN"/>
        </w:rPr>
        <w:t>日期：年月日</w:t>
      </w:r>
    </w:p>
    <w:p w14:paraId="3D5C7600">
      <w:pPr>
        <w:widowControl w:val="0"/>
        <w:spacing w:line="220" w:lineRule="auto"/>
        <w:jc w:val="both"/>
        <w:rPr>
          <w:rFonts w:hint="eastAsia" w:ascii="宋体" w:hAnsi="宋体" w:eastAsia="宋体" w:cs="宋体"/>
          <w:color w:val="auto"/>
          <w:sz w:val="24"/>
          <w:szCs w:val="24"/>
          <w:highlight w:val="none"/>
          <w:lang w:eastAsia="zh-CN"/>
        </w:rPr>
        <w:sectPr>
          <w:footerReference r:id="rId8" w:type="default"/>
          <w:pgSz w:w="11906" w:h="16839"/>
          <w:pgMar w:top="1259" w:right="1168" w:bottom="1259" w:left="1168" w:header="0" w:footer="1200" w:gutter="0"/>
          <w:pgNumType w:fmt="decimal"/>
          <w:cols w:space="720" w:num="1"/>
        </w:sectPr>
      </w:pPr>
    </w:p>
    <w:p w14:paraId="171D6A72">
      <w:pPr>
        <w:widowControl w:val="0"/>
        <w:spacing w:before="48" w:line="219" w:lineRule="auto"/>
        <w:ind w:left="3323"/>
        <w:outlineLvl w:val="2"/>
        <w:rPr>
          <w:rFonts w:hint="eastAsia" w:ascii="宋体" w:hAnsi="宋体" w:eastAsia="宋体" w:cs="宋体"/>
          <w:color w:val="auto"/>
          <w:sz w:val="24"/>
          <w:szCs w:val="24"/>
          <w:highlight w:val="none"/>
          <w:lang w:eastAsia="zh-CN"/>
        </w:rPr>
      </w:pPr>
      <w:bookmarkStart w:id="142" w:name="_Toc13662"/>
      <w:bookmarkStart w:id="143" w:name="_Toc28143"/>
      <w:r>
        <w:rPr>
          <w:rFonts w:hint="eastAsia" w:ascii="宋体" w:hAnsi="宋体" w:eastAsia="宋体" w:cs="宋体"/>
          <w:color w:val="auto"/>
          <w:sz w:val="24"/>
          <w:szCs w:val="24"/>
          <w:highlight w:val="none"/>
          <w:lang w:eastAsia="zh-CN"/>
        </w:rPr>
        <w:t>格式2.开标一览表</w:t>
      </w:r>
      <w:bookmarkEnd w:id="142"/>
      <w:bookmarkEnd w:id="143"/>
    </w:p>
    <w:p w14:paraId="46D5442C">
      <w:pPr>
        <w:widowControl w:val="0"/>
        <w:spacing w:line="276" w:lineRule="auto"/>
        <w:rPr>
          <w:rFonts w:hint="eastAsia" w:ascii="宋体" w:hAnsi="宋体" w:eastAsia="宋体" w:cs="宋体"/>
          <w:color w:val="auto"/>
          <w:highlight w:val="none"/>
          <w:lang w:eastAsia="zh-CN"/>
        </w:rPr>
      </w:pPr>
    </w:p>
    <w:p w14:paraId="18322C4C">
      <w:pPr>
        <w:widowControl w:val="0"/>
        <w:spacing w:line="276" w:lineRule="auto"/>
        <w:rPr>
          <w:rFonts w:hint="eastAsia" w:ascii="宋体" w:hAnsi="宋体" w:eastAsia="宋体" w:cs="宋体"/>
          <w:color w:val="auto"/>
          <w:highlight w:val="none"/>
          <w:lang w:eastAsia="zh-CN"/>
        </w:rPr>
      </w:pPr>
      <w:bookmarkStart w:id="144" w:name="_Toc29265"/>
    </w:p>
    <w:p w14:paraId="0825FBA0">
      <w:pPr>
        <w:widowControl w:val="0"/>
        <w:spacing w:line="276" w:lineRule="auto"/>
        <w:rPr>
          <w:rFonts w:hint="eastAsia" w:ascii="宋体" w:hAnsi="宋体" w:eastAsia="宋体" w:cs="宋体"/>
          <w:color w:val="auto"/>
          <w:sz w:val="24"/>
          <w:szCs w:val="24"/>
          <w:highlight w:val="none"/>
          <w:lang w:eastAsia="zh-CN"/>
        </w:rPr>
      </w:pPr>
    </w:p>
    <w:p w14:paraId="15F8B7BC">
      <w:pPr>
        <w:spacing w:line="360" w:lineRule="auto"/>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lang w:eastAsia="zh-CN"/>
        </w:rPr>
        <w:t>致：</w:t>
      </w:r>
    </w:p>
    <w:tbl>
      <w:tblPr>
        <w:tblStyle w:val="21"/>
        <w:tblpPr w:leftFromText="180" w:rightFromText="180" w:vertAnchor="text" w:horzAnchor="page" w:tblpX="1324" w:tblpY="1984"/>
        <w:tblOverlap w:val="never"/>
        <w:tblW w:w="957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10"/>
        <w:gridCol w:w="1455"/>
        <w:gridCol w:w="2167"/>
        <w:gridCol w:w="3847"/>
      </w:tblGrid>
      <w:tr w14:paraId="44772F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8" w:hRule="atLeast"/>
        </w:trPr>
        <w:tc>
          <w:tcPr>
            <w:tcW w:w="2110" w:type="dxa"/>
            <w:tcBorders>
              <w:left w:val="single" w:color="000000" w:sz="2" w:space="0"/>
            </w:tcBorders>
          </w:tcPr>
          <w:p w14:paraId="34359FF8">
            <w:pPr>
              <w:pStyle w:val="22"/>
              <w:spacing w:before="279" w:line="228" w:lineRule="auto"/>
              <w:ind w:left="753"/>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服务名称</w:t>
            </w:r>
          </w:p>
        </w:tc>
        <w:tc>
          <w:tcPr>
            <w:tcW w:w="1455" w:type="dxa"/>
            <w:tcBorders>
              <w:right w:val="single" w:color="000000" w:sz="2" w:space="0"/>
            </w:tcBorders>
          </w:tcPr>
          <w:p w14:paraId="50EF34BA">
            <w:pPr>
              <w:pStyle w:val="22"/>
              <w:spacing w:before="279" w:line="228" w:lineRule="auto"/>
              <w:ind w:left="46"/>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pacing w:val="3"/>
                <w:sz w:val="21"/>
                <w:szCs w:val="21"/>
                <w:highlight w:val="none"/>
                <w:lang w:val="en-US" w:eastAsia="zh-CN"/>
              </w:rPr>
              <w:t>服务期限</w:t>
            </w:r>
          </w:p>
        </w:tc>
        <w:tc>
          <w:tcPr>
            <w:tcW w:w="2167" w:type="dxa"/>
            <w:tcBorders>
              <w:left w:val="single" w:color="000000" w:sz="2" w:space="0"/>
              <w:right w:val="single" w:color="000000" w:sz="2" w:space="0"/>
            </w:tcBorders>
          </w:tcPr>
          <w:p w14:paraId="7B669186">
            <w:pPr>
              <w:pStyle w:val="22"/>
              <w:spacing w:before="75" w:line="228" w:lineRule="auto"/>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总金额</w:t>
            </w:r>
          </w:p>
          <w:p w14:paraId="46D6CD7F">
            <w:pPr>
              <w:pStyle w:val="22"/>
              <w:spacing w:before="161" w:line="227" w:lineRule="auto"/>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（人民币元）</w:t>
            </w:r>
          </w:p>
        </w:tc>
        <w:tc>
          <w:tcPr>
            <w:tcW w:w="3847" w:type="dxa"/>
            <w:tcBorders>
              <w:left w:val="single" w:color="000000" w:sz="2" w:space="0"/>
            </w:tcBorders>
          </w:tcPr>
          <w:p w14:paraId="00FFEBBB">
            <w:pPr>
              <w:pStyle w:val="22"/>
              <w:spacing w:before="280" w:line="229" w:lineRule="auto"/>
              <w:ind w:left="51"/>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备注</w:t>
            </w:r>
          </w:p>
        </w:tc>
      </w:tr>
      <w:tr w14:paraId="45A05B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5" w:hRule="atLeast"/>
        </w:trPr>
        <w:tc>
          <w:tcPr>
            <w:tcW w:w="2110" w:type="dxa"/>
            <w:tcBorders>
              <w:left w:val="single" w:color="000000" w:sz="2" w:space="0"/>
            </w:tcBorders>
          </w:tcPr>
          <w:p w14:paraId="621AA5C8">
            <w:pPr>
              <w:rPr>
                <w:rFonts w:hint="eastAsia" w:ascii="宋体" w:hAnsi="宋体" w:eastAsia="宋体" w:cs="宋体"/>
                <w:color w:val="auto"/>
                <w:sz w:val="22"/>
                <w:szCs w:val="22"/>
                <w:highlight w:val="none"/>
              </w:rPr>
            </w:pPr>
          </w:p>
        </w:tc>
        <w:tc>
          <w:tcPr>
            <w:tcW w:w="1455" w:type="dxa"/>
            <w:tcBorders>
              <w:right w:val="single" w:color="000000" w:sz="2" w:space="0"/>
            </w:tcBorders>
          </w:tcPr>
          <w:p w14:paraId="67495492">
            <w:pPr>
              <w:rPr>
                <w:rFonts w:hint="eastAsia" w:ascii="宋体" w:hAnsi="宋体" w:eastAsia="宋体" w:cs="宋体"/>
                <w:color w:val="auto"/>
                <w:sz w:val="22"/>
                <w:szCs w:val="22"/>
                <w:highlight w:val="none"/>
              </w:rPr>
            </w:pPr>
          </w:p>
        </w:tc>
        <w:tc>
          <w:tcPr>
            <w:tcW w:w="2167" w:type="dxa"/>
            <w:tcBorders>
              <w:left w:val="single" w:color="000000" w:sz="2" w:space="0"/>
              <w:right w:val="single" w:color="000000" w:sz="2" w:space="0"/>
            </w:tcBorders>
          </w:tcPr>
          <w:p w14:paraId="147FDD8E">
            <w:pPr>
              <w:pStyle w:val="22"/>
              <w:spacing w:before="125" w:line="230" w:lineRule="auto"/>
              <w:ind w:left="534"/>
              <w:rPr>
                <w:rFonts w:hint="eastAsia" w:ascii="宋体" w:hAnsi="宋体" w:eastAsia="宋体" w:cs="宋体"/>
                <w:color w:val="auto"/>
                <w:sz w:val="21"/>
                <w:szCs w:val="21"/>
                <w:highlight w:val="none"/>
              </w:rPr>
            </w:pPr>
          </w:p>
        </w:tc>
        <w:tc>
          <w:tcPr>
            <w:tcW w:w="3847" w:type="dxa"/>
            <w:tcBorders>
              <w:left w:val="single" w:color="000000" w:sz="2" w:space="0"/>
            </w:tcBorders>
          </w:tcPr>
          <w:p w14:paraId="6CA2646A">
            <w:pPr>
              <w:rPr>
                <w:rFonts w:hint="eastAsia" w:ascii="宋体" w:hAnsi="宋体" w:eastAsia="宋体" w:cs="宋体"/>
                <w:color w:val="auto"/>
                <w:sz w:val="22"/>
                <w:szCs w:val="22"/>
                <w:highlight w:val="none"/>
              </w:rPr>
            </w:pPr>
          </w:p>
        </w:tc>
      </w:tr>
      <w:tr w14:paraId="64D76D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trPr>
        <w:tc>
          <w:tcPr>
            <w:tcW w:w="9579" w:type="dxa"/>
            <w:gridSpan w:val="4"/>
            <w:tcBorders>
              <w:left w:val="single" w:color="000000" w:sz="2" w:space="0"/>
            </w:tcBorders>
          </w:tcPr>
          <w:p w14:paraId="1EBAF119">
            <w:pPr>
              <w:pStyle w:val="22"/>
              <w:spacing w:before="134" w:line="228" w:lineRule="auto"/>
              <w:ind w:left="536"/>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总金额</w:t>
            </w:r>
            <w:r>
              <w:rPr>
                <w:rFonts w:hint="eastAsia" w:ascii="宋体" w:hAnsi="宋体" w:eastAsia="宋体" w:cs="宋体"/>
                <w:color w:val="auto"/>
                <w:spacing w:val="-3"/>
                <w:sz w:val="21"/>
                <w:szCs w:val="21"/>
                <w:highlight w:val="none"/>
              </w:rPr>
              <w:t>：（</w:t>
            </w:r>
            <w:r>
              <w:rPr>
                <w:rFonts w:hint="eastAsia" w:ascii="宋体" w:hAnsi="宋体" w:eastAsia="宋体" w:cs="宋体"/>
                <w:color w:val="auto"/>
                <w:spacing w:val="10"/>
                <w:sz w:val="21"/>
                <w:szCs w:val="21"/>
                <w:highlight w:val="none"/>
              </w:rPr>
              <w:t>大写）</w:t>
            </w:r>
            <w:r>
              <w:rPr>
                <w:rFonts w:hint="eastAsia" w:ascii="宋体" w:hAnsi="宋体" w:eastAsia="宋体" w:cs="宋体"/>
                <w:color w:val="auto"/>
                <w:spacing w:val="10"/>
                <w:sz w:val="21"/>
                <w:szCs w:val="21"/>
                <w:highlight w:val="none"/>
                <w:lang w:val="en-US" w:eastAsia="zh-CN"/>
              </w:rPr>
              <w:t xml:space="preserve">                      </w:t>
            </w:r>
            <w:r>
              <w:rPr>
                <w:rFonts w:hint="eastAsia" w:ascii="宋体" w:hAnsi="宋体" w:eastAsia="宋体" w:cs="宋体"/>
                <w:color w:val="auto"/>
                <w:spacing w:val="1"/>
                <w:sz w:val="21"/>
                <w:szCs w:val="21"/>
                <w:highlight w:val="none"/>
              </w:rPr>
              <w:t>小写：</w:t>
            </w:r>
          </w:p>
        </w:tc>
      </w:tr>
    </w:tbl>
    <w:p w14:paraId="73DF6903">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在研究了招标文件中所有文件和材料的服务需求后，我们对《》（项目名称）（招标编号：）报价如下：</w:t>
      </w:r>
    </w:p>
    <w:p w14:paraId="76CFFA61">
      <w:pPr>
        <w:tabs>
          <w:tab w:val="left" w:pos="654"/>
          <w:tab w:val="left" w:pos="1734"/>
          <w:tab w:val="left" w:pos="2814"/>
          <w:tab w:val="left" w:pos="3894"/>
          <w:tab w:val="left" w:pos="5334"/>
          <w:tab w:val="left" w:pos="6414"/>
          <w:tab w:val="left" w:pos="7254"/>
          <w:tab w:val="left" w:pos="8574"/>
          <w:tab w:val="left" w:pos="9654"/>
        </w:tabs>
        <w:spacing w:line="360" w:lineRule="auto"/>
        <w:ind w:left="970" w:hanging="970"/>
        <w:rPr>
          <w:rFonts w:hint="eastAsia" w:ascii="宋体" w:hAnsi="宋体" w:eastAsia="宋体" w:cs="宋体"/>
          <w:color w:val="auto"/>
          <w:sz w:val="24"/>
          <w:szCs w:val="24"/>
          <w:highlight w:val="none"/>
          <w:lang w:val="zh-CN" w:eastAsia="zh-CN"/>
        </w:rPr>
      </w:pPr>
    </w:p>
    <w:p w14:paraId="59E6A368">
      <w:pPr>
        <w:tabs>
          <w:tab w:val="left" w:pos="654"/>
          <w:tab w:val="left" w:pos="1734"/>
          <w:tab w:val="left" w:pos="2814"/>
          <w:tab w:val="left" w:pos="3894"/>
          <w:tab w:val="left" w:pos="5334"/>
          <w:tab w:val="left" w:pos="6414"/>
          <w:tab w:val="left" w:pos="7254"/>
          <w:tab w:val="left" w:pos="8574"/>
          <w:tab w:val="left" w:pos="9654"/>
        </w:tabs>
        <w:spacing w:line="360" w:lineRule="auto"/>
        <w:ind w:left="970" w:hanging="970"/>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lang w:val="zh-CN" w:eastAsia="zh-CN"/>
        </w:rPr>
        <w:t>注：</w:t>
      </w:r>
    </w:p>
    <w:p w14:paraId="11A0C5FC">
      <w:pPr>
        <w:tabs>
          <w:tab w:val="left" w:pos="654"/>
          <w:tab w:val="left" w:pos="1734"/>
          <w:tab w:val="left" w:pos="2814"/>
          <w:tab w:val="left" w:pos="3894"/>
          <w:tab w:val="left" w:pos="5334"/>
          <w:tab w:val="left" w:pos="6414"/>
          <w:tab w:val="left" w:pos="7254"/>
          <w:tab w:val="left" w:pos="8574"/>
          <w:tab w:val="left" w:pos="9654"/>
        </w:tabs>
        <w:spacing w:line="360" w:lineRule="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zh-CN" w:eastAsia="zh-CN"/>
        </w:rPr>
        <w:t>、此表应经法定代表人或法定代表授权委托人签名，并加盖公章。</w:t>
      </w:r>
    </w:p>
    <w:p w14:paraId="2A7A145B">
      <w:pPr>
        <w:tabs>
          <w:tab w:val="left" w:pos="654"/>
          <w:tab w:val="left" w:pos="1734"/>
          <w:tab w:val="left" w:pos="2814"/>
          <w:tab w:val="left" w:pos="3894"/>
          <w:tab w:val="left" w:pos="5334"/>
          <w:tab w:val="left" w:pos="6414"/>
          <w:tab w:val="left" w:pos="7254"/>
          <w:tab w:val="left" w:pos="8574"/>
          <w:tab w:val="left" w:pos="9654"/>
        </w:tabs>
        <w:spacing w:line="360" w:lineRule="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lang w:val="zh-CN" w:eastAsia="zh-CN"/>
        </w:rPr>
        <w:t>、如因</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lang w:val="zh-CN" w:eastAsia="zh-CN"/>
        </w:rPr>
        <w:t>填写有误，导致无法唱标，责任由投标人自负。</w:t>
      </w:r>
    </w:p>
    <w:p w14:paraId="05276CDA">
      <w:pPr>
        <w:spacing w:line="360" w:lineRule="auto"/>
        <w:ind w:firstLine="480" w:firstLineChars="200"/>
        <w:rPr>
          <w:rFonts w:hint="eastAsia" w:ascii="宋体" w:hAnsi="宋体" w:eastAsia="宋体" w:cs="宋体"/>
          <w:color w:val="auto"/>
          <w:sz w:val="24"/>
          <w:szCs w:val="24"/>
          <w:highlight w:val="none"/>
          <w:lang w:eastAsia="zh-CN"/>
        </w:rPr>
      </w:pPr>
    </w:p>
    <w:p w14:paraId="4EE483DC">
      <w:pPr>
        <w:spacing w:line="432" w:lineRule="auto"/>
        <w:ind w:firstLine="3840" w:firstLineChars="16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投标人：（盖公章）：</w:t>
      </w:r>
    </w:p>
    <w:p w14:paraId="457E1508">
      <w:pPr>
        <w:spacing w:line="432" w:lineRule="auto"/>
        <w:ind w:firstLine="3840" w:firstLineChars="1600"/>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lang w:eastAsia="zh-CN"/>
        </w:rPr>
        <w:t>法定代表人或授权代表签字：</w:t>
      </w:r>
    </w:p>
    <w:p w14:paraId="5383C502">
      <w:pPr>
        <w:spacing w:line="432" w:lineRule="auto"/>
        <w:ind w:firstLine="3840" w:firstLineChars="16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日期：年　月　日</w:t>
      </w:r>
    </w:p>
    <w:p w14:paraId="287A984D">
      <w:pPr>
        <w:spacing w:line="432" w:lineRule="auto"/>
        <w:ind w:firstLine="3840" w:firstLineChars="1600"/>
        <w:rPr>
          <w:rFonts w:hint="eastAsia" w:ascii="宋体" w:hAnsi="宋体" w:eastAsia="宋体" w:cs="宋体"/>
          <w:color w:val="auto"/>
          <w:sz w:val="24"/>
          <w:szCs w:val="24"/>
          <w:highlight w:val="none"/>
          <w:lang w:eastAsia="zh-CN"/>
        </w:rPr>
      </w:pPr>
    </w:p>
    <w:p w14:paraId="39AC9EBE">
      <w:pPr>
        <w:spacing w:line="432" w:lineRule="auto"/>
        <w:ind w:firstLine="3840" w:firstLineChars="1600"/>
        <w:rPr>
          <w:rFonts w:hint="eastAsia" w:ascii="宋体" w:hAnsi="宋体" w:eastAsia="宋体" w:cs="宋体"/>
          <w:color w:val="auto"/>
          <w:sz w:val="24"/>
          <w:szCs w:val="24"/>
          <w:highlight w:val="none"/>
          <w:lang w:eastAsia="zh-CN"/>
        </w:rPr>
      </w:pPr>
    </w:p>
    <w:p w14:paraId="6053B241">
      <w:pPr>
        <w:spacing w:line="432" w:lineRule="auto"/>
        <w:ind w:firstLine="3840" w:firstLineChars="1600"/>
        <w:rPr>
          <w:rFonts w:hint="eastAsia" w:ascii="宋体" w:hAnsi="宋体" w:eastAsia="宋体" w:cs="宋体"/>
          <w:color w:val="auto"/>
          <w:sz w:val="24"/>
          <w:szCs w:val="24"/>
          <w:highlight w:val="none"/>
          <w:lang w:eastAsia="zh-CN"/>
        </w:rPr>
      </w:pPr>
    </w:p>
    <w:p w14:paraId="4473B0B5">
      <w:pPr>
        <w:spacing w:line="432" w:lineRule="auto"/>
        <w:ind w:firstLine="3840" w:firstLineChars="1600"/>
        <w:rPr>
          <w:rFonts w:hint="eastAsia" w:ascii="宋体" w:hAnsi="宋体" w:eastAsia="宋体" w:cs="宋体"/>
          <w:color w:val="auto"/>
          <w:sz w:val="24"/>
          <w:szCs w:val="24"/>
          <w:highlight w:val="none"/>
          <w:lang w:eastAsia="zh-CN"/>
        </w:rPr>
      </w:pPr>
    </w:p>
    <w:p w14:paraId="64F718A7">
      <w:pPr>
        <w:spacing w:line="432" w:lineRule="auto"/>
        <w:ind w:firstLine="3840" w:firstLineChars="1600"/>
        <w:rPr>
          <w:rFonts w:hint="eastAsia" w:ascii="宋体" w:hAnsi="宋体" w:eastAsia="宋体" w:cs="宋体"/>
          <w:color w:val="auto"/>
          <w:sz w:val="24"/>
          <w:szCs w:val="24"/>
          <w:highlight w:val="none"/>
          <w:lang w:eastAsia="zh-CN"/>
        </w:rPr>
      </w:pPr>
    </w:p>
    <w:p w14:paraId="41EA1E7A">
      <w:pPr>
        <w:spacing w:line="432" w:lineRule="auto"/>
        <w:ind w:firstLine="3840" w:firstLineChars="1600"/>
        <w:rPr>
          <w:rFonts w:hint="eastAsia" w:ascii="宋体" w:hAnsi="宋体" w:eastAsia="宋体" w:cs="宋体"/>
          <w:color w:val="auto"/>
          <w:sz w:val="24"/>
          <w:szCs w:val="24"/>
          <w:highlight w:val="none"/>
          <w:lang w:eastAsia="zh-CN"/>
        </w:rPr>
      </w:pPr>
    </w:p>
    <w:p w14:paraId="0FE75C02">
      <w:pPr>
        <w:spacing w:line="432" w:lineRule="auto"/>
        <w:ind w:firstLine="3840" w:firstLineChars="1600"/>
        <w:rPr>
          <w:rFonts w:hint="eastAsia" w:ascii="宋体" w:hAnsi="宋体" w:eastAsia="宋体" w:cs="宋体"/>
          <w:color w:val="auto"/>
          <w:sz w:val="24"/>
          <w:szCs w:val="24"/>
          <w:highlight w:val="none"/>
          <w:lang w:eastAsia="zh-CN"/>
        </w:rPr>
      </w:pPr>
    </w:p>
    <w:p w14:paraId="7C2909A5">
      <w:pPr>
        <w:spacing w:line="432" w:lineRule="auto"/>
        <w:ind w:firstLine="3840" w:firstLineChars="1600"/>
        <w:rPr>
          <w:rFonts w:hint="eastAsia" w:ascii="宋体" w:hAnsi="宋体" w:eastAsia="宋体" w:cs="宋体"/>
          <w:color w:val="auto"/>
          <w:sz w:val="24"/>
          <w:szCs w:val="24"/>
          <w:highlight w:val="none"/>
          <w:lang w:eastAsia="zh-CN"/>
        </w:rPr>
      </w:pPr>
    </w:p>
    <w:p w14:paraId="6ECB18B2">
      <w:pPr>
        <w:spacing w:line="432" w:lineRule="auto"/>
        <w:ind w:firstLine="3840" w:firstLineChars="1600"/>
        <w:rPr>
          <w:rFonts w:hint="eastAsia" w:ascii="宋体" w:hAnsi="宋体" w:eastAsia="宋体" w:cs="宋体"/>
          <w:color w:val="auto"/>
          <w:sz w:val="24"/>
          <w:szCs w:val="24"/>
          <w:highlight w:val="none"/>
          <w:lang w:eastAsia="zh-CN"/>
        </w:rPr>
      </w:pPr>
    </w:p>
    <w:p w14:paraId="086E9DE4">
      <w:pPr>
        <w:spacing w:line="432" w:lineRule="auto"/>
        <w:rPr>
          <w:rFonts w:hint="eastAsia" w:ascii="宋体" w:hAnsi="宋体" w:eastAsia="宋体" w:cs="宋体"/>
          <w:color w:val="auto"/>
          <w:sz w:val="24"/>
          <w:szCs w:val="24"/>
          <w:highlight w:val="none"/>
          <w:lang w:eastAsia="zh-CN"/>
        </w:rPr>
      </w:pPr>
    </w:p>
    <w:p w14:paraId="1E87D9B3">
      <w:pPr>
        <w:widowControl w:val="0"/>
        <w:spacing w:before="240" w:afterLines="150" w:line="219" w:lineRule="auto"/>
        <w:jc w:val="center"/>
        <w:outlineLvl w:val="1"/>
        <w:rPr>
          <w:rFonts w:hint="eastAsia" w:ascii="宋体" w:hAnsi="宋体" w:eastAsia="宋体" w:cs="宋体"/>
          <w:color w:val="auto"/>
          <w:sz w:val="24"/>
          <w:szCs w:val="24"/>
          <w:highlight w:val="none"/>
          <w:lang w:eastAsia="zh-CN"/>
        </w:rPr>
      </w:pPr>
      <w:bookmarkStart w:id="145" w:name="_Toc10170"/>
      <w:r>
        <w:rPr>
          <w:rFonts w:hint="eastAsia" w:ascii="宋体" w:hAnsi="宋体" w:eastAsia="宋体" w:cs="宋体"/>
          <w:color w:val="auto"/>
          <w:sz w:val="24"/>
          <w:szCs w:val="24"/>
          <w:highlight w:val="none"/>
          <w:lang w:eastAsia="zh-CN"/>
        </w:rPr>
        <w:t>格式</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.开标一览明细表</w:t>
      </w:r>
      <w:bookmarkEnd w:id="144"/>
      <w:bookmarkEnd w:id="145"/>
    </w:p>
    <w:p w14:paraId="3A0A5507">
      <w:pPr>
        <w:spacing w:line="400" w:lineRule="exac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投标人名称：</w:t>
      </w:r>
    </w:p>
    <w:p w14:paraId="4E9296AE">
      <w:pPr>
        <w:spacing w:beforeLines="50" w:afterLines="80" w:line="400" w:lineRule="exact"/>
        <w:rPr>
          <w:rFonts w:hint="eastAsia" w:ascii="宋体" w:hAnsi="宋体" w:eastAsia="宋体" w:cs="宋体"/>
          <w:color w:val="auto"/>
          <w:sz w:val="24"/>
          <w:highlight w:val="none"/>
          <w:u w:val="single"/>
          <w:lang w:eastAsia="zh-CN"/>
        </w:rPr>
      </w:pPr>
      <w:r>
        <w:rPr>
          <w:rFonts w:hint="eastAsia" w:ascii="宋体" w:hAnsi="宋体" w:eastAsia="宋体" w:cs="宋体"/>
          <w:color w:val="auto"/>
          <w:sz w:val="24"/>
          <w:highlight w:val="none"/>
          <w:lang w:eastAsia="zh-CN"/>
        </w:rPr>
        <w:t>项目编号：</w:t>
      </w:r>
    </w:p>
    <w:tbl>
      <w:tblPr>
        <w:tblStyle w:val="21"/>
        <w:tblW w:w="9407"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22"/>
        <w:gridCol w:w="3502"/>
        <w:gridCol w:w="2283"/>
        <w:gridCol w:w="1351"/>
        <w:gridCol w:w="1149"/>
      </w:tblGrid>
      <w:tr w14:paraId="4DAC77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0" w:hRule="atLeast"/>
        </w:trPr>
        <w:tc>
          <w:tcPr>
            <w:tcW w:w="1122" w:type="dxa"/>
          </w:tcPr>
          <w:p w14:paraId="0E6942C5">
            <w:pPr>
              <w:spacing w:line="380" w:lineRule="auto"/>
              <w:rPr>
                <w:rFonts w:hint="eastAsia" w:ascii="宋体" w:hAnsi="宋体" w:eastAsia="宋体" w:cs="宋体"/>
                <w:color w:val="auto"/>
                <w:sz w:val="21"/>
                <w:highlight w:val="none"/>
              </w:rPr>
            </w:pPr>
          </w:p>
          <w:p w14:paraId="79804A23">
            <w:pPr>
              <w:pStyle w:val="22"/>
              <w:spacing w:before="78" w:line="221" w:lineRule="auto"/>
              <w:ind w:left="322"/>
              <w:rPr>
                <w:rFonts w:hint="eastAsia" w:ascii="宋体" w:hAnsi="宋体" w:eastAsia="宋体" w:cs="宋体"/>
                <w:color w:val="auto"/>
                <w:highlight w:val="none"/>
              </w:rPr>
            </w:pPr>
            <w:r>
              <w:rPr>
                <w:rFonts w:hint="eastAsia" w:ascii="宋体" w:hAnsi="宋体" w:eastAsia="宋体" w:cs="宋体"/>
                <w:color w:val="auto"/>
                <w:spacing w:val="-5"/>
                <w:highlight w:val="none"/>
              </w:rPr>
              <w:t>序号</w:t>
            </w:r>
          </w:p>
        </w:tc>
        <w:tc>
          <w:tcPr>
            <w:tcW w:w="3502" w:type="dxa"/>
          </w:tcPr>
          <w:p w14:paraId="34B83EB7">
            <w:pPr>
              <w:spacing w:line="381" w:lineRule="auto"/>
              <w:rPr>
                <w:rFonts w:hint="eastAsia" w:ascii="宋体" w:hAnsi="宋体" w:eastAsia="宋体" w:cs="宋体"/>
                <w:color w:val="auto"/>
                <w:sz w:val="21"/>
                <w:highlight w:val="none"/>
              </w:rPr>
            </w:pPr>
          </w:p>
          <w:p w14:paraId="2F5E50FF">
            <w:pPr>
              <w:pStyle w:val="22"/>
              <w:spacing w:before="78" w:line="221" w:lineRule="auto"/>
              <w:ind w:left="1516"/>
              <w:rPr>
                <w:rFonts w:hint="eastAsia" w:ascii="宋体" w:hAnsi="宋体" w:eastAsia="宋体" w:cs="宋体"/>
                <w:color w:val="auto"/>
                <w:highlight w:val="none"/>
              </w:rPr>
            </w:pPr>
            <w:r>
              <w:rPr>
                <w:rFonts w:hint="eastAsia" w:ascii="宋体" w:hAnsi="宋体" w:eastAsia="宋体" w:cs="宋体"/>
                <w:color w:val="auto"/>
                <w:spacing w:val="-7"/>
                <w:highlight w:val="none"/>
                <w:lang w:val="en-US" w:eastAsia="zh-CN"/>
              </w:rPr>
              <w:t>服务</w:t>
            </w:r>
            <w:r>
              <w:rPr>
                <w:rFonts w:hint="eastAsia" w:ascii="宋体" w:hAnsi="宋体" w:eastAsia="宋体" w:cs="宋体"/>
                <w:color w:val="auto"/>
                <w:spacing w:val="-7"/>
                <w:highlight w:val="none"/>
              </w:rPr>
              <w:t>名称</w:t>
            </w:r>
          </w:p>
        </w:tc>
        <w:tc>
          <w:tcPr>
            <w:tcW w:w="2283" w:type="dxa"/>
          </w:tcPr>
          <w:p w14:paraId="2240EEDF">
            <w:pPr>
              <w:spacing w:line="381" w:lineRule="auto"/>
              <w:rPr>
                <w:rFonts w:hint="eastAsia" w:ascii="宋体" w:hAnsi="宋体" w:eastAsia="宋体" w:cs="宋体"/>
                <w:color w:val="auto"/>
                <w:sz w:val="21"/>
                <w:highlight w:val="none"/>
              </w:rPr>
            </w:pPr>
          </w:p>
          <w:p w14:paraId="390766D7">
            <w:pPr>
              <w:pStyle w:val="22"/>
              <w:spacing w:before="78" w:line="219" w:lineRule="auto"/>
              <w:rPr>
                <w:rFonts w:hint="eastAsia" w:ascii="宋体" w:hAnsi="宋体" w:eastAsia="宋体" w:cs="宋体"/>
                <w:color w:val="auto"/>
                <w:highlight w:val="none"/>
              </w:rPr>
            </w:pPr>
            <w:r>
              <w:rPr>
                <w:rFonts w:hint="eastAsia" w:ascii="宋体" w:hAnsi="宋体" w:eastAsia="宋体" w:cs="宋体"/>
                <w:color w:val="auto"/>
                <w:spacing w:val="3"/>
                <w:sz w:val="21"/>
                <w:szCs w:val="21"/>
                <w:highlight w:val="none"/>
                <w:lang w:val="en-US" w:eastAsia="zh-CN"/>
              </w:rPr>
              <w:t>服务期限</w:t>
            </w:r>
          </w:p>
        </w:tc>
        <w:tc>
          <w:tcPr>
            <w:tcW w:w="1351" w:type="dxa"/>
          </w:tcPr>
          <w:p w14:paraId="2915FFF1">
            <w:pPr>
              <w:spacing w:line="380" w:lineRule="auto"/>
              <w:rPr>
                <w:rFonts w:hint="eastAsia" w:ascii="宋体" w:hAnsi="宋体" w:eastAsia="宋体" w:cs="宋体"/>
                <w:color w:val="auto"/>
                <w:sz w:val="21"/>
                <w:highlight w:val="none"/>
              </w:rPr>
            </w:pPr>
          </w:p>
          <w:p w14:paraId="485ADFCB">
            <w:pPr>
              <w:pStyle w:val="22"/>
              <w:spacing w:before="78" w:line="218" w:lineRule="auto"/>
              <w:ind w:left="211"/>
              <w:rPr>
                <w:rFonts w:hint="eastAsia" w:ascii="宋体" w:hAnsi="宋体" w:eastAsia="宋体" w:cs="宋体"/>
                <w:color w:val="auto"/>
                <w:highlight w:val="none"/>
              </w:rPr>
            </w:pPr>
            <w:r>
              <w:rPr>
                <w:rFonts w:hint="eastAsia" w:ascii="宋体" w:hAnsi="宋体" w:eastAsia="宋体" w:cs="宋体"/>
                <w:color w:val="auto"/>
                <w:spacing w:val="-6"/>
                <w:highlight w:val="none"/>
              </w:rPr>
              <w:t>单价</w:t>
            </w:r>
          </w:p>
        </w:tc>
        <w:tc>
          <w:tcPr>
            <w:tcW w:w="1149" w:type="dxa"/>
          </w:tcPr>
          <w:p w14:paraId="084B0ADA">
            <w:pPr>
              <w:spacing w:line="380" w:lineRule="auto"/>
              <w:rPr>
                <w:rFonts w:hint="eastAsia" w:ascii="宋体" w:hAnsi="宋体" w:eastAsia="宋体" w:cs="宋体"/>
                <w:color w:val="auto"/>
                <w:sz w:val="21"/>
                <w:highlight w:val="none"/>
              </w:rPr>
            </w:pPr>
          </w:p>
          <w:p w14:paraId="2D3F696E">
            <w:pPr>
              <w:pStyle w:val="22"/>
              <w:spacing w:before="78" w:line="218" w:lineRule="auto"/>
              <w:ind w:left="345"/>
              <w:rPr>
                <w:rFonts w:hint="eastAsia" w:ascii="宋体" w:hAnsi="宋体" w:eastAsia="宋体" w:cs="宋体"/>
                <w:color w:val="auto"/>
                <w:highlight w:val="none"/>
              </w:rPr>
            </w:pPr>
            <w:r>
              <w:rPr>
                <w:rFonts w:hint="eastAsia" w:ascii="宋体" w:hAnsi="宋体" w:eastAsia="宋体" w:cs="宋体"/>
                <w:color w:val="auto"/>
                <w:spacing w:val="-8"/>
                <w:highlight w:val="none"/>
              </w:rPr>
              <w:t>总价</w:t>
            </w:r>
          </w:p>
        </w:tc>
      </w:tr>
      <w:tr w14:paraId="3E9F48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1122" w:type="dxa"/>
          </w:tcPr>
          <w:p w14:paraId="19380DCD">
            <w:pPr>
              <w:pStyle w:val="22"/>
              <w:spacing w:before="95" w:line="184" w:lineRule="auto"/>
              <w:ind w:left="521"/>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3502" w:type="dxa"/>
          </w:tcPr>
          <w:p w14:paraId="2FB4E2C1">
            <w:pPr>
              <w:rPr>
                <w:rFonts w:hint="eastAsia" w:ascii="宋体" w:hAnsi="宋体" w:eastAsia="宋体" w:cs="宋体"/>
                <w:color w:val="auto"/>
                <w:sz w:val="21"/>
                <w:highlight w:val="none"/>
              </w:rPr>
            </w:pPr>
          </w:p>
        </w:tc>
        <w:tc>
          <w:tcPr>
            <w:tcW w:w="2283" w:type="dxa"/>
          </w:tcPr>
          <w:p w14:paraId="2038DEED">
            <w:pPr>
              <w:rPr>
                <w:rFonts w:hint="eastAsia" w:ascii="宋体" w:hAnsi="宋体" w:eastAsia="宋体" w:cs="宋体"/>
                <w:color w:val="auto"/>
                <w:sz w:val="21"/>
                <w:highlight w:val="none"/>
              </w:rPr>
            </w:pPr>
          </w:p>
        </w:tc>
        <w:tc>
          <w:tcPr>
            <w:tcW w:w="1351" w:type="dxa"/>
          </w:tcPr>
          <w:p w14:paraId="661D7271">
            <w:pPr>
              <w:rPr>
                <w:rFonts w:hint="eastAsia" w:ascii="宋体" w:hAnsi="宋体" w:eastAsia="宋体" w:cs="宋体"/>
                <w:color w:val="auto"/>
                <w:sz w:val="21"/>
                <w:highlight w:val="none"/>
              </w:rPr>
            </w:pPr>
          </w:p>
        </w:tc>
        <w:tc>
          <w:tcPr>
            <w:tcW w:w="1149" w:type="dxa"/>
          </w:tcPr>
          <w:p w14:paraId="39134500">
            <w:pPr>
              <w:rPr>
                <w:rFonts w:hint="eastAsia" w:ascii="宋体" w:hAnsi="宋体" w:eastAsia="宋体" w:cs="宋体"/>
                <w:color w:val="auto"/>
                <w:sz w:val="21"/>
                <w:highlight w:val="none"/>
              </w:rPr>
            </w:pPr>
          </w:p>
        </w:tc>
      </w:tr>
      <w:tr w14:paraId="5D1E72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1122" w:type="dxa"/>
          </w:tcPr>
          <w:p w14:paraId="63A58CED">
            <w:pPr>
              <w:pStyle w:val="22"/>
              <w:spacing w:before="99" w:line="183" w:lineRule="auto"/>
              <w:ind w:left="506"/>
              <w:rPr>
                <w:rFonts w:hint="eastAsia" w:ascii="宋体" w:hAnsi="宋体" w:eastAsia="宋体" w:cs="宋体"/>
                <w:color w:val="auto"/>
                <w:highlight w:val="none"/>
              </w:rPr>
            </w:pPr>
            <w:r>
              <w:rPr>
                <w:rFonts w:hint="eastAsia" w:ascii="宋体" w:hAnsi="宋体" w:eastAsia="宋体" w:cs="宋体"/>
                <w:color w:val="auto"/>
                <w:highlight w:val="none"/>
              </w:rPr>
              <w:t>2</w:t>
            </w:r>
          </w:p>
        </w:tc>
        <w:tc>
          <w:tcPr>
            <w:tcW w:w="3502" w:type="dxa"/>
          </w:tcPr>
          <w:p w14:paraId="0537619E">
            <w:pPr>
              <w:rPr>
                <w:rFonts w:hint="eastAsia" w:ascii="宋体" w:hAnsi="宋体" w:eastAsia="宋体" w:cs="宋体"/>
                <w:color w:val="auto"/>
                <w:sz w:val="21"/>
                <w:highlight w:val="none"/>
              </w:rPr>
            </w:pPr>
          </w:p>
        </w:tc>
        <w:tc>
          <w:tcPr>
            <w:tcW w:w="2283" w:type="dxa"/>
          </w:tcPr>
          <w:p w14:paraId="504FB8C7">
            <w:pPr>
              <w:rPr>
                <w:rFonts w:hint="eastAsia" w:ascii="宋体" w:hAnsi="宋体" w:eastAsia="宋体" w:cs="宋体"/>
                <w:color w:val="auto"/>
                <w:sz w:val="21"/>
                <w:highlight w:val="none"/>
              </w:rPr>
            </w:pPr>
          </w:p>
        </w:tc>
        <w:tc>
          <w:tcPr>
            <w:tcW w:w="1351" w:type="dxa"/>
          </w:tcPr>
          <w:p w14:paraId="0AC67249">
            <w:pPr>
              <w:rPr>
                <w:rFonts w:hint="eastAsia" w:ascii="宋体" w:hAnsi="宋体" w:eastAsia="宋体" w:cs="宋体"/>
                <w:color w:val="auto"/>
                <w:sz w:val="21"/>
                <w:highlight w:val="none"/>
              </w:rPr>
            </w:pPr>
          </w:p>
        </w:tc>
        <w:tc>
          <w:tcPr>
            <w:tcW w:w="1149" w:type="dxa"/>
          </w:tcPr>
          <w:p w14:paraId="13A862BF">
            <w:pPr>
              <w:rPr>
                <w:rFonts w:hint="eastAsia" w:ascii="宋体" w:hAnsi="宋体" w:eastAsia="宋体" w:cs="宋体"/>
                <w:color w:val="auto"/>
                <w:sz w:val="21"/>
                <w:highlight w:val="none"/>
              </w:rPr>
            </w:pPr>
          </w:p>
        </w:tc>
      </w:tr>
      <w:tr w14:paraId="5E458D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9407" w:type="dxa"/>
            <w:gridSpan w:val="5"/>
          </w:tcPr>
          <w:p w14:paraId="7E5ABE5F">
            <w:pPr>
              <w:pStyle w:val="22"/>
              <w:spacing w:before="67" w:line="202" w:lineRule="auto"/>
              <w:ind w:left="615"/>
              <w:rPr>
                <w:rFonts w:hint="eastAsia" w:ascii="宋体" w:hAnsi="宋体" w:eastAsia="宋体" w:cs="宋体"/>
                <w:color w:val="auto"/>
                <w:highlight w:val="none"/>
              </w:rPr>
            </w:pPr>
            <w:r>
              <w:rPr>
                <w:rFonts w:hint="eastAsia" w:ascii="宋体" w:hAnsi="宋体" w:eastAsia="宋体" w:cs="宋体"/>
                <w:color w:val="auto"/>
                <w:spacing w:val="4"/>
                <w:highlight w:val="none"/>
              </w:rPr>
              <w:t>合     计</w:t>
            </w:r>
            <w:r>
              <w:rPr>
                <w:rFonts w:hint="eastAsia" w:ascii="宋体" w:hAnsi="宋体" w:eastAsia="宋体" w:cs="宋体"/>
                <w:color w:val="auto"/>
                <w:spacing w:val="-36"/>
                <w:highlight w:val="none"/>
              </w:rPr>
              <w:t>：（</w:t>
            </w:r>
            <w:r>
              <w:rPr>
                <w:rFonts w:hint="eastAsia" w:ascii="宋体" w:hAnsi="宋体" w:eastAsia="宋体" w:cs="宋体"/>
                <w:color w:val="auto"/>
                <w:spacing w:val="4"/>
                <w:highlight w:val="none"/>
              </w:rPr>
              <w:t>大写）人民币</w:t>
            </w:r>
            <w:r>
              <w:rPr>
                <w:rFonts w:hint="eastAsia" w:ascii="宋体" w:hAnsi="宋体" w:eastAsia="宋体" w:cs="宋体"/>
                <w:color w:val="auto"/>
                <w:spacing w:val="-36"/>
                <w:highlight w:val="none"/>
              </w:rPr>
              <w:t>：（</w:t>
            </w:r>
            <w:r>
              <w:rPr>
                <w:rFonts w:hint="eastAsia" w:ascii="宋体" w:hAnsi="宋体" w:eastAsia="宋体" w:cs="宋体"/>
                <w:color w:val="auto"/>
                <w:spacing w:val="4"/>
                <w:highlight w:val="none"/>
              </w:rPr>
              <w:t>小写）</w:t>
            </w:r>
          </w:p>
        </w:tc>
      </w:tr>
    </w:tbl>
    <w:p w14:paraId="3ACD4535">
      <w:pPr>
        <w:widowControl w:val="0"/>
        <w:spacing w:before="185" w:line="219" w:lineRule="auto"/>
        <w:ind w:left="129"/>
        <w:jc w:val="both"/>
        <w:rPr>
          <w:rFonts w:hint="eastAsia" w:ascii="宋体" w:hAnsi="宋体" w:eastAsia="宋体" w:cs="宋体"/>
          <w:color w:val="auto"/>
          <w:sz w:val="24"/>
          <w:szCs w:val="24"/>
          <w:highlight w:val="none"/>
          <w:lang w:eastAsia="zh-CN"/>
        </w:rPr>
      </w:pPr>
    </w:p>
    <w:p w14:paraId="51969796">
      <w:pPr>
        <w:widowControl w:val="0"/>
        <w:spacing w:before="185" w:line="219" w:lineRule="auto"/>
        <w:ind w:left="129"/>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投标人盖章：</w:t>
      </w:r>
    </w:p>
    <w:p w14:paraId="2EB81298">
      <w:pPr>
        <w:pStyle w:val="2"/>
        <w:rPr>
          <w:rFonts w:hint="eastAsia" w:ascii="宋体" w:hAnsi="宋体" w:eastAsia="宋体" w:cs="宋体"/>
          <w:color w:val="auto"/>
          <w:highlight w:val="none"/>
          <w:lang w:eastAsia="zh-CN"/>
        </w:rPr>
      </w:pPr>
    </w:p>
    <w:p w14:paraId="3665F03A">
      <w:pPr>
        <w:widowControl w:val="0"/>
        <w:spacing w:before="135" w:line="219" w:lineRule="auto"/>
        <w:ind w:left="127"/>
        <w:jc w:val="both"/>
        <w:rPr>
          <w:rFonts w:hint="eastAsia" w:ascii="宋体" w:hAnsi="宋体" w:eastAsia="宋体" w:cs="宋体"/>
          <w:color w:val="auto"/>
          <w:sz w:val="24"/>
          <w:szCs w:val="24"/>
          <w:highlight w:val="none"/>
          <w:lang w:eastAsia="zh-CN"/>
        </w:rPr>
        <w:sectPr>
          <w:footerReference r:id="rId9" w:type="default"/>
          <w:pgSz w:w="11906" w:h="16839"/>
          <w:pgMar w:top="1429" w:right="1786" w:bottom="1429" w:left="1786" w:header="0" w:footer="1200" w:gutter="0"/>
          <w:pgNumType w:fmt="decimal"/>
          <w:cols w:space="720" w:num="1"/>
        </w:sectPr>
      </w:pPr>
      <w:r>
        <w:rPr>
          <w:rFonts w:hint="eastAsia" w:ascii="宋体" w:hAnsi="宋体" w:eastAsia="宋体" w:cs="宋体"/>
          <w:color w:val="auto"/>
          <w:sz w:val="24"/>
          <w:szCs w:val="24"/>
          <w:highlight w:val="none"/>
          <w:lang w:eastAsia="zh-CN"/>
        </w:rPr>
        <w:t>法定代表人或授权代表（或自然人）签字或签章：</w:t>
      </w:r>
    </w:p>
    <w:p w14:paraId="62EE07BB">
      <w:pPr>
        <w:widowControl w:val="0"/>
        <w:spacing w:before="78" w:line="219" w:lineRule="auto"/>
        <w:jc w:val="center"/>
        <w:outlineLvl w:val="1"/>
        <w:rPr>
          <w:rFonts w:hint="eastAsia" w:ascii="宋体" w:hAnsi="宋体" w:eastAsia="宋体" w:cs="宋体"/>
          <w:color w:val="auto"/>
          <w:sz w:val="24"/>
          <w:szCs w:val="24"/>
          <w:highlight w:val="none"/>
          <w:lang w:eastAsia="zh-CN"/>
        </w:rPr>
      </w:pPr>
      <w:bookmarkStart w:id="146" w:name="_Toc28316"/>
      <w:bookmarkStart w:id="147" w:name="_Toc2831"/>
      <w:r>
        <w:rPr>
          <w:rFonts w:hint="eastAsia" w:ascii="宋体" w:hAnsi="宋体" w:eastAsia="宋体" w:cs="宋体"/>
          <w:color w:val="auto"/>
          <w:spacing w:val="-1"/>
          <w:sz w:val="24"/>
          <w:szCs w:val="24"/>
          <w:highlight w:val="none"/>
          <w:lang w:eastAsia="zh-CN"/>
        </w:rPr>
        <w:t>格式</w:t>
      </w:r>
      <w:r>
        <w:rPr>
          <w:rFonts w:hint="eastAsia" w:ascii="宋体" w:hAnsi="宋体" w:eastAsia="宋体" w:cs="宋体"/>
          <w:color w:val="auto"/>
          <w:spacing w:val="-1"/>
          <w:sz w:val="24"/>
          <w:szCs w:val="24"/>
          <w:highlight w:val="none"/>
          <w:lang w:val="en-US" w:eastAsia="zh-CN"/>
        </w:rPr>
        <w:t>4</w:t>
      </w:r>
      <w:r>
        <w:rPr>
          <w:rFonts w:hint="eastAsia" w:ascii="宋体" w:hAnsi="宋体" w:eastAsia="宋体" w:cs="宋体"/>
          <w:color w:val="auto"/>
          <w:spacing w:val="-1"/>
          <w:sz w:val="24"/>
          <w:szCs w:val="24"/>
          <w:highlight w:val="none"/>
          <w:lang w:eastAsia="zh-CN"/>
        </w:rPr>
        <w:t>.服务要求响应/偏离表</w:t>
      </w:r>
      <w:bookmarkEnd w:id="146"/>
      <w:bookmarkEnd w:id="147"/>
    </w:p>
    <w:p w14:paraId="70289A6F">
      <w:pPr>
        <w:widowControl w:val="0"/>
        <w:tabs>
          <w:tab w:val="left" w:pos="6090"/>
        </w:tabs>
        <w:spacing w:before="24"/>
        <w:rPr>
          <w:rFonts w:hint="eastAsia" w:ascii="宋体" w:hAnsi="宋体" w:eastAsia="宋体" w:cs="宋体"/>
          <w:color w:val="auto"/>
          <w:highlight w:val="none"/>
          <w:lang w:eastAsia="zh-CN"/>
        </w:rPr>
      </w:pPr>
    </w:p>
    <w:p w14:paraId="365ABE5B">
      <w:pPr>
        <w:widowControl w:val="0"/>
        <w:tabs>
          <w:tab w:val="left" w:pos="6090"/>
        </w:tabs>
        <w:spacing w:before="24"/>
        <w:rPr>
          <w:rFonts w:hint="eastAsia" w:ascii="宋体" w:hAnsi="宋体" w:eastAsia="宋体" w:cs="宋体"/>
          <w:color w:val="auto"/>
          <w:highlight w:val="none"/>
          <w:lang w:eastAsia="zh-CN"/>
        </w:rPr>
      </w:pPr>
    </w:p>
    <w:tbl>
      <w:tblPr>
        <w:tblStyle w:val="21"/>
        <w:tblpPr w:leftFromText="180" w:rightFromText="180" w:vertAnchor="text" w:horzAnchor="page" w:tblpX="1392" w:tblpY="268"/>
        <w:tblOverlap w:val="never"/>
        <w:tblW w:w="929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56"/>
        <w:gridCol w:w="2256"/>
        <w:gridCol w:w="2700"/>
        <w:gridCol w:w="1559"/>
        <w:gridCol w:w="1421"/>
      </w:tblGrid>
      <w:tr w14:paraId="6C696D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9" w:hRule="atLeast"/>
        </w:trPr>
        <w:tc>
          <w:tcPr>
            <w:tcW w:w="1356" w:type="dxa"/>
            <w:vAlign w:val="bottom"/>
          </w:tcPr>
          <w:p w14:paraId="7A46D427">
            <w:pPr>
              <w:tabs>
                <w:tab w:val="left" w:pos="6090"/>
              </w:tabs>
              <w:spacing w:line="432"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序号</w:t>
            </w:r>
          </w:p>
        </w:tc>
        <w:tc>
          <w:tcPr>
            <w:tcW w:w="2256" w:type="dxa"/>
            <w:vAlign w:val="center"/>
          </w:tcPr>
          <w:p w14:paraId="176D2338">
            <w:pPr>
              <w:tabs>
                <w:tab w:val="left" w:pos="6090"/>
              </w:tabs>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招标文件中</w:t>
            </w:r>
          </w:p>
          <w:p w14:paraId="74613094">
            <w:pPr>
              <w:tabs>
                <w:tab w:val="left" w:pos="6090"/>
              </w:tabs>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highlight w:val="none"/>
                <w:lang w:eastAsia="zh-CN"/>
              </w:rPr>
              <w:t>的服务要求</w:t>
            </w:r>
          </w:p>
        </w:tc>
        <w:tc>
          <w:tcPr>
            <w:tcW w:w="2700" w:type="dxa"/>
            <w:vAlign w:val="center"/>
          </w:tcPr>
          <w:p w14:paraId="3DBFA2D1">
            <w:pPr>
              <w:tabs>
                <w:tab w:val="left" w:pos="6090"/>
              </w:tabs>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投标文件中响应</w:t>
            </w:r>
          </w:p>
          <w:p w14:paraId="1E589E6F">
            <w:pPr>
              <w:tabs>
                <w:tab w:val="left" w:pos="6090"/>
              </w:tabs>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highlight w:val="none"/>
                <w:lang w:eastAsia="zh-CN"/>
              </w:rPr>
              <w:t>的具体内容</w:t>
            </w:r>
          </w:p>
        </w:tc>
        <w:tc>
          <w:tcPr>
            <w:tcW w:w="1559" w:type="dxa"/>
            <w:vAlign w:val="bottom"/>
          </w:tcPr>
          <w:p w14:paraId="725511C7">
            <w:pPr>
              <w:tabs>
                <w:tab w:val="left" w:pos="6090"/>
              </w:tabs>
              <w:spacing w:line="432"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响应/偏离</w:t>
            </w:r>
          </w:p>
        </w:tc>
        <w:tc>
          <w:tcPr>
            <w:tcW w:w="1421" w:type="dxa"/>
            <w:vAlign w:val="bottom"/>
          </w:tcPr>
          <w:p w14:paraId="4009B183">
            <w:pPr>
              <w:tabs>
                <w:tab w:val="left" w:pos="6090"/>
              </w:tabs>
              <w:spacing w:line="432"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说明</w:t>
            </w:r>
          </w:p>
        </w:tc>
      </w:tr>
      <w:tr w14:paraId="5422CD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0" w:hRule="atLeast"/>
        </w:trPr>
        <w:tc>
          <w:tcPr>
            <w:tcW w:w="1356" w:type="dxa"/>
          </w:tcPr>
          <w:p w14:paraId="172C1886">
            <w:pPr>
              <w:pStyle w:val="22"/>
              <w:widowControl w:val="0"/>
              <w:tabs>
                <w:tab w:val="left" w:pos="6090"/>
              </w:tabs>
              <w:rPr>
                <w:rFonts w:hint="eastAsia" w:ascii="宋体" w:hAnsi="宋体" w:eastAsia="宋体" w:cs="宋体"/>
                <w:color w:val="auto"/>
                <w:highlight w:val="none"/>
              </w:rPr>
            </w:pPr>
          </w:p>
        </w:tc>
        <w:tc>
          <w:tcPr>
            <w:tcW w:w="2256" w:type="dxa"/>
          </w:tcPr>
          <w:p w14:paraId="003EDD0B">
            <w:pPr>
              <w:pStyle w:val="22"/>
              <w:widowControl w:val="0"/>
              <w:tabs>
                <w:tab w:val="left" w:pos="6090"/>
              </w:tabs>
              <w:rPr>
                <w:rFonts w:hint="eastAsia" w:ascii="宋体" w:hAnsi="宋体" w:eastAsia="宋体" w:cs="宋体"/>
                <w:color w:val="auto"/>
                <w:highlight w:val="none"/>
              </w:rPr>
            </w:pPr>
          </w:p>
        </w:tc>
        <w:tc>
          <w:tcPr>
            <w:tcW w:w="2700" w:type="dxa"/>
          </w:tcPr>
          <w:p w14:paraId="17AC4E02">
            <w:pPr>
              <w:pStyle w:val="22"/>
              <w:widowControl w:val="0"/>
              <w:tabs>
                <w:tab w:val="left" w:pos="6090"/>
              </w:tabs>
              <w:rPr>
                <w:rFonts w:hint="eastAsia" w:ascii="宋体" w:hAnsi="宋体" w:eastAsia="宋体" w:cs="宋体"/>
                <w:color w:val="auto"/>
                <w:highlight w:val="none"/>
              </w:rPr>
            </w:pPr>
          </w:p>
        </w:tc>
        <w:tc>
          <w:tcPr>
            <w:tcW w:w="1559" w:type="dxa"/>
          </w:tcPr>
          <w:p w14:paraId="0C768624">
            <w:pPr>
              <w:pStyle w:val="22"/>
              <w:widowControl w:val="0"/>
              <w:tabs>
                <w:tab w:val="left" w:pos="6090"/>
              </w:tabs>
              <w:rPr>
                <w:rFonts w:hint="eastAsia" w:ascii="宋体" w:hAnsi="宋体" w:eastAsia="宋体" w:cs="宋体"/>
                <w:color w:val="auto"/>
                <w:highlight w:val="none"/>
              </w:rPr>
            </w:pPr>
          </w:p>
        </w:tc>
        <w:tc>
          <w:tcPr>
            <w:tcW w:w="1421" w:type="dxa"/>
          </w:tcPr>
          <w:p w14:paraId="0A779C62">
            <w:pPr>
              <w:pStyle w:val="22"/>
              <w:widowControl w:val="0"/>
              <w:tabs>
                <w:tab w:val="left" w:pos="6090"/>
              </w:tabs>
              <w:rPr>
                <w:rFonts w:hint="eastAsia" w:ascii="宋体" w:hAnsi="宋体" w:eastAsia="宋体" w:cs="宋体"/>
                <w:color w:val="auto"/>
                <w:highlight w:val="none"/>
              </w:rPr>
            </w:pPr>
          </w:p>
        </w:tc>
      </w:tr>
      <w:tr w14:paraId="1B3E91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1" w:hRule="atLeast"/>
        </w:trPr>
        <w:tc>
          <w:tcPr>
            <w:tcW w:w="1356" w:type="dxa"/>
          </w:tcPr>
          <w:p w14:paraId="653396B6">
            <w:pPr>
              <w:pStyle w:val="22"/>
              <w:widowControl w:val="0"/>
              <w:tabs>
                <w:tab w:val="left" w:pos="6090"/>
              </w:tabs>
              <w:rPr>
                <w:rFonts w:hint="eastAsia" w:ascii="宋体" w:hAnsi="宋体" w:eastAsia="宋体" w:cs="宋体"/>
                <w:color w:val="auto"/>
                <w:highlight w:val="none"/>
              </w:rPr>
            </w:pPr>
          </w:p>
        </w:tc>
        <w:tc>
          <w:tcPr>
            <w:tcW w:w="2256" w:type="dxa"/>
          </w:tcPr>
          <w:p w14:paraId="0A6C9C44">
            <w:pPr>
              <w:pStyle w:val="22"/>
              <w:widowControl w:val="0"/>
              <w:tabs>
                <w:tab w:val="left" w:pos="6090"/>
              </w:tabs>
              <w:rPr>
                <w:rFonts w:hint="eastAsia" w:ascii="宋体" w:hAnsi="宋体" w:eastAsia="宋体" w:cs="宋体"/>
                <w:color w:val="auto"/>
                <w:highlight w:val="none"/>
              </w:rPr>
            </w:pPr>
          </w:p>
        </w:tc>
        <w:tc>
          <w:tcPr>
            <w:tcW w:w="2700" w:type="dxa"/>
          </w:tcPr>
          <w:p w14:paraId="13826447">
            <w:pPr>
              <w:pStyle w:val="22"/>
              <w:widowControl w:val="0"/>
              <w:tabs>
                <w:tab w:val="left" w:pos="6090"/>
              </w:tabs>
              <w:rPr>
                <w:rFonts w:hint="eastAsia" w:ascii="宋体" w:hAnsi="宋体" w:eastAsia="宋体" w:cs="宋体"/>
                <w:color w:val="auto"/>
                <w:highlight w:val="none"/>
              </w:rPr>
            </w:pPr>
          </w:p>
        </w:tc>
        <w:tc>
          <w:tcPr>
            <w:tcW w:w="1559" w:type="dxa"/>
          </w:tcPr>
          <w:p w14:paraId="630F4E29">
            <w:pPr>
              <w:pStyle w:val="22"/>
              <w:widowControl w:val="0"/>
              <w:tabs>
                <w:tab w:val="left" w:pos="6090"/>
              </w:tabs>
              <w:rPr>
                <w:rFonts w:hint="eastAsia" w:ascii="宋体" w:hAnsi="宋体" w:eastAsia="宋体" w:cs="宋体"/>
                <w:color w:val="auto"/>
                <w:highlight w:val="none"/>
              </w:rPr>
            </w:pPr>
          </w:p>
        </w:tc>
        <w:tc>
          <w:tcPr>
            <w:tcW w:w="1421" w:type="dxa"/>
          </w:tcPr>
          <w:p w14:paraId="672D6F6D">
            <w:pPr>
              <w:pStyle w:val="22"/>
              <w:widowControl w:val="0"/>
              <w:tabs>
                <w:tab w:val="left" w:pos="6090"/>
              </w:tabs>
              <w:rPr>
                <w:rFonts w:hint="eastAsia" w:ascii="宋体" w:hAnsi="宋体" w:eastAsia="宋体" w:cs="宋体"/>
                <w:color w:val="auto"/>
                <w:highlight w:val="none"/>
              </w:rPr>
            </w:pPr>
          </w:p>
        </w:tc>
      </w:tr>
      <w:tr w14:paraId="7B83A3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1" w:hRule="atLeast"/>
        </w:trPr>
        <w:tc>
          <w:tcPr>
            <w:tcW w:w="1356" w:type="dxa"/>
          </w:tcPr>
          <w:p w14:paraId="4903D4D6">
            <w:pPr>
              <w:pStyle w:val="22"/>
              <w:widowControl w:val="0"/>
              <w:tabs>
                <w:tab w:val="left" w:pos="6090"/>
              </w:tabs>
              <w:rPr>
                <w:rFonts w:hint="eastAsia" w:ascii="宋体" w:hAnsi="宋体" w:eastAsia="宋体" w:cs="宋体"/>
                <w:color w:val="auto"/>
                <w:highlight w:val="none"/>
              </w:rPr>
            </w:pPr>
          </w:p>
        </w:tc>
        <w:tc>
          <w:tcPr>
            <w:tcW w:w="2256" w:type="dxa"/>
          </w:tcPr>
          <w:p w14:paraId="491A4DEC">
            <w:pPr>
              <w:pStyle w:val="22"/>
              <w:widowControl w:val="0"/>
              <w:tabs>
                <w:tab w:val="left" w:pos="6090"/>
              </w:tabs>
              <w:rPr>
                <w:rFonts w:hint="eastAsia" w:ascii="宋体" w:hAnsi="宋体" w:eastAsia="宋体" w:cs="宋体"/>
                <w:color w:val="auto"/>
                <w:highlight w:val="none"/>
              </w:rPr>
            </w:pPr>
          </w:p>
        </w:tc>
        <w:tc>
          <w:tcPr>
            <w:tcW w:w="2700" w:type="dxa"/>
          </w:tcPr>
          <w:p w14:paraId="793DDB10">
            <w:pPr>
              <w:pStyle w:val="22"/>
              <w:widowControl w:val="0"/>
              <w:tabs>
                <w:tab w:val="left" w:pos="6090"/>
              </w:tabs>
              <w:rPr>
                <w:rFonts w:hint="eastAsia" w:ascii="宋体" w:hAnsi="宋体" w:eastAsia="宋体" w:cs="宋体"/>
                <w:color w:val="auto"/>
                <w:highlight w:val="none"/>
              </w:rPr>
            </w:pPr>
          </w:p>
        </w:tc>
        <w:tc>
          <w:tcPr>
            <w:tcW w:w="1559" w:type="dxa"/>
          </w:tcPr>
          <w:p w14:paraId="6C2B028F">
            <w:pPr>
              <w:pStyle w:val="22"/>
              <w:widowControl w:val="0"/>
              <w:tabs>
                <w:tab w:val="left" w:pos="6090"/>
              </w:tabs>
              <w:rPr>
                <w:rFonts w:hint="eastAsia" w:ascii="宋体" w:hAnsi="宋体" w:eastAsia="宋体" w:cs="宋体"/>
                <w:color w:val="auto"/>
                <w:highlight w:val="none"/>
              </w:rPr>
            </w:pPr>
          </w:p>
        </w:tc>
        <w:tc>
          <w:tcPr>
            <w:tcW w:w="1421" w:type="dxa"/>
          </w:tcPr>
          <w:p w14:paraId="40979AA1">
            <w:pPr>
              <w:pStyle w:val="22"/>
              <w:widowControl w:val="0"/>
              <w:tabs>
                <w:tab w:val="left" w:pos="6090"/>
              </w:tabs>
              <w:rPr>
                <w:rFonts w:hint="eastAsia" w:ascii="宋体" w:hAnsi="宋体" w:eastAsia="宋体" w:cs="宋体"/>
                <w:color w:val="auto"/>
                <w:highlight w:val="none"/>
              </w:rPr>
            </w:pPr>
          </w:p>
        </w:tc>
      </w:tr>
      <w:tr w14:paraId="1CED4A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1" w:hRule="atLeast"/>
        </w:trPr>
        <w:tc>
          <w:tcPr>
            <w:tcW w:w="1356" w:type="dxa"/>
          </w:tcPr>
          <w:p w14:paraId="5A88181B">
            <w:pPr>
              <w:pStyle w:val="22"/>
              <w:widowControl w:val="0"/>
              <w:tabs>
                <w:tab w:val="left" w:pos="6090"/>
              </w:tabs>
              <w:rPr>
                <w:rFonts w:hint="eastAsia" w:ascii="宋体" w:hAnsi="宋体" w:eastAsia="宋体" w:cs="宋体"/>
                <w:color w:val="auto"/>
                <w:highlight w:val="none"/>
              </w:rPr>
            </w:pPr>
          </w:p>
        </w:tc>
        <w:tc>
          <w:tcPr>
            <w:tcW w:w="2256" w:type="dxa"/>
          </w:tcPr>
          <w:p w14:paraId="2EFE8387">
            <w:pPr>
              <w:pStyle w:val="22"/>
              <w:widowControl w:val="0"/>
              <w:tabs>
                <w:tab w:val="left" w:pos="6090"/>
              </w:tabs>
              <w:rPr>
                <w:rFonts w:hint="eastAsia" w:ascii="宋体" w:hAnsi="宋体" w:eastAsia="宋体" w:cs="宋体"/>
                <w:color w:val="auto"/>
                <w:highlight w:val="none"/>
              </w:rPr>
            </w:pPr>
          </w:p>
        </w:tc>
        <w:tc>
          <w:tcPr>
            <w:tcW w:w="2700" w:type="dxa"/>
          </w:tcPr>
          <w:p w14:paraId="41A39869">
            <w:pPr>
              <w:pStyle w:val="22"/>
              <w:widowControl w:val="0"/>
              <w:tabs>
                <w:tab w:val="left" w:pos="6090"/>
              </w:tabs>
              <w:rPr>
                <w:rFonts w:hint="eastAsia" w:ascii="宋体" w:hAnsi="宋体" w:eastAsia="宋体" w:cs="宋体"/>
                <w:color w:val="auto"/>
                <w:highlight w:val="none"/>
              </w:rPr>
            </w:pPr>
          </w:p>
        </w:tc>
        <w:tc>
          <w:tcPr>
            <w:tcW w:w="1559" w:type="dxa"/>
          </w:tcPr>
          <w:p w14:paraId="1966DDC3">
            <w:pPr>
              <w:pStyle w:val="22"/>
              <w:widowControl w:val="0"/>
              <w:tabs>
                <w:tab w:val="left" w:pos="6090"/>
              </w:tabs>
              <w:rPr>
                <w:rFonts w:hint="eastAsia" w:ascii="宋体" w:hAnsi="宋体" w:eastAsia="宋体" w:cs="宋体"/>
                <w:color w:val="auto"/>
                <w:highlight w:val="none"/>
              </w:rPr>
            </w:pPr>
          </w:p>
        </w:tc>
        <w:tc>
          <w:tcPr>
            <w:tcW w:w="1421" w:type="dxa"/>
          </w:tcPr>
          <w:p w14:paraId="264AB11F">
            <w:pPr>
              <w:pStyle w:val="22"/>
              <w:widowControl w:val="0"/>
              <w:tabs>
                <w:tab w:val="left" w:pos="6090"/>
              </w:tabs>
              <w:rPr>
                <w:rFonts w:hint="eastAsia" w:ascii="宋体" w:hAnsi="宋体" w:eastAsia="宋体" w:cs="宋体"/>
                <w:color w:val="auto"/>
                <w:highlight w:val="none"/>
              </w:rPr>
            </w:pPr>
          </w:p>
        </w:tc>
      </w:tr>
      <w:tr w14:paraId="0F44E6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0" w:hRule="atLeast"/>
        </w:trPr>
        <w:tc>
          <w:tcPr>
            <w:tcW w:w="1356" w:type="dxa"/>
          </w:tcPr>
          <w:p w14:paraId="477E246F">
            <w:pPr>
              <w:pStyle w:val="22"/>
              <w:widowControl w:val="0"/>
              <w:tabs>
                <w:tab w:val="left" w:pos="6090"/>
              </w:tabs>
              <w:rPr>
                <w:rFonts w:hint="eastAsia" w:ascii="宋体" w:hAnsi="宋体" w:eastAsia="宋体" w:cs="宋体"/>
                <w:color w:val="auto"/>
                <w:highlight w:val="none"/>
              </w:rPr>
            </w:pPr>
          </w:p>
        </w:tc>
        <w:tc>
          <w:tcPr>
            <w:tcW w:w="2256" w:type="dxa"/>
          </w:tcPr>
          <w:p w14:paraId="23EB8448">
            <w:pPr>
              <w:pStyle w:val="22"/>
              <w:widowControl w:val="0"/>
              <w:tabs>
                <w:tab w:val="left" w:pos="6090"/>
              </w:tabs>
              <w:rPr>
                <w:rFonts w:hint="eastAsia" w:ascii="宋体" w:hAnsi="宋体" w:eastAsia="宋体" w:cs="宋体"/>
                <w:color w:val="auto"/>
                <w:highlight w:val="none"/>
              </w:rPr>
            </w:pPr>
          </w:p>
        </w:tc>
        <w:tc>
          <w:tcPr>
            <w:tcW w:w="2700" w:type="dxa"/>
          </w:tcPr>
          <w:p w14:paraId="35B90669">
            <w:pPr>
              <w:pStyle w:val="22"/>
              <w:widowControl w:val="0"/>
              <w:tabs>
                <w:tab w:val="left" w:pos="6090"/>
              </w:tabs>
              <w:rPr>
                <w:rFonts w:hint="eastAsia" w:ascii="宋体" w:hAnsi="宋体" w:eastAsia="宋体" w:cs="宋体"/>
                <w:color w:val="auto"/>
                <w:highlight w:val="none"/>
              </w:rPr>
            </w:pPr>
          </w:p>
        </w:tc>
        <w:tc>
          <w:tcPr>
            <w:tcW w:w="1559" w:type="dxa"/>
          </w:tcPr>
          <w:p w14:paraId="109E8BE7">
            <w:pPr>
              <w:pStyle w:val="22"/>
              <w:widowControl w:val="0"/>
              <w:tabs>
                <w:tab w:val="left" w:pos="6090"/>
              </w:tabs>
              <w:rPr>
                <w:rFonts w:hint="eastAsia" w:ascii="宋体" w:hAnsi="宋体" w:eastAsia="宋体" w:cs="宋体"/>
                <w:color w:val="auto"/>
                <w:highlight w:val="none"/>
              </w:rPr>
            </w:pPr>
          </w:p>
        </w:tc>
        <w:tc>
          <w:tcPr>
            <w:tcW w:w="1421" w:type="dxa"/>
          </w:tcPr>
          <w:p w14:paraId="4485172C">
            <w:pPr>
              <w:pStyle w:val="22"/>
              <w:widowControl w:val="0"/>
              <w:tabs>
                <w:tab w:val="left" w:pos="6090"/>
              </w:tabs>
              <w:rPr>
                <w:rFonts w:hint="eastAsia" w:ascii="宋体" w:hAnsi="宋体" w:eastAsia="宋体" w:cs="宋体"/>
                <w:color w:val="auto"/>
                <w:highlight w:val="none"/>
              </w:rPr>
            </w:pPr>
          </w:p>
        </w:tc>
      </w:tr>
      <w:tr w14:paraId="29DBCE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2" w:hRule="atLeast"/>
        </w:trPr>
        <w:tc>
          <w:tcPr>
            <w:tcW w:w="1356" w:type="dxa"/>
          </w:tcPr>
          <w:p w14:paraId="154D40A4">
            <w:pPr>
              <w:pStyle w:val="22"/>
              <w:widowControl w:val="0"/>
              <w:tabs>
                <w:tab w:val="left" w:pos="6090"/>
              </w:tabs>
              <w:rPr>
                <w:rFonts w:hint="eastAsia" w:ascii="宋体" w:hAnsi="宋体" w:eastAsia="宋体" w:cs="宋体"/>
                <w:color w:val="auto"/>
                <w:highlight w:val="none"/>
              </w:rPr>
            </w:pPr>
          </w:p>
        </w:tc>
        <w:tc>
          <w:tcPr>
            <w:tcW w:w="2256" w:type="dxa"/>
          </w:tcPr>
          <w:p w14:paraId="57AB3C25">
            <w:pPr>
              <w:pStyle w:val="22"/>
              <w:widowControl w:val="0"/>
              <w:tabs>
                <w:tab w:val="left" w:pos="6090"/>
              </w:tabs>
              <w:rPr>
                <w:rFonts w:hint="eastAsia" w:ascii="宋体" w:hAnsi="宋体" w:eastAsia="宋体" w:cs="宋体"/>
                <w:color w:val="auto"/>
                <w:highlight w:val="none"/>
              </w:rPr>
            </w:pPr>
          </w:p>
        </w:tc>
        <w:tc>
          <w:tcPr>
            <w:tcW w:w="2700" w:type="dxa"/>
          </w:tcPr>
          <w:p w14:paraId="41275ACE">
            <w:pPr>
              <w:pStyle w:val="22"/>
              <w:widowControl w:val="0"/>
              <w:tabs>
                <w:tab w:val="left" w:pos="6090"/>
              </w:tabs>
              <w:rPr>
                <w:rFonts w:hint="eastAsia" w:ascii="宋体" w:hAnsi="宋体" w:eastAsia="宋体" w:cs="宋体"/>
                <w:color w:val="auto"/>
                <w:highlight w:val="none"/>
              </w:rPr>
            </w:pPr>
          </w:p>
        </w:tc>
        <w:tc>
          <w:tcPr>
            <w:tcW w:w="1559" w:type="dxa"/>
          </w:tcPr>
          <w:p w14:paraId="7AE8FD9F">
            <w:pPr>
              <w:pStyle w:val="22"/>
              <w:widowControl w:val="0"/>
              <w:tabs>
                <w:tab w:val="left" w:pos="6090"/>
              </w:tabs>
              <w:rPr>
                <w:rFonts w:hint="eastAsia" w:ascii="宋体" w:hAnsi="宋体" w:eastAsia="宋体" w:cs="宋体"/>
                <w:color w:val="auto"/>
                <w:highlight w:val="none"/>
              </w:rPr>
            </w:pPr>
          </w:p>
        </w:tc>
        <w:tc>
          <w:tcPr>
            <w:tcW w:w="1421" w:type="dxa"/>
          </w:tcPr>
          <w:p w14:paraId="7CAA1DC9">
            <w:pPr>
              <w:pStyle w:val="22"/>
              <w:widowControl w:val="0"/>
              <w:tabs>
                <w:tab w:val="left" w:pos="6090"/>
              </w:tabs>
              <w:rPr>
                <w:rFonts w:hint="eastAsia" w:ascii="宋体" w:hAnsi="宋体" w:eastAsia="宋体" w:cs="宋体"/>
                <w:color w:val="auto"/>
                <w:highlight w:val="none"/>
              </w:rPr>
            </w:pPr>
          </w:p>
        </w:tc>
      </w:tr>
      <w:tr w14:paraId="56FAE3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5" w:hRule="atLeast"/>
        </w:trPr>
        <w:tc>
          <w:tcPr>
            <w:tcW w:w="1356" w:type="dxa"/>
          </w:tcPr>
          <w:p w14:paraId="4ACA2EC9">
            <w:pPr>
              <w:pStyle w:val="22"/>
              <w:widowControl w:val="0"/>
              <w:tabs>
                <w:tab w:val="left" w:pos="6090"/>
              </w:tabs>
              <w:rPr>
                <w:rFonts w:hint="eastAsia" w:ascii="宋体" w:hAnsi="宋体" w:eastAsia="宋体" w:cs="宋体"/>
                <w:color w:val="auto"/>
                <w:highlight w:val="none"/>
              </w:rPr>
            </w:pPr>
          </w:p>
        </w:tc>
        <w:tc>
          <w:tcPr>
            <w:tcW w:w="2256" w:type="dxa"/>
          </w:tcPr>
          <w:p w14:paraId="626D228C">
            <w:pPr>
              <w:pStyle w:val="22"/>
              <w:widowControl w:val="0"/>
              <w:tabs>
                <w:tab w:val="left" w:pos="6090"/>
              </w:tabs>
              <w:rPr>
                <w:rFonts w:hint="eastAsia" w:ascii="宋体" w:hAnsi="宋体" w:eastAsia="宋体" w:cs="宋体"/>
                <w:color w:val="auto"/>
                <w:highlight w:val="none"/>
              </w:rPr>
            </w:pPr>
          </w:p>
        </w:tc>
        <w:tc>
          <w:tcPr>
            <w:tcW w:w="2700" w:type="dxa"/>
          </w:tcPr>
          <w:p w14:paraId="5F697925">
            <w:pPr>
              <w:pStyle w:val="22"/>
              <w:widowControl w:val="0"/>
              <w:tabs>
                <w:tab w:val="left" w:pos="6090"/>
              </w:tabs>
              <w:rPr>
                <w:rFonts w:hint="eastAsia" w:ascii="宋体" w:hAnsi="宋体" w:eastAsia="宋体" w:cs="宋体"/>
                <w:color w:val="auto"/>
                <w:highlight w:val="none"/>
              </w:rPr>
            </w:pPr>
          </w:p>
        </w:tc>
        <w:tc>
          <w:tcPr>
            <w:tcW w:w="1559" w:type="dxa"/>
          </w:tcPr>
          <w:p w14:paraId="32DA8A5B">
            <w:pPr>
              <w:pStyle w:val="22"/>
              <w:widowControl w:val="0"/>
              <w:tabs>
                <w:tab w:val="left" w:pos="6090"/>
              </w:tabs>
              <w:rPr>
                <w:rFonts w:hint="eastAsia" w:ascii="宋体" w:hAnsi="宋体" w:eastAsia="宋体" w:cs="宋体"/>
                <w:color w:val="auto"/>
                <w:highlight w:val="none"/>
              </w:rPr>
            </w:pPr>
          </w:p>
        </w:tc>
        <w:tc>
          <w:tcPr>
            <w:tcW w:w="1421" w:type="dxa"/>
          </w:tcPr>
          <w:p w14:paraId="6997E6A5">
            <w:pPr>
              <w:pStyle w:val="22"/>
              <w:widowControl w:val="0"/>
              <w:tabs>
                <w:tab w:val="left" w:pos="6090"/>
              </w:tabs>
              <w:rPr>
                <w:rFonts w:hint="eastAsia" w:ascii="宋体" w:hAnsi="宋体" w:eastAsia="宋体" w:cs="宋体"/>
                <w:color w:val="auto"/>
                <w:highlight w:val="none"/>
              </w:rPr>
            </w:pPr>
          </w:p>
        </w:tc>
      </w:tr>
      <w:tr w14:paraId="3BD079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3" w:hRule="atLeast"/>
        </w:trPr>
        <w:tc>
          <w:tcPr>
            <w:tcW w:w="1356" w:type="dxa"/>
          </w:tcPr>
          <w:p w14:paraId="6D370E0E">
            <w:pPr>
              <w:pStyle w:val="22"/>
              <w:widowControl w:val="0"/>
              <w:tabs>
                <w:tab w:val="left" w:pos="6090"/>
              </w:tabs>
              <w:rPr>
                <w:rFonts w:hint="eastAsia" w:ascii="宋体" w:hAnsi="宋体" w:eastAsia="宋体" w:cs="宋体"/>
                <w:color w:val="auto"/>
                <w:highlight w:val="none"/>
              </w:rPr>
            </w:pPr>
          </w:p>
        </w:tc>
        <w:tc>
          <w:tcPr>
            <w:tcW w:w="2256" w:type="dxa"/>
          </w:tcPr>
          <w:p w14:paraId="33446C6A">
            <w:pPr>
              <w:pStyle w:val="22"/>
              <w:widowControl w:val="0"/>
              <w:tabs>
                <w:tab w:val="left" w:pos="6090"/>
              </w:tabs>
              <w:rPr>
                <w:rFonts w:hint="eastAsia" w:ascii="宋体" w:hAnsi="宋体" w:eastAsia="宋体" w:cs="宋体"/>
                <w:color w:val="auto"/>
                <w:highlight w:val="none"/>
              </w:rPr>
            </w:pPr>
          </w:p>
        </w:tc>
        <w:tc>
          <w:tcPr>
            <w:tcW w:w="2700" w:type="dxa"/>
          </w:tcPr>
          <w:p w14:paraId="0AEE8CFE">
            <w:pPr>
              <w:pStyle w:val="22"/>
              <w:widowControl w:val="0"/>
              <w:tabs>
                <w:tab w:val="left" w:pos="6090"/>
              </w:tabs>
              <w:rPr>
                <w:rFonts w:hint="eastAsia" w:ascii="宋体" w:hAnsi="宋体" w:eastAsia="宋体" w:cs="宋体"/>
                <w:color w:val="auto"/>
                <w:highlight w:val="none"/>
              </w:rPr>
            </w:pPr>
          </w:p>
        </w:tc>
        <w:tc>
          <w:tcPr>
            <w:tcW w:w="1559" w:type="dxa"/>
          </w:tcPr>
          <w:p w14:paraId="2BB857FA">
            <w:pPr>
              <w:pStyle w:val="22"/>
              <w:widowControl w:val="0"/>
              <w:tabs>
                <w:tab w:val="left" w:pos="6090"/>
              </w:tabs>
              <w:rPr>
                <w:rFonts w:hint="eastAsia" w:ascii="宋体" w:hAnsi="宋体" w:eastAsia="宋体" w:cs="宋体"/>
                <w:color w:val="auto"/>
                <w:highlight w:val="none"/>
              </w:rPr>
            </w:pPr>
          </w:p>
        </w:tc>
        <w:tc>
          <w:tcPr>
            <w:tcW w:w="1421" w:type="dxa"/>
          </w:tcPr>
          <w:p w14:paraId="78B8B3BA">
            <w:pPr>
              <w:pStyle w:val="22"/>
              <w:widowControl w:val="0"/>
              <w:tabs>
                <w:tab w:val="left" w:pos="6090"/>
              </w:tabs>
              <w:rPr>
                <w:rFonts w:hint="eastAsia" w:ascii="宋体" w:hAnsi="宋体" w:eastAsia="宋体" w:cs="宋体"/>
                <w:color w:val="auto"/>
                <w:highlight w:val="none"/>
              </w:rPr>
            </w:pPr>
          </w:p>
        </w:tc>
      </w:tr>
    </w:tbl>
    <w:p w14:paraId="5EA98332">
      <w:pPr>
        <w:widowControl w:val="0"/>
        <w:tabs>
          <w:tab w:val="left" w:pos="6090"/>
        </w:tabs>
        <w:spacing w:line="251" w:lineRule="auto"/>
        <w:rPr>
          <w:rFonts w:hint="eastAsia" w:ascii="宋体" w:hAnsi="宋体" w:eastAsia="宋体" w:cs="宋体"/>
          <w:color w:val="auto"/>
          <w:highlight w:val="none"/>
        </w:rPr>
      </w:pPr>
    </w:p>
    <w:p w14:paraId="3341B804">
      <w:pPr>
        <w:widowControl w:val="0"/>
        <w:spacing w:line="360" w:lineRule="exact"/>
        <w:ind w:left="-197" w:leftChars="-94" w:right="420" w:rightChars="200" w:firstLine="540" w:firstLineChars="225"/>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注：1、投标人应当如实填写上表“投标文件中响应的具体内容”处内容，对采购文件提出的要求和条件作出明确响应，并列明具体响应数值或内容，只注明符合、满足等无具体内容表述的，所产生的一切后果由供应商承担。投标人需要说明的内容若需特殊表达，应先在本表中进行相应说明，再另页应答。</w:t>
      </w:r>
    </w:p>
    <w:p w14:paraId="46874742">
      <w:pPr>
        <w:widowControl w:val="0"/>
        <w:numPr>
          <w:ilvl w:val="0"/>
          <w:numId w:val="5"/>
        </w:numPr>
        <w:spacing w:line="360" w:lineRule="exact"/>
        <w:ind w:left="-199" w:leftChars="-95" w:right="420" w:rightChars="200" w:firstLine="482" w:firstLineChars="200"/>
        <w:jc w:val="both"/>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响应/偏离内容项下应按下列规定填写：优于的，填写“正偏离”；符合的，填写“无偏离”；低于的，填写“负偏离”；</w:t>
      </w:r>
    </w:p>
    <w:p w14:paraId="4059708F">
      <w:pPr>
        <w:widowControl w:val="0"/>
        <w:spacing w:line="360" w:lineRule="exact"/>
        <w:ind w:left="279" w:leftChars="133" w:right="349" w:rightChars="166"/>
        <w:jc w:val="both"/>
        <w:outlineLvl w:val="1"/>
        <w:rPr>
          <w:rFonts w:hint="eastAsia" w:ascii="宋体" w:hAnsi="宋体" w:eastAsia="宋体" w:cs="宋体"/>
          <w:color w:val="auto"/>
          <w:spacing w:val="-3"/>
          <w:sz w:val="24"/>
          <w:szCs w:val="24"/>
          <w:highlight w:val="none"/>
          <w:lang w:eastAsia="zh-CN"/>
        </w:rPr>
      </w:pPr>
      <w:bookmarkStart w:id="148" w:name="_Toc28996"/>
      <w:bookmarkStart w:id="149" w:name="_Toc22935"/>
      <w:r>
        <w:rPr>
          <w:rFonts w:hint="eastAsia" w:ascii="宋体" w:hAnsi="宋体" w:eastAsia="宋体" w:cs="宋体"/>
          <w:color w:val="auto"/>
          <w:sz w:val="24"/>
          <w:szCs w:val="24"/>
          <w:highlight w:val="none"/>
          <w:lang w:eastAsia="zh-CN"/>
        </w:rPr>
        <w:t>3、供应商不按上述表格填写，所产生的一切后果由供应商承担。</w:t>
      </w:r>
      <w:bookmarkEnd w:id="148"/>
      <w:bookmarkEnd w:id="149"/>
    </w:p>
    <w:p w14:paraId="3DF3D893">
      <w:pPr>
        <w:widowControl w:val="0"/>
        <w:spacing w:before="78" w:line="219" w:lineRule="auto"/>
        <w:ind w:left="125"/>
        <w:rPr>
          <w:rFonts w:hint="eastAsia" w:ascii="宋体" w:hAnsi="宋体" w:eastAsia="宋体" w:cs="宋体"/>
          <w:color w:val="auto"/>
          <w:spacing w:val="-3"/>
          <w:sz w:val="24"/>
          <w:szCs w:val="24"/>
          <w:highlight w:val="none"/>
          <w:lang w:eastAsia="zh-CN"/>
        </w:rPr>
      </w:pPr>
    </w:p>
    <w:p w14:paraId="28EDF24E">
      <w:pPr>
        <w:widowControl w:val="0"/>
        <w:spacing w:before="78" w:line="219" w:lineRule="auto"/>
        <w:ind w:left="125"/>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pacing w:val="-3"/>
          <w:sz w:val="24"/>
          <w:szCs w:val="24"/>
          <w:highlight w:val="none"/>
          <w:lang w:eastAsia="zh-CN"/>
        </w:rPr>
        <w:t>供应商盖章：</w:t>
      </w:r>
    </w:p>
    <w:p w14:paraId="78BC9206">
      <w:pPr>
        <w:widowControl w:val="0"/>
        <w:tabs>
          <w:tab w:val="left" w:pos="6090"/>
        </w:tabs>
        <w:spacing w:before="79" w:line="219" w:lineRule="auto"/>
        <w:ind w:left="123"/>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pacing w:val="-1"/>
          <w:sz w:val="24"/>
          <w:szCs w:val="24"/>
          <w:highlight w:val="none"/>
          <w:lang w:eastAsia="zh-CN"/>
        </w:rPr>
        <w:t>法定代表人或授权代表签字或签章：</w:t>
      </w:r>
    </w:p>
    <w:p w14:paraId="49D2A790">
      <w:pPr>
        <w:widowControl w:val="0"/>
        <w:tabs>
          <w:tab w:val="left" w:pos="6090"/>
        </w:tabs>
        <w:spacing w:line="219" w:lineRule="auto"/>
        <w:rPr>
          <w:rFonts w:hint="eastAsia" w:ascii="宋体" w:hAnsi="宋体" w:eastAsia="宋体" w:cs="宋体"/>
          <w:color w:val="auto"/>
          <w:sz w:val="24"/>
          <w:szCs w:val="24"/>
          <w:highlight w:val="none"/>
          <w:lang w:eastAsia="zh-CN"/>
        </w:rPr>
        <w:sectPr>
          <w:footerReference r:id="rId10" w:type="default"/>
          <w:pgSz w:w="11906" w:h="16839"/>
          <w:pgMar w:top="1431" w:right="873" w:bottom="1156" w:left="1701" w:header="0" w:footer="994" w:gutter="0"/>
          <w:pgNumType w:fmt="decimal"/>
          <w:cols w:space="720" w:num="1"/>
        </w:sectPr>
      </w:pPr>
    </w:p>
    <w:p w14:paraId="2A743224">
      <w:pPr>
        <w:widowControl w:val="0"/>
        <w:tabs>
          <w:tab w:val="left" w:pos="6090"/>
        </w:tabs>
        <w:spacing w:before="101" w:line="219" w:lineRule="auto"/>
        <w:jc w:val="center"/>
        <w:outlineLvl w:val="2"/>
        <w:rPr>
          <w:rFonts w:hint="eastAsia" w:ascii="宋体" w:hAnsi="宋体" w:eastAsia="宋体" w:cs="宋体"/>
          <w:color w:val="auto"/>
          <w:sz w:val="24"/>
          <w:szCs w:val="24"/>
          <w:highlight w:val="none"/>
          <w:lang w:eastAsia="zh-CN"/>
        </w:rPr>
      </w:pPr>
      <w:bookmarkStart w:id="150" w:name="_Toc4024"/>
      <w:bookmarkStart w:id="151" w:name="_Toc18180"/>
      <w:r>
        <w:rPr>
          <w:rFonts w:hint="eastAsia" w:ascii="宋体" w:hAnsi="宋体" w:eastAsia="宋体" w:cs="宋体"/>
          <w:color w:val="auto"/>
          <w:spacing w:val="-1"/>
          <w:sz w:val="24"/>
          <w:szCs w:val="24"/>
          <w:highlight w:val="none"/>
          <w:lang w:eastAsia="zh-CN"/>
        </w:rPr>
        <w:t>格式</w:t>
      </w:r>
      <w:r>
        <w:rPr>
          <w:rFonts w:hint="eastAsia" w:ascii="宋体" w:hAnsi="宋体" w:eastAsia="宋体" w:cs="宋体"/>
          <w:color w:val="auto"/>
          <w:spacing w:val="-1"/>
          <w:sz w:val="24"/>
          <w:szCs w:val="24"/>
          <w:highlight w:val="none"/>
          <w:lang w:val="en-US" w:eastAsia="zh-CN"/>
        </w:rPr>
        <w:t>5</w:t>
      </w:r>
      <w:r>
        <w:rPr>
          <w:rFonts w:hint="eastAsia" w:ascii="宋体" w:hAnsi="宋体" w:eastAsia="宋体" w:cs="宋体"/>
          <w:color w:val="auto"/>
          <w:spacing w:val="-1"/>
          <w:sz w:val="24"/>
          <w:szCs w:val="24"/>
          <w:highlight w:val="none"/>
          <w:lang w:eastAsia="zh-CN"/>
        </w:rPr>
        <w:t>.商务条件响应/偏离表</w:t>
      </w:r>
      <w:bookmarkEnd w:id="150"/>
      <w:bookmarkEnd w:id="151"/>
    </w:p>
    <w:p w14:paraId="77B994D5">
      <w:pPr>
        <w:widowControl w:val="0"/>
        <w:tabs>
          <w:tab w:val="left" w:pos="6090"/>
        </w:tabs>
        <w:spacing w:before="27"/>
        <w:rPr>
          <w:rFonts w:hint="eastAsia" w:ascii="宋体" w:hAnsi="宋体" w:eastAsia="宋体" w:cs="宋体"/>
          <w:color w:val="auto"/>
          <w:highlight w:val="none"/>
          <w:lang w:eastAsia="zh-CN"/>
        </w:rPr>
      </w:pPr>
    </w:p>
    <w:p w14:paraId="2701E8A0">
      <w:pPr>
        <w:widowControl w:val="0"/>
        <w:tabs>
          <w:tab w:val="left" w:pos="6090"/>
        </w:tabs>
        <w:spacing w:before="26"/>
        <w:rPr>
          <w:rFonts w:hint="eastAsia" w:ascii="宋体" w:hAnsi="宋体" w:eastAsia="宋体" w:cs="宋体"/>
          <w:color w:val="auto"/>
          <w:highlight w:val="none"/>
          <w:lang w:eastAsia="zh-CN"/>
        </w:rPr>
      </w:pPr>
    </w:p>
    <w:tbl>
      <w:tblPr>
        <w:tblStyle w:val="21"/>
        <w:tblpPr w:leftFromText="180" w:rightFromText="180" w:vertAnchor="text" w:horzAnchor="page" w:tblpX="1152" w:tblpY="251"/>
        <w:tblOverlap w:val="never"/>
        <w:tblW w:w="954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97"/>
        <w:gridCol w:w="2556"/>
        <w:gridCol w:w="2644"/>
        <w:gridCol w:w="1656"/>
        <w:gridCol w:w="1389"/>
      </w:tblGrid>
      <w:tr w14:paraId="26B3AF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5" w:hRule="atLeast"/>
        </w:trPr>
        <w:tc>
          <w:tcPr>
            <w:tcW w:w="1297" w:type="dxa"/>
          </w:tcPr>
          <w:p w14:paraId="6F08E971">
            <w:pPr>
              <w:widowControl w:val="0"/>
              <w:tabs>
                <w:tab w:val="left" w:pos="6090"/>
              </w:tabs>
              <w:spacing w:before="300" w:line="221"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序号</w:t>
            </w:r>
          </w:p>
        </w:tc>
        <w:tc>
          <w:tcPr>
            <w:tcW w:w="2556" w:type="dxa"/>
          </w:tcPr>
          <w:p w14:paraId="05792523">
            <w:pPr>
              <w:widowControl w:val="0"/>
              <w:tabs>
                <w:tab w:val="left" w:pos="6090"/>
              </w:tabs>
              <w:spacing w:before="301" w:line="219" w:lineRule="auto"/>
              <w:ind w:left="153"/>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招标文件</w:t>
            </w:r>
            <w:r>
              <w:rPr>
                <w:rFonts w:hint="eastAsia" w:ascii="宋体" w:hAnsi="宋体" w:eastAsia="宋体" w:cs="宋体"/>
                <w:color w:val="auto"/>
                <w:spacing w:val="-2"/>
                <w:sz w:val="24"/>
                <w:szCs w:val="24"/>
                <w:highlight w:val="none"/>
              </w:rPr>
              <w:t>的商务</w:t>
            </w:r>
            <w:r>
              <w:rPr>
                <w:rFonts w:hint="eastAsia" w:ascii="宋体" w:hAnsi="宋体" w:eastAsia="宋体" w:cs="宋体"/>
                <w:color w:val="auto"/>
                <w:spacing w:val="-2"/>
                <w:sz w:val="24"/>
                <w:szCs w:val="24"/>
                <w:highlight w:val="none"/>
                <w:lang w:eastAsia="zh-CN"/>
              </w:rPr>
              <w:t>条件</w:t>
            </w:r>
          </w:p>
        </w:tc>
        <w:tc>
          <w:tcPr>
            <w:tcW w:w="2644" w:type="dxa"/>
            <w:vAlign w:val="center"/>
          </w:tcPr>
          <w:p w14:paraId="52067E11">
            <w:pPr>
              <w:widowControl w:val="0"/>
              <w:tabs>
                <w:tab w:val="left" w:pos="6090"/>
              </w:tabs>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投标文件中响应</w:t>
            </w:r>
          </w:p>
          <w:p w14:paraId="11F49CA6">
            <w:pPr>
              <w:widowControl w:val="0"/>
              <w:tabs>
                <w:tab w:val="left" w:pos="6090"/>
              </w:tabs>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的具体内容</w:t>
            </w:r>
          </w:p>
        </w:tc>
        <w:tc>
          <w:tcPr>
            <w:tcW w:w="1656" w:type="dxa"/>
            <w:vAlign w:val="center"/>
          </w:tcPr>
          <w:p w14:paraId="287215BB">
            <w:pPr>
              <w:widowControl w:val="0"/>
              <w:tabs>
                <w:tab w:val="left" w:pos="6090"/>
              </w:tabs>
              <w:spacing w:before="68"/>
              <w:ind w:left="206"/>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响应/偏离</w:t>
            </w:r>
          </w:p>
        </w:tc>
        <w:tc>
          <w:tcPr>
            <w:tcW w:w="1389" w:type="dxa"/>
          </w:tcPr>
          <w:p w14:paraId="57E82F61">
            <w:pPr>
              <w:widowControl w:val="0"/>
              <w:tabs>
                <w:tab w:val="left" w:pos="6090"/>
              </w:tabs>
              <w:spacing w:before="301" w:line="219"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说明</w:t>
            </w:r>
          </w:p>
        </w:tc>
      </w:tr>
      <w:tr w14:paraId="08A907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2" w:hRule="atLeast"/>
        </w:trPr>
        <w:tc>
          <w:tcPr>
            <w:tcW w:w="1297" w:type="dxa"/>
          </w:tcPr>
          <w:p w14:paraId="3A54D4A8">
            <w:pPr>
              <w:pStyle w:val="22"/>
              <w:widowControl w:val="0"/>
              <w:tabs>
                <w:tab w:val="left" w:pos="6090"/>
              </w:tabs>
              <w:rPr>
                <w:rFonts w:hint="eastAsia" w:ascii="宋体" w:hAnsi="宋体" w:eastAsia="宋体" w:cs="宋体"/>
                <w:color w:val="auto"/>
                <w:highlight w:val="none"/>
              </w:rPr>
            </w:pPr>
          </w:p>
        </w:tc>
        <w:tc>
          <w:tcPr>
            <w:tcW w:w="2556" w:type="dxa"/>
          </w:tcPr>
          <w:p w14:paraId="3EF36522">
            <w:pPr>
              <w:pStyle w:val="22"/>
              <w:widowControl w:val="0"/>
              <w:tabs>
                <w:tab w:val="left" w:pos="6090"/>
              </w:tabs>
              <w:rPr>
                <w:rFonts w:hint="eastAsia" w:ascii="宋体" w:hAnsi="宋体" w:eastAsia="宋体" w:cs="宋体"/>
                <w:color w:val="auto"/>
                <w:highlight w:val="none"/>
              </w:rPr>
            </w:pPr>
          </w:p>
        </w:tc>
        <w:tc>
          <w:tcPr>
            <w:tcW w:w="2644" w:type="dxa"/>
          </w:tcPr>
          <w:p w14:paraId="0F07D771">
            <w:pPr>
              <w:pStyle w:val="22"/>
              <w:widowControl w:val="0"/>
              <w:tabs>
                <w:tab w:val="left" w:pos="6090"/>
              </w:tabs>
              <w:rPr>
                <w:rFonts w:hint="eastAsia" w:ascii="宋体" w:hAnsi="宋体" w:eastAsia="宋体" w:cs="宋体"/>
                <w:color w:val="auto"/>
                <w:highlight w:val="none"/>
              </w:rPr>
            </w:pPr>
          </w:p>
        </w:tc>
        <w:tc>
          <w:tcPr>
            <w:tcW w:w="1656" w:type="dxa"/>
          </w:tcPr>
          <w:p w14:paraId="5F85BA95">
            <w:pPr>
              <w:pStyle w:val="22"/>
              <w:widowControl w:val="0"/>
              <w:tabs>
                <w:tab w:val="left" w:pos="6090"/>
              </w:tabs>
              <w:rPr>
                <w:rFonts w:hint="eastAsia" w:ascii="宋体" w:hAnsi="宋体" w:eastAsia="宋体" w:cs="宋体"/>
                <w:color w:val="auto"/>
                <w:highlight w:val="none"/>
              </w:rPr>
            </w:pPr>
          </w:p>
        </w:tc>
        <w:tc>
          <w:tcPr>
            <w:tcW w:w="1389" w:type="dxa"/>
          </w:tcPr>
          <w:p w14:paraId="3C10338C">
            <w:pPr>
              <w:pStyle w:val="22"/>
              <w:widowControl w:val="0"/>
              <w:tabs>
                <w:tab w:val="left" w:pos="6090"/>
              </w:tabs>
              <w:rPr>
                <w:rFonts w:hint="eastAsia" w:ascii="宋体" w:hAnsi="宋体" w:eastAsia="宋体" w:cs="宋体"/>
                <w:color w:val="auto"/>
                <w:highlight w:val="none"/>
              </w:rPr>
            </w:pPr>
          </w:p>
        </w:tc>
      </w:tr>
      <w:tr w14:paraId="60CC90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2" w:hRule="atLeast"/>
        </w:trPr>
        <w:tc>
          <w:tcPr>
            <w:tcW w:w="1297" w:type="dxa"/>
          </w:tcPr>
          <w:p w14:paraId="3FEDB080">
            <w:pPr>
              <w:pStyle w:val="22"/>
              <w:widowControl w:val="0"/>
              <w:tabs>
                <w:tab w:val="left" w:pos="6090"/>
              </w:tabs>
              <w:rPr>
                <w:rFonts w:hint="eastAsia" w:ascii="宋体" w:hAnsi="宋体" w:eastAsia="宋体" w:cs="宋体"/>
                <w:color w:val="auto"/>
                <w:highlight w:val="none"/>
              </w:rPr>
            </w:pPr>
          </w:p>
        </w:tc>
        <w:tc>
          <w:tcPr>
            <w:tcW w:w="2556" w:type="dxa"/>
          </w:tcPr>
          <w:p w14:paraId="5E1A1AAA">
            <w:pPr>
              <w:pStyle w:val="22"/>
              <w:widowControl w:val="0"/>
              <w:tabs>
                <w:tab w:val="left" w:pos="6090"/>
              </w:tabs>
              <w:rPr>
                <w:rFonts w:hint="eastAsia" w:ascii="宋体" w:hAnsi="宋体" w:eastAsia="宋体" w:cs="宋体"/>
                <w:color w:val="auto"/>
                <w:highlight w:val="none"/>
              </w:rPr>
            </w:pPr>
          </w:p>
        </w:tc>
        <w:tc>
          <w:tcPr>
            <w:tcW w:w="2644" w:type="dxa"/>
          </w:tcPr>
          <w:p w14:paraId="4E3FD302">
            <w:pPr>
              <w:pStyle w:val="22"/>
              <w:widowControl w:val="0"/>
              <w:tabs>
                <w:tab w:val="left" w:pos="6090"/>
              </w:tabs>
              <w:rPr>
                <w:rFonts w:hint="eastAsia" w:ascii="宋体" w:hAnsi="宋体" w:eastAsia="宋体" w:cs="宋体"/>
                <w:color w:val="auto"/>
                <w:highlight w:val="none"/>
              </w:rPr>
            </w:pPr>
          </w:p>
        </w:tc>
        <w:tc>
          <w:tcPr>
            <w:tcW w:w="1656" w:type="dxa"/>
          </w:tcPr>
          <w:p w14:paraId="072E8A9A">
            <w:pPr>
              <w:pStyle w:val="22"/>
              <w:widowControl w:val="0"/>
              <w:tabs>
                <w:tab w:val="left" w:pos="6090"/>
              </w:tabs>
              <w:rPr>
                <w:rFonts w:hint="eastAsia" w:ascii="宋体" w:hAnsi="宋体" w:eastAsia="宋体" w:cs="宋体"/>
                <w:color w:val="auto"/>
                <w:highlight w:val="none"/>
              </w:rPr>
            </w:pPr>
          </w:p>
        </w:tc>
        <w:tc>
          <w:tcPr>
            <w:tcW w:w="1389" w:type="dxa"/>
          </w:tcPr>
          <w:p w14:paraId="693BAAD8">
            <w:pPr>
              <w:pStyle w:val="22"/>
              <w:widowControl w:val="0"/>
              <w:tabs>
                <w:tab w:val="left" w:pos="6090"/>
              </w:tabs>
              <w:rPr>
                <w:rFonts w:hint="eastAsia" w:ascii="宋体" w:hAnsi="宋体" w:eastAsia="宋体" w:cs="宋体"/>
                <w:color w:val="auto"/>
                <w:highlight w:val="none"/>
              </w:rPr>
            </w:pPr>
          </w:p>
        </w:tc>
      </w:tr>
      <w:tr w14:paraId="2EA823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3" w:hRule="atLeast"/>
        </w:trPr>
        <w:tc>
          <w:tcPr>
            <w:tcW w:w="1297" w:type="dxa"/>
          </w:tcPr>
          <w:p w14:paraId="2D3CECEE">
            <w:pPr>
              <w:pStyle w:val="22"/>
              <w:widowControl w:val="0"/>
              <w:tabs>
                <w:tab w:val="left" w:pos="6090"/>
              </w:tabs>
              <w:rPr>
                <w:rFonts w:hint="eastAsia" w:ascii="宋体" w:hAnsi="宋体" w:eastAsia="宋体" w:cs="宋体"/>
                <w:color w:val="auto"/>
                <w:highlight w:val="none"/>
              </w:rPr>
            </w:pPr>
          </w:p>
        </w:tc>
        <w:tc>
          <w:tcPr>
            <w:tcW w:w="2556" w:type="dxa"/>
          </w:tcPr>
          <w:p w14:paraId="2DAC5BC4">
            <w:pPr>
              <w:pStyle w:val="22"/>
              <w:widowControl w:val="0"/>
              <w:tabs>
                <w:tab w:val="left" w:pos="6090"/>
              </w:tabs>
              <w:rPr>
                <w:rFonts w:hint="eastAsia" w:ascii="宋体" w:hAnsi="宋体" w:eastAsia="宋体" w:cs="宋体"/>
                <w:color w:val="auto"/>
                <w:highlight w:val="none"/>
              </w:rPr>
            </w:pPr>
          </w:p>
        </w:tc>
        <w:tc>
          <w:tcPr>
            <w:tcW w:w="2644" w:type="dxa"/>
          </w:tcPr>
          <w:p w14:paraId="0BC53B86">
            <w:pPr>
              <w:pStyle w:val="22"/>
              <w:widowControl w:val="0"/>
              <w:tabs>
                <w:tab w:val="left" w:pos="6090"/>
              </w:tabs>
              <w:rPr>
                <w:rFonts w:hint="eastAsia" w:ascii="宋体" w:hAnsi="宋体" w:eastAsia="宋体" w:cs="宋体"/>
                <w:color w:val="auto"/>
                <w:highlight w:val="none"/>
              </w:rPr>
            </w:pPr>
          </w:p>
        </w:tc>
        <w:tc>
          <w:tcPr>
            <w:tcW w:w="1656" w:type="dxa"/>
          </w:tcPr>
          <w:p w14:paraId="21B0455B">
            <w:pPr>
              <w:pStyle w:val="22"/>
              <w:widowControl w:val="0"/>
              <w:tabs>
                <w:tab w:val="left" w:pos="6090"/>
              </w:tabs>
              <w:rPr>
                <w:rFonts w:hint="eastAsia" w:ascii="宋体" w:hAnsi="宋体" w:eastAsia="宋体" w:cs="宋体"/>
                <w:color w:val="auto"/>
                <w:highlight w:val="none"/>
              </w:rPr>
            </w:pPr>
          </w:p>
        </w:tc>
        <w:tc>
          <w:tcPr>
            <w:tcW w:w="1389" w:type="dxa"/>
          </w:tcPr>
          <w:p w14:paraId="4355C34C">
            <w:pPr>
              <w:pStyle w:val="22"/>
              <w:widowControl w:val="0"/>
              <w:tabs>
                <w:tab w:val="left" w:pos="6090"/>
              </w:tabs>
              <w:rPr>
                <w:rFonts w:hint="eastAsia" w:ascii="宋体" w:hAnsi="宋体" w:eastAsia="宋体" w:cs="宋体"/>
                <w:color w:val="auto"/>
                <w:highlight w:val="none"/>
              </w:rPr>
            </w:pPr>
          </w:p>
        </w:tc>
      </w:tr>
      <w:tr w14:paraId="35066F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2" w:hRule="atLeast"/>
        </w:trPr>
        <w:tc>
          <w:tcPr>
            <w:tcW w:w="1297" w:type="dxa"/>
          </w:tcPr>
          <w:p w14:paraId="15C4F039">
            <w:pPr>
              <w:pStyle w:val="22"/>
              <w:widowControl w:val="0"/>
              <w:tabs>
                <w:tab w:val="left" w:pos="6090"/>
              </w:tabs>
              <w:rPr>
                <w:rFonts w:hint="eastAsia" w:ascii="宋体" w:hAnsi="宋体" w:eastAsia="宋体" w:cs="宋体"/>
                <w:color w:val="auto"/>
                <w:highlight w:val="none"/>
              </w:rPr>
            </w:pPr>
          </w:p>
        </w:tc>
        <w:tc>
          <w:tcPr>
            <w:tcW w:w="2556" w:type="dxa"/>
          </w:tcPr>
          <w:p w14:paraId="49C1E858">
            <w:pPr>
              <w:pStyle w:val="22"/>
              <w:widowControl w:val="0"/>
              <w:tabs>
                <w:tab w:val="left" w:pos="6090"/>
              </w:tabs>
              <w:rPr>
                <w:rFonts w:hint="eastAsia" w:ascii="宋体" w:hAnsi="宋体" w:eastAsia="宋体" w:cs="宋体"/>
                <w:color w:val="auto"/>
                <w:highlight w:val="none"/>
              </w:rPr>
            </w:pPr>
          </w:p>
        </w:tc>
        <w:tc>
          <w:tcPr>
            <w:tcW w:w="2644" w:type="dxa"/>
          </w:tcPr>
          <w:p w14:paraId="0B3D8963">
            <w:pPr>
              <w:pStyle w:val="22"/>
              <w:widowControl w:val="0"/>
              <w:tabs>
                <w:tab w:val="left" w:pos="6090"/>
              </w:tabs>
              <w:rPr>
                <w:rFonts w:hint="eastAsia" w:ascii="宋体" w:hAnsi="宋体" w:eastAsia="宋体" w:cs="宋体"/>
                <w:color w:val="auto"/>
                <w:highlight w:val="none"/>
              </w:rPr>
            </w:pPr>
          </w:p>
        </w:tc>
        <w:tc>
          <w:tcPr>
            <w:tcW w:w="1656" w:type="dxa"/>
          </w:tcPr>
          <w:p w14:paraId="3087E414">
            <w:pPr>
              <w:pStyle w:val="22"/>
              <w:widowControl w:val="0"/>
              <w:tabs>
                <w:tab w:val="left" w:pos="6090"/>
              </w:tabs>
              <w:rPr>
                <w:rFonts w:hint="eastAsia" w:ascii="宋体" w:hAnsi="宋体" w:eastAsia="宋体" w:cs="宋体"/>
                <w:color w:val="auto"/>
                <w:highlight w:val="none"/>
              </w:rPr>
            </w:pPr>
          </w:p>
        </w:tc>
        <w:tc>
          <w:tcPr>
            <w:tcW w:w="1389" w:type="dxa"/>
          </w:tcPr>
          <w:p w14:paraId="024843C3">
            <w:pPr>
              <w:pStyle w:val="22"/>
              <w:widowControl w:val="0"/>
              <w:tabs>
                <w:tab w:val="left" w:pos="6090"/>
              </w:tabs>
              <w:rPr>
                <w:rFonts w:hint="eastAsia" w:ascii="宋体" w:hAnsi="宋体" w:eastAsia="宋体" w:cs="宋体"/>
                <w:color w:val="auto"/>
                <w:highlight w:val="none"/>
              </w:rPr>
            </w:pPr>
          </w:p>
        </w:tc>
      </w:tr>
      <w:tr w14:paraId="50B01E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3" w:hRule="atLeast"/>
        </w:trPr>
        <w:tc>
          <w:tcPr>
            <w:tcW w:w="1297" w:type="dxa"/>
          </w:tcPr>
          <w:p w14:paraId="31D86544">
            <w:pPr>
              <w:pStyle w:val="22"/>
              <w:widowControl w:val="0"/>
              <w:tabs>
                <w:tab w:val="left" w:pos="6090"/>
              </w:tabs>
              <w:rPr>
                <w:rFonts w:hint="eastAsia" w:ascii="宋体" w:hAnsi="宋体" w:eastAsia="宋体" w:cs="宋体"/>
                <w:color w:val="auto"/>
                <w:highlight w:val="none"/>
              </w:rPr>
            </w:pPr>
          </w:p>
        </w:tc>
        <w:tc>
          <w:tcPr>
            <w:tcW w:w="2556" w:type="dxa"/>
          </w:tcPr>
          <w:p w14:paraId="7113C2E0">
            <w:pPr>
              <w:pStyle w:val="22"/>
              <w:widowControl w:val="0"/>
              <w:tabs>
                <w:tab w:val="left" w:pos="6090"/>
              </w:tabs>
              <w:rPr>
                <w:rFonts w:hint="eastAsia" w:ascii="宋体" w:hAnsi="宋体" w:eastAsia="宋体" w:cs="宋体"/>
                <w:color w:val="auto"/>
                <w:highlight w:val="none"/>
              </w:rPr>
            </w:pPr>
          </w:p>
        </w:tc>
        <w:tc>
          <w:tcPr>
            <w:tcW w:w="2644" w:type="dxa"/>
          </w:tcPr>
          <w:p w14:paraId="1EF6132B">
            <w:pPr>
              <w:pStyle w:val="22"/>
              <w:widowControl w:val="0"/>
              <w:tabs>
                <w:tab w:val="left" w:pos="6090"/>
              </w:tabs>
              <w:rPr>
                <w:rFonts w:hint="eastAsia" w:ascii="宋体" w:hAnsi="宋体" w:eastAsia="宋体" w:cs="宋体"/>
                <w:color w:val="auto"/>
                <w:highlight w:val="none"/>
              </w:rPr>
            </w:pPr>
          </w:p>
        </w:tc>
        <w:tc>
          <w:tcPr>
            <w:tcW w:w="1656" w:type="dxa"/>
          </w:tcPr>
          <w:p w14:paraId="469CC78C">
            <w:pPr>
              <w:pStyle w:val="22"/>
              <w:widowControl w:val="0"/>
              <w:tabs>
                <w:tab w:val="left" w:pos="6090"/>
              </w:tabs>
              <w:rPr>
                <w:rFonts w:hint="eastAsia" w:ascii="宋体" w:hAnsi="宋体" w:eastAsia="宋体" w:cs="宋体"/>
                <w:color w:val="auto"/>
                <w:highlight w:val="none"/>
              </w:rPr>
            </w:pPr>
          </w:p>
        </w:tc>
        <w:tc>
          <w:tcPr>
            <w:tcW w:w="1389" w:type="dxa"/>
          </w:tcPr>
          <w:p w14:paraId="2FD590BA">
            <w:pPr>
              <w:pStyle w:val="22"/>
              <w:widowControl w:val="0"/>
              <w:tabs>
                <w:tab w:val="left" w:pos="6090"/>
              </w:tabs>
              <w:rPr>
                <w:rFonts w:hint="eastAsia" w:ascii="宋体" w:hAnsi="宋体" w:eastAsia="宋体" w:cs="宋体"/>
                <w:color w:val="auto"/>
                <w:highlight w:val="none"/>
              </w:rPr>
            </w:pPr>
          </w:p>
        </w:tc>
      </w:tr>
      <w:tr w14:paraId="6E6945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2" w:hRule="atLeast"/>
        </w:trPr>
        <w:tc>
          <w:tcPr>
            <w:tcW w:w="1297" w:type="dxa"/>
          </w:tcPr>
          <w:p w14:paraId="12B3E6E7">
            <w:pPr>
              <w:pStyle w:val="22"/>
              <w:widowControl w:val="0"/>
              <w:tabs>
                <w:tab w:val="left" w:pos="6090"/>
              </w:tabs>
              <w:rPr>
                <w:rFonts w:hint="eastAsia" w:ascii="宋体" w:hAnsi="宋体" w:eastAsia="宋体" w:cs="宋体"/>
                <w:color w:val="auto"/>
                <w:highlight w:val="none"/>
              </w:rPr>
            </w:pPr>
          </w:p>
        </w:tc>
        <w:tc>
          <w:tcPr>
            <w:tcW w:w="2556" w:type="dxa"/>
          </w:tcPr>
          <w:p w14:paraId="6DEC7659">
            <w:pPr>
              <w:pStyle w:val="22"/>
              <w:widowControl w:val="0"/>
              <w:tabs>
                <w:tab w:val="left" w:pos="6090"/>
              </w:tabs>
              <w:rPr>
                <w:rFonts w:hint="eastAsia" w:ascii="宋体" w:hAnsi="宋体" w:eastAsia="宋体" w:cs="宋体"/>
                <w:color w:val="auto"/>
                <w:highlight w:val="none"/>
              </w:rPr>
            </w:pPr>
          </w:p>
        </w:tc>
        <w:tc>
          <w:tcPr>
            <w:tcW w:w="2644" w:type="dxa"/>
          </w:tcPr>
          <w:p w14:paraId="3F9969DD">
            <w:pPr>
              <w:pStyle w:val="22"/>
              <w:widowControl w:val="0"/>
              <w:tabs>
                <w:tab w:val="left" w:pos="6090"/>
              </w:tabs>
              <w:rPr>
                <w:rFonts w:hint="eastAsia" w:ascii="宋体" w:hAnsi="宋体" w:eastAsia="宋体" w:cs="宋体"/>
                <w:color w:val="auto"/>
                <w:highlight w:val="none"/>
              </w:rPr>
            </w:pPr>
          </w:p>
        </w:tc>
        <w:tc>
          <w:tcPr>
            <w:tcW w:w="1656" w:type="dxa"/>
          </w:tcPr>
          <w:p w14:paraId="583799B9">
            <w:pPr>
              <w:pStyle w:val="22"/>
              <w:widowControl w:val="0"/>
              <w:tabs>
                <w:tab w:val="left" w:pos="6090"/>
              </w:tabs>
              <w:rPr>
                <w:rFonts w:hint="eastAsia" w:ascii="宋体" w:hAnsi="宋体" w:eastAsia="宋体" w:cs="宋体"/>
                <w:color w:val="auto"/>
                <w:highlight w:val="none"/>
              </w:rPr>
            </w:pPr>
          </w:p>
        </w:tc>
        <w:tc>
          <w:tcPr>
            <w:tcW w:w="1389" w:type="dxa"/>
          </w:tcPr>
          <w:p w14:paraId="2A4AE681">
            <w:pPr>
              <w:pStyle w:val="22"/>
              <w:widowControl w:val="0"/>
              <w:tabs>
                <w:tab w:val="left" w:pos="6090"/>
              </w:tabs>
              <w:rPr>
                <w:rFonts w:hint="eastAsia" w:ascii="宋体" w:hAnsi="宋体" w:eastAsia="宋体" w:cs="宋体"/>
                <w:color w:val="auto"/>
                <w:highlight w:val="none"/>
              </w:rPr>
            </w:pPr>
          </w:p>
        </w:tc>
      </w:tr>
      <w:tr w14:paraId="6F6A5B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3" w:hRule="atLeast"/>
        </w:trPr>
        <w:tc>
          <w:tcPr>
            <w:tcW w:w="1297" w:type="dxa"/>
          </w:tcPr>
          <w:p w14:paraId="3D6E365B">
            <w:pPr>
              <w:pStyle w:val="22"/>
              <w:widowControl w:val="0"/>
              <w:tabs>
                <w:tab w:val="left" w:pos="6090"/>
              </w:tabs>
              <w:rPr>
                <w:rFonts w:hint="eastAsia" w:ascii="宋体" w:hAnsi="宋体" w:eastAsia="宋体" w:cs="宋体"/>
                <w:color w:val="auto"/>
                <w:highlight w:val="none"/>
              </w:rPr>
            </w:pPr>
          </w:p>
        </w:tc>
        <w:tc>
          <w:tcPr>
            <w:tcW w:w="2556" w:type="dxa"/>
          </w:tcPr>
          <w:p w14:paraId="6B4334FA">
            <w:pPr>
              <w:pStyle w:val="22"/>
              <w:widowControl w:val="0"/>
              <w:tabs>
                <w:tab w:val="left" w:pos="6090"/>
              </w:tabs>
              <w:rPr>
                <w:rFonts w:hint="eastAsia" w:ascii="宋体" w:hAnsi="宋体" w:eastAsia="宋体" w:cs="宋体"/>
                <w:color w:val="auto"/>
                <w:highlight w:val="none"/>
              </w:rPr>
            </w:pPr>
          </w:p>
        </w:tc>
        <w:tc>
          <w:tcPr>
            <w:tcW w:w="2644" w:type="dxa"/>
          </w:tcPr>
          <w:p w14:paraId="3EAB92AC">
            <w:pPr>
              <w:pStyle w:val="22"/>
              <w:widowControl w:val="0"/>
              <w:tabs>
                <w:tab w:val="left" w:pos="6090"/>
              </w:tabs>
              <w:rPr>
                <w:rFonts w:hint="eastAsia" w:ascii="宋体" w:hAnsi="宋体" w:eastAsia="宋体" w:cs="宋体"/>
                <w:color w:val="auto"/>
                <w:highlight w:val="none"/>
              </w:rPr>
            </w:pPr>
          </w:p>
        </w:tc>
        <w:tc>
          <w:tcPr>
            <w:tcW w:w="1656" w:type="dxa"/>
          </w:tcPr>
          <w:p w14:paraId="586DB378">
            <w:pPr>
              <w:pStyle w:val="22"/>
              <w:widowControl w:val="0"/>
              <w:tabs>
                <w:tab w:val="left" w:pos="6090"/>
              </w:tabs>
              <w:rPr>
                <w:rFonts w:hint="eastAsia" w:ascii="宋体" w:hAnsi="宋体" w:eastAsia="宋体" w:cs="宋体"/>
                <w:color w:val="auto"/>
                <w:highlight w:val="none"/>
              </w:rPr>
            </w:pPr>
          </w:p>
        </w:tc>
        <w:tc>
          <w:tcPr>
            <w:tcW w:w="1389" w:type="dxa"/>
          </w:tcPr>
          <w:p w14:paraId="3D74BFE4">
            <w:pPr>
              <w:pStyle w:val="22"/>
              <w:widowControl w:val="0"/>
              <w:tabs>
                <w:tab w:val="left" w:pos="6090"/>
              </w:tabs>
              <w:rPr>
                <w:rFonts w:hint="eastAsia" w:ascii="宋体" w:hAnsi="宋体" w:eastAsia="宋体" w:cs="宋体"/>
                <w:color w:val="auto"/>
                <w:highlight w:val="none"/>
              </w:rPr>
            </w:pPr>
          </w:p>
        </w:tc>
      </w:tr>
      <w:tr w14:paraId="479118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7" w:hRule="atLeast"/>
        </w:trPr>
        <w:tc>
          <w:tcPr>
            <w:tcW w:w="1297" w:type="dxa"/>
          </w:tcPr>
          <w:p w14:paraId="2ADA630A">
            <w:pPr>
              <w:pStyle w:val="22"/>
              <w:widowControl w:val="0"/>
              <w:tabs>
                <w:tab w:val="left" w:pos="6090"/>
              </w:tabs>
              <w:rPr>
                <w:rFonts w:hint="eastAsia" w:ascii="宋体" w:hAnsi="宋体" w:eastAsia="宋体" w:cs="宋体"/>
                <w:color w:val="auto"/>
                <w:highlight w:val="none"/>
              </w:rPr>
            </w:pPr>
          </w:p>
        </w:tc>
        <w:tc>
          <w:tcPr>
            <w:tcW w:w="2556" w:type="dxa"/>
          </w:tcPr>
          <w:p w14:paraId="67E3E47D">
            <w:pPr>
              <w:pStyle w:val="22"/>
              <w:widowControl w:val="0"/>
              <w:tabs>
                <w:tab w:val="left" w:pos="6090"/>
              </w:tabs>
              <w:rPr>
                <w:rFonts w:hint="eastAsia" w:ascii="宋体" w:hAnsi="宋体" w:eastAsia="宋体" w:cs="宋体"/>
                <w:color w:val="auto"/>
                <w:highlight w:val="none"/>
              </w:rPr>
            </w:pPr>
          </w:p>
        </w:tc>
        <w:tc>
          <w:tcPr>
            <w:tcW w:w="2644" w:type="dxa"/>
          </w:tcPr>
          <w:p w14:paraId="00A2D66A">
            <w:pPr>
              <w:pStyle w:val="22"/>
              <w:widowControl w:val="0"/>
              <w:tabs>
                <w:tab w:val="left" w:pos="6090"/>
              </w:tabs>
              <w:rPr>
                <w:rFonts w:hint="eastAsia" w:ascii="宋体" w:hAnsi="宋体" w:eastAsia="宋体" w:cs="宋体"/>
                <w:color w:val="auto"/>
                <w:highlight w:val="none"/>
              </w:rPr>
            </w:pPr>
          </w:p>
        </w:tc>
        <w:tc>
          <w:tcPr>
            <w:tcW w:w="1656" w:type="dxa"/>
          </w:tcPr>
          <w:p w14:paraId="289BFCB8">
            <w:pPr>
              <w:pStyle w:val="22"/>
              <w:widowControl w:val="0"/>
              <w:tabs>
                <w:tab w:val="left" w:pos="6090"/>
              </w:tabs>
              <w:rPr>
                <w:rFonts w:hint="eastAsia" w:ascii="宋体" w:hAnsi="宋体" w:eastAsia="宋体" w:cs="宋体"/>
                <w:color w:val="auto"/>
                <w:highlight w:val="none"/>
              </w:rPr>
            </w:pPr>
          </w:p>
        </w:tc>
        <w:tc>
          <w:tcPr>
            <w:tcW w:w="1389" w:type="dxa"/>
          </w:tcPr>
          <w:p w14:paraId="7A279A83">
            <w:pPr>
              <w:pStyle w:val="22"/>
              <w:widowControl w:val="0"/>
              <w:tabs>
                <w:tab w:val="left" w:pos="6090"/>
              </w:tabs>
              <w:rPr>
                <w:rFonts w:hint="eastAsia" w:ascii="宋体" w:hAnsi="宋体" w:eastAsia="宋体" w:cs="宋体"/>
                <w:color w:val="auto"/>
                <w:highlight w:val="none"/>
              </w:rPr>
            </w:pPr>
          </w:p>
        </w:tc>
      </w:tr>
    </w:tbl>
    <w:p w14:paraId="09641152">
      <w:pPr>
        <w:widowControl w:val="0"/>
        <w:spacing w:line="360" w:lineRule="exact"/>
        <w:ind w:left="-378" w:leftChars="-180" w:right="-485" w:rightChars="-231" w:firstLine="475" w:firstLineChars="198"/>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注：1、投标人应当如实填写上表“投标文件中响应的具体内容”处内容，对采购文件提出的要求和条件作出明确响应，并列明具体响应数值或内容，只注明符合、满足等无具体内容表述的，所产生的一切后果由供应商承担。投标人需要说明的内容若需特殊表达，应先在本表中进行相应说明，再另页应答。</w:t>
      </w:r>
    </w:p>
    <w:p w14:paraId="7986CD30">
      <w:pPr>
        <w:widowControl w:val="0"/>
        <w:spacing w:line="360" w:lineRule="exact"/>
        <w:ind w:left="-376" w:leftChars="-179" w:right="-485" w:rightChars="-231" w:firstLine="482" w:firstLineChars="200"/>
        <w:jc w:val="both"/>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2、响应/偏离内容项下应按下列规定填写：优于的，填写“正偏离”；符合的，填写“无偏离”；低于的，填写“负偏离”；</w:t>
      </w:r>
    </w:p>
    <w:p w14:paraId="04E8A405">
      <w:pPr>
        <w:widowControl w:val="0"/>
        <w:spacing w:line="360" w:lineRule="exact"/>
        <w:ind w:left="105" w:leftChars="50"/>
        <w:outlineLvl w:val="1"/>
        <w:rPr>
          <w:rFonts w:hint="eastAsia" w:ascii="宋体" w:hAnsi="宋体" w:eastAsia="宋体" w:cs="宋体"/>
          <w:color w:val="auto"/>
          <w:spacing w:val="-3"/>
          <w:sz w:val="24"/>
          <w:szCs w:val="24"/>
          <w:highlight w:val="none"/>
          <w:lang w:eastAsia="zh-CN"/>
        </w:rPr>
      </w:pPr>
      <w:bookmarkStart w:id="152" w:name="_Toc18894"/>
      <w:bookmarkStart w:id="153" w:name="_Toc31767"/>
      <w:r>
        <w:rPr>
          <w:rFonts w:hint="eastAsia" w:ascii="宋体" w:hAnsi="宋体" w:eastAsia="宋体" w:cs="宋体"/>
          <w:color w:val="auto"/>
          <w:sz w:val="24"/>
          <w:szCs w:val="24"/>
          <w:highlight w:val="none"/>
          <w:lang w:eastAsia="zh-CN"/>
        </w:rPr>
        <w:t>3、供应商不按上述表格填写，所产生的一切后果由供应商承担。</w:t>
      </w:r>
      <w:bookmarkEnd w:id="152"/>
      <w:bookmarkEnd w:id="153"/>
    </w:p>
    <w:p w14:paraId="06F5F0FF">
      <w:pPr>
        <w:widowControl w:val="0"/>
        <w:spacing w:before="78" w:line="219" w:lineRule="auto"/>
        <w:ind w:left="125"/>
        <w:rPr>
          <w:rFonts w:hint="eastAsia" w:ascii="宋体" w:hAnsi="宋体" w:eastAsia="宋体" w:cs="宋体"/>
          <w:color w:val="auto"/>
          <w:spacing w:val="-3"/>
          <w:sz w:val="24"/>
          <w:szCs w:val="24"/>
          <w:highlight w:val="none"/>
          <w:lang w:eastAsia="zh-CN"/>
        </w:rPr>
      </w:pPr>
    </w:p>
    <w:p w14:paraId="7FFA3890">
      <w:pPr>
        <w:widowControl w:val="0"/>
        <w:spacing w:before="78" w:line="219" w:lineRule="auto"/>
        <w:ind w:left="125" w:firstLine="468" w:firstLineChars="200"/>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pacing w:val="-3"/>
          <w:sz w:val="24"/>
          <w:szCs w:val="24"/>
          <w:highlight w:val="none"/>
          <w:lang w:eastAsia="zh-CN"/>
        </w:rPr>
        <w:t>供应商盖章：</w:t>
      </w:r>
    </w:p>
    <w:p w14:paraId="6DEC2E88">
      <w:pPr>
        <w:widowControl w:val="0"/>
        <w:spacing w:before="79" w:line="219" w:lineRule="auto"/>
        <w:ind w:left="543"/>
        <w:outlineLvl w:val="2"/>
        <w:rPr>
          <w:rFonts w:hint="eastAsia" w:ascii="宋体" w:hAnsi="宋体" w:eastAsia="宋体" w:cs="宋体"/>
          <w:color w:val="auto"/>
          <w:sz w:val="24"/>
          <w:szCs w:val="24"/>
          <w:highlight w:val="none"/>
          <w:u w:val="single"/>
          <w:lang w:eastAsia="zh-CN"/>
        </w:rPr>
      </w:pPr>
      <w:bookmarkStart w:id="154" w:name="_Toc28411"/>
      <w:bookmarkStart w:id="155" w:name="_Toc7599"/>
      <w:r>
        <w:rPr>
          <w:rFonts w:hint="eastAsia" w:ascii="宋体" w:hAnsi="宋体" w:eastAsia="宋体" w:cs="宋体"/>
          <w:color w:val="auto"/>
          <w:spacing w:val="-1"/>
          <w:sz w:val="24"/>
          <w:szCs w:val="24"/>
          <w:highlight w:val="none"/>
          <w:lang w:eastAsia="zh-CN"/>
        </w:rPr>
        <w:t>法定代表人或授权代表签字或签章：</w:t>
      </w:r>
      <w:bookmarkEnd w:id="154"/>
      <w:bookmarkEnd w:id="155"/>
    </w:p>
    <w:p w14:paraId="3EDD60A3">
      <w:pPr>
        <w:pStyle w:val="24"/>
        <w:keepNext/>
        <w:keepLines/>
        <w:spacing w:after="560" w:line="240" w:lineRule="auto"/>
        <w:ind w:firstLine="580"/>
        <w:rPr>
          <w:rFonts w:hint="eastAsia" w:ascii="宋体" w:hAnsi="宋体" w:eastAsia="宋体" w:cs="宋体"/>
          <w:b/>
          <w:bCs/>
          <w:color w:val="auto"/>
          <w:sz w:val="24"/>
          <w:szCs w:val="24"/>
          <w:highlight w:val="none"/>
        </w:rPr>
      </w:pPr>
      <w:bookmarkStart w:id="156" w:name="_Toc183"/>
      <w:bookmarkStart w:id="157" w:name="_Toc5378"/>
      <w:r>
        <w:rPr>
          <w:rFonts w:hint="eastAsia" w:ascii="宋体" w:hAnsi="宋体" w:eastAsia="宋体" w:cs="宋体"/>
          <w:color w:val="auto"/>
          <w:sz w:val="24"/>
          <w:szCs w:val="24"/>
          <w:highlight w:val="none"/>
          <w:lang w:val="en-US" w:eastAsia="zh-CN"/>
        </w:rPr>
        <w:t>格式 6</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z w:val="24"/>
          <w:szCs w:val="24"/>
          <w:highlight w:val="none"/>
          <w:lang w:eastAsia="zh-CN"/>
        </w:rPr>
        <w:t>投标人应当提交的资格证明文件</w:t>
      </w:r>
      <w:bookmarkEnd w:id="156"/>
      <w:bookmarkEnd w:id="157"/>
    </w:p>
    <w:p w14:paraId="63AE8EA2">
      <w:pPr>
        <w:pStyle w:val="24"/>
        <w:keepNext/>
        <w:keepLines/>
        <w:spacing w:after="560" w:line="240" w:lineRule="auto"/>
        <w:ind w:firstLine="580"/>
        <w:rPr>
          <w:rFonts w:hint="eastAsia" w:ascii="宋体" w:hAnsi="宋体" w:eastAsia="宋体" w:cs="宋体"/>
          <w:b/>
          <w:bCs/>
          <w:color w:val="auto"/>
          <w:sz w:val="24"/>
          <w:szCs w:val="24"/>
          <w:highlight w:val="none"/>
        </w:rPr>
      </w:pPr>
      <w:bookmarkStart w:id="158" w:name="_Toc32537"/>
      <w:bookmarkStart w:id="159" w:name="_Toc5365"/>
      <w:r>
        <w:rPr>
          <w:rFonts w:hint="eastAsia" w:ascii="宋体" w:hAnsi="宋体" w:eastAsia="宋体" w:cs="宋体"/>
          <w:color w:val="auto"/>
          <w:sz w:val="24"/>
          <w:szCs w:val="24"/>
          <w:highlight w:val="none"/>
          <w:lang w:val="en-US" w:eastAsia="zh-CN"/>
        </w:rPr>
        <w:t>格式 6</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 江西省政府采购供应商资格信用承诺函</w:t>
      </w:r>
      <w:bookmarkEnd w:id="158"/>
      <w:bookmarkEnd w:id="159"/>
    </w:p>
    <w:p w14:paraId="3250E8BD">
      <w:pPr>
        <w:pStyle w:val="25"/>
        <w:spacing w:line="610" w:lineRule="exact"/>
        <w:ind w:firstLine="0"/>
        <w:jc w:val="both"/>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致（采购人或政府采购代理机构）:</w:t>
      </w:r>
    </w:p>
    <w:p w14:paraId="6E7CAF48">
      <w:pPr>
        <w:pStyle w:val="25"/>
        <w:spacing w:line="610" w:lineRule="exact"/>
        <w:ind w:firstLine="480" w:firstLineChars="200"/>
        <w:jc w:val="both"/>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单位名称（自然人姓名）:</w:t>
      </w:r>
    </w:p>
    <w:p w14:paraId="62A39C15">
      <w:pPr>
        <w:pStyle w:val="25"/>
        <w:spacing w:line="610" w:lineRule="exact"/>
        <w:ind w:firstLine="480" w:firstLineChars="200"/>
        <w:jc w:val="both"/>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统一社会信用代码（身份证号码）：</w:t>
      </w:r>
    </w:p>
    <w:p w14:paraId="6549851B">
      <w:pPr>
        <w:pStyle w:val="25"/>
        <w:spacing w:line="610" w:lineRule="exact"/>
        <w:ind w:firstLine="480" w:firstLineChars="200"/>
        <w:jc w:val="both"/>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法定代表人（负责人）：</w:t>
      </w:r>
    </w:p>
    <w:p w14:paraId="7CDF1960">
      <w:pPr>
        <w:pStyle w:val="25"/>
        <w:spacing w:line="610" w:lineRule="exact"/>
        <w:ind w:firstLine="480" w:firstLineChars="200"/>
        <w:jc w:val="both"/>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联系地址和电话：</w:t>
      </w:r>
    </w:p>
    <w:p w14:paraId="4CF406A5">
      <w:pPr>
        <w:pStyle w:val="25"/>
        <w:spacing w:line="6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我单位（本人）自愿参加本次政府采购活动，严格遵守《中华人民共和国政府采购法》及相关法律法规，坚守公开、公平、公正和诚实信用等原则，依法诚信经营，并郑重承诺：</w:t>
      </w:r>
    </w:p>
    <w:p w14:paraId="35E7719A">
      <w:pPr>
        <w:pStyle w:val="25"/>
        <w:spacing w:line="61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（一）我单位（本人）符合采购文件要求以及《中华人民共和国政府采购法》第二十二条规定的条件：</w:t>
      </w:r>
    </w:p>
    <w:p w14:paraId="3EF17DEF">
      <w:pPr>
        <w:pStyle w:val="25"/>
        <w:tabs>
          <w:tab w:val="left" w:pos="977"/>
        </w:tabs>
        <w:spacing w:line="610" w:lineRule="exact"/>
        <w:ind w:left="580" w:firstLine="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具有独立承担民事责任的能力；</w:t>
      </w:r>
    </w:p>
    <w:p w14:paraId="16A1C3D0">
      <w:pPr>
        <w:pStyle w:val="25"/>
        <w:tabs>
          <w:tab w:val="left" w:pos="977"/>
        </w:tabs>
        <w:spacing w:line="610" w:lineRule="exact"/>
        <w:ind w:left="580" w:firstLine="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具有良好的商业信誉和健全的财务会计制度；</w:t>
      </w:r>
    </w:p>
    <w:p w14:paraId="05A20AE0">
      <w:pPr>
        <w:pStyle w:val="25"/>
        <w:tabs>
          <w:tab w:val="left" w:pos="977"/>
        </w:tabs>
        <w:spacing w:line="610" w:lineRule="exact"/>
        <w:ind w:left="580" w:firstLine="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具有履行合同所必需的设备和专业技术能力；</w:t>
      </w:r>
    </w:p>
    <w:p w14:paraId="15E81483">
      <w:pPr>
        <w:pStyle w:val="25"/>
        <w:tabs>
          <w:tab w:val="left" w:pos="977"/>
        </w:tabs>
        <w:spacing w:line="610" w:lineRule="exact"/>
        <w:ind w:left="580" w:firstLine="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有依法缴纳税收和社会保障资金的良好记录；</w:t>
      </w:r>
    </w:p>
    <w:p w14:paraId="5EF501A7">
      <w:pPr>
        <w:pStyle w:val="25"/>
        <w:tabs>
          <w:tab w:val="left" w:pos="977"/>
        </w:tabs>
        <w:spacing w:line="610" w:lineRule="exact"/>
        <w:ind w:left="580" w:firstLine="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参加政府采购活动前三年内，在经营活动中没有重大违法记录；</w:t>
      </w:r>
    </w:p>
    <w:p w14:paraId="2D435B22">
      <w:pPr>
        <w:pStyle w:val="25"/>
        <w:tabs>
          <w:tab w:val="left" w:pos="977"/>
        </w:tabs>
        <w:spacing w:line="610" w:lineRule="exact"/>
        <w:ind w:left="580" w:firstLine="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符合法律、行政法规规定的其他条件。</w:t>
      </w:r>
    </w:p>
    <w:p w14:paraId="4AD79E0F">
      <w:pPr>
        <w:pStyle w:val="25"/>
        <w:spacing w:line="653"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（二）我单位（本人）未被列入严重失信主体名单、失信被执行人、</w:t>
      </w:r>
      <w:r>
        <w:rPr>
          <w:rFonts w:hint="eastAsia" w:ascii="宋体" w:hAnsi="宋体" w:eastAsia="宋体" w:cs="宋体"/>
          <w:color w:val="auto"/>
          <w:sz w:val="24"/>
          <w:szCs w:val="24"/>
          <w:highlight w:val="none"/>
          <w:lang w:val="en-US" w:eastAsia="zh-CN"/>
        </w:rPr>
        <w:t>税收违法黑名单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重大</w:t>
      </w:r>
      <w:r>
        <w:rPr>
          <w:rFonts w:hint="eastAsia" w:ascii="宋体" w:hAnsi="宋体" w:eastAsia="宋体" w:cs="宋体"/>
          <w:color w:val="auto"/>
          <w:sz w:val="24"/>
          <w:szCs w:val="24"/>
          <w:highlight w:val="none"/>
        </w:rPr>
        <w:t>税收违法</w:t>
      </w:r>
      <w:r>
        <w:rPr>
          <w:rFonts w:hint="eastAsia" w:ascii="宋体" w:hAnsi="宋体" w:eastAsia="宋体" w:cs="宋体"/>
          <w:color w:val="auto"/>
          <w:sz w:val="24"/>
          <w:szCs w:val="24"/>
          <w:highlight w:val="none"/>
          <w:lang w:val="en-US" w:eastAsia="zh-CN"/>
        </w:rPr>
        <w:t>失信主体）</w:t>
      </w:r>
      <w:r>
        <w:rPr>
          <w:rFonts w:hint="eastAsia" w:ascii="宋体" w:hAnsi="宋体" w:eastAsia="宋体" w:cs="宋体"/>
          <w:color w:val="auto"/>
          <w:sz w:val="24"/>
          <w:szCs w:val="24"/>
          <w:highlight w:val="none"/>
        </w:rPr>
        <w:t>、政府采购严重违法失信行为记录名单。</w:t>
      </w:r>
    </w:p>
    <w:p w14:paraId="63708EA6">
      <w:pPr>
        <w:pStyle w:val="25"/>
        <w:spacing w:after="580" w:line="605"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我单位（本人）对本承诺函及所承诺事项的真实性、合法性及有效性负责，并已知晓如所作信用承诺不实，可能涉嫌《中华人民共和国政府采购法》第七十七条第一款第（一）项规定的 </w:t>
      </w:r>
      <w:r>
        <w:rPr>
          <w:rFonts w:hint="eastAsia" w:ascii="宋体" w:hAnsi="宋体" w:eastAsia="宋体" w:cs="宋体"/>
          <w:color w:val="auto"/>
          <w:sz w:val="24"/>
          <w:szCs w:val="24"/>
          <w:highlight w:val="none"/>
          <w:lang w:val="zh-CN" w:eastAsia="zh-CN" w:bidi="zh-CN"/>
        </w:rPr>
        <w:t>“提供</w:t>
      </w:r>
      <w:r>
        <w:rPr>
          <w:rFonts w:hint="eastAsia" w:ascii="宋体" w:hAnsi="宋体" w:eastAsia="宋体" w:cs="宋体"/>
          <w:color w:val="auto"/>
          <w:sz w:val="24"/>
          <w:szCs w:val="24"/>
          <w:highlight w:val="none"/>
        </w:rPr>
        <w:t>虚假材料谋取中标、成交”违法情形。经调查属实的，自觉接受政府采购行政监管部门按照《中华人民共和国政府采购法》第七十七条：</w:t>
      </w:r>
      <w:r>
        <w:rPr>
          <w:rFonts w:hint="eastAsia" w:ascii="宋体" w:hAnsi="宋体" w:eastAsia="宋体" w:cs="宋体"/>
          <w:color w:val="auto"/>
          <w:sz w:val="24"/>
          <w:szCs w:val="24"/>
          <w:highlight w:val="none"/>
          <w:lang w:val="zh-CN" w:eastAsia="zh-CN" w:bidi="zh-CN"/>
        </w:rPr>
        <w:t>“处</w:t>
      </w:r>
      <w:r>
        <w:rPr>
          <w:rFonts w:hint="eastAsia" w:ascii="宋体" w:hAnsi="宋体" w:eastAsia="宋体" w:cs="宋体"/>
          <w:color w:val="auto"/>
          <w:sz w:val="24"/>
          <w:szCs w:val="24"/>
          <w:highlight w:val="none"/>
        </w:rPr>
        <w:t>以采购金额千分之五以上千分之十以下的罚款，列入不良行为记录名单，在一至三年内禁止参加政府采购活动，有违法所得的，并处没收违法所得，情节严重的，由市场监管部门吊销营业执照；构成犯罪的，依法追究刑事责任”处理。</w:t>
      </w:r>
    </w:p>
    <w:p w14:paraId="2F0898D0">
      <w:pPr>
        <w:pStyle w:val="25"/>
        <w:spacing w:line="605" w:lineRule="exact"/>
        <w:ind w:firstLine="0"/>
        <w:jc w:val="center"/>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供应商名称（单位公章）：</w:t>
      </w:r>
    </w:p>
    <w:p w14:paraId="3BB5EDB1">
      <w:pPr>
        <w:pStyle w:val="25"/>
        <w:spacing w:line="605" w:lineRule="exact"/>
        <w:ind w:firstLine="0"/>
        <w:jc w:val="center"/>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或自然人（签字）：</w:t>
      </w:r>
    </w:p>
    <w:p w14:paraId="3ACE50DC">
      <w:pPr>
        <w:pStyle w:val="25"/>
        <w:spacing w:after="520" w:line="605" w:lineRule="exact"/>
        <w:ind w:firstLine="0"/>
        <w:jc w:val="right"/>
        <w:rPr>
          <w:rFonts w:hint="eastAsia" w:ascii="宋体" w:hAnsi="宋体" w:eastAsia="宋体" w:cs="宋体"/>
          <w:color w:val="auto"/>
          <w:sz w:val="24"/>
          <w:szCs w:val="24"/>
          <w:highlight w:val="none"/>
          <w:lang w:val="en-US" w:eastAsia="zh-CN"/>
        </w:rPr>
      </w:pPr>
    </w:p>
    <w:p w14:paraId="0C0C1AF2">
      <w:pPr>
        <w:pStyle w:val="25"/>
        <w:spacing w:after="520" w:line="605" w:lineRule="exact"/>
        <w:ind w:firstLine="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年月日</w:t>
      </w:r>
    </w:p>
    <w:p w14:paraId="5C62A5D2">
      <w:pPr>
        <w:pStyle w:val="26"/>
        <w:spacing w:line="602"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03BEB5D2">
      <w:pPr>
        <w:pStyle w:val="26"/>
        <w:spacing w:line="602" w:lineRule="exact"/>
        <w:jc w:val="both"/>
        <w:outlineLvl w:val="1"/>
        <w:rPr>
          <w:rFonts w:hint="eastAsia" w:ascii="宋体" w:hAnsi="宋体" w:eastAsia="宋体" w:cs="宋体"/>
          <w:color w:val="auto"/>
          <w:sz w:val="24"/>
          <w:szCs w:val="24"/>
          <w:highlight w:val="none"/>
          <w:lang w:eastAsia="zh-CN"/>
        </w:rPr>
      </w:pPr>
      <w:bookmarkStart w:id="160" w:name="_Toc8666"/>
      <w:bookmarkStart w:id="161" w:name="_Toc5588"/>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我单位（本人）专指参加政府采购活动的供应商（含自然人）</w:t>
      </w:r>
      <w:r>
        <w:rPr>
          <w:rFonts w:hint="eastAsia" w:ascii="宋体" w:hAnsi="宋体" w:eastAsia="宋体" w:cs="宋体"/>
          <w:color w:val="auto"/>
          <w:sz w:val="24"/>
          <w:szCs w:val="24"/>
          <w:highlight w:val="none"/>
          <w:lang w:eastAsia="zh-CN"/>
        </w:rPr>
        <w:t>。</w:t>
      </w:r>
      <w:bookmarkEnd w:id="160"/>
      <w:bookmarkEnd w:id="161"/>
    </w:p>
    <w:p w14:paraId="14FFB8C9">
      <w:pPr>
        <w:widowControl w:val="0"/>
        <w:spacing w:line="420" w:lineRule="exact"/>
        <w:ind w:left="12" w:hanging="12" w:hangingChars="5"/>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2、供应商须在投标文件中按此模板提供承诺函，既未提供上述承诺函又未提供对应事项证明材料的，视为未实质响应招标文件要求，按无效投标处理。</w:t>
      </w:r>
    </w:p>
    <w:p w14:paraId="41C96AD1">
      <w:pPr>
        <w:widowControl w:val="0"/>
        <w:spacing w:line="420" w:lineRule="exact"/>
        <w:ind w:left="12" w:hanging="12" w:hangingChars="5"/>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3、采购人可以在公告中标结果后、签订政府采购合同前, 核实中标供应商所作信用承诺事项的真实性。</w:t>
      </w:r>
    </w:p>
    <w:p w14:paraId="0B296D84">
      <w:pPr>
        <w:widowControl w:val="0"/>
        <w:kinsoku/>
        <w:autoSpaceDE/>
        <w:autoSpaceDN/>
        <w:adjustRightInd/>
        <w:snapToGrid/>
        <w:spacing w:line="400" w:lineRule="exact"/>
        <w:jc w:val="both"/>
        <w:textAlignment w:val="auto"/>
        <w:rPr>
          <w:rFonts w:hint="eastAsia" w:ascii="宋体" w:hAnsi="宋体" w:eastAsia="宋体" w:cs="宋体"/>
          <w:b/>
          <w:bCs/>
          <w:color w:val="auto"/>
          <w:sz w:val="24"/>
          <w:szCs w:val="24"/>
          <w:highlight w:val="none"/>
          <w:lang w:eastAsia="zh-CN"/>
        </w:rPr>
      </w:pPr>
    </w:p>
    <w:p w14:paraId="1F34A2F6">
      <w:pPr>
        <w:widowControl w:val="0"/>
        <w:jc w:val="both"/>
        <w:rPr>
          <w:rFonts w:hint="eastAsia" w:ascii="宋体" w:hAnsi="宋体" w:eastAsia="宋体" w:cs="宋体"/>
          <w:color w:val="auto"/>
          <w:highlight w:val="none"/>
          <w:lang w:eastAsia="zh-CN"/>
        </w:rPr>
      </w:pPr>
    </w:p>
    <w:p w14:paraId="1524AA0A">
      <w:pPr>
        <w:widowControl w:val="0"/>
        <w:spacing w:line="219" w:lineRule="auto"/>
        <w:jc w:val="both"/>
        <w:rPr>
          <w:rFonts w:hint="eastAsia" w:ascii="宋体" w:hAnsi="宋体" w:eastAsia="宋体" w:cs="宋体"/>
          <w:color w:val="auto"/>
          <w:sz w:val="24"/>
          <w:szCs w:val="24"/>
          <w:highlight w:val="none"/>
          <w:lang w:eastAsia="zh-CN"/>
        </w:rPr>
        <w:sectPr>
          <w:footerReference r:id="rId11" w:type="default"/>
          <w:pgSz w:w="11906" w:h="16839"/>
          <w:pgMar w:top="1431" w:right="1786" w:bottom="1429" w:left="1786" w:header="0" w:footer="994" w:gutter="0"/>
          <w:pgNumType w:fmt="decimal"/>
          <w:cols w:space="720" w:num="1"/>
        </w:sectPr>
      </w:pPr>
    </w:p>
    <w:p w14:paraId="162BA0AA">
      <w:pPr>
        <w:widowControl w:val="0"/>
        <w:spacing w:before="78" w:line="360" w:lineRule="auto"/>
        <w:ind w:left="40"/>
        <w:jc w:val="both"/>
        <w:outlineLvl w:val="1"/>
        <w:rPr>
          <w:rFonts w:hint="eastAsia" w:ascii="宋体" w:hAnsi="宋体" w:eastAsia="宋体" w:cs="宋体"/>
          <w:b/>
          <w:bCs/>
          <w:color w:val="auto"/>
          <w:sz w:val="24"/>
          <w:szCs w:val="24"/>
          <w:highlight w:val="none"/>
          <w:lang w:eastAsia="zh-CN"/>
        </w:rPr>
      </w:pPr>
      <w:bookmarkStart w:id="162" w:name="_Toc27776"/>
      <w:bookmarkStart w:id="163" w:name="_Toc17165"/>
      <w:r>
        <w:rPr>
          <w:rFonts w:hint="eastAsia" w:ascii="宋体" w:hAnsi="宋体" w:eastAsia="宋体" w:cs="宋体"/>
          <w:b/>
          <w:bCs/>
          <w:color w:val="auto"/>
          <w:sz w:val="24"/>
          <w:szCs w:val="24"/>
          <w:highlight w:val="none"/>
          <w:lang w:eastAsia="zh-CN"/>
        </w:rPr>
        <w:t>说明：如供应商提供了《江西省政府采购供应商资格信用承诺函》的，视同提供了满足“《中华人民共和国政府采购法》第二十二条规定”的证明文件，未提供《江西省政府采购供应商资格信用承诺函》的，须提供下列项证明文件，证明其满足“《中华人民共和国政府采购法》第二十二条规定”。</w:t>
      </w:r>
      <w:bookmarkEnd w:id="162"/>
      <w:bookmarkEnd w:id="163"/>
    </w:p>
    <w:p w14:paraId="4AE599CF">
      <w:pPr>
        <w:widowControl w:val="0"/>
        <w:spacing w:line="360" w:lineRule="auto"/>
        <w:ind w:left="40"/>
        <w:jc w:val="both"/>
        <w:outlineLvl w:val="1"/>
        <w:rPr>
          <w:rFonts w:hint="eastAsia" w:ascii="宋体" w:hAnsi="宋体" w:eastAsia="宋体" w:cs="宋体"/>
          <w:color w:val="auto"/>
          <w:sz w:val="24"/>
          <w:szCs w:val="24"/>
          <w:highlight w:val="none"/>
          <w:lang w:eastAsia="zh-CN"/>
        </w:rPr>
      </w:pPr>
      <w:bookmarkStart w:id="164" w:name="_Toc3580"/>
      <w:bookmarkStart w:id="165" w:name="_Toc21967"/>
      <w:r>
        <w:rPr>
          <w:rFonts w:hint="eastAsia" w:ascii="宋体" w:hAnsi="宋体" w:eastAsia="宋体" w:cs="宋体"/>
          <w:b/>
          <w:bCs/>
          <w:color w:val="auto"/>
          <w:sz w:val="24"/>
          <w:szCs w:val="24"/>
          <w:highlight w:val="none"/>
          <w:lang w:eastAsia="zh-CN"/>
        </w:rPr>
        <w:t>1、</w:t>
      </w:r>
      <w:r>
        <w:rPr>
          <w:rFonts w:hint="eastAsia" w:ascii="宋体" w:hAnsi="宋体" w:eastAsia="宋体" w:cs="宋体"/>
          <w:color w:val="auto"/>
          <w:sz w:val="24"/>
          <w:szCs w:val="24"/>
          <w:highlight w:val="none"/>
          <w:lang w:eastAsia="zh-CN"/>
        </w:rPr>
        <w:t>具有独立承担民事责任的能力的资格证明文件</w:t>
      </w:r>
      <w:bookmarkEnd w:id="164"/>
      <w:bookmarkEnd w:id="165"/>
    </w:p>
    <w:p w14:paraId="68761E0C">
      <w:pPr>
        <w:widowControl w:val="0"/>
        <w:kinsoku/>
        <w:spacing w:line="360" w:lineRule="auto"/>
        <w:ind w:left="454" w:right="96" w:firstLine="6"/>
        <w:jc w:val="both"/>
        <w:rPr>
          <w:rFonts w:hint="eastAsia" w:ascii="宋体" w:hAnsi="宋体" w:eastAsia="宋体" w:cs="宋体"/>
          <w:color w:val="auto"/>
          <w:highlight w:val="none"/>
          <w:lang w:eastAsia="zh-CN"/>
        </w:rPr>
      </w:pPr>
      <w:r>
        <w:rPr>
          <w:rFonts w:hint="eastAsia" w:ascii="宋体" w:hAnsi="宋体" w:eastAsia="宋体" w:cs="宋体"/>
          <w:color w:val="auto"/>
          <w:sz w:val="24"/>
          <w:szCs w:val="24"/>
          <w:highlight w:val="none"/>
          <w:lang w:eastAsia="zh-CN"/>
        </w:rPr>
        <w:t>如投标人是企业的（包括合伙企业）应提供有效的“企业法人营业执照 ”或“营 业执照 ”；如投标人是事业单位的应提供“事业单位法人证书 ”；如投标人是非企业专业服务机构的应提供执业许可证等证明文件；投标人是个体工商户的应提供有效的“个体工商户营业执照 ”、组织机构代码证证明文件（实行“统一社会信用代码 ”的不需单独提供组织机构代码证）；如投标人是自然人的，应提供有效的自然人的身份证明(中国公民)。</w:t>
      </w:r>
    </w:p>
    <w:p w14:paraId="32854A6E">
      <w:pPr>
        <w:widowControl w:val="0"/>
        <w:ind w:left="37"/>
        <w:jc w:val="both"/>
        <w:outlineLvl w:val="1"/>
        <w:rPr>
          <w:rFonts w:hint="eastAsia" w:ascii="宋体" w:hAnsi="宋体" w:eastAsia="宋体" w:cs="宋体"/>
          <w:color w:val="auto"/>
          <w:sz w:val="24"/>
          <w:szCs w:val="24"/>
          <w:highlight w:val="none"/>
          <w:lang w:eastAsia="zh-CN"/>
        </w:rPr>
      </w:pPr>
      <w:bookmarkStart w:id="166" w:name="_Toc16949"/>
      <w:bookmarkStart w:id="167" w:name="_Toc25842"/>
      <w:r>
        <w:rPr>
          <w:rFonts w:hint="eastAsia" w:ascii="宋体" w:hAnsi="宋体" w:eastAsia="宋体" w:cs="宋体"/>
          <w:b/>
          <w:bCs/>
          <w:color w:val="auto"/>
          <w:sz w:val="24"/>
          <w:szCs w:val="24"/>
          <w:highlight w:val="none"/>
          <w:lang w:eastAsia="zh-CN"/>
        </w:rPr>
        <w:t>2、</w:t>
      </w:r>
      <w:r>
        <w:rPr>
          <w:rFonts w:hint="eastAsia" w:ascii="宋体" w:hAnsi="宋体" w:eastAsia="宋体" w:cs="宋体"/>
          <w:color w:val="auto"/>
          <w:sz w:val="24"/>
          <w:szCs w:val="24"/>
          <w:highlight w:val="none"/>
          <w:lang w:eastAsia="zh-CN"/>
        </w:rPr>
        <w:t>具有良好的商业信誉和健全的财务会计制度的证明文件</w:t>
      </w:r>
      <w:bookmarkEnd w:id="166"/>
      <w:bookmarkEnd w:id="167"/>
    </w:p>
    <w:p w14:paraId="41601B9F">
      <w:pPr>
        <w:widowControl w:val="0"/>
        <w:spacing w:line="500" w:lineRule="atLeast"/>
        <w:ind w:left="457" w:right="99" w:firstLine="2"/>
        <w:jc w:val="both"/>
        <w:rPr>
          <w:rFonts w:hint="eastAsia" w:ascii="宋体" w:hAnsi="宋体" w:eastAsia="宋体" w:cs="宋体"/>
          <w:color w:val="auto"/>
          <w:highlight w:val="none"/>
          <w:lang w:eastAsia="zh-CN"/>
        </w:rPr>
      </w:pPr>
      <w:r>
        <w:rPr>
          <w:rFonts w:hint="eastAsia" w:ascii="宋体" w:hAnsi="宋体" w:eastAsia="宋体" w:cs="宋体"/>
          <w:color w:val="auto"/>
          <w:sz w:val="24"/>
          <w:szCs w:val="24"/>
          <w:highlight w:val="none"/>
          <w:lang w:eastAsia="zh-CN"/>
        </w:rPr>
        <w:t>投标人是法人的，提供开标前二个年度内任一年度经审计的财务状况报告，或在开标前三个月内其基本开户银行出具的资信证明；其他组织和自然人，没有经审计的财务报告，可以提供在开标前三个月内银行出具的资信证明；个体工商户提 供开标前三个月中国人民银行征信中心开具个人信用报告。</w:t>
      </w:r>
    </w:p>
    <w:p w14:paraId="2389CE9A">
      <w:pPr>
        <w:widowControl w:val="0"/>
        <w:spacing w:line="500" w:lineRule="atLeast"/>
        <w:ind w:left="37"/>
        <w:jc w:val="both"/>
        <w:outlineLvl w:val="1"/>
        <w:rPr>
          <w:rFonts w:hint="eastAsia" w:ascii="宋体" w:hAnsi="宋体" w:eastAsia="宋体" w:cs="宋体"/>
          <w:color w:val="auto"/>
          <w:sz w:val="24"/>
          <w:szCs w:val="24"/>
          <w:highlight w:val="none"/>
          <w:lang w:eastAsia="zh-CN"/>
        </w:rPr>
      </w:pPr>
      <w:bookmarkStart w:id="168" w:name="_Toc11966"/>
      <w:bookmarkStart w:id="169" w:name="_Toc4387"/>
      <w:r>
        <w:rPr>
          <w:rFonts w:hint="eastAsia" w:ascii="宋体" w:hAnsi="宋体" w:eastAsia="宋体" w:cs="宋体"/>
          <w:color w:val="auto"/>
          <w:sz w:val="24"/>
          <w:szCs w:val="24"/>
          <w:highlight w:val="none"/>
          <w:lang w:eastAsia="zh-CN"/>
        </w:rPr>
        <w:t>3、具有履行合同所必需的设备和专业技术能力的证明文件</w:t>
      </w:r>
      <w:bookmarkEnd w:id="168"/>
      <w:bookmarkEnd w:id="169"/>
    </w:p>
    <w:p w14:paraId="440D1BDB">
      <w:pPr>
        <w:widowControl w:val="0"/>
        <w:spacing w:line="500" w:lineRule="atLeast"/>
        <w:ind w:firstLine="480" w:firstLineChars="200"/>
        <w:jc w:val="both"/>
        <w:rPr>
          <w:rFonts w:hint="eastAsia" w:ascii="宋体" w:hAnsi="宋体" w:eastAsia="宋体" w:cs="宋体"/>
          <w:color w:val="auto"/>
          <w:highlight w:val="none"/>
          <w:lang w:eastAsia="zh-CN"/>
        </w:rPr>
      </w:pPr>
      <w:r>
        <w:rPr>
          <w:rFonts w:hint="eastAsia" w:ascii="宋体" w:hAnsi="宋体" w:eastAsia="宋体" w:cs="宋体"/>
          <w:color w:val="auto"/>
          <w:sz w:val="24"/>
          <w:szCs w:val="24"/>
          <w:highlight w:val="none"/>
          <w:lang w:eastAsia="zh-CN"/>
        </w:rPr>
        <w:t>投标人提供具有履行合同所必需的设备和专业技术能力的承诺函。</w:t>
      </w:r>
    </w:p>
    <w:p w14:paraId="724CA48D">
      <w:pPr>
        <w:widowControl w:val="0"/>
        <w:spacing w:line="500" w:lineRule="atLeast"/>
        <w:ind w:left="37"/>
        <w:jc w:val="both"/>
        <w:outlineLvl w:val="1"/>
        <w:rPr>
          <w:rFonts w:hint="eastAsia" w:ascii="宋体" w:hAnsi="宋体" w:eastAsia="宋体" w:cs="宋体"/>
          <w:color w:val="auto"/>
          <w:sz w:val="24"/>
          <w:szCs w:val="24"/>
          <w:highlight w:val="none"/>
          <w:lang w:eastAsia="zh-CN"/>
        </w:rPr>
      </w:pPr>
      <w:bookmarkStart w:id="170" w:name="_Toc8833"/>
      <w:bookmarkStart w:id="171" w:name="_Toc10827"/>
      <w:r>
        <w:rPr>
          <w:rFonts w:hint="eastAsia" w:ascii="宋体" w:hAnsi="宋体" w:eastAsia="宋体" w:cs="宋体"/>
          <w:color w:val="auto"/>
          <w:sz w:val="24"/>
          <w:szCs w:val="24"/>
          <w:highlight w:val="none"/>
          <w:lang w:eastAsia="zh-CN"/>
        </w:rPr>
        <w:t>4、有依法缴纳税收和社会保障资金的良好记录的证明文件</w:t>
      </w:r>
      <w:bookmarkEnd w:id="170"/>
      <w:bookmarkEnd w:id="171"/>
    </w:p>
    <w:p w14:paraId="2AB977B4">
      <w:pPr>
        <w:widowControl w:val="0"/>
        <w:spacing w:line="500" w:lineRule="atLeast"/>
        <w:ind w:left="463" w:right="99" w:hanging="7"/>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税务登记证（实行“统一社会信用代码 ”的不需单独提供）和开标前六个月内任意一个月的企业缴税凭证或证明；</w:t>
      </w:r>
    </w:p>
    <w:p w14:paraId="784575AB">
      <w:pPr>
        <w:widowControl w:val="0"/>
        <w:spacing w:line="500" w:lineRule="atLeast"/>
        <w:ind w:left="455" w:right="99" w:firstLine="2"/>
        <w:jc w:val="both"/>
        <w:rPr>
          <w:rFonts w:hint="eastAsia" w:ascii="宋体" w:hAnsi="宋体" w:eastAsia="宋体" w:cs="宋体"/>
          <w:color w:val="auto"/>
          <w:highlight w:val="none"/>
          <w:lang w:eastAsia="zh-CN"/>
        </w:rPr>
      </w:pPr>
      <w:r>
        <w:rPr>
          <w:rFonts w:hint="eastAsia" w:ascii="宋体" w:hAnsi="宋体" w:eastAsia="宋体" w:cs="宋体"/>
          <w:color w:val="auto"/>
          <w:sz w:val="24"/>
          <w:szCs w:val="24"/>
          <w:highlight w:val="none"/>
          <w:lang w:eastAsia="zh-CN"/>
        </w:rPr>
        <w:t>开标前六个月内任意一个月的缴纳社会保障资金的凭证或当地社会保障局出具的缴纳明细。依法免税或不需要缴纳社会保障资金的投标人，应当提供相关文件证 明其依法免税或不需要缴纳社会保障资金。</w:t>
      </w:r>
    </w:p>
    <w:p w14:paraId="0FBDD152">
      <w:pPr>
        <w:widowControl w:val="0"/>
        <w:spacing w:line="500" w:lineRule="atLeast"/>
        <w:ind w:left="37"/>
        <w:jc w:val="both"/>
        <w:outlineLvl w:val="1"/>
        <w:rPr>
          <w:rFonts w:hint="eastAsia" w:ascii="宋体" w:hAnsi="宋体" w:eastAsia="宋体" w:cs="宋体"/>
          <w:color w:val="auto"/>
          <w:sz w:val="24"/>
          <w:szCs w:val="24"/>
          <w:highlight w:val="none"/>
          <w:lang w:eastAsia="zh-CN"/>
        </w:rPr>
      </w:pPr>
      <w:bookmarkStart w:id="172" w:name="_Toc13511"/>
      <w:bookmarkStart w:id="173" w:name="_Toc23601"/>
      <w:r>
        <w:rPr>
          <w:rFonts w:hint="eastAsia" w:ascii="宋体" w:hAnsi="宋体" w:eastAsia="宋体" w:cs="宋体"/>
          <w:color w:val="auto"/>
          <w:sz w:val="24"/>
          <w:szCs w:val="24"/>
          <w:highlight w:val="none"/>
          <w:lang w:eastAsia="zh-CN"/>
        </w:rPr>
        <w:t>5、参加政府采购活动前三年内，在经营活动中没有重大违法记录的证明文件</w:t>
      </w:r>
      <w:bookmarkEnd w:id="172"/>
      <w:bookmarkEnd w:id="173"/>
    </w:p>
    <w:p w14:paraId="2B259966">
      <w:pPr>
        <w:widowControl w:val="0"/>
        <w:kinsoku/>
        <w:wordWrap w:val="0"/>
        <w:autoSpaceDE/>
        <w:autoSpaceDN/>
        <w:spacing w:line="500" w:lineRule="atLeast"/>
        <w:ind w:left="420" w:leftChars="200" w:right="96"/>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参加政府采购前三年内,在经营活动中没有重大违法记录承诺函；重大违法记录，是指投标人因违法经营受到刑事处罚或者责令停产停业、吊销许可</w:t>
      </w:r>
    </w:p>
    <w:p w14:paraId="66143231">
      <w:pPr>
        <w:spacing w:beforeLines="76"/>
        <w:ind w:firstLine="42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证或者执照、较大罚款等行政处罚。</w:t>
      </w:r>
    </w:p>
    <w:p w14:paraId="1E419158">
      <w:pPr>
        <w:widowControl w:val="0"/>
        <w:spacing w:line="560" w:lineRule="exact"/>
        <w:ind w:left="37"/>
        <w:jc w:val="both"/>
        <w:outlineLvl w:val="1"/>
        <w:rPr>
          <w:rFonts w:hint="eastAsia" w:ascii="宋体" w:hAnsi="宋体" w:eastAsia="宋体" w:cs="宋体"/>
          <w:color w:val="auto"/>
          <w:sz w:val="24"/>
          <w:szCs w:val="24"/>
          <w:highlight w:val="none"/>
          <w:lang w:eastAsia="zh-CN"/>
        </w:rPr>
      </w:pPr>
      <w:bookmarkStart w:id="174" w:name="_Toc5859"/>
      <w:bookmarkStart w:id="175" w:name="_Toc18091"/>
      <w:r>
        <w:rPr>
          <w:rFonts w:hint="eastAsia" w:ascii="宋体" w:hAnsi="宋体" w:eastAsia="宋体" w:cs="宋体"/>
          <w:color w:val="auto"/>
          <w:sz w:val="24"/>
          <w:szCs w:val="24"/>
          <w:highlight w:val="none"/>
          <w:lang w:eastAsia="zh-CN"/>
        </w:rPr>
        <w:t>6、法律、行政法规规定的其他条件的证明文件</w:t>
      </w:r>
      <w:bookmarkEnd w:id="174"/>
      <w:bookmarkEnd w:id="175"/>
    </w:p>
    <w:p w14:paraId="4E67B72C">
      <w:pPr>
        <w:widowControl w:val="0"/>
        <w:spacing w:line="560" w:lineRule="exact"/>
        <w:ind w:left="420" w:leftChars="200" w:right="99"/>
        <w:jc w:val="both"/>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eastAsia="zh-CN"/>
        </w:rPr>
        <w:t>提供材料说明：</w:t>
      </w:r>
      <w:r>
        <w:rPr>
          <w:rFonts w:hint="eastAsia" w:ascii="宋体" w:hAnsi="宋体" w:eastAsia="宋体" w:cs="宋体"/>
          <w:color w:val="auto"/>
          <w:sz w:val="24"/>
          <w:szCs w:val="24"/>
          <w:highlight w:val="none"/>
          <w:lang w:val="zh-CN" w:eastAsia="zh-CN"/>
        </w:rPr>
        <w:t>提供</w:t>
      </w:r>
      <w:r>
        <w:rPr>
          <w:rFonts w:hint="eastAsia" w:ascii="宋体" w:hAnsi="宋体" w:eastAsia="宋体" w:cs="宋体"/>
          <w:color w:val="auto"/>
          <w:sz w:val="24"/>
          <w:szCs w:val="24"/>
          <w:highlight w:val="none"/>
          <w:lang w:eastAsia="zh-CN"/>
        </w:rPr>
        <w:t>满足法律、行政法规规定的其他条件的承诺函（格式自拟）</w:t>
      </w:r>
      <w:r>
        <w:rPr>
          <w:rFonts w:hint="eastAsia" w:ascii="宋体" w:hAnsi="宋体" w:eastAsia="宋体" w:cs="宋体"/>
          <w:color w:val="auto"/>
          <w:sz w:val="24"/>
          <w:szCs w:val="24"/>
          <w:highlight w:val="none"/>
          <w:lang w:val="zh-CN" w:eastAsia="zh-CN"/>
        </w:rPr>
        <w:t>。</w:t>
      </w:r>
    </w:p>
    <w:p w14:paraId="18FDBBD3">
      <w:pPr>
        <w:widowControl w:val="0"/>
        <w:spacing w:line="560" w:lineRule="exact"/>
        <w:ind w:right="99" w:firstLine="482"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备注：本项目对特定资格要求有规定并需要提供证明材料的，从其规定，与本条款不冲突。</w:t>
      </w:r>
    </w:p>
    <w:p w14:paraId="4761F377">
      <w:pPr>
        <w:pStyle w:val="23"/>
        <w:widowControl w:val="0"/>
        <w:jc w:val="both"/>
        <w:rPr>
          <w:rFonts w:hint="eastAsia" w:ascii="宋体" w:hAnsi="宋体" w:eastAsia="宋体" w:cs="宋体"/>
          <w:color w:val="auto"/>
          <w:highlight w:val="none"/>
          <w:lang w:eastAsia="zh-CN"/>
        </w:rPr>
        <w:sectPr>
          <w:footerReference r:id="rId12" w:type="default"/>
          <w:pgSz w:w="11906" w:h="16839"/>
          <w:pgMar w:top="1431" w:right="1786" w:bottom="1429" w:left="1785" w:header="0" w:footer="994" w:gutter="0"/>
          <w:pgNumType w:fmt="decimal"/>
          <w:cols w:space="720" w:num="1"/>
        </w:sectPr>
      </w:pPr>
    </w:p>
    <w:p w14:paraId="735A29D9">
      <w:pPr>
        <w:widowControl w:val="0"/>
        <w:spacing w:before="100" w:line="219" w:lineRule="auto"/>
        <w:ind w:left="3013"/>
        <w:outlineLvl w:val="2"/>
        <w:rPr>
          <w:rFonts w:hint="eastAsia" w:ascii="宋体" w:hAnsi="宋体" w:eastAsia="宋体" w:cs="宋体"/>
          <w:color w:val="auto"/>
          <w:sz w:val="24"/>
          <w:szCs w:val="24"/>
          <w:highlight w:val="none"/>
          <w:lang w:eastAsia="zh-CN"/>
        </w:rPr>
      </w:pPr>
      <w:bookmarkStart w:id="176" w:name="_Toc31607"/>
      <w:bookmarkStart w:id="177" w:name="_Toc9064"/>
      <w:r>
        <w:rPr>
          <w:rFonts w:hint="eastAsia" w:ascii="宋体" w:hAnsi="宋体" w:eastAsia="宋体" w:cs="宋体"/>
          <w:color w:val="auto"/>
          <w:sz w:val="24"/>
          <w:szCs w:val="24"/>
          <w:highlight w:val="none"/>
          <w:lang w:eastAsia="zh-CN"/>
        </w:rPr>
        <w:t>格式</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-2法定代表人授权书</w:t>
      </w:r>
      <w:bookmarkEnd w:id="176"/>
      <w:bookmarkEnd w:id="177"/>
    </w:p>
    <w:p w14:paraId="6484883B">
      <w:pPr>
        <w:widowControl w:val="0"/>
        <w:spacing w:line="276" w:lineRule="auto"/>
        <w:rPr>
          <w:rFonts w:hint="eastAsia" w:ascii="宋体" w:hAnsi="宋体" w:eastAsia="宋体" w:cs="宋体"/>
          <w:color w:val="auto"/>
          <w:highlight w:val="none"/>
          <w:lang w:eastAsia="zh-CN"/>
        </w:rPr>
      </w:pPr>
    </w:p>
    <w:p w14:paraId="27D5AC17">
      <w:pPr>
        <w:widowControl w:val="0"/>
        <w:spacing w:line="276" w:lineRule="auto"/>
        <w:rPr>
          <w:rFonts w:hint="eastAsia" w:ascii="宋体" w:hAnsi="宋体" w:eastAsia="宋体" w:cs="宋体"/>
          <w:color w:val="auto"/>
          <w:highlight w:val="none"/>
          <w:lang w:eastAsia="zh-CN"/>
        </w:rPr>
      </w:pPr>
    </w:p>
    <w:p w14:paraId="271935D2">
      <w:pPr>
        <w:widowControl w:val="0"/>
        <w:spacing w:line="360" w:lineRule="auto"/>
        <w:ind w:left="37"/>
        <w:rPr>
          <w:rFonts w:hint="eastAsia" w:ascii="宋体" w:hAnsi="宋体" w:eastAsia="宋体" w:cs="宋体"/>
          <w:color w:val="auto"/>
          <w:highlight w:val="none"/>
          <w:u w:val="single"/>
          <w:lang w:eastAsia="zh-CN"/>
        </w:rPr>
      </w:pPr>
      <w:r>
        <w:rPr>
          <w:rFonts w:hint="eastAsia" w:ascii="宋体" w:hAnsi="宋体" w:eastAsia="宋体" w:cs="宋体"/>
          <w:color w:val="auto"/>
          <w:sz w:val="24"/>
          <w:szCs w:val="24"/>
          <w:highlight w:val="none"/>
          <w:lang w:eastAsia="zh-CN"/>
        </w:rPr>
        <w:t>致：</w:t>
      </w:r>
      <w:r>
        <w:rPr>
          <w:rFonts w:hint="eastAsia" w:ascii="宋体" w:hAnsi="宋体" w:eastAsia="宋体" w:cs="宋体"/>
          <w:color w:val="auto"/>
          <w:sz w:val="24"/>
          <w:szCs w:val="24"/>
          <w:highlight w:val="none"/>
          <w:u w:val="single"/>
          <w:lang w:eastAsia="zh-CN"/>
        </w:rPr>
        <w:t>采购代理机构名称</w:t>
      </w:r>
    </w:p>
    <w:p w14:paraId="255ED01F">
      <w:pPr>
        <w:widowControl w:val="0"/>
        <w:spacing w:line="360" w:lineRule="auto"/>
        <w:rPr>
          <w:rFonts w:hint="eastAsia" w:ascii="宋体" w:hAnsi="宋体" w:eastAsia="宋体" w:cs="宋体"/>
          <w:color w:val="auto"/>
          <w:highlight w:val="none"/>
          <w:lang w:eastAsia="zh-CN"/>
        </w:rPr>
      </w:pPr>
    </w:p>
    <w:p w14:paraId="3CC7357B">
      <w:pPr>
        <w:widowControl w:val="0"/>
        <w:tabs>
          <w:tab w:val="left" w:pos="2548"/>
        </w:tabs>
        <w:spacing w:line="480" w:lineRule="auto"/>
        <w:ind w:firstLine="480" w:firstLineChars="200"/>
        <w:jc w:val="both"/>
        <w:rPr>
          <w:rFonts w:hint="eastAsia" w:ascii="宋体" w:hAnsi="宋体" w:eastAsia="宋体" w:cs="宋体"/>
          <w:color w:val="auto"/>
          <w:highlight w:val="none"/>
          <w:lang w:eastAsia="zh-CN"/>
        </w:rPr>
      </w:pPr>
      <w:r>
        <w:rPr>
          <w:rFonts w:hint="eastAsia" w:ascii="宋体" w:hAnsi="宋体" w:eastAsia="宋体" w:cs="宋体"/>
          <w:color w:val="auto"/>
          <w:sz w:val="24"/>
          <w:szCs w:val="24"/>
          <w:highlight w:val="none"/>
          <w:u w:val="single"/>
          <w:lang w:eastAsia="zh-CN"/>
        </w:rPr>
        <w:tab/>
      </w:r>
      <w:r>
        <w:rPr>
          <w:rFonts w:hint="eastAsia" w:ascii="宋体" w:hAnsi="宋体" w:eastAsia="宋体" w:cs="宋体"/>
          <w:color w:val="auto"/>
          <w:sz w:val="24"/>
          <w:szCs w:val="24"/>
          <w:highlight w:val="none"/>
          <w:lang w:eastAsia="zh-CN"/>
        </w:rPr>
        <w:t>（投标人全称）法定代表人  授权 （全权代表姓名）为全权代表,参加贵处组织的 （项目编号）项目招标活动，全权代表我方处理招标活动中的一切事宜。</w:t>
      </w:r>
    </w:p>
    <w:p w14:paraId="303D21F1">
      <w:pPr>
        <w:widowControl w:val="0"/>
        <w:spacing w:line="360" w:lineRule="auto"/>
        <w:rPr>
          <w:rFonts w:hint="eastAsia" w:ascii="宋体" w:hAnsi="宋体" w:eastAsia="宋体" w:cs="宋体"/>
          <w:color w:val="auto"/>
          <w:highlight w:val="none"/>
          <w:lang w:eastAsia="zh-CN"/>
        </w:rPr>
      </w:pPr>
    </w:p>
    <w:p w14:paraId="3C379E26">
      <w:pPr>
        <w:widowControl w:val="0"/>
        <w:spacing w:line="360" w:lineRule="auto"/>
        <w:rPr>
          <w:rFonts w:hint="eastAsia" w:ascii="宋体" w:hAnsi="宋体" w:eastAsia="宋体" w:cs="宋体"/>
          <w:color w:val="auto"/>
          <w:highlight w:val="none"/>
          <w:lang w:eastAsia="zh-CN"/>
        </w:rPr>
      </w:pPr>
    </w:p>
    <w:p w14:paraId="0983B36D">
      <w:pPr>
        <w:widowControl w:val="0"/>
        <w:spacing w:before="78" w:afterLines="33" w:line="360" w:lineRule="auto"/>
        <w:ind w:left="4598"/>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法定代表人签字或签章：</w:t>
      </w:r>
    </w:p>
    <w:p w14:paraId="6065210A">
      <w:pPr>
        <w:widowControl w:val="0"/>
        <w:spacing w:line="360" w:lineRule="auto"/>
        <w:rPr>
          <w:rFonts w:hint="eastAsia" w:ascii="宋体" w:hAnsi="宋体" w:eastAsia="宋体" w:cs="宋体"/>
          <w:color w:val="auto"/>
          <w:highlight w:val="none"/>
          <w:lang w:eastAsia="zh-CN"/>
        </w:rPr>
      </w:pPr>
    </w:p>
    <w:p w14:paraId="2D70989E">
      <w:pPr>
        <w:widowControl w:val="0"/>
        <w:spacing w:line="360" w:lineRule="auto"/>
        <w:rPr>
          <w:rFonts w:hint="eastAsia" w:ascii="宋体" w:hAnsi="宋体" w:eastAsia="宋体" w:cs="宋体"/>
          <w:color w:val="auto"/>
          <w:highlight w:val="none"/>
          <w:lang w:eastAsia="zh-CN"/>
        </w:rPr>
      </w:pPr>
    </w:p>
    <w:p w14:paraId="50601D49">
      <w:pPr>
        <w:widowControl w:val="0"/>
        <w:spacing w:before="79" w:line="360" w:lineRule="auto"/>
        <w:ind w:left="46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投标人盖章：</w:t>
      </w:r>
    </w:p>
    <w:p w14:paraId="671C1D88">
      <w:pPr>
        <w:widowControl w:val="0"/>
        <w:spacing w:line="360" w:lineRule="auto"/>
        <w:rPr>
          <w:rFonts w:hint="eastAsia" w:ascii="宋体" w:hAnsi="宋体" w:eastAsia="宋体" w:cs="宋体"/>
          <w:color w:val="auto"/>
          <w:highlight w:val="none"/>
          <w:lang w:eastAsia="zh-CN"/>
        </w:rPr>
      </w:pPr>
    </w:p>
    <w:p w14:paraId="688AE36F">
      <w:pPr>
        <w:widowControl w:val="0"/>
        <w:spacing w:line="360" w:lineRule="auto"/>
        <w:rPr>
          <w:rFonts w:hint="eastAsia" w:ascii="宋体" w:hAnsi="宋体" w:eastAsia="宋体" w:cs="宋体"/>
          <w:color w:val="auto"/>
          <w:highlight w:val="none"/>
          <w:lang w:eastAsia="zh-CN"/>
        </w:rPr>
      </w:pPr>
    </w:p>
    <w:p w14:paraId="7DCD1B4A">
      <w:pPr>
        <w:pStyle w:val="25"/>
        <w:spacing w:after="520" w:line="605" w:lineRule="exact"/>
        <w:ind w:firstLine="0"/>
        <w:jc w:val="center"/>
        <w:rPr>
          <w:rFonts w:hint="eastAsia" w:ascii="宋体" w:hAnsi="宋体" w:eastAsia="宋体" w:cs="宋体"/>
          <w:color w:val="auto"/>
          <w:highlight w:val="none"/>
          <w:lang w:eastAsia="zh-CN"/>
        </w:rPr>
      </w:pPr>
      <w:r>
        <w:rPr>
          <w:rFonts w:hint="eastAsia" w:ascii="宋体" w:hAnsi="宋体" w:eastAsia="宋体" w:cs="宋体"/>
          <w:color w:val="auto"/>
          <w:sz w:val="24"/>
          <w:szCs w:val="24"/>
          <w:highlight w:val="none"/>
          <w:lang w:eastAsia="zh-CN"/>
        </w:rPr>
        <w:t>日  期：</w:t>
      </w:r>
      <w:r>
        <w:rPr>
          <w:rFonts w:hint="eastAsia" w:ascii="宋体" w:hAnsi="宋体" w:eastAsia="宋体" w:cs="宋体"/>
          <w:color w:val="auto"/>
          <w:sz w:val="24"/>
          <w:szCs w:val="24"/>
          <w:highlight w:val="none"/>
        </w:rPr>
        <w:t>年月日</w:t>
      </w:r>
    </w:p>
    <w:p w14:paraId="61DC9F42">
      <w:pPr>
        <w:widowControl w:val="0"/>
        <w:spacing w:line="360" w:lineRule="auto"/>
        <w:rPr>
          <w:rFonts w:hint="eastAsia" w:ascii="宋体" w:hAnsi="宋体" w:eastAsia="宋体" w:cs="宋体"/>
          <w:color w:val="auto"/>
          <w:highlight w:val="none"/>
          <w:lang w:eastAsia="zh-CN"/>
        </w:rPr>
      </w:pPr>
    </w:p>
    <w:p w14:paraId="1E7C25BB">
      <w:pPr>
        <w:widowControl w:val="0"/>
        <w:spacing w:before="79" w:line="360" w:lineRule="auto"/>
        <w:ind w:left="56"/>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附：</w:t>
      </w:r>
    </w:p>
    <w:p w14:paraId="2E35BEB2">
      <w:pPr>
        <w:widowControl w:val="0"/>
        <w:spacing w:before="183" w:line="360" w:lineRule="auto"/>
        <w:ind w:left="37"/>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全权代表姓名：</w:t>
      </w:r>
    </w:p>
    <w:p w14:paraId="48A93A46">
      <w:pPr>
        <w:widowControl w:val="0"/>
        <w:spacing w:before="1" w:line="360" w:lineRule="auto"/>
        <w:ind w:left="38"/>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职        务：</w:t>
      </w:r>
    </w:p>
    <w:p w14:paraId="67DBDC51">
      <w:pPr>
        <w:widowControl w:val="0"/>
        <w:spacing w:before="183" w:line="360" w:lineRule="auto"/>
        <w:ind w:left="65"/>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电        话：</w:t>
      </w:r>
    </w:p>
    <w:p w14:paraId="2D8CC9E3">
      <w:pPr>
        <w:widowControl w:val="0"/>
        <w:spacing w:before="180" w:line="360" w:lineRule="auto"/>
        <w:ind w:left="4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详细通讯地址：</w:t>
      </w:r>
    </w:p>
    <w:p w14:paraId="14C4EA93">
      <w:pPr>
        <w:widowControl w:val="0"/>
        <w:spacing w:before="181" w:line="360" w:lineRule="auto"/>
        <w:ind w:left="55"/>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电 子 邮 箱：</w:t>
      </w:r>
    </w:p>
    <w:p w14:paraId="0418674E">
      <w:pPr>
        <w:pStyle w:val="2"/>
        <w:rPr>
          <w:rFonts w:hint="eastAsia" w:ascii="宋体" w:hAnsi="宋体" w:eastAsia="宋体" w:cs="宋体"/>
          <w:color w:val="auto"/>
          <w:highlight w:val="none"/>
          <w:lang w:eastAsia="zh-CN"/>
        </w:rPr>
      </w:pPr>
    </w:p>
    <w:p w14:paraId="112A6A7E">
      <w:pPr>
        <w:widowControl w:val="0"/>
        <w:spacing w:before="79" w:line="360" w:lineRule="auto"/>
        <w:rPr>
          <w:rFonts w:hint="eastAsia" w:ascii="宋体" w:hAnsi="宋体" w:eastAsia="宋体" w:cs="宋体"/>
          <w:color w:val="auto"/>
          <w:highlight w:val="none"/>
          <w:lang w:eastAsia="zh-CN"/>
        </w:rPr>
      </w:pPr>
      <w:r>
        <w:rPr>
          <w:rFonts w:hint="eastAsia" w:ascii="宋体" w:hAnsi="宋体" w:eastAsia="宋体" w:cs="宋体"/>
          <w:color w:val="auto"/>
          <w:sz w:val="24"/>
          <w:szCs w:val="24"/>
          <w:highlight w:val="none"/>
          <w:lang w:eastAsia="zh-CN"/>
        </w:rPr>
        <w:t>附：法定代表人及全权代表身份原件证扫描件（正、反面）</w:t>
      </w:r>
    </w:p>
    <w:p w14:paraId="57015F7C">
      <w:pPr>
        <w:widowControl w:val="0"/>
        <w:spacing w:before="78" w:line="360" w:lineRule="auto"/>
        <w:ind w:left="4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说明：法定代表人参加采购，不用提供授权书。</w:t>
      </w:r>
    </w:p>
    <w:p w14:paraId="0C75C25D">
      <w:pPr>
        <w:widowControl w:val="0"/>
        <w:spacing w:line="360" w:lineRule="auto"/>
        <w:rPr>
          <w:rFonts w:hint="eastAsia" w:ascii="宋体" w:hAnsi="宋体" w:eastAsia="宋体" w:cs="宋体"/>
          <w:color w:val="auto"/>
          <w:sz w:val="24"/>
          <w:szCs w:val="24"/>
          <w:highlight w:val="none"/>
          <w:lang w:eastAsia="zh-CN"/>
        </w:rPr>
        <w:sectPr>
          <w:footerReference r:id="rId13" w:type="default"/>
          <w:pgSz w:w="11906" w:h="16839"/>
          <w:pgMar w:top="1431" w:right="1786" w:bottom="1429" w:left="1785" w:header="0" w:footer="994" w:gutter="0"/>
          <w:pgNumType w:fmt="decimal"/>
          <w:cols w:space="720" w:num="1"/>
        </w:sectPr>
      </w:pPr>
    </w:p>
    <w:p w14:paraId="21FB2EAF">
      <w:pPr>
        <w:widowControl w:val="0"/>
        <w:spacing w:before="101" w:line="360" w:lineRule="auto"/>
        <w:ind w:left="3013"/>
        <w:outlineLvl w:val="1"/>
        <w:rPr>
          <w:rFonts w:hint="eastAsia" w:ascii="宋体" w:hAnsi="宋体" w:eastAsia="宋体" w:cs="宋体"/>
          <w:color w:val="auto"/>
          <w:sz w:val="24"/>
          <w:szCs w:val="24"/>
          <w:highlight w:val="none"/>
          <w:lang w:eastAsia="zh-CN"/>
        </w:rPr>
      </w:pPr>
      <w:bookmarkStart w:id="178" w:name="_Toc27630"/>
      <w:bookmarkStart w:id="179" w:name="_Toc8864"/>
      <w:r>
        <w:rPr>
          <w:rFonts w:hint="eastAsia" w:ascii="宋体" w:hAnsi="宋体" w:eastAsia="宋体" w:cs="宋体"/>
          <w:color w:val="auto"/>
          <w:sz w:val="24"/>
          <w:szCs w:val="24"/>
          <w:highlight w:val="none"/>
          <w:lang w:eastAsia="zh-CN"/>
        </w:rPr>
        <w:t>格式</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-3投标人的资格声明</w:t>
      </w:r>
      <w:bookmarkEnd w:id="178"/>
      <w:bookmarkEnd w:id="179"/>
    </w:p>
    <w:p w14:paraId="2409E207">
      <w:pPr>
        <w:widowControl w:val="0"/>
        <w:spacing w:line="360" w:lineRule="auto"/>
        <w:rPr>
          <w:rFonts w:hint="eastAsia" w:ascii="宋体" w:hAnsi="宋体" w:eastAsia="宋体" w:cs="宋体"/>
          <w:color w:val="auto"/>
          <w:highlight w:val="none"/>
          <w:lang w:eastAsia="zh-CN"/>
        </w:rPr>
      </w:pPr>
    </w:p>
    <w:p w14:paraId="3F883C33">
      <w:pPr>
        <w:widowControl w:val="0"/>
        <w:spacing w:before="78" w:line="360" w:lineRule="auto"/>
        <w:ind w:left="375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（参考格式）</w:t>
      </w:r>
    </w:p>
    <w:p w14:paraId="5477B1E4">
      <w:pPr>
        <w:widowControl w:val="0"/>
        <w:spacing w:before="78" w:line="360" w:lineRule="auto"/>
        <w:ind w:left="37"/>
        <w:rPr>
          <w:rFonts w:hint="eastAsia" w:ascii="宋体" w:hAnsi="宋体" w:eastAsia="宋体" w:cs="宋体"/>
          <w:color w:val="auto"/>
          <w:highlight w:val="none"/>
          <w:u w:val="single"/>
          <w:lang w:eastAsia="zh-CN"/>
        </w:rPr>
      </w:pPr>
      <w:r>
        <w:rPr>
          <w:rFonts w:hint="eastAsia" w:ascii="宋体" w:hAnsi="宋体" w:eastAsia="宋体" w:cs="宋体"/>
          <w:color w:val="auto"/>
          <w:sz w:val="24"/>
          <w:szCs w:val="24"/>
          <w:highlight w:val="none"/>
          <w:lang w:eastAsia="zh-CN"/>
        </w:rPr>
        <w:t>致：</w:t>
      </w:r>
      <w:r>
        <w:rPr>
          <w:rFonts w:hint="eastAsia" w:ascii="宋体" w:hAnsi="宋体" w:eastAsia="宋体" w:cs="宋体"/>
          <w:color w:val="auto"/>
          <w:sz w:val="24"/>
          <w:szCs w:val="24"/>
          <w:highlight w:val="none"/>
          <w:u w:val="single"/>
          <w:lang w:eastAsia="zh-CN"/>
        </w:rPr>
        <w:t>采购代理机构名称</w:t>
      </w:r>
    </w:p>
    <w:p w14:paraId="782687C4">
      <w:pPr>
        <w:widowControl w:val="0"/>
        <w:spacing w:line="360" w:lineRule="auto"/>
        <w:jc w:val="both"/>
        <w:rPr>
          <w:rFonts w:hint="eastAsia" w:ascii="宋体" w:hAnsi="宋体" w:eastAsia="宋体" w:cs="宋体"/>
          <w:color w:val="auto"/>
          <w:highlight w:val="none"/>
          <w:lang w:eastAsia="zh-CN"/>
        </w:rPr>
      </w:pPr>
    </w:p>
    <w:p w14:paraId="4479981F">
      <w:pPr>
        <w:widowControl w:val="0"/>
        <w:spacing w:before="78" w:line="360" w:lineRule="auto"/>
        <w:ind w:left="38" w:firstLine="479"/>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为响应贵方</w:t>
      </w:r>
      <w:r>
        <w:rPr>
          <w:rFonts w:hint="eastAsia" w:ascii="宋体" w:hAnsi="宋体" w:eastAsia="宋体" w:cs="宋体"/>
          <w:color w:val="auto"/>
          <w:sz w:val="24"/>
          <w:szCs w:val="24"/>
          <w:highlight w:val="none"/>
          <w:u w:val="single"/>
          <w:lang w:eastAsia="zh-CN"/>
        </w:rPr>
        <w:t>（项目名称、项目编号）</w:t>
      </w:r>
      <w:r>
        <w:rPr>
          <w:rFonts w:hint="eastAsia" w:ascii="宋体" w:hAnsi="宋体" w:eastAsia="宋体" w:cs="宋体"/>
          <w:color w:val="auto"/>
          <w:sz w:val="24"/>
          <w:szCs w:val="24"/>
          <w:highlight w:val="none"/>
          <w:lang w:eastAsia="zh-CN"/>
        </w:rPr>
        <w:t>投标邀请，下述签字人愿参与投标，提供采购需求规定的服务，提交下述文件并声明全部说明是真实的和正确的。</w:t>
      </w:r>
    </w:p>
    <w:p w14:paraId="1EE7F731">
      <w:pPr>
        <w:widowControl w:val="0"/>
        <w:spacing w:before="187" w:line="360" w:lineRule="auto"/>
        <w:ind w:left="522"/>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1.下述签字人在证书中证明本资格文件中的内容是真实的和正确的；</w:t>
      </w:r>
    </w:p>
    <w:p w14:paraId="49D0E760">
      <w:pPr>
        <w:widowControl w:val="0"/>
        <w:spacing w:before="183" w:line="360" w:lineRule="auto"/>
        <w:ind w:right="-63" w:rightChars="-30" w:firstLine="60" w:firstLineChars="25"/>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    2.我方没有单位负责人为同一人或者存在直接控股、管理关系的不同供应商，参加本项目采购活动的情形；</w:t>
      </w:r>
    </w:p>
    <w:p w14:paraId="037BAE33">
      <w:pPr>
        <w:widowControl w:val="0"/>
        <w:spacing w:before="184" w:line="360" w:lineRule="auto"/>
        <w:ind w:right="4" w:firstLine="60" w:firstLineChars="25"/>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    3.我方没有为本项目提供整体设计、规范编制或者项目管理、监理、检测等服务的情形。</w:t>
      </w:r>
    </w:p>
    <w:p w14:paraId="5EA9B3EC">
      <w:pPr>
        <w:widowControl w:val="0"/>
        <w:spacing w:line="360" w:lineRule="auto"/>
        <w:rPr>
          <w:rFonts w:hint="eastAsia" w:ascii="宋体" w:hAnsi="宋体" w:eastAsia="宋体" w:cs="宋体"/>
          <w:color w:val="auto"/>
          <w:highlight w:val="none"/>
          <w:lang w:eastAsia="zh-CN"/>
        </w:rPr>
      </w:pPr>
    </w:p>
    <w:p w14:paraId="7726CC4B">
      <w:pPr>
        <w:widowControl w:val="0"/>
        <w:spacing w:line="360" w:lineRule="auto"/>
        <w:rPr>
          <w:rFonts w:hint="eastAsia" w:ascii="宋体" w:hAnsi="宋体" w:eastAsia="宋体" w:cs="宋体"/>
          <w:color w:val="auto"/>
          <w:highlight w:val="none"/>
          <w:lang w:eastAsia="zh-CN"/>
        </w:rPr>
      </w:pPr>
    </w:p>
    <w:p w14:paraId="5A91BC7C">
      <w:pPr>
        <w:widowControl w:val="0"/>
        <w:spacing w:line="360" w:lineRule="auto"/>
        <w:rPr>
          <w:rFonts w:hint="eastAsia" w:ascii="宋体" w:hAnsi="宋体" w:eastAsia="宋体" w:cs="宋体"/>
          <w:color w:val="auto"/>
          <w:highlight w:val="none"/>
          <w:lang w:eastAsia="zh-CN"/>
        </w:rPr>
      </w:pPr>
    </w:p>
    <w:p w14:paraId="50ADED06">
      <w:pPr>
        <w:widowControl w:val="0"/>
        <w:spacing w:line="360" w:lineRule="auto"/>
        <w:rPr>
          <w:rFonts w:hint="eastAsia" w:ascii="宋体" w:hAnsi="宋体" w:eastAsia="宋体" w:cs="宋体"/>
          <w:color w:val="auto"/>
          <w:highlight w:val="none"/>
          <w:lang w:eastAsia="zh-CN"/>
        </w:rPr>
      </w:pPr>
    </w:p>
    <w:p w14:paraId="2DF71313">
      <w:pPr>
        <w:widowControl w:val="0"/>
        <w:spacing w:before="78" w:line="480" w:lineRule="auto"/>
        <w:ind w:left="4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投标人代表（或自然人）签字或签章：</w:t>
      </w:r>
    </w:p>
    <w:p w14:paraId="41AA65B3">
      <w:pPr>
        <w:widowControl w:val="0"/>
        <w:spacing w:before="1" w:line="480" w:lineRule="auto"/>
        <w:ind w:left="40"/>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lang w:eastAsia="zh-CN"/>
        </w:rPr>
        <w:t>投标人盖章：</w:t>
      </w:r>
    </w:p>
    <w:p w14:paraId="683D79A3">
      <w:pPr>
        <w:widowControl w:val="0"/>
        <w:spacing w:before="1" w:line="480" w:lineRule="auto"/>
        <w:ind w:left="4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日期：</w:t>
      </w:r>
    </w:p>
    <w:p w14:paraId="09CF9B8E">
      <w:pPr>
        <w:widowControl w:val="0"/>
        <w:spacing w:line="480" w:lineRule="auto"/>
        <w:rPr>
          <w:rFonts w:hint="eastAsia" w:ascii="宋体" w:hAnsi="宋体" w:eastAsia="宋体" w:cs="宋体"/>
          <w:color w:val="auto"/>
          <w:sz w:val="24"/>
          <w:szCs w:val="24"/>
          <w:highlight w:val="none"/>
          <w:lang w:eastAsia="zh-CN"/>
        </w:rPr>
        <w:sectPr>
          <w:footerReference r:id="rId14" w:type="default"/>
          <w:pgSz w:w="11906" w:h="16839"/>
          <w:pgMar w:top="1431" w:right="1786" w:bottom="1429" w:left="1785" w:header="0" w:footer="994" w:gutter="0"/>
          <w:pgNumType w:fmt="decimal"/>
          <w:cols w:space="720" w:num="1"/>
        </w:sectPr>
      </w:pPr>
    </w:p>
    <w:p w14:paraId="2C54FFCE">
      <w:pPr>
        <w:widowControl w:val="0"/>
        <w:spacing w:before="311" w:afterLines="69" w:line="219" w:lineRule="auto"/>
        <w:ind w:left="3133"/>
        <w:outlineLvl w:val="1"/>
        <w:rPr>
          <w:rFonts w:hint="eastAsia" w:ascii="宋体" w:hAnsi="宋体" w:eastAsia="宋体" w:cs="宋体"/>
          <w:color w:val="auto"/>
          <w:sz w:val="24"/>
          <w:szCs w:val="24"/>
          <w:highlight w:val="none"/>
          <w:lang w:eastAsia="zh-CN"/>
        </w:rPr>
      </w:pPr>
      <w:bookmarkStart w:id="180" w:name="_Toc27485"/>
      <w:bookmarkStart w:id="181" w:name="_Toc16031"/>
      <w:r>
        <w:rPr>
          <w:rFonts w:hint="eastAsia" w:ascii="宋体" w:hAnsi="宋体" w:eastAsia="宋体" w:cs="宋体"/>
          <w:color w:val="auto"/>
          <w:sz w:val="24"/>
          <w:szCs w:val="24"/>
          <w:highlight w:val="none"/>
          <w:lang w:eastAsia="zh-CN"/>
        </w:rPr>
        <w:t>格式</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-4 投标保证金凭证</w:t>
      </w:r>
      <w:bookmarkEnd w:id="180"/>
      <w:bookmarkEnd w:id="181"/>
    </w:p>
    <w:p w14:paraId="7AA6527D">
      <w:pPr>
        <w:widowControl w:val="0"/>
        <w:spacing w:line="261" w:lineRule="auto"/>
        <w:rPr>
          <w:rFonts w:hint="eastAsia" w:ascii="宋体" w:hAnsi="宋体" w:eastAsia="宋体" w:cs="宋体"/>
          <w:color w:val="auto"/>
          <w:highlight w:val="none"/>
          <w:lang w:eastAsia="zh-CN"/>
        </w:rPr>
      </w:pPr>
    </w:p>
    <w:p w14:paraId="2804EEDF">
      <w:pPr>
        <w:widowControl w:val="0"/>
        <w:kinsoku/>
        <w:autoSpaceDE/>
        <w:autoSpaceDN/>
        <w:adjustRightInd/>
        <w:snapToGrid/>
        <w:spacing w:line="360" w:lineRule="auto"/>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附：投标人盖章的保证金凭证扫描件或截图</w:t>
      </w:r>
    </w:p>
    <w:p w14:paraId="161E8C90">
      <w:pPr>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br w:type="page"/>
      </w:r>
    </w:p>
    <w:p w14:paraId="3BFD886D">
      <w:pPr>
        <w:widowControl w:val="0"/>
        <w:spacing w:before="101" w:line="219" w:lineRule="auto"/>
        <w:jc w:val="center"/>
        <w:outlineLvl w:val="2"/>
        <w:rPr>
          <w:rFonts w:hint="eastAsia" w:ascii="宋体" w:hAnsi="宋体" w:eastAsia="宋体" w:cs="宋体"/>
          <w:color w:val="auto"/>
          <w:sz w:val="24"/>
          <w:szCs w:val="24"/>
          <w:highlight w:val="none"/>
          <w:lang w:eastAsia="zh-CN"/>
        </w:rPr>
      </w:pPr>
      <w:bookmarkStart w:id="182" w:name="_Toc32411"/>
      <w:bookmarkStart w:id="183" w:name="_Toc14357"/>
      <w:r>
        <w:rPr>
          <w:rFonts w:hint="eastAsia" w:ascii="宋体" w:hAnsi="宋体" w:eastAsia="宋体" w:cs="宋体"/>
          <w:color w:val="auto"/>
          <w:sz w:val="24"/>
          <w:szCs w:val="24"/>
          <w:highlight w:val="none"/>
          <w:lang w:eastAsia="zh-CN"/>
        </w:rPr>
        <w:t>格式</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-5制造商出具的授权函（适用于服务项目含进口产品参加投标）</w:t>
      </w:r>
      <w:bookmarkEnd w:id="182"/>
      <w:bookmarkEnd w:id="183"/>
    </w:p>
    <w:p w14:paraId="49354A18">
      <w:pPr>
        <w:widowControl w:val="0"/>
        <w:spacing w:line="362" w:lineRule="auto"/>
        <w:rPr>
          <w:rFonts w:hint="eastAsia" w:ascii="宋体" w:hAnsi="宋体" w:eastAsia="宋体" w:cs="宋体"/>
          <w:color w:val="auto"/>
          <w:highlight w:val="none"/>
          <w:lang w:eastAsia="zh-CN"/>
        </w:rPr>
      </w:pPr>
    </w:p>
    <w:p w14:paraId="367519B9">
      <w:pPr>
        <w:widowControl w:val="0"/>
        <w:spacing w:before="78" w:line="500" w:lineRule="atLeast"/>
        <w:ind w:left="37"/>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（注：本格式仅作为“制造商出具的授权函”格式，如是“制造商的授权代理商出具的授权函”请参照本格式另行制定，招标文件另有规定的从其规定）</w:t>
      </w:r>
    </w:p>
    <w:p w14:paraId="2FC97371">
      <w:pPr>
        <w:widowControl w:val="0"/>
        <w:spacing w:line="500" w:lineRule="atLeast"/>
        <w:jc w:val="both"/>
        <w:rPr>
          <w:rFonts w:hint="eastAsia" w:ascii="宋体" w:hAnsi="宋体" w:eastAsia="宋体" w:cs="宋体"/>
          <w:color w:val="auto"/>
          <w:highlight w:val="none"/>
          <w:lang w:eastAsia="zh-CN"/>
        </w:rPr>
      </w:pPr>
    </w:p>
    <w:p w14:paraId="75A13FE2">
      <w:pPr>
        <w:widowControl w:val="0"/>
        <w:spacing w:before="78" w:line="500" w:lineRule="atLeast"/>
        <w:ind w:left="37"/>
        <w:jc w:val="both"/>
        <w:rPr>
          <w:rFonts w:hint="eastAsia" w:ascii="宋体" w:hAnsi="宋体" w:eastAsia="宋体" w:cs="宋体"/>
          <w:color w:val="auto"/>
          <w:highlight w:val="none"/>
          <w:lang w:eastAsia="zh-CN"/>
        </w:rPr>
      </w:pPr>
      <w:r>
        <w:rPr>
          <w:rFonts w:hint="eastAsia" w:ascii="宋体" w:hAnsi="宋体" w:eastAsia="宋体" w:cs="宋体"/>
          <w:color w:val="auto"/>
          <w:sz w:val="24"/>
          <w:szCs w:val="24"/>
          <w:highlight w:val="none"/>
          <w:lang w:eastAsia="zh-CN"/>
        </w:rPr>
        <w:t>致：采购代理机构</w:t>
      </w:r>
    </w:p>
    <w:p w14:paraId="3FC7A91A">
      <w:pPr>
        <w:widowControl w:val="0"/>
        <w:spacing w:before="78" w:line="500" w:lineRule="atLeast"/>
        <w:ind w:right="80"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我们</w:t>
      </w:r>
      <w:r>
        <w:rPr>
          <w:rFonts w:hint="eastAsia" w:ascii="宋体" w:hAnsi="宋体" w:eastAsia="宋体" w:cs="宋体"/>
          <w:color w:val="auto"/>
          <w:sz w:val="24"/>
          <w:szCs w:val="24"/>
          <w:highlight w:val="none"/>
          <w:u w:val="single"/>
          <w:lang w:eastAsia="zh-CN"/>
        </w:rPr>
        <w:t>(制造商名称)</w:t>
      </w:r>
      <w:r>
        <w:rPr>
          <w:rFonts w:hint="eastAsia" w:ascii="宋体" w:hAnsi="宋体" w:eastAsia="宋体" w:cs="宋体"/>
          <w:color w:val="auto"/>
          <w:sz w:val="24"/>
          <w:szCs w:val="24"/>
          <w:highlight w:val="none"/>
          <w:lang w:eastAsia="zh-CN"/>
        </w:rPr>
        <w:t>，主要营业地点设在(</w:t>
      </w:r>
      <w:r>
        <w:rPr>
          <w:rFonts w:hint="eastAsia" w:ascii="宋体" w:hAnsi="宋体" w:eastAsia="宋体" w:cs="宋体"/>
          <w:color w:val="auto"/>
          <w:sz w:val="24"/>
          <w:szCs w:val="24"/>
          <w:highlight w:val="none"/>
          <w:u w:val="single"/>
          <w:lang w:eastAsia="zh-CN"/>
        </w:rPr>
        <w:t>制造商地址)</w:t>
      </w:r>
      <w:r>
        <w:rPr>
          <w:rFonts w:hint="eastAsia" w:ascii="宋体" w:hAnsi="宋体" w:eastAsia="宋体" w:cs="宋体"/>
          <w:color w:val="auto"/>
          <w:sz w:val="24"/>
          <w:szCs w:val="24"/>
          <w:highlight w:val="none"/>
          <w:lang w:eastAsia="zh-CN"/>
        </w:rPr>
        <w:t>。我们获悉按中华人民共和国法律成立的,主要营业地点设在</w:t>
      </w:r>
      <w:r>
        <w:rPr>
          <w:rFonts w:hint="eastAsia" w:ascii="宋体" w:hAnsi="宋体" w:eastAsia="宋体" w:cs="宋体"/>
          <w:color w:val="auto"/>
          <w:sz w:val="24"/>
          <w:szCs w:val="24"/>
          <w:highlight w:val="none"/>
          <w:u w:val="single"/>
          <w:lang w:eastAsia="zh-CN"/>
        </w:rPr>
        <w:t>(投标人地址)</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u w:val="single"/>
          <w:lang w:eastAsia="zh-CN"/>
        </w:rPr>
        <w:t xml:space="preserve"> (投标人名称)</w:t>
      </w:r>
      <w:r>
        <w:rPr>
          <w:rFonts w:hint="eastAsia" w:ascii="宋体" w:hAnsi="宋体" w:eastAsia="宋体" w:cs="宋体"/>
          <w:color w:val="auto"/>
          <w:sz w:val="24"/>
          <w:szCs w:val="24"/>
          <w:highlight w:val="none"/>
          <w:lang w:eastAsia="zh-CN"/>
        </w:rPr>
        <w:t>将以我方的产品对贵公司的招标项目进行投标，我们特作如下说明：</w:t>
      </w:r>
    </w:p>
    <w:p w14:paraId="17F60352">
      <w:pPr>
        <w:widowControl w:val="0"/>
        <w:spacing w:before="183" w:line="500" w:lineRule="atLeast"/>
        <w:ind w:left="45" w:firstLine="484"/>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（1）同意</w:t>
      </w:r>
      <w:r>
        <w:rPr>
          <w:rFonts w:hint="eastAsia" w:ascii="宋体" w:hAnsi="宋体" w:eastAsia="宋体" w:cs="宋体"/>
          <w:color w:val="auto"/>
          <w:sz w:val="24"/>
          <w:szCs w:val="24"/>
          <w:highlight w:val="none"/>
          <w:u w:val="single"/>
          <w:lang w:eastAsia="zh-CN"/>
        </w:rPr>
        <w:t>(投标人名称)</w:t>
      </w:r>
      <w:r>
        <w:rPr>
          <w:rFonts w:hint="eastAsia" w:ascii="宋体" w:hAnsi="宋体" w:eastAsia="宋体" w:cs="宋体"/>
          <w:color w:val="auto"/>
          <w:sz w:val="24"/>
          <w:szCs w:val="24"/>
          <w:highlight w:val="none"/>
          <w:lang w:eastAsia="zh-CN"/>
        </w:rPr>
        <w:t>在中华人民共和国境内以</w:t>
      </w:r>
      <w:r>
        <w:rPr>
          <w:rFonts w:hint="eastAsia" w:ascii="宋体" w:hAnsi="宋体" w:eastAsia="宋体" w:cs="宋体"/>
          <w:color w:val="auto"/>
          <w:sz w:val="24"/>
          <w:szCs w:val="24"/>
          <w:highlight w:val="none"/>
          <w:u w:val="single"/>
          <w:lang w:eastAsia="zh-CN"/>
        </w:rPr>
        <w:t>(制造商名称)</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u w:val="single"/>
          <w:lang w:eastAsia="zh-CN"/>
        </w:rPr>
        <w:t>产品名称、型号）</w:t>
      </w:r>
      <w:r>
        <w:rPr>
          <w:rFonts w:hint="eastAsia" w:ascii="宋体" w:hAnsi="宋体" w:eastAsia="宋体" w:cs="宋体"/>
          <w:color w:val="auto"/>
          <w:sz w:val="24"/>
          <w:szCs w:val="24"/>
          <w:highlight w:val="none"/>
          <w:lang w:eastAsia="zh-CN"/>
        </w:rPr>
        <w:t>参加贵公司有关</w:t>
      </w:r>
      <w:r>
        <w:rPr>
          <w:rFonts w:hint="eastAsia" w:ascii="宋体" w:hAnsi="宋体" w:eastAsia="宋体" w:cs="宋体"/>
          <w:color w:val="auto"/>
          <w:sz w:val="24"/>
          <w:szCs w:val="24"/>
          <w:highlight w:val="none"/>
          <w:u w:val="single"/>
          <w:lang w:eastAsia="zh-CN"/>
        </w:rPr>
        <w:t>（项目名称、项目编号）</w:t>
      </w:r>
      <w:r>
        <w:rPr>
          <w:rFonts w:hint="eastAsia" w:ascii="宋体" w:hAnsi="宋体" w:eastAsia="宋体" w:cs="宋体"/>
          <w:color w:val="auto"/>
          <w:sz w:val="24"/>
          <w:szCs w:val="24"/>
          <w:highlight w:val="none"/>
          <w:lang w:eastAsia="zh-CN"/>
        </w:rPr>
        <w:t>招标，并在中标后向我方购买相关产品。</w:t>
      </w:r>
    </w:p>
    <w:p w14:paraId="37561EA8">
      <w:pPr>
        <w:widowControl w:val="0"/>
        <w:spacing w:before="177" w:line="500" w:lineRule="atLeast"/>
        <w:ind w:left="474"/>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u w:val="single"/>
          <w:lang w:eastAsia="zh-CN"/>
        </w:rPr>
        <w:t>（投标人名称）</w:t>
      </w:r>
      <w:r>
        <w:rPr>
          <w:rFonts w:hint="eastAsia" w:ascii="宋体" w:hAnsi="宋体" w:eastAsia="宋体" w:cs="宋体"/>
          <w:color w:val="auto"/>
          <w:sz w:val="24"/>
          <w:szCs w:val="24"/>
          <w:highlight w:val="none"/>
          <w:lang w:eastAsia="zh-CN"/>
        </w:rPr>
        <w:t>在中标后，将按照与采购人签订的合同承担责任。</w:t>
      </w:r>
    </w:p>
    <w:p w14:paraId="68F67A9A">
      <w:pPr>
        <w:widowControl w:val="0"/>
        <w:spacing w:before="1" w:line="500" w:lineRule="atLeast"/>
        <w:ind w:left="474"/>
        <w:jc w:val="both"/>
        <w:outlineLvl w:val="2"/>
        <w:rPr>
          <w:rFonts w:hint="eastAsia" w:ascii="宋体" w:hAnsi="宋体" w:eastAsia="宋体" w:cs="宋体"/>
          <w:color w:val="auto"/>
          <w:sz w:val="24"/>
          <w:szCs w:val="24"/>
          <w:highlight w:val="none"/>
          <w:lang w:eastAsia="zh-CN"/>
        </w:rPr>
      </w:pPr>
      <w:bookmarkStart w:id="184" w:name="_Toc13390"/>
      <w:r>
        <w:rPr>
          <w:rFonts w:hint="eastAsia" w:ascii="宋体" w:hAnsi="宋体" w:eastAsia="宋体" w:cs="宋体"/>
          <w:color w:val="auto"/>
          <w:sz w:val="24"/>
          <w:szCs w:val="24"/>
          <w:highlight w:val="none"/>
          <w:lang w:eastAsia="zh-CN"/>
        </w:rPr>
        <w:t>（3）我们将依法承担制造商的责任。</w:t>
      </w:r>
      <w:bookmarkEnd w:id="184"/>
    </w:p>
    <w:p w14:paraId="68370D6C">
      <w:pPr>
        <w:widowControl w:val="0"/>
        <w:spacing w:line="500" w:lineRule="atLeast"/>
        <w:jc w:val="both"/>
        <w:rPr>
          <w:rFonts w:hint="eastAsia" w:ascii="宋体" w:hAnsi="宋体" w:eastAsia="宋体" w:cs="宋体"/>
          <w:color w:val="auto"/>
          <w:highlight w:val="none"/>
          <w:lang w:eastAsia="zh-CN"/>
        </w:rPr>
      </w:pPr>
    </w:p>
    <w:p w14:paraId="796E0CF5">
      <w:pPr>
        <w:widowControl w:val="0"/>
        <w:spacing w:before="79" w:line="500" w:lineRule="atLeast"/>
        <w:ind w:left="19" w:firstLine="506" w:firstLineChars="211"/>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我方于年月日签署本文件，</w:t>
      </w:r>
      <w:r>
        <w:rPr>
          <w:rFonts w:hint="eastAsia" w:ascii="宋体" w:hAnsi="宋体" w:eastAsia="宋体" w:cs="宋体"/>
          <w:color w:val="auto"/>
          <w:sz w:val="24"/>
          <w:szCs w:val="24"/>
          <w:highlight w:val="none"/>
          <w:u w:val="single"/>
          <w:lang w:eastAsia="zh-CN"/>
        </w:rPr>
        <w:t>投标人名称</w:t>
      </w:r>
      <w:r>
        <w:rPr>
          <w:rFonts w:hint="eastAsia" w:ascii="宋体" w:hAnsi="宋体" w:eastAsia="宋体" w:cs="宋体"/>
          <w:color w:val="auto"/>
          <w:sz w:val="24"/>
          <w:szCs w:val="24"/>
          <w:highlight w:val="none"/>
          <w:lang w:eastAsia="zh-CN"/>
        </w:rPr>
        <w:t>于年月日接受此件，以此为证。</w:t>
      </w:r>
    </w:p>
    <w:p w14:paraId="0589291E">
      <w:pPr>
        <w:widowControl w:val="0"/>
        <w:spacing w:line="360" w:lineRule="auto"/>
        <w:ind w:right="1111" w:rightChars="529"/>
        <w:rPr>
          <w:rFonts w:hint="eastAsia" w:ascii="宋体" w:hAnsi="宋体" w:eastAsia="宋体" w:cs="宋体"/>
          <w:color w:val="auto"/>
          <w:sz w:val="24"/>
          <w:szCs w:val="24"/>
          <w:highlight w:val="none"/>
          <w:u w:val="single"/>
          <w:lang w:eastAsia="zh-CN"/>
        </w:rPr>
      </w:pPr>
    </w:p>
    <w:p w14:paraId="16AD7622">
      <w:pPr>
        <w:widowControl w:val="0"/>
        <w:spacing w:line="360" w:lineRule="auto"/>
        <w:ind w:right="1111" w:rightChars="529"/>
        <w:rPr>
          <w:rFonts w:hint="eastAsia" w:ascii="宋体" w:hAnsi="宋体" w:eastAsia="宋体" w:cs="宋体"/>
          <w:color w:val="auto"/>
          <w:sz w:val="24"/>
          <w:szCs w:val="24"/>
          <w:highlight w:val="none"/>
          <w:u w:val="single"/>
          <w:lang w:eastAsia="zh-CN"/>
        </w:rPr>
      </w:pPr>
    </w:p>
    <w:p w14:paraId="31F33E61">
      <w:pPr>
        <w:widowControl w:val="0"/>
        <w:spacing w:line="480" w:lineRule="auto"/>
        <w:ind w:right="1111" w:rightChars="52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投标人名称：制造商名称：</w:t>
      </w:r>
    </w:p>
    <w:p w14:paraId="4C61831D">
      <w:pPr>
        <w:widowControl w:val="0"/>
        <w:spacing w:line="480" w:lineRule="auto"/>
        <w:ind w:left="-199" w:leftChars="-95" w:right="1111" w:rightChars="529" w:firstLine="240" w:firstLineChars="1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签字人职务：签字人职务：</w:t>
      </w:r>
    </w:p>
    <w:p w14:paraId="753E7896">
      <w:pPr>
        <w:pStyle w:val="2"/>
        <w:spacing w:line="480" w:lineRule="auto"/>
        <w:rPr>
          <w:rFonts w:hint="eastAsia" w:ascii="宋体" w:hAnsi="宋体" w:eastAsia="宋体" w:cs="宋体"/>
          <w:color w:val="auto"/>
          <w:highlight w:val="none"/>
          <w:lang w:eastAsia="zh-CN"/>
        </w:rPr>
      </w:pPr>
      <w:r>
        <w:rPr>
          <w:rFonts w:hint="eastAsia" w:ascii="宋体" w:hAnsi="宋体" w:eastAsia="宋体" w:cs="宋体"/>
          <w:color w:val="auto"/>
          <w:sz w:val="24"/>
          <w:szCs w:val="24"/>
          <w:highlight w:val="none"/>
          <w:lang w:eastAsia="zh-CN"/>
        </w:rPr>
        <w:t>签字人姓名：签字人姓名：</w:t>
      </w:r>
    </w:p>
    <w:p w14:paraId="66E88067">
      <w:pPr>
        <w:widowControl w:val="0"/>
        <w:spacing w:line="480" w:lineRule="auto"/>
        <w:outlineLvl w:val="1"/>
        <w:rPr>
          <w:rFonts w:hint="eastAsia" w:ascii="宋体" w:hAnsi="宋体" w:eastAsia="宋体" w:cs="宋体"/>
          <w:color w:val="auto"/>
          <w:sz w:val="24"/>
          <w:szCs w:val="24"/>
          <w:highlight w:val="none"/>
          <w:lang w:eastAsia="zh-CN"/>
        </w:rPr>
      </w:pPr>
      <w:bookmarkStart w:id="185" w:name="_Toc24129"/>
      <w:bookmarkStart w:id="186" w:name="_Toc9892"/>
      <w:r>
        <w:rPr>
          <w:rFonts w:hint="eastAsia" w:ascii="宋体" w:hAnsi="宋体" w:eastAsia="宋体" w:cs="宋体"/>
          <w:color w:val="auto"/>
          <w:sz w:val="24"/>
          <w:szCs w:val="24"/>
          <w:highlight w:val="none"/>
          <w:lang w:eastAsia="zh-CN"/>
        </w:rPr>
        <w:t>签字人签名或签章：签字人签名或签章</w:t>
      </w:r>
      <w:bookmarkEnd w:id="185"/>
      <w:bookmarkEnd w:id="186"/>
    </w:p>
    <w:p w14:paraId="690D7F1D">
      <w:pPr>
        <w:widowControl w:val="0"/>
        <w:spacing w:line="500" w:lineRule="atLeast"/>
        <w:rPr>
          <w:rFonts w:hint="eastAsia" w:ascii="宋体" w:hAnsi="宋体" w:eastAsia="宋体" w:cs="宋体"/>
          <w:color w:val="auto"/>
          <w:sz w:val="24"/>
          <w:szCs w:val="24"/>
          <w:highlight w:val="none"/>
          <w:lang w:eastAsia="zh-CN"/>
        </w:rPr>
      </w:pPr>
    </w:p>
    <w:p w14:paraId="2C5BB2D7">
      <w:pPr>
        <w:pStyle w:val="2"/>
        <w:rPr>
          <w:rFonts w:hint="eastAsia" w:ascii="宋体" w:hAnsi="宋体" w:eastAsia="宋体" w:cs="宋体"/>
          <w:color w:val="auto"/>
          <w:highlight w:val="none"/>
          <w:lang w:eastAsia="zh-CN"/>
        </w:rPr>
      </w:pPr>
    </w:p>
    <w:p w14:paraId="0D66FABC">
      <w:pPr>
        <w:pStyle w:val="2"/>
        <w:rPr>
          <w:rFonts w:hint="eastAsia" w:ascii="宋体" w:hAnsi="宋体" w:eastAsia="宋体" w:cs="宋体"/>
          <w:color w:val="auto"/>
          <w:highlight w:val="none"/>
          <w:lang w:eastAsia="zh-CN"/>
        </w:rPr>
      </w:pPr>
    </w:p>
    <w:p w14:paraId="4C8314ED">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br w:type="page"/>
      </w:r>
    </w:p>
    <w:p w14:paraId="3E36EFDC">
      <w:pPr>
        <w:widowControl w:val="0"/>
        <w:spacing w:before="101" w:line="219" w:lineRule="auto"/>
        <w:ind w:left="2109"/>
        <w:outlineLvl w:val="1"/>
        <w:rPr>
          <w:rFonts w:hint="eastAsia" w:ascii="宋体" w:hAnsi="宋体" w:eastAsia="宋体" w:cs="宋体"/>
          <w:color w:val="auto"/>
          <w:sz w:val="24"/>
          <w:szCs w:val="24"/>
          <w:highlight w:val="none"/>
          <w:lang w:eastAsia="zh-CN"/>
        </w:rPr>
      </w:pPr>
      <w:bookmarkStart w:id="187" w:name="_Toc23566"/>
      <w:bookmarkStart w:id="188" w:name="_Toc13804"/>
      <w:r>
        <w:rPr>
          <w:rFonts w:hint="eastAsia" w:ascii="宋体" w:hAnsi="宋体" w:eastAsia="宋体" w:cs="宋体"/>
          <w:color w:val="auto"/>
          <w:sz w:val="24"/>
          <w:szCs w:val="24"/>
          <w:highlight w:val="none"/>
          <w:lang w:eastAsia="zh-CN"/>
        </w:rPr>
        <w:t>格式</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-6联合体协议（适用于联合体投标）</w:t>
      </w:r>
      <w:bookmarkEnd w:id="187"/>
      <w:bookmarkEnd w:id="188"/>
    </w:p>
    <w:p w14:paraId="623B5ECD">
      <w:pPr>
        <w:widowControl w:val="0"/>
        <w:spacing w:line="361" w:lineRule="auto"/>
        <w:rPr>
          <w:rFonts w:hint="eastAsia" w:ascii="宋体" w:hAnsi="宋体" w:eastAsia="宋体" w:cs="宋体"/>
          <w:color w:val="auto"/>
          <w:highlight w:val="none"/>
          <w:lang w:eastAsia="zh-CN"/>
        </w:rPr>
      </w:pPr>
    </w:p>
    <w:p w14:paraId="332F1A04">
      <w:pPr>
        <w:widowControl w:val="0"/>
        <w:spacing w:before="78" w:line="219" w:lineRule="auto"/>
        <w:jc w:val="righ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联合协议应当载明联合体各方承担的工作和义务，联合体协议各方均应当签章。</w:t>
      </w:r>
    </w:p>
    <w:p w14:paraId="7186DD4D">
      <w:pPr>
        <w:widowControl w:val="0"/>
        <w:spacing w:line="219" w:lineRule="auto"/>
        <w:rPr>
          <w:rFonts w:hint="eastAsia" w:ascii="宋体" w:hAnsi="宋体" w:eastAsia="宋体" w:cs="宋体"/>
          <w:color w:val="auto"/>
          <w:sz w:val="24"/>
          <w:szCs w:val="24"/>
          <w:highlight w:val="none"/>
          <w:lang w:eastAsia="zh-CN"/>
        </w:rPr>
        <w:sectPr>
          <w:footerReference r:id="rId15" w:type="default"/>
          <w:pgSz w:w="11906" w:h="16839"/>
          <w:pgMar w:top="1431" w:right="1786" w:bottom="1429" w:left="1785" w:header="0" w:footer="994" w:gutter="0"/>
          <w:pgNumType w:fmt="decimal"/>
          <w:cols w:space="720" w:num="1"/>
        </w:sectPr>
      </w:pPr>
    </w:p>
    <w:p w14:paraId="1ADD5EDD">
      <w:pPr>
        <w:widowControl w:val="0"/>
        <w:jc w:val="center"/>
        <w:rPr>
          <w:rFonts w:hint="eastAsia" w:ascii="宋体" w:hAnsi="宋体" w:eastAsia="宋体" w:cs="宋体"/>
          <w:b/>
          <w:color w:val="auto"/>
          <w:sz w:val="24"/>
          <w:szCs w:val="24"/>
          <w:highlight w:val="none"/>
          <w:lang w:eastAsia="zh-CN"/>
        </w:rPr>
      </w:pPr>
      <w:r>
        <w:rPr>
          <w:rFonts w:hint="eastAsia" w:ascii="宋体" w:hAnsi="宋体" w:eastAsia="宋体" w:cs="宋体"/>
          <w:color w:val="auto"/>
          <w:sz w:val="24"/>
          <w:szCs w:val="24"/>
          <w:highlight w:val="none"/>
          <w:lang w:eastAsia="zh-CN"/>
        </w:rPr>
        <w:t>格式</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-7 本项目的特定资格证明材料</w:t>
      </w:r>
    </w:p>
    <w:p w14:paraId="5D2C2655">
      <w:pPr>
        <w:widowControl w:val="0"/>
        <w:jc w:val="both"/>
        <w:rPr>
          <w:rFonts w:hint="eastAsia" w:ascii="宋体" w:hAnsi="宋体" w:eastAsia="宋体" w:cs="宋体"/>
          <w:color w:val="auto"/>
          <w:highlight w:val="none"/>
          <w:shd w:val="clear" w:color="auto" w:fill="FFFFFF"/>
          <w:lang w:eastAsia="zh-CN"/>
        </w:rPr>
      </w:pPr>
    </w:p>
    <w:p w14:paraId="3A9F1338">
      <w:pPr>
        <w:widowControl w:val="0"/>
        <w:jc w:val="both"/>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lang w:eastAsia="zh-CN"/>
        </w:rPr>
        <w:t>（如属于特定行业项目,供应商应当具备特定行业法定准入要求。)</w:t>
      </w:r>
    </w:p>
    <w:p w14:paraId="1A210525">
      <w:pPr>
        <w:widowControl w:val="0"/>
        <w:rPr>
          <w:rFonts w:hint="eastAsia" w:ascii="宋体" w:hAnsi="宋体" w:eastAsia="宋体" w:cs="宋体"/>
          <w:b/>
          <w:color w:val="auto"/>
          <w:highlight w:val="none"/>
          <w:lang w:eastAsia="zh-CN"/>
        </w:rPr>
      </w:pPr>
    </w:p>
    <w:p w14:paraId="223E57AD">
      <w:pPr>
        <w:widowControl w:val="0"/>
        <w:spacing w:line="420" w:lineRule="exact"/>
        <w:ind w:left="12" w:hanging="12" w:hangingChars="5"/>
        <w:rPr>
          <w:rFonts w:hint="eastAsia" w:ascii="宋体" w:hAnsi="宋体" w:eastAsia="宋体" w:cs="宋体"/>
          <w:color w:val="auto"/>
          <w:kern w:val="30"/>
          <w:sz w:val="24"/>
          <w:szCs w:val="24"/>
          <w:highlight w:val="none"/>
          <w:lang w:eastAsia="zh-CN"/>
        </w:rPr>
      </w:pPr>
    </w:p>
    <w:p w14:paraId="424729C3">
      <w:pPr>
        <w:pStyle w:val="4"/>
        <w:widowControl w:val="0"/>
        <w:outlineLvl w:val="9"/>
        <w:rPr>
          <w:rFonts w:hint="eastAsia" w:ascii="宋体" w:hAnsi="宋体" w:eastAsia="宋体" w:cs="宋体"/>
          <w:color w:val="auto"/>
          <w:kern w:val="30"/>
          <w:sz w:val="24"/>
          <w:szCs w:val="24"/>
          <w:highlight w:val="none"/>
          <w:lang w:eastAsia="zh-CN"/>
        </w:rPr>
      </w:pPr>
    </w:p>
    <w:p w14:paraId="6830B982">
      <w:pPr>
        <w:widowControl w:val="0"/>
        <w:rPr>
          <w:rFonts w:hint="eastAsia" w:ascii="宋体" w:hAnsi="宋体" w:eastAsia="宋体" w:cs="宋体"/>
          <w:color w:val="auto"/>
          <w:kern w:val="30"/>
          <w:sz w:val="24"/>
          <w:szCs w:val="24"/>
          <w:highlight w:val="none"/>
          <w:lang w:eastAsia="zh-CN"/>
        </w:rPr>
      </w:pPr>
    </w:p>
    <w:p w14:paraId="03CEDD98">
      <w:pPr>
        <w:pStyle w:val="4"/>
        <w:widowControl w:val="0"/>
        <w:outlineLvl w:val="9"/>
        <w:rPr>
          <w:rFonts w:hint="eastAsia" w:ascii="宋体" w:hAnsi="宋体" w:eastAsia="宋体" w:cs="宋体"/>
          <w:color w:val="auto"/>
          <w:highlight w:val="none"/>
          <w:lang w:eastAsia="zh-CN"/>
        </w:rPr>
      </w:pPr>
    </w:p>
    <w:p w14:paraId="3038CFD3">
      <w:pPr>
        <w:rPr>
          <w:rFonts w:hint="eastAsia" w:ascii="宋体" w:hAnsi="宋体" w:eastAsia="宋体" w:cs="宋体"/>
          <w:color w:val="auto"/>
          <w:highlight w:val="none"/>
          <w:lang w:eastAsia="zh-CN"/>
        </w:rPr>
      </w:pPr>
    </w:p>
    <w:p w14:paraId="2EBDB188">
      <w:pPr>
        <w:pStyle w:val="2"/>
        <w:rPr>
          <w:rFonts w:hint="eastAsia" w:ascii="宋体" w:hAnsi="宋体" w:eastAsia="宋体" w:cs="宋体"/>
          <w:color w:val="auto"/>
          <w:highlight w:val="none"/>
          <w:lang w:eastAsia="zh-CN"/>
        </w:rPr>
      </w:pPr>
    </w:p>
    <w:p w14:paraId="683606D8">
      <w:pPr>
        <w:pStyle w:val="15"/>
        <w:ind w:firstLine="300"/>
        <w:rPr>
          <w:rFonts w:hint="eastAsia" w:ascii="宋体" w:hAnsi="宋体" w:eastAsia="宋体" w:cs="宋体"/>
          <w:color w:val="auto"/>
          <w:highlight w:val="none"/>
          <w:lang w:eastAsia="zh-CN"/>
        </w:rPr>
      </w:pPr>
    </w:p>
    <w:p w14:paraId="7DD091D7">
      <w:pPr>
        <w:pStyle w:val="15"/>
        <w:ind w:firstLine="300"/>
        <w:rPr>
          <w:rFonts w:hint="eastAsia" w:ascii="宋体" w:hAnsi="宋体" w:eastAsia="宋体" w:cs="宋体"/>
          <w:color w:val="auto"/>
          <w:highlight w:val="none"/>
          <w:lang w:eastAsia="zh-CN"/>
        </w:rPr>
      </w:pPr>
    </w:p>
    <w:p w14:paraId="1E4FA05B">
      <w:pPr>
        <w:pStyle w:val="15"/>
        <w:ind w:firstLine="300"/>
        <w:rPr>
          <w:rFonts w:hint="eastAsia" w:ascii="宋体" w:hAnsi="宋体" w:eastAsia="宋体" w:cs="宋体"/>
          <w:color w:val="auto"/>
          <w:highlight w:val="none"/>
          <w:lang w:eastAsia="zh-CN"/>
        </w:rPr>
      </w:pPr>
    </w:p>
    <w:p w14:paraId="12CECB13">
      <w:pPr>
        <w:widowControl w:val="0"/>
        <w:spacing w:line="420" w:lineRule="exact"/>
        <w:ind w:left="12" w:hanging="12" w:hangingChars="5"/>
        <w:rPr>
          <w:rFonts w:hint="eastAsia" w:ascii="宋体" w:hAnsi="宋体" w:eastAsia="宋体" w:cs="宋体"/>
          <w:color w:val="auto"/>
          <w:kern w:val="30"/>
          <w:sz w:val="24"/>
          <w:szCs w:val="24"/>
          <w:highlight w:val="none"/>
          <w:lang w:eastAsia="zh-CN"/>
        </w:rPr>
      </w:pPr>
    </w:p>
    <w:p w14:paraId="6BD97843">
      <w:pPr>
        <w:widowControl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特别说明：</w:t>
      </w:r>
    </w:p>
    <w:p w14:paraId="659C91D0">
      <w:pPr>
        <w:widowControl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应当提交的资格证明文件均为</w:t>
      </w:r>
      <w:r>
        <w:rPr>
          <w:rFonts w:hint="eastAsia" w:ascii="宋体" w:hAnsi="宋体" w:eastAsia="宋体" w:cs="宋体"/>
          <w:color w:val="auto"/>
          <w:sz w:val="24"/>
          <w:szCs w:val="24"/>
          <w:highlight w:val="none"/>
          <w:lang w:val="en-US" w:eastAsia="zh-CN"/>
        </w:rPr>
        <w:t>复印件</w:t>
      </w:r>
      <w:r>
        <w:rPr>
          <w:rFonts w:hint="eastAsia" w:ascii="宋体" w:hAnsi="宋体" w:eastAsia="宋体" w:cs="宋体"/>
          <w:color w:val="auto"/>
          <w:sz w:val="24"/>
          <w:szCs w:val="24"/>
          <w:highlight w:val="none"/>
          <w:lang w:eastAsia="zh-CN"/>
        </w:rPr>
        <w:t>,未提交或不满足要求均视为无效投标。文件另有具体要求的从其规定。</w:t>
      </w:r>
    </w:p>
    <w:p w14:paraId="0DE06F3E">
      <w:pPr>
        <w:widowControl w:val="0"/>
        <w:rPr>
          <w:rFonts w:hint="eastAsia" w:ascii="宋体" w:hAnsi="宋体" w:eastAsia="宋体" w:cs="宋体"/>
          <w:color w:val="auto"/>
          <w:sz w:val="24"/>
          <w:szCs w:val="24"/>
          <w:highlight w:val="none"/>
          <w:lang w:eastAsia="zh-CN"/>
        </w:rPr>
      </w:pPr>
    </w:p>
    <w:p w14:paraId="66BCEF49">
      <w:pPr>
        <w:widowControl w:val="0"/>
        <w:rPr>
          <w:rFonts w:hint="eastAsia" w:ascii="宋体" w:hAnsi="宋体" w:eastAsia="宋体" w:cs="宋体"/>
          <w:color w:val="auto"/>
          <w:sz w:val="24"/>
          <w:szCs w:val="24"/>
          <w:highlight w:val="none"/>
          <w:lang w:eastAsia="zh-CN"/>
        </w:rPr>
      </w:pPr>
    </w:p>
    <w:p w14:paraId="467568EE">
      <w:pPr>
        <w:widowControl w:val="0"/>
        <w:rPr>
          <w:rFonts w:hint="eastAsia" w:ascii="宋体" w:hAnsi="宋体" w:eastAsia="宋体" w:cs="宋体"/>
          <w:color w:val="auto"/>
          <w:sz w:val="24"/>
          <w:szCs w:val="24"/>
          <w:highlight w:val="none"/>
          <w:lang w:eastAsia="zh-CN"/>
        </w:rPr>
      </w:pPr>
    </w:p>
    <w:p w14:paraId="787BCBA6">
      <w:pPr>
        <w:pStyle w:val="23"/>
        <w:widowControl w:val="0"/>
        <w:ind w:firstLine="482"/>
        <w:rPr>
          <w:rFonts w:hint="eastAsia" w:ascii="宋体" w:hAnsi="宋体" w:eastAsia="宋体" w:cs="宋体"/>
          <w:b/>
          <w:color w:val="auto"/>
          <w:kern w:val="2"/>
          <w:sz w:val="24"/>
          <w:szCs w:val="24"/>
          <w:highlight w:val="none"/>
          <w:lang w:eastAsia="zh-CN"/>
        </w:rPr>
      </w:pPr>
    </w:p>
    <w:p w14:paraId="38C49B0F">
      <w:pPr>
        <w:pStyle w:val="23"/>
        <w:widowControl w:val="0"/>
        <w:ind w:firstLine="482"/>
        <w:rPr>
          <w:rFonts w:hint="eastAsia" w:ascii="宋体" w:hAnsi="宋体" w:eastAsia="宋体" w:cs="宋体"/>
          <w:b/>
          <w:color w:val="auto"/>
          <w:kern w:val="2"/>
          <w:sz w:val="24"/>
          <w:szCs w:val="24"/>
          <w:highlight w:val="none"/>
          <w:lang w:eastAsia="zh-CN"/>
        </w:rPr>
      </w:pPr>
    </w:p>
    <w:p w14:paraId="34E52C39">
      <w:pPr>
        <w:pStyle w:val="23"/>
        <w:widowControl w:val="0"/>
        <w:ind w:firstLine="482"/>
        <w:rPr>
          <w:rFonts w:hint="eastAsia" w:ascii="宋体" w:hAnsi="宋体" w:eastAsia="宋体" w:cs="宋体"/>
          <w:b/>
          <w:color w:val="auto"/>
          <w:kern w:val="2"/>
          <w:sz w:val="24"/>
          <w:szCs w:val="24"/>
          <w:highlight w:val="none"/>
          <w:lang w:eastAsia="zh-CN"/>
        </w:rPr>
      </w:pPr>
    </w:p>
    <w:p w14:paraId="1D114F8B">
      <w:pPr>
        <w:widowControl w:val="0"/>
        <w:spacing w:line="420" w:lineRule="exact"/>
        <w:ind w:left="12" w:hanging="12" w:hangingChars="5"/>
        <w:rPr>
          <w:rFonts w:hint="eastAsia" w:ascii="宋体" w:hAnsi="宋体" w:eastAsia="宋体" w:cs="宋体"/>
          <w:color w:val="auto"/>
          <w:kern w:val="30"/>
          <w:sz w:val="24"/>
          <w:szCs w:val="24"/>
          <w:highlight w:val="none"/>
          <w:lang w:eastAsia="zh-CN"/>
        </w:rPr>
      </w:pPr>
    </w:p>
    <w:p w14:paraId="6ED465CC">
      <w:pPr>
        <w:widowControl w:val="0"/>
        <w:spacing w:before="100" w:line="219" w:lineRule="auto"/>
        <w:rPr>
          <w:rFonts w:hint="eastAsia" w:ascii="宋体" w:hAnsi="宋体" w:eastAsia="宋体" w:cs="宋体"/>
          <w:color w:val="auto"/>
          <w:sz w:val="24"/>
          <w:szCs w:val="24"/>
          <w:highlight w:val="none"/>
          <w:lang w:eastAsia="zh-CN"/>
        </w:rPr>
      </w:pPr>
    </w:p>
    <w:p w14:paraId="4C4B7EE0">
      <w:pPr>
        <w:pStyle w:val="23"/>
        <w:widowControl w:val="0"/>
        <w:ind w:firstLine="480"/>
        <w:rPr>
          <w:rFonts w:hint="eastAsia" w:ascii="宋体" w:hAnsi="宋体" w:eastAsia="宋体" w:cs="宋体"/>
          <w:color w:val="auto"/>
          <w:sz w:val="24"/>
          <w:szCs w:val="24"/>
          <w:highlight w:val="none"/>
          <w:lang w:eastAsia="zh-CN"/>
        </w:rPr>
      </w:pPr>
    </w:p>
    <w:p w14:paraId="6646505F">
      <w:pPr>
        <w:pStyle w:val="23"/>
        <w:widowControl w:val="0"/>
        <w:ind w:firstLine="480"/>
        <w:rPr>
          <w:rFonts w:hint="eastAsia" w:ascii="宋体" w:hAnsi="宋体" w:eastAsia="宋体" w:cs="宋体"/>
          <w:color w:val="auto"/>
          <w:sz w:val="24"/>
          <w:szCs w:val="24"/>
          <w:highlight w:val="none"/>
          <w:lang w:eastAsia="zh-CN"/>
        </w:rPr>
      </w:pPr>
    </w:p>
    <w:p w14:paraId="2568711D">
      <w:pPr>
        <w:pStyle w:val="23"/>
        <w:widowControl w:val="0"/>
        <w:ind w:firstLine="480"/>
        <w:rPr>
          <w:rFonts w:hint="eastAsia" w:ascii="宋体" w:hAnsi="宋体" w:eastAsia="宋体" w:cs="宋体"/>
          <w:color w:val="auto"/>
          <w:sz w:val="24"/>
          <w:szCs w:val="24"/>
          <w:highlight w:val="none"/>
          <w:lang w:eastAsia="zh-CN"/>
        </w:rPr>
      </w:pPr>
    </w:p>
    <w:p w14:paraId="630D3CF7">
      <w:pPr>
        <w:pStyle w:val="23"/>
        <w:widowControl w:val="0"/>
        <w:ind w:firstLine="480"/>
        <w:rPr>
          <w:rFonts w:hint="eastAsia" w:ascii="宋体" w:hAnsi="宋体" w:eastAsia="宋体" w:cs="宋体"/>
          <w:color w:val="auto"/>
          <w:sz w:val="24"/>
          <w:szCs w:val="24"/>
          <w:highlight w:val="none"/>
          <w:lang w:eastAsia="zh-CN"/>
        </w:rPr>
      </w:pPr>
    </w:p>
    <w:p w14:paraId="164A3E14">
      <w:pPr>
        <w:pStyle w:val="23"/>
        <w:widowControl w:val="0"/>
        <w:ind w:firstLine="480"/>
        <w:rPr>
          <w:rFonts w:hint="eastAsia" w:ascii="宋体" w:hAnsi="宋体" w:eastAsia="宋体" w:cs="宋体"/>
          <w:color w:val="auto"/>
          <w:sz w:val="24"/>
          <w:szCs w:val="24"/>
          <w:highlight w:val="none"/>
          <w:lang w:eastAsia="zh-CN"/>
        </w:rPr>
      </w:pPr>
    </w:p>
    <w:p w14:paraId="60B9FB31">
      <w:pPr>
        <w:pStyle w:val="23"/>
        <w:widowControl w:val="0"/>
        <w:ind w:firstLine="480"/>
        <w:rPr>
          <w:rFonts w:hint="eastAsia" w:ascii="宋体" w:hAnsi="宋体" w:eastAsia="宋体" w:cs="宋体"/>
          <w:color w:val="auto"/>
          <w:sz w:val="24"/>
          <w:szCs w:val="24"/>
          <w:highlight w:val="none"/>
          <w:lang w:eastAsia="zh-CN"/>
        </w:rPr>
      </w:pPr>
    </w:p>
    <w:p w14:paraId="215BD56E">
      <w:pPr>
        <w:pStyle w:val="23"/>
        <w:widowControl w:val="0"/>
        <w:ind w:firstLine="480"/>
        <w:rPr>
          <w:rFonts w:hint="eastAsia" w:ascii="宋体" w:hAnsi="宋体" w:eastAsia="宋体" w:cs="宋体"/>
          <w:color w:val="auto"/>
          <w:sz w:val="24"/>
          <w:szCs w:val="24"/>
          <w:highlight w:val="none"/>
          <w:lang w:eastAsia="zh-CN"/>
        </w:rPr>
      </w:pPr>
    </w:p>
    <w:p w14:paraId="1AEF884F">
      <w:pPr>
        <w:pStyle w:val="23"/>
        <w:widowControl w:val="0"/>
        <w:ind w:firstLine="480"/>
        <w:rPr>
          <w:rFonts w:hint="eastAsia" w:ascii="宋体" w:hAnsi="宋体" w:eastAsia="宋体" w:cs="宋体"/>
          <w:color w:val="auto"/>
          <w:sz w:val="24"/>
          <w:szCs w:val="24"/>
          <w:highlight w:val="none"/>
          <w:lang w:eastAsia="zh-CN"/>
        </w:rPr>
      </w:pPr>
    </w:p>
    <w:p w14:paraId="18F5DF1C">
      <w:pPr>
        <w:pStyle w:val="23"/>
        <w:widowControl w:val="0"/>
        <w:ind w:firstLine="480"/>
        <w:rPr>
          <w:rFonts w:hint="eastAsia" w:ascii="宋体" w:hAnsi="宋体" w:eastAsia="宋体" w:cs="宋体"/>
          <w:color w:val="auto"/>
          <w:sz w:val="24"/>
          <w:szCs w:val="24"/>
          <w:highlight w:val="none"/>
          <w:lang w:eastAsia="zh-CN"/>
        </w:rPr>
      </w:pPr>
    </w:p>
    <w:p w14:paraId="39F009AF">
      <w:pPr>
        <w:pStyle w:val="23"/>
        <w:widowControl w:val="0"/>
        <w:ind w:firstLine="480"/>
        <w:rPr>
          <w:rFonts w:hint="eastAsia" w:ascii="宋体" w:hAnsi="宋体" w:eastAsia="宋体" w:cs="宋体"/>
          <w:color w:val="auto"/>
          <w:sz w:val="24"/>
          <w:szCs w:val="24"/>
          <w:highlight w:val="none"/>
          <w:lang w:eastAsia="zh-CN"/>
        </w:rPr>
      </w:pPr>
    </w:p>
    <w:p w14:paraId="4AFA672E">
      <w:pPr>
        <w:pStyle w:val="23"/>
        <w:widowControl w:val="0"/>
        <w:ind w:firstLine="480"/>
        <w:rPr>
          <w:rFonts w:hint="eastAsia" w:ascii="宋体" w:hAnsi="宋体" w:eastAsia="宋体" w:cs="宋体"/>
          <w:color w:val="auto"/>
          <w:sz w:val="24"/>
          <w:szCs w:val="24"/>
          <w:highlight w:val="none"/>
          <w:lang w:eastAsia="zh-CN"/>
        </w:rPr>
      </w:pPr>
    </w:p>
    <w:p w14:paraId="50536775">
      <w:pPr>
        <w:pStyle w:val="23"/>
        <w:widowControl w:val="0"/>
        <w:ind w:firstLine="480"/>
        <w:rPr>
          <w:rFonts w:hint="eastAsia" w:ascii="宋体" w:hAnsi="宋体" w:eastAsia="宋体" w:cs="宋体"/>
          <w:color w:val="auto"/>
          <w:sz w:val="24"/>
          <w:szCs w:val="24"/>
          <w:highlight w:val="none"/>
          <w:lang w:eastAsia="zh-CN"/>
        </w:rPr>
      </w:pPr>
    </w:p>
    <w:p w14:paraId="7146937A">
      <w:pPr>
        <w:jc w:val="center"/>
        <w:outlineLvl w:val="1"/>
        <w:rPr>
          <w:rFonts w:hint="eastAsia" w:ascii="宋体" w:hAnsi="宋体" w:eastAsia="宋体" w:cs="宋体"/>
          <w:color w:val="auto"/>
          <w:sz w:val="24"/>
          <w:szCs w:val="24"/>
          <w:highlight w:val="none"/>
          <w:lang w:eastAsia="zh-CN"/>
        </w:rPr>
      </w:pPr>
      <w:bookmarkStart w:id="189" w:name="_Toc13769"/>
      <w:bookmarkStart w:id="190" w:name="_Toc4672"/>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eastAsia="zh-CN"/>
        </w:rPr>
        <w:t>.为落实政府采购政策投标人须提供的证明材料</w:t>
      </w:r>
      <w:bookmarkEnd w:id="189"/>
      <w:bookmarkEnd w:id="190"/>
    </w:p>
    <w:p w14:paraId="7082ECC6">
      <w:pPr>
        <w:widowControl w:val="0"/>
        <w:spacing w:line="363" w:lineRule="auto"/>
        <w:jc w:val="center"/>
        <w:rPr>
          <w:rFonts w:hint="eastAsia" w:ascii="宋体" w:hAnsi="宋体" w:eastAsia="宋体" w:cs="宋体"/>
          <w:color w:val="auto"/>
          <w:highlight w:val="none"/>
          <w:lang w:eastAsia="zh-CN"/>
        </w:rPr>
      </w:pPr>
    </w:p>
    <w:p w14:paraId="5AB8CBAE">
      <w:pPr>
        <w:widowControl w:val="0"/>
        <w:spacing w:before="78" w:line="219" w:lineRule="auto"/>
        <w:jc w:val="center"/>
        <w:outlineLvl w:val="2"/>
        <w:rPr>
          <w:rFonts w:hint="eastAsia" w:ascii="宋体" w:hAnsi="宋体" w:eastAsia="宋体" w:cs="宋体"/>
          <w:color w:val="auto"/>
          <w:sz w:val="24"/>
          <w:szCs w:val="24"/>
          <w:highlight w:val="none"/>
          <w:lang w:eastAsia="zh-CN"/>
        </w:rPr>
      </w:pPr>
      <w:bookmarkStart w:id="191" w:name="_Toc8580"/>
      <w:bookmarkStart w:id="192" w:name="_Toc14670"/>
      <w:r>
        <w:rPr>
          <w:rFonts w:hint="eastAsia" w:ascii="宋体" w:hAnsi="宋体" w:eastAsia="宋体" w:cs="宋体"/>
          <w:color w:val="auto"/>
          <w:sz w:val="24"/>
          <w:szCs w:val="24"/>
          <w:highlight w:val="none"/>
          <w:lang w:eastAsia="zh-CN"/>
        </w:rPr>
        <w:t>格式</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eastAsia="zh-CN"/>
        </w:rPr>
        <w:t>-1中小企业声明（服务）</w:t>
      </w:r>
      <w:bookmarkEnd w:id="191"/>
      <w:bookmarkEnd w:id="192"/>
    </w:p>
    <w:p w14:paraId="0E40D694">
      <w:pPr>
        <w:widowControl w:val="0"/>
        <w:spacing w:line="364" w:lineRule="auto"/>
        <w:rPr>
          <w:rFonts w:hint="eastAsia" w:ascii="宋体" w:hAnsi="宋体" w:eastAsia="宋体" w:cs="宋体"/>
          <w:color w:val="auto"/>
          <w:highlight w:val="none"/>
          <w:lang w:eastAsia="zh-CN"/>
        </w:rPr>
      </w:pPr>
    </w:p>
    <w:p w14:paraId="1B1FC2C1">
      <w:pPr>
        <w:widowControl w:val="0"/>
        <w:spacing w:before="78" w:line="360" w:lineRule="auto"/>
        <w:ind w:right="189"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本公司（联合体）郑重声明，根据《政府采购促进中小企业发展管理办法》 （财库﹝2020﹞46 号）的规定，本公司（联合体）参加</w:t>
      </w:r>
      <w:r>
        <w:rPr>
          <w:rFonts w:hint="eastAsia" w:ascii="宋体" w:hAnsi="宋体" w:eastAsia="宋体" w:cs="宋体"/>
          <w:color w:val="auto"/>
          <w:sz w:val="24"/>
          <w:szCs w:val="24"/>
          <w:highlight w:val="none"/>
          <w:u w:val="single"/>
          <w:lang w:eastAsia="zh-CN"/>
        </w:rPr>
        <w:t>（单位名称）</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u w:val="single"/>
          <w:lang w:eastAsia="zh-CN"/>
        </w:rPr>
        <w:t>（项目名 称）</w:t>
      </w:r>
      <w:r>
        <w:rPr>
          <w:rFonts w:hint="eastAsia" w:ascii="宋体" w:hAnsi="宋体" w:eastAsia="宋体" w:cs="宋体"/>
          <w:color w:val="auto"/>
          <w:sz w:val="24"/>
          <w:szCs w:val="24"/>
          <w:highlight w:val="none"/>
          <w:lang w:eastAsia="zh-CN"/>
        </w:rPr>
        <w:t>采购活动，服务全部由符合政策要求的中小企业承接。相关企业（含联合体中的中小企业、签订分包意向协议的中小企业）的具体情况如下：</w:t>
      </w:r>
    </w:p>
    <w:p w14:paraId="7BEEB782">
      <w:pPr>
        <w:widowControl w:val="0"/>
        <w:spacing w:before="301" w:line="360" w:lineRule="auto"/>
        <w:ind w:left="36" w:right="103" w:firstLine="498"/>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u w:val="single"/>
          <w:lang w:eastAsia="zh-CN"/>
        </w:rPr>
        <w:t>（标的名称 ）</w:t>
      </w:r>
      <w:r>
        <w:rPr>
          <w:rFonts w:hint="eastAsia" w:ascii="宋体" w:hAnsi="宋体" w:eastAsia="宋体" w:cs="宋体"/>
          <w:color w:val="auto"/>
          <w:sz w:val="24"/>
          <w:szCs w:val="24"/>
          <w:highlight w:val="none"/>
          <w:lang w:eastAsia="zh-CN"/>
        </w:rPr>
        <w:t xml:space="preserve"> ，属于</w:t>
      </w:r>
      <w:r>
        <w:rPr>
          <w:rFonts w:hint="eastAsia" w:ascii="宋体" w:hAnsi="宋体" w:eastAsia="宋体" w:cs="宋体"/>
          <w:color w:val="auto"/>
          <w:sz w:val="24"/>
          <w:szCs w:val="24"/>
          <w:highlight w:val="none"/>
          <w:u w:val="single"/>
          <w:lang w:eastAsia="zh-CN"/>
        </w:rPr>
        <w:t>（采购文件中明确的所属行业）</w:t>
      </w:r>
      <w:r>
        <w:rPr>
          <w:rFonts w:hint="eastAsia" w:ascii="宋体" w:hAnsi="宋体" w:eastAsia="宋体" w:cs="宋体"/>
          <w:color w:val="auto"/>
          <w:sz w:val="24"/>
          <w:szCs w:val="24"/>
          <w:highlight w:val="none"/>
          <w:lang w:eastAsia="zh-CN"/>
        </w:rPr>
        <w:t>行业；承接商为（企 业名称），从业人员 人，营业收入为  万元，资产总额为 万元，属于</w:t>
      </w:r>
      <w:r>
        <w:rPr>
          <w:rFonts w:hint="eastAsia" w:ascii="宋体" w:hAnsi="宋体" w:eastAsia="宋体" w:cs="宋体"/>
          <w:color w:val="auto"/>
          <w:sz w:val="24"/>
          <w:szCs w:val="24"/>
          <w:highlight w:val="none"/>
          <w:u w:val="single"/>
          <w:lang w:eastAsia="zh-CN"/>
        </w:rPr>
        <w:tab/>
      </w:r>
      <w:r>
        <w:rPr>
          <w:rFonts w:hint="eastAsia" w:ascii="宋体" w:hAnsi="宋体" w:eastAsia="宋体" w:cs="宋体"/>
          <w:color w:val="auto"/>
          <w:sz w:val="24"/>
          <w:szCs w:val="24"/>
          <w:highlight w:val="none"/>
          <w:u w:val="single"/>
          <w:lang w:eastAsia="zh-CN"/>
        </w:rPr>
        <w:t>（中型企业、小型企业、微型企业）</w:t>
      </w:r>
      <w:r>
        <w:rPr>
          <w:rFonts w:hint="eastAsia" w:ascii="宋体" w:hAnsi="宋体" w:eastAsia="宋体" w:cs="宋体"/>
          <w:color w:val="auto"/>
          <w:sz w:val="24"/>
          <w:szCs w:val="24"/>
          <w:highlight w:val="none"/>
          <w:lang w:eastAsia="zh-CN"/>
        </w:rPr>
        <w:t>；</w:t>
      </w:r>
    </w:p>
    <w:p w14:paraId="301F18BA">
      <w:pPr>
        <w:widowControl w:val="0"/>
        <w:spacing w:before="183" w:line="360" w:lineRule="auto"/>
        <w:ind w:left="36" w:right="103" w:firstLine="483"/>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u w:val="single"/>
          <w:lang w:eastAsia="zh-CN"/>
        </w:rPr>
        <w:t>（标的名称 ）</w:t>
      </w:r>
      <w:r>
        <w:rPr>
          <w:rFonts w:hint="eastAsia" w:ascii="宋体" w:hAnsi="宋体" w:eastAsia="宋体" w:cs="宋体"/>
          <w:color w:val="auto"/>
          <w:sz w:val="24"/>
          <w:szCs w:val="24"/>
          <w:highlight w:val="none"/>
          <w:lang w:eastAsia="zh-CN"/>
        </w:rPr>
        <w:t xml:space="preserve"> ，属于</w:t>
      </w:r>
      <w:r>
        <w:rPr>
          <w:rFonts w:hint="eastAsia" w:ascii="宋体" w:hAnsi="宋体" w:eastAsia="宋体" w:cs="宋体"/>
          <w:color w:val="auto"/>
          <w:sz w:val="24"/>
          <w:szCs w:val="24"/>
          <w:highlight w:val="none"/>
          <w:u w:val="single"/>
          <w:lang w:eastAsia="zh-CN"/>
        </w:rPr>
        <w:t>（ 采购文件中明确的所属行业）</w:t>
      </w:r>
      <w:r>
        <w:rPr>
          <w:rFonts w:hint="eastAsia" w:ascii="宋体" w:hAnsi="宋体" w:eastAsia="宋体" w:cs="宋体"/>
          <w:color w:val="auto"/>
          <w:sz w:val="24"/>
          <w:szCs w:val="24"/>
          <w:highlight w:val="none"/>
          <w:lang w:eastAsia="zh-CN"/>
        </w:rPr>
        <w:t>行业；承接商为</w:t>
      </w:r>
      <w:r>
        <w:rPr>
          <w:rFonts w:hint="eastAsia" w:ascii="宋体" w:hAnsi="宋体" w:eastAsia="宋体" w:cs="宋体"/>
          <w:color w:val="auto"/>
          <w:sz w:val="24"/>
          <w:szCs w:val="24"/>
          <w:highlight w:val="none"/>
          <w:u w:val="single"/>
          <w:lang w:eastAsia="zh-CN"/>
        </w:rPr>
        <w:t>（企 业名称）</w:t>
      </w:r>
      <w:r>
        <w:rPr>
          <w:rFonts w:hint="eastAsia" w:ascii="宋体" w:hAnsi="宋体" w:eastAsia="宋体" w:cs="宋体"/>
          <w:color w:val="auto"/>
          <w:sz w:val="24"/>
          <w:szCs w:val="24"/>
          <w:highlight w:val="none"/>
          <w:lang w:eastAsia="zh-CN"/>
        </w:rPr>
        <w:t>，从业人员 人，营业收入为 万元，资产总额为 万元，属于</w:t>
      </w:r>
      <w:r>
        <w:rPr>
          <w:rFonts w:hint="eastAsia" w:ascii="宋体" w:hAnsi="宋体" w:eastAsia="宋体" w:cs="宋体"/>
          <w:color w:val="auto"/>
          <w:sz w:val="24"/>
          <w:szCs w:val="24"/>
          <w:highlight w:val="none"/>
          <w:u w:val="single"/>
          <w:lang w:eastAsia="zh-CN"/>
        </w:rPr>
        <w:t>（中型企业、小型企业、微型企业）</w:t>
      </w:r>
      <w:r>
        <w:rPr>
          <w:rFonts w:hint="eastAsia" w:ascii="宋体" w:hAnsi="宋体" w:eastAsia="宋体" w:cs="宋体"/>
          <w:color w:val="auto"/>
          <w:sz w:val="24"/>
          <w:szCs w:val="24"/>
          <w:highlight w:val="none"/>
          <w:lang w:eastAsia="zh-CN"/>
        </w:rPr>
        <w:t>；</w:t>
      </w:r>
    </w:p>
    <w:p w14:paraId="7E9A004D">
      <w:pPr>
        <w:widowControl w:val="0"/>
        <w:spacing w:before="183" w:line="360" w:lineRule="auto"/>
        <w:ind w:left="912"/>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p>
    <w:p w14:paraId="42830F78">
      <w:pPr>
        <w:widowControl w:val="0"/>
        <w:spacing w:before="210" w:line="360" w:lineRule="auto"/>
        <w:ind w:left="63" w:leftChars="30"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以上企业，不属于大企业的分支机构，不存在控股股东为大企业的情形，也不存在与大企业的负责人为同一人的情形。</w:t>
      </w:r>
    </w:p>
    <w:p w14:paraId="590ECFA8">
      <w:pPr>
        <w:widowControl w:val="0"/>
        <w:spacing w:before="302" w:line="360" w:lineRule="auto"/>
        <w:ind w:left="518"/>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本企业对上述声明内容的真实性负责。如有虚假，将依法承担相应责任。</w:t>
      </w:r>
    </w:p>
    <w:p w14:paraId="35073D29">
      <w:pPr>
        <w:widowControl w:val="0"/>
        <w:spacing w:line="360" w:lineRule="auto"/>
        <w:jc w:val="both"/>
        <w:rPr>
          <w:rFonts w:hint="eastAsia" w:ascii="宋体" w:hAnsi="宋体" w:eastAsia="宋体" w:cs="宋体"/>
          <w:color w:val="auto"/>
          <w:highlight w:val="none"/>
          <w:lang w:eastAsia="zh-CN"/>
        </w:rPr>
      </w:pPr>
    </w:p>
    <w:p w14:paraId="130F42CA">
      <w:pPr>
        <w:widowControl w:val="0"/>
        <w:spacing w:line="360" w:lineRule="auto"/>
        <w:rPr>
          <w:rFonts w:hint="eastAsia" w:ascii="宋体" w:hAnsi="宋体" w:eastAsia="宋体" w:cs="宋体"/>
          <w:color w:val="auto"/>
          <w:highlight w:val="none"/>
          <w:lang w:eastAsia="zh-CN"/>
        </w:rPr>
      </w:pPr>
    </w:p>
    <w:p w14:paraId="3CE4DF27">
      <w:pPr>
        <w:widowControl w:val="0"/>
        <w:spacing w:line="360" w:lineRule="auto"/>
        <w:rPr>
          <w:rFonts w:hint="eastAsia" w:ascii="宋体" w:hAnsi="宋体" w:eastAsia="宋体" w:cs="宋体"/>
          <w:color w:val="auto"/>
          <w:highlight w:val="none"/>
          <w:lang w:eastAsia="zh-CN"/>
        </w:rPr>
      </w:pPr>
    </w:p>
    <w:p w14:paraId="5F8783C7">
      <w:pPr>
        <w:widowControl w:val="0"/>
        <w:spacing w:before="78" w:line="360" w:lineRule="auto"/>
        <w:ind w:left="4601"/>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企业名称（盖章）：</w:t>
      </w:r>
    </w:p>
    <w:p w14:paraId="56DDBBCA">
      <w:pPr>
        <w:widowControl w:val="0"/>
        <w:spacing w:line="360" w:lineRule="auto"/>
        <w:ind w:left="4617"/>
        <w:rPr>
          <w:rFonts w:hint="eastAsia" w:ascii="宋体" w:hAnsi="宋体" w:eastAsia="宋体" w:cs="宋体"/>
          <w:color w:val="auto"/>
          <w:highlight w:val="none"/>
          <w:lang w:eastAsia="zh-CN"/>
        </w:rPr>
      </w:pPr>
      <w:r>
        <w:rPr>
          <w:rFonts w:hint="eastAsia" w:ascii="宋体" w:hAnsi="宋体" w:eastAsia="宋体" w:cs="宋体"/>
          <w:color w:val="auto"/>
          <w:sz w:val="24"/>
          <w:szCs w:val="24"/>
          <w:highlight w:val="none"/>
          <w:lang w:eastAsia="zh-CN"/>
        </w:rPr>
        <w:t>日期：年月日</w:t>
      </w:r>
    </w:p>
    <w:p w14:paraId="7214166D">
      <w:pPr>
        <w:widowControl w:val="0"/>
        <w:spacing w:line="360" w:lineRule="auto"/>
        <w:rPr>
          <w:rFonts w:hint="eastAsia" w:ascii="宋体" w:hAnsi="宋体" w:eastAsia="宋体" w:cs="宋体"/>
          <w:color w:val="auto"/>
          <w:highlight w:val="none"/>
          <w:lang w:eastAsia="zh-CN"/>
        </w:rPr>
      </w:pPr>
    </w:p>
    <w:p w14:paraId="7DB7028E">
      <w:pPr>
        <w:pStyle w:val="2"/>
        <w:rPr>
          <w:rFonts w:hint="eastAsia" w:ascii="宋体" w:hAnsi="宋体" w:eastAsia="宋体" w:cs="宋体"/>
          <w:color w:val="auto"/>
          <w:highlight w:val="none"/>
          <w:lang w:eastAsia="zh-CN"/>
        </w:rPr>
      </w:pPr>
    </w:p>
    <w:p w14:paraId="3D4E8666">
      <w:pPr>
        <w:rPr>
          <w:rFonts w:hint="eastAsia" w:ascii="宋体" w:hAnsi="宋体" w:eastAsia="宋体" w:cs="宋体"/>
          <w:color w:val="auto"/>
          <w:highlight w:val="none"/>
          <w:lang w:eastAsia="zh-CN"/>
        </w:rPr>
      </w:pPr>
      <w:r>
        <w:rPr>
          <w:rFonts w:hint="eastAsia" w:ascii="宋体" w:hAnsi="宋体" w:eastAsia="宋体" w:cs="宋体"/>
          <w:color w:val="auto"/>
          <w:sz w:val="24"/>
          <w:szCs w:val="24"/>
          <w:highlight w:val="none"/>
          <w:lang w:eastAsia="zh-CN"/>
        </w:rPr>
        <w:t>注：1、从业人员、营业收入、资产总额填报上一年度数据，无上一年度数据的新成立企业可不填报。</w:t>
      </w:r>
    </w:p>
    <w:p w14:paraId="4851FBBD">
      <w:pPr>
        <w:spacing w:afterLines="100"/>
        <w:rPr>
          <w:rFonts w:hint="eastAsia" w:ascii="宋体" w:hAnsi="宋体" w:eastAsia="宋体" w:cs="宋体"/>
          <w:b/>
          <w:bCs/>
          <w:color w:val="auto"/>
          <w:sz w:val="28"/>
          <w:szCs w:val="28"/>
          <w:highlight w:val="none"/>
          <w:lang w:eastAsia="zh-CN"/>
        </w:rPr>
      </w:pPr>
    </w:p>
    <w:p w14:paraId="30AE93C3">
      <w:pPr>
        <w:spacing w:afterLines="100"/>
        <w:rPr>
          <w:rFonts w:hint="eastAsia" w:ascii="宋体" w:hAnsi="宋体" w:eastAsia="宋体" w:cs="宋体"/>
          <w:b/>
          <w:bCs/>
          <w:color w:val="auto"/>
          <w:sz w:val="28"/>
          <w:szCs w:val="28"/>
          <w:highlight w:val="none"/>
          <w:lang w:eastAsia="zh-CN"/>
        </w:rPr>
      </w:pPr>
    </w:p>
    <w:p w14:paraId="7E540551">
      <w:pPr>
        <w:spacing w:afterLines="100"/>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eastAsia="zh-CN"/>
        </w:rPr>
        <w:t>《中小企业声明函》填写指引及风险提示：</w:t>
      </w:r>
    </w:p>
    <w:p w14:paraId="7F00EA8D">
      <w:pPr>
        <w:spacing w:line="360" w:lineRule="auto"/>
        <w:outlineLvl w:val="2"/>
        <w:rPr>
          <w:rFonts w:hint="eastAsia" w:ascii="宋体" w:hAnsi="宋体" w:eastAsia="宋体" w:cs="宋体"/>
          <w:b/>
          <w:bCs/>
          <w:color w:val="auto"/>
          <w:sz w:val="28"/>
          <w:szCs w:val="28"/>
          <w:highlight w:val="none"/>
          <w:lang w:eastAsia="zh-CN"/>
        </w:rPr>
      </w:pPr>
      <w:bookmarkStart w:id="193" w:name="_Toc16486"/>
      <w:r>
        <w:rPr>
          <w:rFonts w:hint="eastAsia" w:ascii="宋体" w:hAnsi="宋体" w:eastAsia="宋体" w:cs="宋体"/>
          <w:b/>
          <w:bCs/>
          <w:color w:val="auto"/>
          <w:sz w:val="28"/>
          <w:szCs w:val="28"/>
          <w:highlight w:val="none"/>
          <w:lang w:eastAsia="zh-CN"/>
        </w:rPr>
        <w:t>（一）填写指引：</w:t>
      </w:r>
      <w:bookmarkEnd w:id="193"/>
    </w:p>
    <w:p w14:paraId="2A1DEEC9">
      <w:pPr>
        <w:spacing w:line="360" w:lineRule="auto"/>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1、投标人在填写时请依照招标文件提供的格式和内容填写，</w:t>
      </w:r>
      <w:r>
        <w:rPr>
          <w:rFonts w:hint="eastAsia" w:ascii="宋体" w:hAnsi="宋体" w:eastAsia="宋体" w:cs="宋体"/>
          <w:b/>
          <w:bCs/>
          <w:color w:val="auto"/>
          <w:sz w:val="24"/>
          <w:szCs w:val="24"/>
          <w:highlight w:val="none"/>
          <w:lang w:eastAsia="zh-CN"/>
        </w:rPr>
        <w:t>不得随意变更格式</w:t>
      </w:r>
      <w:r>
        <w:rPr>
          <w:rFonts w:hint="eastAsia" w:ascii="宋体" w:hAnsi="宋体" w:eastAsia="宋体" w:cs="宋体"/>
          <w:color w:val="auto"/>
          <w:sz w:val="24"/>
          <w:szCs w:val="24"/>
          <w:highlight w:val="none"/>
          <w:lang w:eastAsia="zh-CN"/>
        </w:rPr>
        <w:t>。</w:t>
      </w:r>
    </w:p>
    <w:p w14:paraId="49D87C1C">
      <w:pPr>
        <w:spacing w:line="360" w:lineRule="auto"/>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2、《中小企业声明函》由投标人根据承接服务的企业实际情况填写，不符合要求的投标人可以不填写或直接删除本格式。</w:t>
      </w:r>
    </w:p>
    <w:p w14:paraId="0E35A298">
      <w:pPr>
        <w:spacing w:line="360" w:lineRule="auto"/>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3、填写需参考的相关文件：（1）《政府采购促进中小企业发展管理办法》（财库【2020】46号）、《关于中小企业划型标准规定的通知》（工信部联企业【2011】300号文，详见下述附表）</w:t>
      </w:r>
    </w:p>
    <w:p w14:paraId="040739EC">
      <w:pPr>
        <w:spacing w:line="360" w:lineRule="auto"/>
        <w:jc w:val="both"/>
        <w:outlineLvl w:val="1"/>
        <w:rPr>
          <w:rFonts w:hint="eastAsia" w:ascii="宋体" w:hAnsi="宋体" w:eastAsia="宋体" w:cs="宋体"/>
          <w:color w:val="auto"/>
          <w:sz w:val="24"/>
          <w:szCs w:val="24"/>
          <w:highlight w:val="none"/>
          <w:lang w:eastAsia="zh-CN"/>
        </w:rPr>
      </w:pPr>
      <w:bookmarkStart w:id="194" w:name="_Toc23693"/>
      <w:bookmarkStart w:id="195" w:name="_Toc27335"/>
      <w:r>
        <w:rPr>
          <w:rFonts w:hint="eastAsia" w:ascii="宋体" w:hAnsi="宋体" w:eastAsia="宋体" w:cs="宋体"/>
          <w:color w:val="auto"/>
          <w:sz w:val="24"/>
          <w:szCs w:val="24"/>
          <w:highlight w:val="none"/>
          <w:lang w:eastAsia="zh-CN"/>
        </w:rPr>
        <w:t>4、具体要求：</w:t>
      </w:r>
      <w:bookmarkEnd w:id="194"/>
      <w:bookmarkEnd w:id="195"/>
    </w:p>
    <w:p w14:paraId="70DF7437">
      <w:pPr>
        <w:spacing w:line="360" w:lineRule="auto"/>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（1）第一处，在“单位名称”“项目名称”下划线处填写本采购项目的采购人名称和项目名称。</w:t>
      </w:r>
    </w:p>
    <w:p w14:paraId="1963CBC2">
      <w:pPr>
        <w:spacing w:line="360" w:lineRule="auto"/>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第二处，在“标的名称”下划线处填写本项目采购具体品目的名称，如是单品目，直接填写项目名称或品目名称。在“采购文件中明确的所属行业”中填写本招标文件第二章“投标人须知前附件表”中列明的行业，一定要按照招标文件明确的内容进行填写。</w:t>
      </w:r>
    </w:p>
    <w:p w14:paraId="7557171F">
      <w:pPr>
        <w:spacing w:line="360" w:lineRule="auto"/>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第三处，在“企业名称”下划线处如实填写承接服务的企业名称，在“从业人员”“营业收入”“资产总额”下划线处如实填写承接服务的企业相关信息，数据务必向承接服务的企业进行核实；如是多品目，须填写每一品目的承接服务的企业信息。如承接服务的企业是投标人，则填写投标人信息。</w:t>
      </w:r>
    </w:p>
    <w:p w14:paraId="423E2716">
      <w:pPr>
        <w:spacing w:line="360" w:lineRule="auto"/>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（4）第四处在“中型企业、小型企业、微型企业”下划线处如实依照300号文确定承接服务的企业类型并填写。</w:t>
      </w:r>
    </w:p>
    <w:p w14:paraId="64DABB26">
      <w:pPr>
        <w:spacing w:line="360" w:lineRule="auto"/>
        <w:jc w:val="both"/>
        <w:outlineLvl w:val="2"/>
        <w:rPr>
          <w:rFonts w:hint="eastAsia" w:ascii="宋体" w:hAnsi="宋体" w:eastAsia="宋体" w:cs="宋体"/>
          <w:color w:val="auto"/>
          <w:sz w:val="24"/>
          <w:szCs w:val="24"/>
          <w:highlight w:val="none"/>
          <w:lang w:eastAsia="zh-CN"/>
        </w:rPr>
      </w:pPr>
      <w:bookmarkStart w:id="196" w:name="_Toc20314"/>
      <w:r>
        <w:rPr>
          <w:rFonts w:hint="eastAsia" w:ascii="宋体" w:hAnsi="宋体" w:eastAsia="宋体" w:cs="宋体"/>
          <w:color w:val="auto"/>
          <w:sz w:val="24"/>
          <w:szCs w:val="24"/>
          <w:highlight w:val="none"/>
          <w:lang w:eastAsia="zh-CN"/>
        </w:rPr>
        <w:t>（5）填写内容应一一对应，不能漏填或误填。</w:t>
      </w:r>
      <w:bookmarkEnd w:id="196"/>
    </w:p>
    <w:p w14:paraId="08EFCA59">
      <w:pPr>
        <w:spacing w:line="360" w:lineRule="auto"/>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5、允许联合体参加或合同分包的项目，《中小企业声明函》中需填写联合体协议或签订分包意向协议中的中小企业（或小微企业）相关信息，并在 “项目名称”部分标明联合体中中小企业（或小微企业）承担的具体内容或者中小企业的具体合同分包内容。</w:t>
      </w:r>
    </w:p>
    <w:p w14:paraId="0307309D">
      <w:pPr>
        <w:spacing w:line="360" w:lineRule="auto"/>
        <w:jc w:val="both"/>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eastAsia="zh-CN"/>
        </w:rPr>
        <w:t>（二）风险提示</w:t>
      </w:r>
    </w:p>
    <w:p w14:paraId="4B261267">
      <w:pPr>
        <w:spacing w:line="360" w:lineRule="auto"/>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投标人填写《中小企业声明函》的，必须如实填报，中标人享受了招标文件规定的中小企业扶持政策的，《中小企业声明函》随中标结果公开，接受社会监督。2、承接本项目服务的企业本身为中小企业，但存在属于大企业的分支机构或控股股东为大企业或与大企业的负责人为同一人的情形，也不享受招标文件规定的中小企业扶持政策。</w:t>
      </w:r>
    </w:p>
    <w:p w14:paraId="723A4C4D">
      <w:pPr>
        <w:spacing w:line="360" w:lineRule="auto"/>
        <w:jc w:val="both"/>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3、投标人提供声明函内容不实的，属于提供虚假材料谋取中标，依照《中华人民共和国政府采购法》等国家有关规定追究相应责任。</w:t>
      </w:r>
      <w:r>
        <w:rPr>
          <w:rFonts w:hint="eastAsia" w:ascii="宋体" w:hAnsi="宋体" w:eastAsia="宋体" w:cs="宋体"/>
          <w:b/>
          <w:bCs/>
          <w:color w:val="auto"/>
          <w:sz w:val="24"/>
          <w:szCs w:val="24"/>
          <w:highlight w:val="none"/>
          <w:lang w:eastAsia="zh-CN"/>
        </w:rPr>
        <w:br w:type="page"/>
      </w:r>
      <w:r>
        <w:rPr>
          <w:rFonts w:hint="eastAsia" w:ascii="宋体" w:hAnsi="宋体" w:eastAsia="宋体" w:cs="宋体"/>
          <w:b/>
          <w:bCs/>
          <w:color w:val="auto"/>
          <w:sz w:val="24"/>
          <w:szCs w:val="24"/>
          <w:highlight w:val="none"/>
          <w:lang w:eastAsia="zh-CN"/>
        </w:rPr>
        <w:t>附表</w:t>
      </w:r>
    </w:p>
    <w:p w14:paraId="2418D0D2">
      <w:pPr>
        <w:pStyle w:val="13"/>
        <w:widowControl w:val="0"/>
        <w:spacing w:before="0" w:beforeAutospacing="0" w:after="0" w:afterAutospacing="0" w:line="350" w:lineRule="exact"/>
        <w:jc w:val="center"/>
        <w:rPr>
          <w:rFonts w:hint="eastAsia" w:ascii="宋体" w:hAnsi="宋体" w:eastAsia="宋体" w:cs="宋体"/>
          <w:b/>
          <w:bCs/>
          <w:color w:val="auto"/>
          <w:szCs w:val="24"/>
          <w:highlight w:val="none"/>
          <w:lang w:eastAsia="zh-CN"/>
        </w:rPr>
      </w:pPr>
      <w:r>
        <w:rPr>
          <w:rFonts w:hint="eastAsia" w:ascii="宋体" w:hAnsi="宋体" w:eastAsia="宋体" w:cs="宋体"/>
          <w:b/>
          <w:bCs/>
          <w:color w:val="auto"/>
          <w:szCs w:val="24"/>
          <w:highlight w:val="none"/>
          <w:lang w:eastAsia="zh-CN"/>
        </w:rPr>
        <w:t>中小企业划型标准规定</w:t>
      </w:r>
    </w:p>
    <w:p w14:paraId="1BECC343">
      <w:pPr>
        <w:pStyle w:val="13"/>
        <w:widowControl w:val="0"/>
        <w:spacing w:before="0" w:beforeAutospacing="0" w:after="0" w:afterAutospacing="0" w:line="350" w:lineRule="exact"/>
        <w:jc w:val="center"/>
        <w:rPr>
          <w:rFonts w:hint="eastAsia" w:ascii="宋体" w:hAnsi="宋体" w:eastAsia="宋体" w:cs="宋体"/>
          <w:b/>
          <w:bCs/>
          <w:color w:val="auto"/>
          <w:szCs w:val="24"/>
          <w:highlight w:val="none"/>
          <w:lang w:eastAsia="zh-CN"/>
        </w:rPr>
      </w:pPr>
      <w:r>
        <w:rPr>
          <w:rFonts w:hint="eastAsia" w:ascii="宋体" w:hAnsi="宋体" w:eastAsia="宋体" w:cs="宋体"/>
          <w:b/>
          <w:bCs/>
          <w:color w:val="auto"/>
          <w:szCs w:val="24"/>
          <w:highlight w:val="none"/>
          <w:lang w:eastAsia="zh-CN"/>
        </w:rPr>
        <w:t>（</w:t>
      </w:r>
      <w:r>
        <w:rPr>
          <w:rFonts w:hint="eastAsia" w:ascii="宋体" w:hAnsi="宋体" w:eastAsia="宋体" w:cs="宋体"/>
          <w:color w:val="auto"/>
          <w:szCs w:val="24"/>
          <w:highlight w:val="none"/>
          <w:lang w:eastAsia="zh-CN"/>
        </w:rPr>
        <w:t>工信部联企业〔2011〕300号</w:t>
      </w:r>
      <w:r>
        <w:rPr>
          <w:rFonts w:hint="eastAsia" w:ascii="宋体" w:hAnsi="宋体" w:eastAsia="宋体" w:cs="宋体"/>
          <w:b/>
          <w:bCs/>
          <w:color w:val="auto"/>
          <w:szCs w:val="24"/>
          <w:highlight w:val="none"/>
          <w:lang w:eastAsia="zh-CN"/>
        </w:rPr>
        <w:t>）</w:t>
      </w:r>
    </w:p>
    <w:p w14:paraId="5F8EF6C8">
      <w:pPr>
        <w:pStyle w:val="13"/>
        <w:widowControl w:val="0"/>
        <w:spacing w:before="0" w:beforeAutospacing="0" w:after="0" w:afterAutospacing="0" w:line="350" w:lineRule="exact"/>
        <w:jc w:val="right"/>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---（摘要）</w:t>
      </w:r>
    </w:p>
    <w:p w14:paraId="2C1C2693">
      <w:pPr>
        <w:pStyle w:val="13"/>
        <w:widowControl w:val="0"/>
        <w:numPr>
          <w:ilvl w:val="0"/>
          <w:numId w:val="6"/>
        </w:numPr>
        <w:spacing w:before="0" w:beforeAutospacing="0" w:after="0" w:afterAutospacing="0" w:line="360" w:lineRule="auto"/>
        <w:jc w:val="both"/>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lang w:eastAsia="zh-CN"/>
        </w:rPr>
        <w:t>本规定适用的行业包括：</w:t>
      </w:r>
    </w:p>
    <w:p w14:paraId="10B25FD0">
      <w:pPr>
        <w:widowControl w:val="0"/>
        <w:kinsoku/>
        <w:spacing w:beforeLines="32" w:line="360" w:lineRule="auto"/>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2E599B97">
      <w:pPr>
        <w:widowControl w:val="0"/>
        <w:kinsoku/>
        <w:spacing w:beforeLines="25" w:line="360" w:lineRule="auto"/>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二、各行业划型标准为：</w:t>
      </w:r>
    </w:p>
    <w:p w14:paraId="6A5FB6C0">
      <w:pPr>
        <w:widowControl w:val="0"/>
        <w:kinsoku/>
        <w:spacing w:beforeLines="32" w:line="360" w:lineRule="auto"/>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w:t>
      </w:r>
      <w:r>
        <w:rPr>
          <w:rFonts w:hint="eastAsia" w:ascii="宋体" w:hAnsi="宋体" w:eastAsia="宋体" w:cs="宋体"/>
          <w:b/>
          <w:bCs/>
          <w:color w:val="auto"/>
          <w:sz w:val="24"/>
          <w:szCs w:val="24"/>
          <w:highlight w:val="none"/>
          <w:lang w:eastAsia="zh-CN"/>
        </w:rPr>
        <w:t>（一）农、林、牧、渔业。</w:t>
      </w:r>
      <w:r>
        <w:rPr>
          <w:rFonts w:hint="eastAsia" w:ascii="宋体" w:hAnsi="宋体" w:eastAsia="宋体" w:cs="宋体"/>
          <w:color w:val="auto"/>
          <w:sz w:val="24"/>
          <w:szCs w:val="24"/>
          <w:highlight w:val="none"/>
          <w:lang w:eastAsia="zh-CN"/>
        </w:rPr>
        <w:t>营业收入20000万元以下的为中小微型企业。其中，营业收入500万元及以上的为中型企业，营业收入50万元及以上的为小型企业，营业收入50万元以下的为微型企业。</w:t>
      </w:r>
    </w:p>
    <w:p w14:paraId="78E8924B">
      <w:pPr>
        <w:widowControl w:val="0"/>
        <w:kinsoku/>
        <w:spacing w:beforeLines="50" w:line="360" w:lineRule="auto"/>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w:t>
      </w:r>
      <w:r>
        <w:rPr>
          <w:rFonts w:hint="eastAsia" w:ascii="宋体" w:hAnsi="宋体" w:eastAsia="宋体" w:cs="宋体"/>
          <w:b/>
          <w:bCs/>
          <w:color w:val="auto"/>
          <w:sz w:val="24"/>
          <w:szCs w:val="24"/>
          <w:highlight w:val="none"/>
          <w:lang w:eastAsia="zh-CN"/>
        </w:rPr>
        <w:t>　（二）工业。</w:t>
      </w:r>
      <w:r>
        <w:rPr>
          <w:rFonts w:hint="eastAsia" w:ascii="宋体" w:hAnsi="宋体" w:eastAsia="宋体" w:cs="宋体"/>
          <w:color w:val="auto"/>
          <w:sz w:val="24"/>
          <w:szCs w:val="24"/>
          <w:highlight w:val="none"/>
          <w:lang w:eastAsia="zh-CN"/>
        </w:rPr>
        <w:t>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2EE3795B">
      <w:pPr>
        <w:widowControl w:val="0"/>
        <w:kinsoku/>
        <w:spacing w:beforeLines="32" w:line="360" w:lineRule="auto"/>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w:t>
      </w:r>
      <w:r>
        <w:rPr>
          <w:rFonts w:hint="eastAsia" w:ascii="宋体" w:hAnsi="宋体" w:eastAsia="宋体" w:cs="宋体"/>
          <w:b/>
          <w:bCs/>
          <w:color w:val="auto"/>
          <w:sz w:val="24"/>
          <w:szCs w:val="24"/>
          <w:highlight w:val="none"/>
          <w:lang w:eastAsia="zh-CN"/>
        </w:rPr>
        <w:t>（三）建筑业。</w:t>
      </w:r>
      <w:r>
        <w:rPr>
          <w:rFonts w:hint="eastAsia" w:ascii="宋体" w:hAnsi="宋体" w:eastAsia="宋体" w:cs="宋体"/>
          <w:color w:val="auto"/>
          <w:sz w:val="24"/>
          <w:szCs w:val="24"/>
          <w:highlight w:val="none"/>
          <w:lang w:eastAsia="zh-CN"/>
        </w:rPr>
        <w:t>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73EEC91D">
      <w:pPr>
        <w:widowControl w:val="0"/>
        <w:kinsoku/>
        <w:spacing w:beforeLines="50" w:line="360" w:lineRule="auto"/>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w:t>
      </w:r>
      <w:r>
        <w:rPr>
          <w:rFonts w:hint="eastAsia" w:ascii="宋体" w:hAnsi="宋体" w:eastAsia="宋体" w:cs="宋体"/>
          <w:b/>
          <w:bCs/>
          <w:color w:val="auto"/>
          <w:sz w:val="24"/>
          <w:szCs w:val="24"/>
          <w:highlight w:val="none"/>
          <w:lang w:eastAsia="zh-CN"/>
        </w:rPr>
        <w:t>（四）批发业。</w:t>
      </w:r>
      <w:r>
        <w:rPr>
          <w:rFonts w:hint="eastAsia" w:ascii="宋体" w:hAnsi="宋体" w:eastAsia="宋体" w:cs="宋体"/>
          <w:color w:val="auto"/>
          <w:sz w:val="24"/>
          <w:szCs w:val="24"/>
          <w:highlight w:val="none"/>
          <w:lang w:eastAsia="zh-CN"/>
        </w:rPr>
        <w:t>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0FE17D5A">
      <w:pPr>
        <w:widowControl w:val="0"/>
        <w:kinsoku/>
        <w:spacing w:beforeLines="50" w:line="360" w:lineRule="auto"/>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w:t>
      </w:r>
      <w:r>
        <w:rPr>
          <w:rFonts w:hint="eastAsia" w:ascii="宋体" w:hAnsi="宋体" w:eastAsia="宋体" w:cs="宋体"/>
          <w:b/>
          <w:bCs/>
          <w:color w:val="auto"/>
          <w:sz w:val="24"/>
          <w:szCs w:val="24"/>
          <w:highlight w:val="none"/>
          <w:lang w:eastAsia="zh-CN"/>
        </w:rPr>
        <w:t>　（五）零售业。</w:t>
      </w:r>
      <w:r>
        <w:rPr>
          <w:rFonts w:hint="eastAsia" w:ascii="宋体" w:hAnsi="宋体" w:eastAsia="宋体" w:cs="宋体"/>
          <w:color w:val="auto"/>
          <w:sz w:val="24"/>
          <w:szCs w:val="24"/>
          <w:highlight w:val="none"/>
          <w:lang w:eastAsia="zh-CN"/>
        </w:rPr>
        <w:t>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19F9F663">
      <w:pPr>
        <w:widowControl w:val="0"/>
        <w:kinsoku/>
        <w:spacing w:beforeLines="50" w:line="360" w:lineRule="auto"/>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w:t>
      </w:r>
      <w:r>
        <w:rPr>
          <w:rFonts w:hint="eastAsia" w:ascii="宋体" w:hAnsi="宋体" w:eastAsia="宋体" w:cs="宋体"/>
          <w:b/>
          <w:bCs/>
          <w:color w:val="auto"/>
          <w:sz w:val="24"/>
          <w:szCs w:val="24"/>
          <w:highlight w:val="none"/>
          <w:lang w:eastAsia="zh-CN"/>
        </w:rPr>
        <w:t>　（六）交通运输业。</w:t>
      </w:r>
      <w:r>
        <w:rPr>
          <w:rFonts w:hint="eastAsia" w:ascii="宋体" w:hAnsi="宋体" w:eastAsia="宋体" w:cs="宋体"/>
          <w:color w:val="auto"/>
          <w:sz w:val="24"/>
          <w:szCs w:val="24"/>
          <w:highlight w:val="none"/>
          <w:lang w:eastAsia="zh-CN"/>
        </w:rPr>
        <w:t>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6FCEC0BD">
      <w:pPr>
        <w:widowControl w:val="0"/>
        <w:kinsoku/>
        <w:spacing w:beforeLines="19" w:line="360" w:lineRule="auto"/>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w:t>
      </w:r>
      <w:r>
        <w:rPr>
          <w:rFonts w:hint="eastAsia" w:ascii="宋体" w:hAnsi="宋体" w:eastAsia="宋体" w:cs="宋体"/>
          <w:b/>
          <w:bCs/>
          <w:color w:val="auto"/>
          <w:sz w:val="24"/>
          <w:szCs w:val="24"/>
          <w:highlight w:val="none"/>
          <w:lang w:eastAsia="zh-CN"/>
        </w:rPr>
        <w:t>　（七）仓储业。</w:t>
      </w:r>
      <w:r>
        <w:rPr>
          <w:rFonts w:hint="eastAsia" w:ascii="宋体" w:hAnsi="宋体" w:eastAsia="宋体" w:cs="宋体"/>
          <w:color w:val="auto"/>
          <w:sz w:val="24"/>
          <w:szCs w:val="24"/>
          <w:highlight w:val="none"/>
          <w:lang w:eastAsia="zh-CN"/>
        </w:rPr>
        <w:t>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45C7A6AA">
      <w:pPr>
        <w:widowControl w:val="0"/>
        <w:kinsoku/>
        <w:spacing w:beforeLines="32" w:line="360" w:lineRule="auto"/>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w:t>
      </w:r>
      <w:r>
        <w:rPr>
          <w:rFonts w:hint="eastAsia" w:ascii="宋体" w:hAnsi="宋体" w:eastAsia="宋体" w:cs="宋体"/>
          <w:b/>
          <w:bCs/>
          <w:color w:val="auto"/>
          <w:sz w:val="24"/>
          <w:szCs w:val="24"/>
          <w:highlight w:val="none"/>
          <w:lang w:eastAsia="zh-CN"/>
        </w:rPr>
        <w:t>（八）邮政业。</w:t>
      </w:r>
      <w:r>
        <w:rPr>
          <w:rFonts w:hint="eastAsia" w:ascii="宋体" w:hAnsi="宋体" w:eastAsia="宋体" w:cs="宋体"/>
          <w:color w:val="auto"/>
          <w:sz w:val="24"/>
          <w:szCs w:val="24"/>
          <w:highlight w:val="none"/>
          <w:lang w:eastAsia="zh-CN"/>
        </w:rPr>
        <w:t>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282CD9AE">
      <w:pPr>
        <w:widowControl w:val="0"/>
        <w:kinsoku/>
        <w:spacing w:beforeLines="50" w:line="360" w:lineRule="auto"/>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w:t>
      </w:r>
      <w:r>
        <w:rPr>
          <w:rFonts w:hint="eastAsia" w:ascii="宋体" w:hAnsi="宋体" w:eastAsia="宋体" w:cs="宋体"/>
          <w:b/>
          <w:bCs/>
          <w:color w:val="auto"/>
          <w:sz w:val="24"/>
          <w:szCs w:val="24"/>
          <w:highlight w:val="none"/>
          <w:lang w:eastAsia="zh-CN"/>
        </w:rPr>
        <w:t>　（九）住宿业。</w:t>
      </w:r>
      <w:r>
        <w:rPr>
          <w:rFonts w:hint="eastAsia" w:ascii="宋体" w:hAnsi="宋体" w:eastAsia="宋体" w:cs="宋体"/>
          <w:color w:val="auto"/>
          <w:sz w:val="24"/>
          <w:szCs w:val="24"/>
          <w:highlight w:val="none"/>
          <w:lang w:eastAsia="zh-CN"/>
        </w:rPr>
        <w:t>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3D2C8A1E">
      <w:pPr>
        <w:widowControl w:val="0"/>
        <w:spacing w:beforeLines="50" w:line="360" w:lineRule="auto"/>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w:t>
      </w:r>
      <w:r>
        <w:rPr>
          <w:rFonts w:hint="eastAsia" w:ascii="宋体" w:hAnsi="宋体" w:eastAsia="宋体" w:cs="宋体"/>
          <w:b/>
          <w:bCs/>
          <w:color w:val="auto"/>
          <w:sz w:val="24"/>
          <w:szCs w:val="24"/>
          <w:highlight w:val="none"/>
          <w:lang w:eastAsia="zh-CN"/>
        </w:rPr>
        <w:t>（十）餐饮业。</w:t>
      </w:r>
      <w:r>
        <w:rPr>
          <w:rFonts w:hint="eastAsia" w:ascii="宋体" w:hAnsi="宋体" w:eastAsia="宋体" w:cs="宋体"/>
          <w:color w:val="auto"/>
          <w:sz w:val="24"/>
          <w:szCs w:val="24"/>
          <w:highlight w:val="none"/>
          <w:lang w:eastAsia="zh-CN"/>
        </w:rPr>
        <w:t>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008F2B1C">
      <w:pPr>
        <w:widowControl w:val="0"/>
        <w:spacing w:beforeLines="50" w:line="360" w:lineRule="auto"/>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w:t>
      </w:r>
      <w:r>
        <w:rPr>
          <w:rFonts w:hint="eastAsia" w:ascii="宋体" w:hAnsi="宋体" w:eastAsia="宋体" w:cs="宋体"/>
          <w:b/>
          <w:bCs/>
          <w:color w:val="auto"/>
          <w:sz w:val="24"/>
          <w:szCs w:val="24"/>
          <w:highlight w:val="none"/>
          <w:lang w:eastAsia="zh-CN"/>
        </w:rPr>
        <w:t>（十一）信息传输业。</w:t>
      </w:r>
      <w:r>
        <w:rPr>
          <w:rFonts w:hint="eastAsia" w:ascii="宋体" w:hAnsi="宋体" w:eastAsia="宋体" w:cs="宋体"/>
          <w:color w:val="auto"/>
          <w:sz w:val="24"/>
          <w:szCs w:val="24"/>
          <w:highlight w:val="none"/>
          <w:lang w:eastAsia="zh-CN"/>
        </w:rPr>
        <w:t>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3680B64C">
      <w:pPr>
        <w:widowControl w:val="0"/>
        <w:spacing w:beforeLines="32" w:line="360" w:lineRule="auto"/>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w:t>
      </w:r>
      <w:r>
        <w:rPr>
          <w:rFonts w:hint="eastAsia" w:ascii="宋体" w:hAnsi="宋体" w:eastAsia="宋体" w:cs="宋体"/>
          <w:b/>
          <w:bCs/>
          <w:color w:val="auto"/>
          <w:sz w:val="24"/>
          <w:szCs w:val="24"/>
          <w:highlight w:val="none"/>
          <w:lang w:eastAsia="zh-CN"/>
        </w:rPr>
        <w:t>（十二）软件和信息技术服务业。</w:t>
      </w:r>
      <w:r>
        <w:rPr>
          <w:rFonts w:hint="eastAsia" w:ascii="宋体" w:hAnsi="宋体" w:eastAsia="宋体" w:cs="宋体"/>
          <w:color w:val="auto"/>
          <w:sz w:val="24"/>
          <w:szCs w:val="24"/>
          <w:highlight w:val="none"/>
          <w:lang w:eastAsia="zh-CN"/>
        </w:rPr>
        <w:t>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5E2B2711">
      <w:pPr>
        <w:widowControl w:val="0"/>
        <w:spacing w:line="360" w:lineRule="auto"/>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w:t>
      </w:r>
      <w:r>
        <w:rPr>
          <w:rFonts w:hint="eastAsia" w:ascii="宋体" w:hAnsi="宋体" w:eastAsia="宋体" w:cs="宋体"/>
          <w:b/>
          <w:bCs/>
          <w:color w:val="auto"/>
          <w:sz w:val="24"/>
          <w:szCs w:val="24"/>
          <w:highlight w:val="none"/>
          <w:lang w:eastAsia="zh-CN"/>
        </w:rPr>
        <w:t>　（十三）房地产开发经营。</w:t>
      </w:r>
      <w:r>
        <w:rPr>
          <w:rFonts w:hint="eastAsia" w:ascii="宋体" w:hAnsi="宋体" w:eastAsia="宋体" w:cs="宋体"/>
          <w:color w:val="auto"/>
          <w:sz w:val="24"/>
          <w:szCs w:val="24"/>
          <w:highlight w:val="none"/>
          <w:lang w:eastAsia="zh-CN"/>
        </w:rPr>
        <w:t>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16A36612">
      <w:pPr>
        <w:widowControl w:val="0"/>
        <w:spacing w:beforeLines="50" w:line="360" w:lineRule="auto"/>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w:t>
      </w:r>
      <w:r>
        <w:rPr>
          <w:rFonts w:hint="eastAsia" w:ascii="宋体" w:hAnsi="宋体" w:eastAsia="宋体" w:cs="宋体"/>
          <w:b/>
          <w:bCs/>
          <w:color w:val="auto"/>
          <w:sz w:val="24"/>
          <w:szCs w:val="24"/>
          <w:highlight w:val="none"/>
          <w:lang w:eastAsia="zh-CN"/>
        </w:rPr>
        <w:t>（十四）物业管理。</w:t>
      </w:r>
      <w:r>
        <w:rPr>
          <w:rFonts w:hint="eastAsia" w:ascii="宋体" w:hAnsi="宋体" w:eastAsia="宋体" w:cs="宋体"/>
          <w:color w:val="auto"/>
          <w:sz w:val="24"/>
          <w:szCs w:val="24"/>
          <w:highlight w:val="none"/>
          <w:lang w:eastAsia="zh-CN"/>
        </w:rPr>
        <w:t>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334C1941">
      <w:pPr>
        <w:widowControl w:val="0"/>
        <w:spacing w:beforeLines="50" w:line="360" w:lineRule="auto"/>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w:t>
      </w:r>
      <w:r>
        <w:rPr>
          <w:rFonts w:hint="eastAsia" w:ascii="宋体" w:hAnsi="宋体" w:eastAsia="宋体" w:cs="宋体"/>
          <w:b/>
          <w:bCs/>
          <w:color w:val="auto"/>
          <w:sz w:val="24"/>
          <w:szCs w:val="24"/>
          <w:highlight w:val="none"/>
          <w:lang w:eastAsia="zh-CN"/>
        </w:rPr>
        <w:t>（十五）租赁和商务服务业。</w:t>
      </w:r>
      <w:r>
        <w:rPr>
          <w:rFonts w:hint="eastAsia" w:ascii="宋体" w:hAnsi="宋体" w:eastAsia="宋体" w:cs="宋体"/>
          <w:color w:val="auto"/>
          <w:sz w:val="24"/>
          <w:szCs w:val="24"/>
          <w:highlight w:val="none"/>
          <w:lang w:eastAsia="zh-CN"/>
        </w:rPr>
        <w:t>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05337B3D">
      <w:pPr>
        <w:widowControl w:val="0"/>
        <w:spacing w:beforeLines="50" w:line="360" w:lineRule="auto"/>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w:t>
      </w:r>
      <w:r>
        <w:rPr>
          <w:rFonts w:hint="eastAsia" w:ascii="宋体" w:hAnsi="宋体" w:eastAsia="宋体" w:cs="宋体"/>
          <w:b/>
          <w:bCs/>
          <w:color w:val="auto"/>
          <w:sz w:val="24"/>
          <w:szCs w:val="24"/>
          <w:highlight w:val="none"/>
          <w:lang w:eastAsia="zh-CN"/>
        </w:rPr>
        <w:t>　（十六）其他未列明行业。</w:t>
      </w:r>
      <w:r>
        <w:rPr>
          <w:rFonts w:hint="eastAsia" w:ascii="宋体" w:hAnsi="宋体" w:eastAsia="宋体" w:cs="宋体"/>
          <w:color w:val="auto"/>
          <w:sz w:val="24"/>
          <w:szCs w:val="24"/>
          <w:highlight w:val="none"/>
          <w:lang w:eastAsia="zh-CN"/>
        </w:rPr>
        <w:t>从业人员300人以下的为中小微型企业。其中，从业人员100人及以上的为中型企业；从业人员10人及以上的为小型企业；从业人员10人以下的为微型企业。</w:t>
      </w:r>
    </w:p>
    <w:p w14:paraId="13708B73">
      <w:pPr>
        <w:widowControl w:val="0"/>
        <w:spacing w:beforeLines="32" w:line="360" w:lineRule="auto"/>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三、本规定适用于在中华人民共和国境内依法设立的各类所有制和各种组织形式的企业。个体工商户和本规定以外的行业，参照本规定进行划型。</w:t>
      </w:r>
    </w:p>
    <w:p w14:paraId="2ECFCAA5">
      <w:pPr>
        <w:widowControl w:val="0"/>
        <w:spacing w:beforeLines="50" w:line="360" w:lineRule="auto"/>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四、本规定的中型企业标准上限即为大型企业标准的下限，国家统计部门据此制定大中小微型企业的统计分类。国务院有关部门据此进行相关数据分析，不得制定与本规定不一致的企业划型标准。</w:t>
      </w:r>
    </w:p>
    <w:p w14:paraId="57D664DC">
      <w:pPr>
        <w:widowControl w:val="0"/>
        <w:spacing w:line="360" w:lineRule="auto"/>
        <w:rPr>
          <w:rFonts w:hint="eastAsia" w:ascii="宋体" w:hAnsi="宋体" w:eastAsia="宋体" w:cs="宋体"/>
          <w:color w:val="auto"/>
          <w:sz w:val="24"/>
          <w:szCs w:val="24"/>
          <w:highlight w:val="none"/>
          <w:lang w:eastAsia="zh-CN"/>
        </w:rPr>
      </w:pPr>
    </w:p>
    <w:p w14:paraId="0A44B58E">
      <w:pPr>
        <w:pStyle w:val="4"/>
        <w:widowControl w:val="0"/>
        <w:spacing w:line="360" w:lineRule="auto"/>
        <w:outlineLvl w:val="9"/>
        <w:rPr>
          <w:rFonts w:hint="eastAsia" w:ascii="宋体" w:hAnsi="宋体" w:eastAsia="宋体" w:cs="宋体"/>
          <w:color w:val="auto"/>
          <w:sz w:val="24"/>
          <w:szCs w:val="24"/>
          <w:highlight w:val="none"/>
          <w:lang w:eastAsia="zh-CN"/>
        </w:rPr>
        <w:sectPr>
          <w:footerReference r:id="rId16" w:type="default"/>
          <w:pgSz w:w="11906" w:h="16839"/>
          <w:pgMar w:top="1431" w:right="1786" w:bottom="1429" w:left="1785" w:header="0" w:footer="994" w:gutter="0"/>
          <w:pgNumType w:fmt="decimal"/>
          <w:cols w:space="720" w:num="1"/>
        </w:sectPr>
      </w:pPr>
    </w:p>
    <w:p w14:paraId="00700EFF">
      <w:pPr>
        <w:widowControl w:val="0"/>
        <w:spacing w:before="101" w:line="360" w:lineRule="auto"/>
        <w:jc w:val="center"/>
        <w:outlineLvl w:val="1"/>
        <w:rPr>
          <w:rFonts w:hint="eastAsia" w:ascii="宋体" w:hAnsi="宋体" w:eastAsia="宋体" w:cs="宋体"/>
          <w:color w:val="auto"/>
          <w:sz w:val="24"/>
          <w:szCs w:val="24"/>
          <w:highlight w:val="none"/>
          <w:lang w:eastAsia="zh-CN"/>
        </w:rPr>
      </w:pPr>
      <w:bookmarkStart w:id="197" w:name="_Toc12342"/>
      <w:bookmarkStart w:id="198" w:name="_Toc20080"/>
      <w:r>
        <w:rPr>
          <w:rFonts w:hint="eastAsia" w:ascii="宋体" w:hAnsi="宋体" w:eastAsia="宋体" w:cs="宋体"/>
          <w:color w:val="auto"/>
          <w:sz w:val="24"/>
          <w:szCs w:val="24"/>
          <w:highlight w:val="none"/>
          <w:lang w:eastAsia="zh-CN"/>
        </w:rPr>
        <w:t>格式8-2省级以上监狱管理局、戒毒管理局（含新疆生产建设兵团）出具的属于监狱企业证明文件</w:t>
      </w:r>
      <w:bookmarkEnd w:id="197"/>
      <w:bookmarkEnd w:id="198"/>
    </w:p>
    <w:p w14:paraId="279999AC">
      <w:pPr>
        <w:widowControl w:val="0"/>
        <w:spacing w:line="275" w:lineRule="auto"/>
        <w:jc w:val="center"/>
        <w:rPr>
          <w:rFonts w:hint="eastAsia" w:ascii="宋体" w:hAnsi="宋体" w:eastAsia="宋体" w:cs="宋体"/>
          <w:color w:val="auto"/>
          <w:highlight w:val="none"/>
          <w:lang w:eastAsia="zh-CN"/>
        </w:rPr>
      </w:pPr>
    </w:p>
    <w:p w14:paraId="20FE786E">
      <w:pPr>
        <w:widowControl w:val="0"/>
        <w:spacing w:line="276" w:lineRule="auto"/>
        <w:rPr>
          <w:rFonts w:hint="eastAsia" w:ascii="宋体" w:hAnsi="宋体" w:eastAsia="宋体" w:cs="宋体"/>
          <w:color w:val="auto"/>
          <w:highlight w:val="none"/>
          <w:lang w:eastAsia="zh-CN"/>
        </w:rPr>
      </w:pPr>
    </w:p>
    <w:p w14:paraId="4CFA0CDA">
      <w:pPr>
        <w:pStyle w:val="23"/>
        <w:widowControl w:val="0"/>
        <w:rPr>
          <w:rFonts w:hint="eastAsia" w:ascii="宋体" w:hAnsi="宋体" w:eastAsia="宋体" w:cs="宋体"/>
          <w:color w:val="auto"/>
          <w:highlight w:val="none"/>
          <w:lang w:eastAsia="zh-CN"/>
        </w:rPr>
      </w:pPr>
    </w:p>
    <w:p w14:paraId="215F0BFA">
      <w:pPr>
        <w:pStyle w:val="23"/>
        <w:widowControl w:val="0"/>
        <w:rPr>
          <w:rFonts w:hint="eastAsia" w:ascii="宋体" w:hAnsi="宋体" w:eastAsia="宋体" w:cs="宋体"/>
          <w:color w:val="auto"/>
          <w:highlight w:val="none"/>
          <w:lang w:eastAsia="zh-CN"/>
        </w:rPr>
      </w:pPr>
    </w:p>
    <w:p w14:paraId="623D834B">
      <w:pPr>
        <w:pStyle w:val="23"/>
        <w:widowControl w:val="0"/>
        <w:rPr>
          <w:rFonts w:hint="eastAsia" w:ascii="宋体" w:hAnsi="宋体" w:eastAsia="宋体" w:cs="宋体"/>
          <w:color w:val="auto"/>
          <w:highlight w:val="none"/>
          <w:lang w:eastAsia="zh-CN"/>
        </w:rPr>
      </w:pPr>
    </w:p>
    <w:p w14:paraId="6A797C04">
      <w:pPr>
        <w:pStyle w:val="23"/>
        <w:widowControl w:val="0"/>
        <w:rPr>
          <w:rFonts w:hint="eastAsia" w:ascii="宋体" w:hAnsi="宋体" w:eastAsia="宋体" w:cs="宋体"/>
          <w:color w:val="auto"/>
          <w:highlight w:val="none"/>
          <w:lang w:eastAsia="zh-CN"/>
        </w:rPr>
      </w:pPr>
    </w:p>
    <w:p w14:paraId="32458F47">
      <w:pPr>
        <w:pStyle w:val="23"/>
        <w:widowControl w:val="0"/>
        <w:rPr>
          <w:rFonts w:hint="eastAsia" w:ascii="宋体" w:hAnsi="宋体" w:eastAsia="宋体" w:cs="宋体"/>
          <w:color w:val="auto"/>
          <w:highlight w:val="none"/>
          <w:lang w:eastAsia="zh-CN"/>
        </w:rPr>
      </w:pPr>
    </w:p>
    <w:p w14:paraId="3402BDF2">
      <w:pPr>
        <w:pStyle w:val="23"/>
        <w:widowControl w:val="0"/>
        <w:rPr>
          <w:rFonts w:hint="eastAsia" w:ascii="宋体" w:hAnsi="宋体" w:eastAsia="宋体" w:cs="宋体"/>
          <w:color w:val="auto"/>
          <w:highlight w:val="none"/>
          <w:lang w:eastAsia="zh-CN"/>
        </w:rPr>
      </w:pPr>
    </w:p>
    <w:p w14:paraId="312611AB">
      <w:pPr>
        <w:pStyle w:val="23"/>
        <w:widowControl w:val="0"/>
        <w:rPr>
          <w:rFonts w:hint="eastAsia" w:ascii="宋体" w:hAnsi="宋体" w:eastAsia="宋体" w:cs="宋体"/>
          <w:color w:val="auto"/>
          <w:highlight w:val="none"/>
          <w:lang w:eastAsia="zh-CN"/>
        </w:rPr>
      </w:pPr>
    </w:p>
    <w:p w14:paraId="76777EA0">
      <w:pPr>
        <w:pStyle w:val="23"/>
        <w:widowControl w:val="0"/>
        <w:rPr>
          <w:rFonts w:hint="eastAsia" w:ascii="宋体" w:hAnsi="宋体" w:eastAsia="宋体" w:cs="宋体"/>
          <w:color w:val="auto"/>
          <w:highlight w:val="none"/>
          <w:lang w:eastAsia="zh-CN"/>
        </w:rPr>
      </w:pPr>
    </w:p>
    <w:p w14:paraId="6BF9A173">
      <w:pPr>
        <w:pStyle w:val="23"/>
        <w:widowControl w:val="0"/>
        <w:rPr>
          <w:rFonts w:hint="eastAsia" w:ascii="宋体" w:hAnsi="宋体" w:eastAsia="宋体" w:cs="宋体"/>
          <w:color w:val="auto"/>
          <w:highlight w:val="none"/>
          <w:lang w:eastAsia="zh-CN"/>
        </w:rPr>
      </w:pPr>
    </w:p>
    <w:p w14:paraId="11D84889">
      <w:pPr>
        <w:pStyle w:val="23"/>
        <w:widowControl w:val="0"/>
        <w:rPr>
          <w:rFonts w:hint="eastAsia" w:ascii="宋体" w:hAnsi="宋体" w:eastAsia="宋体" w:cs="宋体"/>
          <w:color w:val="auto"/>
          <w:highlight w:val="none"/>
          <w:lang w:eastAsia="zh-CN"/>
        </w:rPr>
      </w:pPr>
    </w:p>
    <w:p w14:paraId="2BD6BDCE">
      <w:pPr>
        <w:pStyle w:val="23"/>
        <w:widowControl w:val="0"/>
        <w:rPr>
          <w:rFonts w:hint="eastAsia" w:ascii="宋体" w:hAnsi="宋体" w:eastAsia="宋体" w:cs="宋体"/>
          <w:color w:val="auto"/>
          <w:highlight w:val="none"/>
          <w:lang w:eastAsia="zh-CN"/>
        </w:rPr>
      </w:pPr>
    </w:p>
    <w:p w14:paraId="2DAFCB0F">
      <w:pPr>
        <w:pStyle w:val="23"/>
        <w:widowControl w:val="0"/>
        <w:rPr>
          <w:rFonts w:hint="eastAsia" w:ascii="宋体" w:hAnsi="宋体" w:eastAsia="宋体" w:cs="宋体"/>
          <w:color w:val="auto"/>
          <w:highlight w:val="none"/>
          <w:lang w:eastAsia="zh-CN"/>
        </w:rPr>
      </w:pPr>
    </w:p>
    <w:p w14:paraId="706532BC">
      <w:pPr>
        <w:pStyle w:val="23"/>
        <w:widowControl w:val="0"/>
        <w:rPr>
          <w:rFonts w:hint="eastAsia" w:ascii="宋体" w:hAnsi="宋体" w:eastAsia="宋体" w:cs="宋体"/>
          <w:color w:val="auto"/>
          <w:highlight w:val="none"/>
          <w:lang w:eastAsia="zh-CN"/>
        </w:rPr>
      </w:pPr>
    </w:p>
    <w:p w14:paraId="29FE9BAD">
      <w:pPr>
        <w:pStyle w:val="23"/>
        <w:widowControl w:val="0"/>
        <w:rPr>
          <w:rFonts w:hint="eastAsia" w:ascii="宋体" w:hAnsi="宋体" w:eastAsia="宋体" w:cs="宋体"/>
          <w:color w:val="auto"/>
          <w:highlight w:val="none"/>
          <w:lang w:eastAsia="zh-CN"/>
        </w:rPr>
      </w:pPr>
    </w:p>
    <w:p w14:paraId="5E1EFD70">
      <w:pPr>
        <w:pStyle w:val="23"/>
        <w:widowControl w:val="0"/>
        <w:rPr>
          <w:rFonts w:hint="eastAsia" w:ascii="宋体" w:hAnsi="宋体" w:eastAsia="宋体" w:cs="宋体"/>
          <w:color w:val="auto"/>
          <w:highlight w:val="none"/>
          <w:lang w:eastAsia="zh-CN"/>
        </w:rPr>
      </w:pPr>
    </w:p>
    <w:p w14:paraId="3A0D12D6">
      <w:pPr>
        <w:pStyle w:val="23"/>
        <w:widowControl w:val="0"/>
        <w:rPr>
          <w:rFonts w:hint="eastAsia" w:ascii="宋体" w:hAnsi="宋体" w:eastAsia="宋体" w:cs="宋体"/>
          <w:color w:val="auto"/>
          <w:highlight w:val="none"/>
          <w:lang w:eastAsia="zh-CN"/>
        </w:rPr>
      </w:pPr>
    </w:p>
    <w:p w14:paraId="5F59E7A2">
      <w:pPr>
        <w:pStyle w:val="23"/>
        <w:widowControl w:val="0"/>
        <w:rPr>
          <w:rFonts w:hint="eastAsia" w:ascii="宋体" w:hAnsi="宋体" w:eastAsia="宋体" w:cs="宋体"/>
          <w:color w:val="auto"/>
          <w:highlight w:val="none"/>
          <w:lang w:eastAsia="zh-CN"/>
        </w:rPr>
      </w:pPr>
    </w:p>
    <w:p w14:paraId="29F723E0">
      <w:pPr>
        <w:pStyle w:val="23"/>
        <w:widowControl w:val="0"/>
        <w:rPr>
          <w:rFonts w:hint="eastAsia" w:ascii="宋体" w:hAnsi="宋体" w:eastAsia="宋体" w:cs="宋体"/>
          <w:color w:val="auto"/>
          <w:highlight w:val="none"/>
          <w:lang w:eastAsia="zh-CN"/>
        </w:rPr>
      </w:pPr>
    </w:p>
    <w:p w14:paraId="1E0BC3B3">
      <w:pPr>
        <w:pStyle w:val="23"/>
        <w:widowControl w:val="0"/>
        <w:rPr>
          <w:rFonts w:hint="eastAsia" w:ascii="宋体" w:hAnsi="宋体" w:eastAsia="宋体" w:cs="宋体"/>
          <w:color w:val="auto"/>
          <w:highlight w:val="none"/>
          <w:lang w:eastAsia="zh-CN"/>
        </w:rPr>
      </w:pPr>
    </w:p>
    <w:p w14:paraId="44154BE6">
      <w:pPr>
        <w:pStyle w:val="23"/>
        <w:widowControl w:val="0"/>
        <w:rPr>
          <w:rFonts w:hint="eastAsia" w:ascii="宋体" w:hAnsi="宋体" w:eastAsia="宋体" w:cs="宋体"/>
          <w:color w:val="auto"/>
          <w:highlight w:val="none"/>
          <w:lang w:eastAsia="zh-CN"/>
        </w:rPr>
      </w:pPr>
    </w:p>
    <w:p w14:paraId="10C31C07">
      <w:pPr>
        <w:pStyle w:val="23"/>
        <w:widowControl w:val="0"/>
        <w:rPr>
          <w:rFonts w:hint="eastAsia" w:ascii="宋体" w:hAnsi="宋体" w:eastAsia="宋体" w:cs="宋体"/>
          <w:color w:val="auto"/>
          <w:highlight w:val="none"/>
          <w:lang w:eastAsia="zh-CN"/>
        </w:rPr>
      </w:pPr>
    </w:p>
    <w:p w14:paraId="7BA55597">
      <w:pPr>
        <w:pStyle w:val="23"/>
        <w:widowControl w:val="0"/>
        <w:rPr>
          <w:rFonts w:hint="eastAsia" w:ascii="宋体" w:hAnsi="宋体" w:eastAsia="宋体" w:cs="宋体"/>
          <w:color w:val="auto"/>
          <w:highlight w:val="none"/>
          <w:lang w:eastAsia="zh-CN"/>
        </w:rPr>
      </w:pPr>
    </w:p>
    <w:p w14:paraId="685EE533">
      <w:pPr>
        <w:widowControl w:val="0"/>
        <w:spacing w:line="276" w:lineRule="auto"/>
        <w:rPr>
          <w:rFonts w:hint="eastAsia" w:ascii="宋体" w:hAnsi="宋体" w:eastAsia="宋体" w:cs="宋体"/>
          <w:color w:val="auto"/>
          <w:highlight w:val="none"/>
          <w:lang w:eastAsia="zh-CN"/>
        </w:rPr>
      </w:pPr>
    </w:p>
    <w:p w14:paraId="57FFEE63">
      <w:pPr>
        <w:widowControl w:val="0"/>
        <w:spacing w:line="360" w:lineRule="auto"/>
        <w:ind w:left="857" w:hanging="856" w:hangingChars="357"/>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注：1、省级以上监狱管理局、戒毒管理局（含新疆生产建设兵团）出具的属于监狱企业证明文件格式由出具单位提供；</w:t>
      </w:r>
    </w:p>
    <w:p w14:paraId="5237067A">
      <w:pPr>
        <w:widowControl w:val="0"/>
        <w:spacing w:line="360" w:lineRule="auto"/>
        <w:ind w:left="874" w:leftChars="247" w:hanging="355" w:hangingChars="148"/>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2、未提供不予享受预留份额、评审中价格扣除等政府采购促进中小企业发展的政府采购政策。</w:t>
      </w:r>
    </w:p>
    <w:p w14:paraId="295AEFCF">
      <w:pPr>
        <w:widowControl w:val="0"/>
        <w:spacing w:line="360" w:lineRule="auto"/>
        <w:jc w:val="both"/>
        <w:rPr>
          <w:rFonts w:hint="eastAsia" w:ascii="宋体" w:hAnsi="宋体" w:eastAsia="宋体" w:cs="宋体"/>
          <w:color w:val="auto"/>
          <w:sz w:val="24"/>
          <w:szCs w:val="24"/>
          <w:highlight w:val="none"/>
          <w:lang w:eastAsia="zh-CN"/>
        </w:rPr>
        <w:sectPr>
          <w:footerReference r:id="rId17" w:type="default"/>
          <w:pgSz w:w="11906" w:h="16839"/>
          <w:pgMar w:top="1431" w:right="1786" w:bottom="1156" w:left="1785" w:header="0" w:footer="994" w:gutter="0"/>
          <w:pgNumType w:fmt="decimal"/>
          <w:cols w:space="720" w:num="1"/>
        </w:sectPr>
      </w:pPr>
    </w:p>
    <w:p w14:paraId="5900EC37">
      <w:pPr>
        <w:widowControl w:val="0"/>
        <w:spacing w:before="101" w:line="219" w:lineRule="auto"/>
        <w:ind w:left="2651"/>
        <w:outlineLvl w:val="1"/>
        <w:rPr>
          <w:rFonts w:hint="eastAsia" w:ascii="宋体" w:hAnsi="宋体" w:eastAsia="宋体" w:cs="宋体"/>
          <w:color w:val="auto"/>
          <w:sz w:val="24"/>
          <w:szCs w:val="24"/>
          <w:highlight w:val="none"/>
          <w:lang w:eastAsia="zh-CN"/>
        </w:rPr>
      </w:pPr>
      <w:bookmarkStart w:id="199" w:name="_Toc750"/>
      <w:bookmarkStart w:id="200" w:name="_Toc26781"/>
      <w:r>
        <w:rPr>
          <w:rFonts w:hint="eastAsia" w:ascii="宋体" w:hAnsi="宋体" w:eastAsia="宋体" w:cs="宋体"/>
          <w:color w:val="auto"/>
          <w:sz w:val="24"/>
          <w:szCs w:val="24"/>
          <w:highlight w:val="none"/>
          <w:lang w:eastAsia="zh-CN"/>
        </w:rPr>
        <w:t>格式</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eastAsia="zh-CN"/>
        </w:rPr>
        <w:t>-3残疾人福利性单位声明函</w:t>
      </w:r>
      <w:bookmarkEnd w:id="199"/>
      <w:bookmarkEnd w:id="200"/>
    </w:p>
    <w:p w14:paraId="74ED31EA">
      <w:pPr>
        <w:widowControl w:val="0"/>
        <w:spacing w:line="362" w:lineRule="auto"/>
        <w:rPr>
          <w:rFonts w:hint="eastAsia" w:ascii="宋体" w:hAnsi="宋体" w:eastAsia="宋体" w:cs="宋体"/>
          <w:color w:val="auto"/>
          <w:highlight w:val="none"/>
          <w:lang w:eastAsia="zh-CN"/>
        </w:rPr>
      </w:pPr>
    </w:p>
    <w:p w14:paraId="39E85735">
      <w:pPr>
        <w:widowControl w:val="0"/>
        <w:spacing w:before="78" w:line="219" w:lineRule="auto"/>
        <w:ind w:left="306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残疾人福利性单位声明函</w:t>
      </w:r>
    </w:p>
    <w:p w14:paraId="69398CC6">
      <w:pPr>
        <w:widowControl w:val="0"/>
        <w:spacing w:line="284" w:lineRule="auto"/>
        <w:rPr>
          <w:rFonts w:hint="eastAsia" w:ascii="宋体" w:hAnsi="宋体" w:eastAsia="宋体" w:cs="宋体"/>
          <w:color w:val="auto"/>
          <w:highlight w:val="none"/>
          <w:lang w:eastAsia="zh-CN"/>
        </w:rPr>
      </w:pPr>
    </w:p>
    <w:p w14:paraId="05BF8458">
      <w:pPr>
        <w:widowControl w:val="0"/>
        <w:spacing w:line="285" w:lineRule="auto"/>
        <w:rPr>
          <w:rFonts w:hint="eastAsia" w:ascii="宋体" w:hAnsi="宋体" w:eastAsia="宋体" w:cs="宋体"/>
          <w:color w:val="auto"/>
          <w:highlight w:val="none"/>
          <w:lang w:eastAsia="zh-CN"/>
        </w:rPr>
      </w:pPr>
    </w:p>
    <w:p w14:paraId="093BE137">
      <w:pPr>
        <w:widowControl w:val="0"/>
        <w:spacing w:before="78" w:line="500" w:lineRule="atLeast"/>
        <w:ind w:left="37" w:firstLine="504"/>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本单位郑重声明，根据《财政部 民政部 中国残疾人联合会关于促进残疾人就业政府采购政策的通知》 （财库〔2017〕 141 号） 的规定，本单位为符合条件的残疾人福利性单位，且本单位参加 单位的项目采购活动提供本单位制造的货物（由本单位承担工程/提供服务），或者提供其他残疾人福利性单位制造的货物（不包括使用非残疾人福利性单位注册商标的货物）。</w:t>
      </w:r>
    </w:p>
    <w:p w14:paraId="1FAF6E48">
      <w:pPr>
        <w:widowControl w:val="0"/>
        <w:spacing w:before="183" w:line="500" w:lineRule="atLeast"/>
        <w:ind w:left="542"/>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本单位对上述声明的真实性负责。如有虚假，将依法承担相应责任。</w:t>
      </w:r>
    </w:p>
    <w:p w14:paraId="62C3659E">
      <w:pPr>
        <w:widowControl w:val="0"/>
        <w:spacing w:line="500" w:lineRule="atLeast"/>
        <w:rPr>
          <w:rFonts w:hint="eastAsia" w:ascii="宋体" w:hAnsi="宋体" w:eastAsia="宋体" w:cs="宋体"/>
          <w:color w:val="auto"/>
          <w:highlight w:val="none"/>
          <w:lang w:eastAsia="zh-CN"/>
        </w:rPr>
      </w:pPr>
    </w:p>
    <w:p w14:paraId="78DE6368">
      <w:pPr>
        <w:widowControl w:val="0"/>
        <w:spacing w:line="500" w:lineRule="atLeast"/>
        <w:rPr>
          <w:rFonts w:hint="eastAsia" w:ascii="宋体" w:hAnsi="宋体" w:eastAsia="宋体" w:cs="宋体"/>
          <w:color w:val="auto"/>
          <w:highlight w:val="none"/>
          <w:lang w:eastAsia="zh-CN"/>
        </w:rPr>
      </w:pPr>
    </w:p>
    <w:p w14:paraId="51BEDE1F">
      <w:pPr>
        <w:widowControl w:val="0"/>
        <w:spacing w:line="500" w:lineRule="atLeast"/>
        <w:rPr>
          <w:rFonts w:hint="eastAsia" w:ascii="宋体" w:hAnsi="宋体" w:eastAsia="宋体" w:cs="宋体"/>
          <w:color w:val="auto"/>
          <w:highlight w:val="none"/>
          <w:lang w:eastAsia="zh-CN"/>
        </w:rPr>
      </w:pPr>
    </w:p>
    <w:p w14:paraId="435231D7">
      <w:pPr>
        <w:widowControl w:val="0"/>
        <w:spacing w:line="500" w:lineRule="atLeast"/>
        <w:rPr>
          <w:rFonts w:hint="eastAsia" w:ascii="宋体" w:hAnsi="宋体" w:eastAsia="宋体" w:cs="宋体"/>
          <w:color w:val="auto"/>
          <w:highlight w:val="none"/>
          <w:lang w:eastAsia="zh-CN"/>
        </w:rPr>
      </w:pPr>
    </w:p>
    <w:p w14:paraId="663326CF">
      <w:pPr>
        <w:widowControl w:val="0"/>
        <w:spacing w:before="79" w:line="500" w:lineRule="atLeast"/>
        <w:ind w:left="458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单位名称（盖章）：</w:t>
      </w:r>
    </w:p>
    <w:p w14:paraId="475CCA06">
      <w:pPr>
        <w:widowControl w:val="0"/>
        <w:spacing w:before="184" w:line="500" w:lineRule="atLeast"/>
        <w:ind w:firstLine="4560" w:firstLineChars="1900"/>
        <w:outlineLvl w:val="1"/>
        <w:rPr>
          <w:rFonts w:hint="eastAsia" w:ascii="宋体" w:hAnsi="宋体" w:eastAsia="宋体" w:cs="宋体"/>
          <w:color w:val="auto"/>
          <w:sz w:val="24"/>
          <w:szCs w:val="24"/>
          <w:highlight w:val="none"/>
          <w:u w:val="single"/>
          <w:lang w:eastAsia="zh-CN"/>
        </w:rPr>
        <w:sectPr>
          <w:footerReference r:id="rId18" w:type="default"/>
          <w:pgSz w:w="11906" w:h="16839"/>
          <w:pgMar w:top="1431" w:right="1786" w:bottom="1429" w:left="1785" w:header="0" w:footer="994" w:gutter="0"/>
          <w:pgNumType w:fmt="decimal"/>
          <w:cols w:space="720" w:num="1"/>
        </w:sectPr>
      </w:pPr>
      <w:bookmarkStart w:id="201" w:name="_Toc8243"/>
      <w:bookmarkStart w:id="202" w:name="_Toc26535"/>
      <w:r>
        <w:rPr>
          <w:rFonts w:hint="eastAsia" w:ascii="宋体" w:hAnsi="宋体" w:eastAsia="宋体" w:cs="宋体"/>
          <w:color w:val="auto"/>
          <w:sz w:val="24"/>
          <w:szCs w:val="24"/>
          <w:highlight w:val="none"/>
          <w:lang w:eastAsia="zh-CN"/>
        </w:rPr>
        <w:t>日  期：年 月日</w:t>
      </w:r>
      <w:bookmarkEnd w:id="201"/>
      <w:bookmarkEnd w:id="202"/>
    </w:p>
    <w:p w14:paraId="1225FF42">
      <w:pPr>
        <w:widowControl w:val="0"/>
        <w:spacing w:line="280" w:lineRule="auto"/>
        <w:rPr>
          <w:rFonts w:hint="eastAsia" w:ascii="宋体" w:hAnsi="宋体" w:eastAsia="宋体" w:cs="宋体"/>
          <w:color w:val="auto"/>
          <w:highlight w:val="none"/>
          <w:lang w:eastAsia="zh-CN"/>
        </w:rPr>
      </w:pPr>
    </w:p>
    <w:p w14:paraId="471A3336">
      <w:pPr>
        <w:widowControl w:val="0"/>
        <w:spacing w:line="276" w:lineRule="auto"/>
        <w:jc w:val="center"/>
        <w:rPr>
          <w:rFonts w:hint="eastAsia" w:ascii="宋体" w:hAnsi="宋体" w:eastAsia="宋体" w:cs="宋体"/>
          <w:color w:val="auto"/>
          <w:highlight w:val="none"/>
          <w:lang w:eastAsia="zh-CN"/>
        </w:rPr>
      </w:pPr>
      <w:r>
        <w:rPr>
          <w:rFonts w:hint="eastAsia" w:ascii="宋体" w:hAnsi="宋体" w:eastAsia="宋体" w:cs="宋体"/>
          <w:color w:val="auto"/>
          <w:sz w:val="24"/>
          <w:szCs w:val="24"/>
          <w:highlight w:val="none"/>
          <w:lang w:eastAsia="zh-CN"/>
        </w:rPr>
        <w:t>格式</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eastAsia="zh-CN"/>
        </w:rPr>
        <w:t>-4采购的产品如属于政府强制采购节能产品的，投标文件中必须提供国家确定的认证机构出具的、处于有效期之内的节能产品认证证书（扫描件）</w:t>
      </w:r>
    </w:p>
    <w:p w14:paraId="59D62618">
      <w:pPr>
        <w:widowControl w:val="0"/>
        <w:spacing w:line="277" w:lineRule="auto"/>
        <w:rPr>
          <w:rFonts w:hint="eastAsia" w:ascii="宋体" w:hAnsi="宋体" w:eastAsia="宋体" w:cs="宋体"/>
          <w:color w:val="auto"/>
          <w:highlight w:val="none"/>
          <w:lang w:eastAsia="zh-CN"/>
        </w:rPr>
      </w:pPr>
    </w:p>
    <w:p w14:paraId="7BAD9E0A">
      <w:pPr>
        <w:widowControl w:val="0"/>
        <w:spacing w:before="78" w:line="219" w:lineRule="auto"/>
        <w:ind w:left="942"/>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（不属于品目清单的产品无需提供，文件另有规定的从其规定）</w:t>
      </w:r>
    </w:p>
    <w:p w14:paraId="29BF6005">
      <w:pPr>
        <w:widowControl w:val="0"/>
        <w:spacing w:line="219" w:lineRule="auto"/>
        <w:rPr>
          <w:rFonts w:hint="eastAsia" w:ascii="宋体" w:hAnsi="宋体" w:eastAsia="宋体" w:cs="宋体"/>
          <w:color w:val="auto"/>
          <w:sz w:val="24"/>
          <w:szCs w:val="24"/>
          <w:highlight w:val="none"/>
          <w:lang w:eastAsia="zh-CN"/>
        </w:rPr>
        <w:sectPr>
          <w:footerReference r:id="rId19" w:type="default"/>
          <w:pgSz w:w="11906" w:h="16839"/>
          <w:pgMar w:top="1431" w:right="1786" w:bottom="1429" w:left="1785" w:header="0" w:footer="994" w:gutter="0"/>
          <w:pgNumType w:fmt="decimal"/>
          <w:cols w:space="720" w:num="1"/>
        </w:sectPr>
      </w:pPr>
    </w:p>
    <w:p w14:paraId="5B0DF35D">
      <w:pPr>
        <w:widowControl w:val="0"/>
        <w:spacing w:before="48" w:line="219" w:lineRule="auto"/>
        <w:ind w:left="3935"/>
        <w:outlineLvl w:val="1"/>
        <w:rPr>
          <w:rFonts w:hint="eastAsia" w:ascii="宋体" w:hAnsi="宋体" w:eastAsia="宋体" w:cs="宋体"/>
          <w:color w:val="auto"/>
          <w:sz w:val="24"/>
          <w:szCs w:val="24"/>
          <w:highlight w:val="none"/>
          <w:lang w:eastAsia="zh-CN"/>
        </w:rPr>
      </w:pPr>
      <w:bookmarkStart w:id="203" w:name="_Toc9795"/>
      <w:bookmarkStart w:id="204" w:name="_Toc11410"/>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eastAsia="zh-CN"/>
        </w:rPr>
        <w:t>.技术文件</w:t>
      </w:r>
      <w:bookmarkEnd w:id="203"/>
      <w:bookmarkEnd w:id="204"/>
    </w:p>
    <w:p w14:paraId="2A6CC4F5">
      <w:pPr>
        <w:widowControl w:val="0"/>
        <w:spacing w:line="283" w:lineRule="auto"/>
        <w:rPr>
          <w:rFonts w:hint="eastAsia" w:ascii="宋体" w:hAnsi="宋体" w:eastAsia="宋体" w:cs="宋体"/>
          <w:color w:val="auto"/>
          <w:highlight w:val="none"/>
          <w:lang w:eastAsia="zh-CN"/>
        </w:rPr>
      </w:pPr>
    </w:p>
    <w:p w14:paraId="18B682D8">
      <w:pPr>
        <w:widowControl w:val="0"/>
        <w:spacing w:line="284" w:lineRule="auto"/>
        <w:rPr>
          <w:rFonts w:hint="eastAsia" w:ascii="宋体" w:hAnsi="宋体" w:eastAsia="宋体" w:cs="宋体"/>
          <w:color w:val="auto"/>
          <w:highlight w:val="none"/>
          <w:lang w:eastAsia="zh-CN"/>
        </w:rPr>
      </w:pPr>
    </w:p>
    <w:p w14:paraId="7EC8E1D6">
      <w:pPr>
        <w:widowControl w:val="0"/>
        <w:spacing w:before="78" w:line="219" w:lineRule="auto"/>
        <w:ind w:left="3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内容包括：</w:t>
      </w:r>
    </w:p>
    <w:p w14:paraId="6DB451A1">
      <w:pPr>
        <w:widowControl w:val="0"/>
        <w:spacing w:before="185" w:line="219"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1、服务内容的详细说明</w:t>
      </w:r>
    </w:p>
    <w:p w14:paraId="7CF44616">
      <w:pPr>
        <w:widowControl w:val="0"/>
        <w:spacing w:before="185" w:line="219"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2、投标人认为需要说明的其他内容（投标人视需要自行编写）</w:t>
      </w:r>
    </w:p>
    <w:p w14:paraId="4BB9DCCE">
      <w:pPr>
        <w:widowControl w:val="0"/>
        <w:spacing w:line="219" w:lineRule="auto"/>
        <w:rPr>
          <w:rFonts w:hint="eastAsia" w:ascii="宋体" w:hAnsi="宋体" w:eastAsia="宋体" w:cs="宋体"/>
          <w:color w:val="auto"/>
          <w:sz w:val="24"/>
          <w:szCs w:val="24"/>
          <w:highlight w:val="none"/>
          <w:lang w:eastAsia="zh-CN"/>
        </w:rPr>
        <w:sectPr>
          <w:footerReference r:id="rId20" w:type="default"/>
          <w:pgSz w:w="11906" w:h="16839"/>
          <w:pgMar w:top="1429" w:right="1785" w:bottom="1429" w:left="1786" w:header="0" w:footer="994" w:gutter="0"/>
          <w:pgNumType w:fmt="decimal"/>
          <w:cols w:space="720" w:num="1"/>
        </w:sectPr>
      </w:pPr>
    </w:p>
    <w:p w14:paraId="49C8CBDA">
      <w:pPr>
        <w:widowControl w:val="0"/>
        <w:spacing w:before="48" w:line="219" w:lineRule="auto"/>
        <w:jc w:val="center"/>
        <w:outlineLvl w:val="1"/>
        <w:rPr>
          <w:rFonts w:hint="eastAsia" w:ascii="宋体" w:hAnsi="宋体" w:eastAsia="宋体" w:cs="宋体"/>
          <w:color w:val="auto"/>
          <w:highlight w:val="none"/>
          <w:lang w:eastAsia="zh-CN"/>
        </w:rPr>
        <w:sectPr>
          <w:footerReference r:id="rId21" w:type="default"/>
          <w:pgSz w:w="11906" w:h="16839"/>
          <w:pgMar w:top="1429" w:right="1786" w:bottom="1429" w:left="1786" w:header="0" w:footer="994" w:gutter="0"/>
          <w:pgNumType w:fmt="decimal"/>
          <w:cols w:space="720" w:num="1"/>
        </w:sectPr>
      </w:pPr>
      <w:bookmarkStart w:id="205" w:name="_Toc22393"/>
      <w:bookmarkStart w:id="206" w:name="_Toc24589"/>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z w:val="24"/>
          <w:szCs w:val="24"/>
          <w:highlight w:val="none"/>
          <w:lang w:eastAsia="zh-CN"/>
        </w:rPr>
        <w:t>与技术、商务等评审计分有关的资料</w:t>
      </w:r>
      <w:bookmarkEnd w:id="205"/>
      <w:bookmarkEnd w:id="206"/>
    </w:p>
    <w:p w14:paraId="54D47D65">
      <w:pPr>
        <w:widowControl w:val="0"/>
        <w:spacing w:before="63" w:line="224" w:lineRule="auto"/>
        <w:jc w:val="center"/>
        <w:outlineLvl w:val="0"/>
        <w:rPr>
          <w:rFonts w:hint="eastAsia" w:ascii="宋体" w:hAnsi="宋体" w:eastAsia="宋体" w:cs="宋体"/>
          <w:color w:val="auto"/>
          <w:sz w:val="31"/>
          <w:szCs w:val="31"/>
          <w:highlight w:val="none"/>
          <w:lang w:eastAsia="zh-CN"/>
        </w:rPr>
      </w:pPr>
      <w:bookmarkStart w:id="207" w:name="_Toc5999"/>
      <w:bookmarkStart w:id="208" w:name="_Toc12542"/>
      <w:r>
        <w:rPr>
          <w:rFonts w:hint="eastAsia" w:ascii="宋体" w:hAnsi="宋体" w:eastAsia="宋体" w:cs="宋体"/>
          <w:color w:val="auto"/>
          <w:sz w:val="31"/>
          <w:szCs w:val="31"/>
          <w:highlight w:val="none"/>
          <w:lang w:eastAsia="zh-CN"/>
        </w:rPr>
        <w:t>第五章采购需求</w:t>
      </w:r>
      <w:bookmarkEnd w:id="207"/>
      <w:bookmarkEnd w:id="208"/>
    </w:p>
    <w:p w14:paraId="09A0FE5A">
      <w:pPr>
        <w:widowControl w:val="0"/>
        <w:spacing w:line="309" w:lineRule="auto"/>
        <w:rPr>
          <w:rFonts w:hint="eastAsia" w:ascii="宋体" w:hAnsi="宋体" w:eastAsia="宋体" w:cs="宋体"/>
          <w:color w:val="auto"/>
          <w:highlight w:val="none"/>
          <w:lang w:eastAsia="zh-CN"/>
        </w:rPr>
      </w:pPr>
    </w:p>
    <w:p w14:paraId="154674B0">
      <w:pPr>
        <w:widowControl w:val="0"/>
        <w:spacing w:line="309" w:lineRule="auto"/>
        <w:rPr>
          <w:rFonts w:hint="eastAsia" w:ascii="宋体" w:hAnsi="宋体" w:eastAsia="宋体" w:cs="宋体"/>
          <w:color w:val="auto"/>
          <w:highlight w:val="none"/>
          <w:lang w:eastAsia="zh-CN"/>
        </w:rPr>
      </w:pPr>
    </w:p>
    <w:p w14:paraId="774AC905">
      <w:pPr>
        <w:widowControl w:val="0"/>
        <w:spacing w:before="78" w:line="220" w:lineRule="auto"/>
        <w:outlineLvl w:val="1"/>
        <w:rPr>
          <w:rFonts w:hint="eastAsia" w:ascii="宋体" w:hAnsi="宋体" w:eastAsia="宋体" w:cs="宋体"/>
          <w:color w:val="auto"/>
          <w:sz w:val="24"/>
          <w:szCs w:val="24"/>
          <w:highlight w:val="none"/>
          <w:lang w:eastAsia="zh-CN"/>
        </w:rPr>
      </w:pPr>
      <w:bookmarkStart w:id="209" w:name="_Toc10488"/>
      <w:bookmarkStart w:id="210" w:name="_Toc54"/>
      <w:r>
        <w:rPr>
          <w:rFonts w:hint="eastAsia" w:ascii="宋体" w:hAnsi="宋体" w:eastAsia="宋体" w:cs="宋体"/>
          <w:color w:val="auto"/>
          <w:sz w:val="24"/>
          <w:szCs w:val="24"/>
          <w:highlight w:val="none"/>
          <w:lang w:eastAsia="zh-CN"/>
        </w:rPr>
        <w:t>一、采购需求表</w:t>
      </w:r>
      <w:bookmarkEnd w:id="209"/>
      <w:bookmarkEnd w:id="210"/>
    </w:p>
    <w:p w14:paraId="6D490DCE">
      <w:pPr>
        <w:widowControl w:val="0"/>
        <w:spacing w:before="64"/>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drawing>
          <wp:anchor distT="0" distB="0" distL="0" distR="0" simplePos="0" relativeHeight="251659264" behindDoc="1" locked="0" layoutInCell="1" allowOverlap="1">
            <wp:simplePos x="0" y="0"/>
            <wp:positionH relativeFrom="column">
              <wp:posOffset>-215900</wp:posOffset>
            </wp:positionH>
            <wp:positionV relativeFrom="paragraph">
              <wp:posOffset>187325</wp:posOffset>
            </wp:positionV>
            <wp:extent cx="1805305" cy="1485265"/>
            <wp:effectExtent l="0" t="0" r="4445" b="635"/>
            <wp:wrapNone/>
            <wp:docPr id="1027" name="IM 6"/>
            <wp:cNvGraphicFramePr/>
            <a:graphic xmlns:a="http://schemas.openxmlformats.org/drawingml/2006/main">
              <a:graphicData uri="http://schemas.openxmlformats.org/drawingml/2006/picture">
                <pic:pic xmlns:pic="http://schemas.openxmlformats.org/drawingml/2006/picture">
                  <pic:nvPicPr>
                    <pic:cNvPr id="1027" name="IM 6"/>
                    <pic:cNvPicPr/>
                  </pic:nvPicPr>
                  <pic:blipFill>
                    <a:blip r:embed="rId26" cstate="print"/>
                    <a:srcRect/>
                    <a:stretch>
                      <a:fillRect/>
                    </a:stretch>
                  </pic:blipFill>
                  <pic:spPr>
                    <a:xfrm>
                      <a:off x="0" y="0"/>
                      <a:ext cx="1805305" cy="1485265"/>
                    </a:xfrm>
                    <a:prstGeom prst="rect">
                      <a:avLst/>
                    </a:prstGeom>
                  </pic:spPr>
                </pic:pic>
              </a:graphicData>
            </a:graphic>
          </wp:anchor>
        </w:drawing>
      </w:r>
    </w:p>
    <w:tbl>
      <w:tblPr>
        <w:tblStyle w:val="21"/>
        <w:tblW w:w="9015" w:type="dxa"/>
        <w:tblInd w:w="-30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48"/>
        <w:gridCol w:w="817"/>
        <w:gridCol w:w="6150"/>
      </w:tblGrid>
      <w:tr w14:paraId="46A96C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92" w:hRule="atLeast"/>
        </w:trPr>
        <w:tc>
          <w:tcPr>
            <w:tcW w:w="2048" w:type="dxa"/>
            <w:tcBorders>
              <w:right w:val="nil"/>
            </w:tcBorders>
            <w:vAlign w:val="center"/>
          </w:tcPr>
          <w:p w14:paraId="1EFD2DCE">
            <w:pPr>
              <w:widowControl w:val="0"/>
              <w:spacing w:before="183" w:line="223" w:lineRule="auto"/>
              <w:ind w:left="109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w:t>
            </w:r>
          </w:p>
          <w:p w14:paraId="0DE0A7CF">
            <w:pPr>
              <w:pStyle w:val="22"/>
              <w:widowControl w:val="0"/>
              <w:spacing w:line="245" w:lineRule="auto"/>
              <w:rPr>
                <w:rFonts w:hint="eastAsia" w:ascii="宋体" w:hAnsi="宋体" w:eastAsia="宋体" w:cs="宋体"/>
                <w:color w:val="auto"/>
                <w:highlight w:val="none"/>
              </w:rPr>
            </w:pPr>
          </w:p>
          <w:p w14:paraId="3944E752">
            <w:pPr>
              <w:pStyle w:val="22"/>
              <w:widowControl w:val="0"/>
              <w:spacing w:line="246" w:lineRule="auto"/>
              <w:rPr>
                <w:rFonts w:hint="eastAsia" w:ascii="宋体" w:hAnsi="宋体" w:eastAsia="宋体" w:cs="宋体"/>
                <w:color w:val="auto"/>
                <w:highlight w:val="none"/>
              </w:rPr>
            </w:pPr>
          </w:p>
          <w:p w14:paraId="5123B715">
            <w:pPr>
              <w:widowControl w:val="0"/>
              <w:spacing w:before="78" w:line="219" w:lineRule="auto"/>
              <w:ind w:left="48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内</w:t>
            </w:r>
          </w:p>
          <w:p w14:paraId="2D75D6FC">
            <w:pPr>
              <w:pStyle w:val="22"/>
              <w:widowControl w:val="0"/>
              <w:spacing w:line="338" w:lineRule="auto"/>
              <w:rPr>
                <w:rFonts w:hint="eastAsia" w:ascii="宋体" w:hAnsi="宋体" w:eastAsia="宋体" w:cs="宋体"/>
                <w:color w:val="auto"/>
                <w:highlight w:val="none"/>
              </w:rPr>
            </w:pPr>
          </w:p>
          <w:p w14:paraId="163D5282">
            <w:pPr>
              <w:widowControl w:val="0"/>
              <w:spacing w:before="78" w:line="220" w:lineRule="auto"/>
              <w:ind w:left="131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容</w:t>
            </w:r>
          </w:p>
        </w:tc>
        <w:tc>
          <w:tcPr>
            <w:tcW w:w="817" w:type="dxa"/>
            <w:tcBorders>
              <w:left w:val="nil"/>
            </w:tcBorders>
            <w:vAlign w:val="center"/>
          </w:tcPr>
          <w:p w14:paraId="1EF59C4C">
            <w:pPr>
              <w:pStyle w:val="22"/>
              <w:widowControl w:val="0"/>
              <w:spacing w:line="263" w:lineRule="auto"/>
              <w:rPr>
                <w:rFonts w:hint="eastAsia" w:ascii="宋体" w:hAnsi="宋体" w:eastAsia="宋体" w:cs="宋体"/>
                <w:color w:val="auto"/>
                <w:highlight w:val="none"/>
              </w:rPr>
            </w:pPr>
          </w:p>
          <w:p w14:paraId="0AAF6E6B">
            <w:pPr>
              <w:pStyle w:val="22"/>
              <w:widowControl w:val="0"/>
              <w:spacing w:line="263" w:lineRule="auto"/>
              <w:rPr>
                <w:rFonts w:hint="eastAsia" w:ascii="宋体" w:hAnsi="宋体" w:eastAsia="宋体" w:cs="宋体"/>
                <w:color w:val="auto"/>
                <w:highlight w:val="none"/>
              </w:rPr>
            </w:pPr>
          </w:p>
          <w:p w14:paraId="0B7D6CB3">
            <w:pPr>
              <w:pStyle w:val="22"/>
              <w:widowControl w:val="0"/>
              <w:spacing w:line="264" w:lineRule="auto"/>
              <w:rPr>
                <w:rFonts w:hint="eastAsia" w:ascii="宋体" w:hAnsi="宋体" w:eastAsia="宋体" w:cs="宋体"/>
                <w:color w:val="auto"/>
                <w:highlight w:val="none"/>
              </w:rPr>
            </w:pPr>
          </w:p>
          <w:p w14:paraId="624151E3">
            <w:pPr>
              <w:widowControl w:val="0"/>
              <w:spacing w:before="78" w:line="221" w:lineRule="auto"/>
              <w:ind w:left="19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称</w:t>
            </w:r>
          </w:p>
        </w:tc>
        <w:tc>
          <w:tcPr>
            <w:tcW w:w="6150" w:type="dxa"/>
            <w:vAlign w:val="center"/>
          </w:tcPr>
          <w:p w14:paraId="5861195D">
            <w:pPr>
              <w:pStyle w:val="22"/>
              <w:widowControl w:val="0"/>
              <w:jc w:val="center"/>
              <w:rPr>
                <w:rFonts w:hint="eastAsia" w:ascii="宋体" w:hAnsi="宋体" w:eastAsia="宋体" w:cs="宋体"/>
                <w:color w:val="auto"/>
                <w:highlight w:val="none"/>
                <w:lang w:val="en-US" w:eastAsia="zh-CN"/>
              </w:rPr>
            </w:pPr>
            <w:r>
              <w:rPr>
                <w:rFonts w:hint="eastAsia" w:ascii="宋体" w:hAnsi="宋体" w:eastAsia="宋体" w:cs="宋体"/>
                <w:color w:val="auto"/>
                <w:sz w:val="24"/>
                <w:szCs w:val="24"/>
                <w:highlight w:val="none"/>
                <w:lang w:eastAsia="zh-CN"/>
              </w:rPr>
              <w:t>江西吉瑞实业有限公司警务辅助安保服务项目（第二次）</w:t>
            </w:r>
          </w:p>
        </w:tc>
      </w:tr>
      <w:tr w14:paraId="0DB506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 w:hRule="atLeast"/>
        </w:trPr>
        <w:tc>
          <w:tcPr>
            <w:tcW w:w="2865" w:type="dxa"/>
            <w:gridSpan w:val="2"/>
            <w:vAlign w:val="center"/>
          </w:tcPr>
          <w:p w14:paraId="0E893DAF">
            <w:pPr>
              <w:widowControl w:val="0"/>
              <w:spacing w:before="253" w:line="219" w:lineRule="auto"/>
              <w:ind w:left="118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6150" w:type="dxa"/>
            <w:vAlign w:val="center"/>
          </w:tcPr>
          <w:p w14:paraId="04BCEAA0">
            <w:pPr>
              <w:pStyle w:val="22"/>
              <w:widowControl w:val="0"/>
              <w:jc w:val="center"/>
              <w:rPr>
                <w:rFonts w:hint="eastAsia" w:ascii="宋体" w:hAnsi="宋体" w:eastAsia="宋体" w:cs="宋体"/>
                <w:color w:val="auto"/>
                <w:highlight w:val="none"/>
              </w:rPr>
            </w:pPr>
            <w:r>
              <w:rPr>
                <w:rFonts w:hint="eastAsia" w:ascii="宋体" w:hAnsi="宋体" w:eastAsia="宋体" w:cs="宋体"/>
                <w:color w:val="auto"/>
                <w:sz w:val="24"/>
                <w:szCs w:val="24"/>
                <w:highlight w:val="none"/>
                <w:lang w:eastAsia="zh-CN"/>
              </w:rPr>
              <w:t>1批</w:t>
            </w:r>
          </w:p>
        </w:tc>
      </w:tr>
      <w:tr w14:paraId="396B30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 w:hRule="atLeast"/>
        </w:trPr>
        <w:tc>
          <w:tcPr>
            <w:tcW w:w="2865" w:type="dxa"/>
            <w:gridSpan w:val="2"/>
            <w:vAlign w:val="center"/>
          </w:tcPr>
          <w:p w14:paraId="3DCD74BA">
            <w:pPr>
              <w:widowControl w:val="0"/>
              <w:spacing w:before="253" w:line="219" w:lineRule="auto"/>
              <w:ind w:left="107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服务</w:t>
            </w:r>
            <w:r>
              <w:rPr>
                <w:rFonts w:hint="eastAsia" w:ascii="宋体" w:hAnsi="宋体" w:eastAsia="宋体" w:cs="宋体"/>
                <w:color w:val="auto"/>
                <w:sz w:val="24"/>
                <w:szCs w:val="24"/>
                <w:highlight w:val="none"/>
              </w:rPr>
              <w:t>期</w:t>
            </w:r>
          </w:p>
        </w:tc>
        <w:tc>
          <w:tcPr>
            <w:tcW w:w="6150" w:type="dxa"/>
            <w:vAlign w:val="center"/>
          </w:tcPr>
          <w:p w14:paraId="1EBE035E">
            <w:pPr>
              <w:pStyle w:val="22"/>
              <w:widowControl w:val="0"/>
              <w:jc w:val="center"/>
              <w:rPr>
                <w:rFonts w:hint="eastAsia" w:ascii="宋体" w:hAnsi="宋体" w:eastAsia="宋体" w:cs="宋体"/>
                <w:color w:val="auto"/>
                <w:highlight w:val="none"/>
                <w:lang w:val="en-US" w:eastAsia="zh-CN"/>
              </w:rPr>
            </w:pPr>
            <w:r>
              <w:rPr>
                <w:rFonts w:hint="eastAsia" w:ascii="宋体" w:hAnsi="宋体" w:eastAsia="宋体" w:cs="宋体"/>
                <w:color w:val="auto"/>
                <w:sz w:val="24"/>
                <w:szCs w:val="24"/>
                <w:highlight w:val="none"/>
                <w:lang w:val="en-US" w:eastAsia="zh-CN"/>
              </w:rPr>
              <w:t>详见商务需求</w:t>
            </w:r>
          </w:p>
        </w:tc>
      </w:tr>
      <w:tr w14:paraId="531EDC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 w:hRule="atLeast"/>
        </w:trPr>
        <w:tc>
          <w:tcPr>
            <w:tcW w:w="2865" w:type="dxa"/>
            <w:gridSpan w:val="2"/>
            <w:vAlign w:val="center"/>
          </w:tcPr>
          <w:p w14:paraId="4BE994BE">
            <w:pPr>
              <w:widowControl w:val="0"/>
              <w:spacing w:before="256" w:line="219" w:lineRule="auto"/>
              <w:ind w:left="95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服务</w:t>
            </w:r>
            <w:r>
              <w:rPr>
                <w:rFonts w:hint="eastAsia" w:ascii="宋体" w:hAnsi="宋体" w:eastAsia="宋体" w:cs="宋体"/>
                <w:color w:val="auto"/>
                <w:sz w:val="24"/>
                <w:szCs w:val="24"/>
                <w:highlight w:val="none"/>
              </w:rPr>
              <w:t>地点</w:t>
            </w:r>
          </w:p>
        </w:tc>
        <w:tc>
          <w:tcPr>
            <w:tcW w:w="6150" w:type="dxa"/>
            <w:vAlign w:val="center"/>
          </w:tcPr>
          <w:p w14:paraId="74BF4C45">
            <w:pPr>
              <w:pStyle w:val="22"/>
              <w:widowControl w:val="0"/>
              <w:jc w:val="center"/>
              <w:rPr>
                <w:rFonts w:hint="eastAsia" w:ascii="宋体" w:hAnsi="宋体" w:eastAsia="宋体" w:cs="宋体"/>
                <w:color w:val="auto"/>
                <w:highlight w:val="none"/>
              </w:rPr>
            </w:pPr>
            <w:r>
              <w:rPr>
                <w:rFonts w:hint="eastAsia" w:ascii="宋体" w:hAnsi="宋体" w:eastAsia="宋体" w:cs="宋体"/>
                <w:color w:val="auto"/>
                <w:sz w:val="24"/>
                <w:szCs w:val="24"/>
                <w:highlight w:val="none"/>
              </w:rPr>
              <w:t>采购人指定地点</w:t>
            </w:r>
          </w:p>
        </w:tc>
      </w:tr>
      <w:tr w14:paraId="18338E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9" w:hRule="atLeast"/>
        </w:trPr>
        <w:tc>
          <w:tcPr>
            <w:tcW w:w="2865" w:type="dxa"/>
            <w:gridSpan w:val="2"/>
            <w:vAlign w:val="center"/>
          </w:tcPr>
          <w:p w14:paraId="7DD187EE">
            <w:pPr>
              <w:widowControl w:val="0"/>
              <w:spacing w:before="256" w:line="221" w:lineRule="auto"/>
              <w:ind w:left="118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c>
          <w:tcPr>
            <w:tcW w:w="6150" w:type="dxa"/>
            <w:vAlign w:val="center"/>
          </w:tcPr>
          <w:p w14:paraId="257EE40E">
            <w:pPr>
              <w:pStyle w:val="22"/>
              <w:widowControl w:val="0"/>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w:t>
            </w:r>
          </w:p>
        </w:tc>
      </w:tr>
    </w:tbl>
    <w:p w14:paraId="4DE634C8">
      <w:pPr>
        <w:widowControl w:val="0"/>
        <w:rPr>
          <w:rFonts w:hint="eastAsia" w:ascii="宋体" w:hAnsi="宋体" w:eastAsia="宋体" w:cs="宋体"/>
          <w:color w:val="auto"/>
          <w:highlight w:val="none"/>
        </w:rPr>
      </w:pPr>
    </w:p>
    <w:p w14:paraId="79A56991">
      <w:pPr>
        <w:widowControl w:val="0"/>
        <w:rPr>
          <w:rFonts w:hint="eastAsia" w:ascii="宋体" w:hAnsi="宋体" w:eastAsia="宋体" w:cs="宋体"/>
          <w:color w:val="auto"/>
          <w:highlight w:val="none"/>
        </w:rPr>
        <w:sectPr>
          <w:footerReference r:id="rId22" w:type="default"/>
          <w:pgSz w:w="11906" w:h="16839"/>
          <w:pgMar w:top="1232" w:right="1786" w:bottom="1156" w:left="1786" w:header="0" w:footer="994" w:gutter="0"/>
          <w:pgNumType w:fmt="decimal"/>
          <w:cols w:space="720" w:num="1"/>
        </w:sectPr>
      </w:pPr>
    </w:p>
    <w:p w14:paraId="20621BDE">
      <w:pPr>
        <w:widowControl w:val="0"/>
        <w:spacing w:before="47" w:line="219" w:lineRule="auto"/>
        <w:outlineLvl w:val="1"/>
        <w:rPr>
          <w:rFonts w:hint="eastAsia" w:ascii="宋体" w:hAnsi="宋体" w:eastAsia="宋体" w:cs="宋体"/>
          <w:color w:val="auto"/>
          <w:sz w:val="24"/>
          <w:szCs w:val="24"/>
          <w:highlight w:val="none"/>
        </w:rPr>
      </w:pPr>
      <w:bookmarkStart w:id="211" w:name="_Toc32742"/>
      <w:bookmarkStart w:id="212" w:name="_Toc23427"/>
      <w:r>
        <w:rPr>
          <w:rFonts w:hint="eastAsia" w:ascii="宋体" w:hAnsi="宋体" w:eastAsia="宋体" w:cs="宋体"/>
          <w:color w:val="auto"/>
          <w:sz w:val="24"/>
          <w:szCs w:val="24"/>
          <w:highlight w:val="none"/>
        </w:rPr>
        <w:t>二、采购需求</w:t>
      </w:r>
      <w:bookmarkEnd w:id="211"/>
      <w:bookmarkEnd w:id="212"/>
    </w:p>
    <w:p w14:paraId="20B8027E">
      <w:pPr>
        <w:widowControl w:val="0"/>
        <w:spacing w:line="245" w:lineRule="auto"/>
        <w:rPr>
          <w:rFonts w:hint="eastAsia" w:ascii="宋体" w:hAnsi="宋体" w:eastAsia="宋体" w:cs="宋体"/>
          <w:color w:val="auto"/>
          <w:highlight w:val="none"/>
          <w:lang w:eastAsia="zh-CN"/>
        </w:rPr>
      </w:pPr>
    </w:p>
    <w:p w14:paraId="21E86BFF">
      <w:pPr>
        <w:widowControl w:val="0"/>
        <w:spacing w:line="245" w:lineRule="auto"/>
        <w:rPr>
          <w:rFonts w:hint="default" w:ascii="宋体" w:hAnsi="宋体" w:eastAsia="宋体" w:cs="宋体"/>
          <w:b/>
          <w:bCs/>
          <w:color w:val="auto"/>
          <w:highlight w:val="none"/>
          <w:lang w:val="en-US" w:eastAsia="zh-CN"/>
        </w:rPr>
      </w:pPr>
      <w:r>
        <w:rPr>
          <w:rFonts w:hint="eastAsia" w:ascii="宋体" w:hAnsi="宋体" w:eastAsia="宋体" w:cs="宋体"/>
          <w:b/>
          <w:bCs/>
          <w:color w:val="auto"/>
          <w:highlight w:val="none"/>
          <w:lang w:eastAsia="zh-CN"/>
        </w:rPr>
        <w:t>（</w:t>
      </w:r>
      <w:r>
        <w:rPr>
          <w:rFonts w:hint="eastAsia" w:ascii="宋体" w:hAnsi="宋体" w:eastAsia="宋体" w:cs="宋体"/>
          <w:b/>
          <w:bCs/>
          <w:color w:val="auto"/>
          <w:highlight w:val="none"/>
          <w:lang w:val="en-US" w:eastAsia="zh-CN"/>
        </w:rPr>
        <w:t>一</w:t>
      </w:r>
      <w:r>
        <w:rPr>
          <w:rFonts w:hint="eastAsia" w:ascii="宋体" w:hAnsi="宋体" w:eastAsia="宋体" w:cs="宋体"/>
          <w:b/>
          <w:bCs/>
          <w:color w:val="auto"/>
          <w:highlight w:val="none"/>
          <w:lang w:eastAsia="zh-CN"/>
        </w:rPr>
        <w:t>）</w:t>
      </w:r>
      <w:r>
        <w:rPr>
          <w:rFonts w:hint="eastAsia" w:ascii="宋体" w:hAnsi="宋体" w:eastAsia="宋体" w:cs="宋体"/>
          <w:b/>
          <w:bCs/>
          <w:color w:val="auto"/>
          <w:highlight w:val="none"/>
          <w:lang w:val="en-US" w:eastAsia="zh-CN"/>
        </w:rPr>
        <w:t>需求人数</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2"/>
        <w:gridCol w:w="3793"/>
        <w:gridCol w:w="1704"/>
      </w:tblGrid>
      <w:tr w14:paraId="381FF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2" w:type="dxa"/>
            <w:noWrap w:val="0"/>
            <w:vAlign w:val="top"/>
          </w:tcPr>
          <w:p w14:paraId="4EF1B40A">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序号</w:t>
            </w:r>
          </w:p>
        </w:tc>
        <w:tc>
          <w:tcPr>
            <w:tcW w:w="3793" w:type="dxa"/>
            <w:noWrap w:val="0"/>
            <w:vAlign w:val="top"/>
          </w:tcPr>
          <w:p w14:paraId="4D1B189B">
            <w:pPr>
              <w:widowControl w:val="0"/>
              <w:jc w:val="center"/>
              <w:rPr>
                <w:rFonts w:hint="eastAsia"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color w:val="auto"/>
                <w:sz w:val="24"/>
                <w:szCs w:val="24"/>
                <w:highlight w:val="none"/>
                <w:vertAlign w:val="baseline"/>
                <w:lang w:val="en-US" w:eastAsia="zh-CN"/>
              </w:rPr>
              <w:t>需求岗位</w:t>
            </w:r>
          </w:p>
        </w:tc>
        <w:tc>
          <w:tcPr>
            <w:tcW w:w="1704" w:type="dxa"/>
            <w:noWrap w:val="0"/>
            <w:vAlign w:val="top"/>
          </w:tcPr>
          <w:p w14:paraId="1EAEE788">
            <w:pPr>
              <w:widowControl w:val="0"/>
              <w:jc w:val="center"/>
              <w:rPr>
                <w:rFonts w:hint="eastAsia"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color w:val="auto"/>
                <w:sz w:val="24"/>
                <w:szCs w:val="24"/>
                <w:highlight w:val="none"/>
                <w:vertAlign w:val="baseline"/>
                <w:lang w:val="en-US" w:eastAsia="zh-CN"/>
              </w:rPr>
              <w:t>需求人数</w:t>
            </w:r>
          </w:p>
        </w:tc>
      </w:tr>
      <w:tr w14:paraId="3531B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2" w:type="dxa"/>
            <w:noWrap w:val="0"/>
            <w:vAlign w:val="top"/>
          </w:tcPr>
          <w:p w14:paraId="348305A2">
            <w:pPr>
              <w:widowControl w:val="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w:t>
            </w:r>
          </w:p>
        </w:tc>
        <w:tc>
          <w:tcPr>
            <w:tcW w:w="3793" w:type="dxa"/>
            <w:noWrap w:val="0"/>
            <w:vAlign w:val="top"/>
          </w:tcPr>
          <w:p w14:paraId="2DB3A3D1">
            <w:pPr>
              <w:widowControl w:val="0"/>
              <w:jc w:val="center"/>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sz w:val="24"/>
                <w:szCs w:val="24"/>
                <w:highlight w:val="none"/>
                <w:vertAlign w:val="baseline"/>
                <w:lang w:val="en-US" w:eastAsia="zh-CN"/>
              </w:rPr>
              <w:t>档案整理</w:t>
            </w:r>
          </w:p>
        </w:tc>
        <w:tc>
          <w:tcPr>
            <w:tcW w:w="1704" w:type="dxa"/>
            <w:noWrap w:val="0"/>
            <w:vAlign w:val="top"/>
          </w:tcPr>
          <w:p w14:paraId="1E84FCED">
            <w:pPr>
              <w:widowControl w:val="0"/>
              <w:jc w:val="center"/>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sz w:val="24"/>
                <w:szCs w:val="24"/>
                <w:highlight w:val="none"/>
                <w:vertAlign w:val="baseline"/>
                <w:lang w:val="en-US" w:eastAsia="zh-CN"/>
              </w:rPr>
              <w:t>8</w:t>
            </w:r>
          </w:p>
        </w:tc>
      </w:tr>
      <w:tr w14:paraId="2D3E7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232" w:type="dxa"/>
            <w:noWrap w:val="0"/>
            <w:vAlign w:val="top"/>
          </w:tcPr>
          <w:p w14:paraId="5B3482BB">
            <w:pPr>
              <w:widowControl w:val="0"/>
              <w:jc w:val="center"/>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2</w:t>
            </w:r>
          </w:p>
        </w:tc>
        <w:tc>
          <w:tcPr>
            <w:tcW w:w="3793" w:type="dxa"/>
            <w:noWrap w:val="0"/>
            <w:vAlign w:val="top"/>
          </w:tcPr>
          <w:p w14:paraId="457B321E">
            <w:pPr>
              <w:widowControl w:val="0"/>
              <w:jc w:val="center"/>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sz w:val="24"/>
                <w:szCs w:val="24"/>
                <w:highlight w:val="none"/>
                <w:vertAlign w:val="baseline"/>
                <w:lang w:val="en-US" w:eastAsia="zh-CN"/>
              </w:rPr>
              <w:t>辅助安保</w:t>
            </w:r>
          </w:p>
        </w:tc>
        <w:tc>
          <w:tcPr>
            <w:tcW w:w="1704" w:type="dxa"/>
            <w:noWrap w:val="0"/>
            <w:vAlign w:val="top"/>
          </w:tcPr>
          <w:p w14:paraId="6EA34424">
            <w:pPr>
              <w:widowControl w:val="0"/>
              <w:jc w:val="center"/>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sz w:val="24"/>
                <w:szCs w:val="24"/>
                <w:highlight w:val="none"/>
                <w:vertAlign w:val="baseline"/>
                <w:lang w:val="en-US" w:eastAsia="zh-CN"/>
              </w:rPr>
              <w:t>8</w:t>
            </w:r>
          </w:p>
        </w:tc>
      </w:tr>
      <w:tr w14:paraId="1E704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2" w:type="dxa"/>
            <w:noWrap w:val="0"/>
            <w:vAlign w:val="top"/>
          </w:tcPr>
          <w:p w14:paraId="2C996893">
            <w:pPr>
              <w:widowControl w:val="0"/>
              <w:jc w:val="center"/>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3</w:t>
            </w:r>
          </w:p>
        </w:tc>
        <w:tc>
          <w:tcPr>
            <w:tcW w:w="3793" w:type="dxa"/>
            <w:noWrap w:val="0"/>
            <w:vAlign w:val="top"/>
          </w:tcPr>
          <w:p w14:paraId="2C04AC3A">
            <w:pPr>
              <w:widowControl w:val="0"/>
              <w:jc w:val="center"/>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sz w:val="24"/>
                <w:szCs w:val="24"/>
                <w:highlight w:val="none"/>
                <w:vertAlign w:val="baseline"/>
                <w:lang w:val="en-US" w:eastAsia="zh-CN"/>
              </w:rPr>
              <w:t>会见室</w:t>
            </w:r>
          </w:p>
        </w:tc>
        <w:tc>
          <w:tcPr>
            <w:tcW w:w="1704" w:type="dxa"/>
            <w:noWrap w:val="0"/>
            <w:vAlign w:val="top"/>
          </w:tcPr>
          <w:p w14:paraId="4925676A">
            <w:pPr>
              <w:widowControl w:val="0"/>
              <w:jc w:val="center"/>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sz w:val="24"/>
                <w:szCs w:val="24"/>
                <w:highlight w:val="none"/>
                <w:vertAlign w:val="baseline"/>
                <w:lang w:val="en-US" w:eastAsia="zh-CN"/>
              </w:rPr>
              <w:t>9</w:t>
            </w:r>
          </w:p>
        </w:tc>
      </w:tr>
      <w:tr w14:paraId="25ED7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2" w:type="dxa"/>
            <w:noWrap w:val="0"/>
            <w:vAlign w:val="top"/>
          </w:tcPr>
          <w:p w14:paraId="33B05E17">
            <w:pPr>
              <w:widowControl w:val="0"/>
              <w:jc w:val="center"/>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4</w:t>
            </w:r>
          </w:p>
        </w:tc>
        <w:tc>
          <w:tcPr>
            <w:tcW w:w="3793" w:type="dxa"/>
            <w:noWrap w:val="0"/>
            <w:vAlign w:val="top"/>
          </w:tcPr>
          <w:p w14:paraId="6FE41A67">
            <w:pPr>
              <w:widowControl w:val="0"/>
              <w:jc w:val="center"/>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sz w:val="24"/>
                <w:szCs w:val="24"/>
                <w:highlight w:val="none"/>
                <w:vertAlign w:val="baseline"/>
                <w:lang w:val="en-US" w:eastAsia="zh-CN"/>
              </w:rPr>
              <w:t>特勤巡逻</w:t>
            </w:r>
          </w:p>
        </w:tc>
        <w:tc>
          <w:tcPr>
            <w:tcW w:w="1704" w:type="dxa"/>
            <w:noWrap w:val="0"/>
            <w:vAlign w:val="top"/>
          </w:tcPr>
          <w:p w14:paraId="21D4DEAB">
            <w:pPr>
              <w:widowControl w:val="0"/>
              <w:jc w:val="center"/>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sz w:val="24"/>
                <w:szCs w:val="24"/>
                <w:highlight w:val="none"/>
                <w:vertAlign w:val="baseline"/>
                <w:lang w:val="en-US" w:eastAsia="zh-CN"/>
              </w:rPr>
              <w:t>14</w:t>
            </w:r>
          </w:p>
        </w:tc>
      </w:tr>
      <w:tr w14:paraId="2CB0F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2" w:type="dxa"/>
            <w:noWrap w:val="0"/>
            <w:vAlign w:val="top"/>
          </w:tcPr>
          <w:p w14:paraId="3C0AC39C">
            <w:pPr>
              <w:widowControl w:val="0"/>
              <w:jc w:val="center"/>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5</w:t>
            </w:r>
          </w:p>
        </w:tc>
        <w:tc>
          <w:tcPr>
            <w:tcW w:w="3793" w:type="dxa"/>
            <w:noWrap w:val="0"/>
            <w:vAlign w:val="top"/>
          </w:tcPr>
          <w:p w14:paraId="00697168">
            <w:pPr>
              <w:widowControl w:val="0"/>
              <w:jc w:val="center"/>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sz w:val="24"/>
                <w:szCs w:val="24"/>
                <w:highlight w:val="none"/>
                <w:vertAlign w:val="baseline"/>
                <w:lang w:val="en-US" w:eastAsia="zh-CN"/>
              </w:rPr>
              <w:t>分控值班</w:t>
            </w:r>
          </w:p>
        </w:tc>
        <w:tc>
          <w:tcPr>
            <w:tcW w:w="1704" w:type="dxa"/>
            <w:noWrap w:val="0"/>
            <w:vAlign w:val="top"/>
          </w:tcPr>
          <w:p w14:paraId="4D1E048B">
            <w:pPr>
              <w:widowControl w:val="0"/>
              <w:jc w:val="center"/>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sz w:val="24"/>
                <w:szCs w:val="24"/>
                <w:highlight w:val="none"/>
                <w:vertAlign w:val="baseline"/>
                <w:lang w:val="en-US" w:eastAsia="zh-CN"/>
              </w:rPr>
              <w:t>9</w:t>
            </w:r>
          </w:p>
        </w:tc>
      </w:tr>
      <w:tr w14:paraId="05E0B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2" w:type="dxa"/>
            <w:noWrap w:val="0"/>
            <w:vAlign w:val="top"/>
          </w:tcPr>
          <w:p w14:paraId="25CEB1E9">
            <w:pPr>
              <w:widowControl w:val="0"/>
              <w:jc w:val="center"/>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sz w:val="24"/>
                <w:szCs w:val="24"/>
                <w:highlight w:val="none"/>
                <w:vertAlign w:val="baseline"/>
                <w:lang w:val="en-US" w:eastAsia="zh-CN"/>
              </w:rPr>
              <w:t>6</w:t>
            </w:r>
          </w:p>
        </w:tc>
        <w:tc>
          <w:tcPr>
            <w:tcW w:w="3793" w:type="dxa"/>
            <w:noWrap w:val="0"/>
            <w:vAlign w:val="top"/>
          </w:tcPr>
          <w:p w14:paraId="0DB34328">
            <w:pPr>
              <w:widowControl w:val="0"/>
              <w:jc w:val="center"/>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sz w:val="24"/>
                <w:szCs w:val="24"/>
                <w:highlight w:val="none"/>
                <w:vertAlign w:val="baseline"/>
                <w:lang w:val="en-US" w:eastAsia="zh-CN"/>
              </w:rPr>
              <w:t>监控中心</w:t>
            </w:r>
          </w:p>
        </w:tc>
        <w:tc>
          <w:tcPr>
            <w:tcW w:w="1704" w:type="dxa"/>
            <w:noWrap w:val="0"/>
            <w:vAlign w:val="top"/>
          </w:tcPr>
          <w:p w14:paraId="5BF27C2D">
            <w:pPr>
              <w:widowControl w:val="0"/>
              <w:jc w:val="center"/>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sz w:val="24"/>
                <w:szCs w:val="24"/>
                <w:highlight w:val="none"/>
                <w:vertAlign w:val="baseline"/>
                <w:lang w:val="en-US" w:eastAsia="zh-CN"/>
              </w:rPr>
              <w:t>9</w:t>
            </w:r>
          </w:p>
        </w:tc>
      </w:tr>
      <w:tr w14:paraId="53DCB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2" w:type="dxa"/>
            <w:noWrap w:val="0"/>
            <w:vAlign w:val="top"/>
          </w:tcPr>
          <w:p w14:paraId="679852AA">
            <w:pPr>
              <w:widowControl w:val="0"/>
              <w:jc w:val="center"/>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sz w:val="24"/>
                <w:szCs w:val="24"/>
                <w:highlight w:val="none"/>
                <w:vertAlign w:val="baseline"/>
                <w:lang w:val="en-US" w:eastAsia="zh-CN"/>
              </w:rPr>
              <w:t>7</w:t>
            </w:r>
          </w:p>
        </w:tc>
        <w:tc>
          <w:tcPr>
            <w:tcW w:w="3793" w:type="dxa"/>
            <w:noWrap w:val="0"/>
            <w:vAlign w:val="top"/>
          </w:tcPr>
          <w:p w14:paraId="24CE38FB">
            <w:pPr>
              <w:widowControl w:val="0"/>
              <w:jc w:val="center"/>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sz w:val="24"/>
                <w:szCs w:val="24"/>
                <w:highlight w:val="none"/>
                <w:vertAlign w:val="baseline"/>
                <w:lang w:val="en-US" w:eastAsia="zh-CN"/>
              </w:rPr>
              <w:t>监门安检</w:t>
            </w:r>
          </w:p>
        </w:tc>
        <w:tc>
          <w:tcPr>
            <w:tcW w:w="1704" w:type="dxa"/>
            <w:noWrap w:val="0"/>
            <w:vAlign w:val="top"/>
          </w:tcPr>
          <w:p w14:paraId="1C1DE29C">
            <w:pPr>
              <w:widowControl w:val="0"/>
              <w:jc w:val="center"/>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sz w:val="24"/>
                <w:szCs w:val="24"/>
                <w:highlight w:val="none"/>
                <w:vertAlign w:val="baseline"/>
                <w:lang w:val="en-US" w:eastAsia="zh-CN"/>
              </w:rPr>
              <w:t>10</w:t>
            </w:r>
          </w:p>
        </w:tc>
      </w:tr>
      <w:tr w14:paraId="326FB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2" w:type="dxa"/>
            <w:noWrap w:val="0"/>
            <w:vAlign w:val="top"/>
          </w:tcPr>
          <w:p w14:paraId="3AEA54F8">
            <w:pPr>
              <w:widowControl w:val="0"/>
              <w:jc w:val="center"/>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8</w:t>
            </w:r>
          </w:p>
        </w:tc>
        <w:tc>
          <w:tcPr>
            <w:tcW w:w="3793" w:type="dxa"/>
            <w:noWrap w:val="0"/>
            <w:vAlign w:val="top"/>
          </w:tcPr>
          <w:p w14:paraId="0699A2A6">
            <w:pPr>
              <w:widowControl w:val="0"/>
              <w:jc w:val="center"/>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sz w:val="24"/>
                <w:szCs w:val="24"/>
                <w:highlight w:val="none"/>
                <w:vertAlign w:val="baseline"/>
                <w:lang w:val="en-US" w:eastAsia="zh-CN"/>
              </w:rPr>
              <w:t>货物运输</w:t>
            </w:r>
          </w:p>
        </w:tc>
        <w:tc>
          <w:tcPr>
            <w:tcW w:w="1704" w:type="dxa"/>
            <w:noWrap w:val="0"/>
            <w:vAlign w:val="top"/>
          </w:tcPr>
          <w:p w14:paraId="4BEB3197">
            <w:pPr>
              <w:widowControl w:val="0"/>
              <w:jc w:val="center"/>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sz w:val="24"/>
                <w:szCs w:val="24"/>
                <w:highlight w:val="none"/>
                <w:vertAlign w:val="baseline"/>
                <w:lang w:val="en-US" w:eastAsia="zh-CN"/>
              </w:rPr>
              <w:t>17</w:t>
            </w:r>
          </w:p>
        </w:tc>
      </w:tr>
      <w:tr w14:paraId="373A0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2" w:type="dxa"/>
            <w:noWrap w:val="0"/>
            <w:vAlign w:val="top"/>
          </w:tcPr>
          <w:p w14:paraId="501C1ED3">
            <w:pPr>
              <w:widowControl w:val="0"/>
              <w:jc w:val="center"/>
              <w:rPr>
                <w:rFonts w:hint="eastAsia" w:ascii="宋体" w:hAnsi="宋体" w:eastAsia="宋体" w:cs="宋体"/>
                <w:color w:val="auto"/>
                <w:sz w:val="24"/>
                <w:szCs w:val="24"/>
                <w:highlight w:val="none"/>
                <w:vertAlign w:val="baseline"/>
                <w:lang w:val="en-US" w:eastAsia="zh-CN"/>
              </w:rPr>
            </w:pPr>
          </w:p>
        </w:tc>
        <w:tc>
          <w:tcPr>
            <w:tcW w:w="3793" w:type="dxa"/>
            <w:noWrap w:val="0"/>
            <w:vAlign w:val="top"/>
          </w:tcPr>
          <w:p w14:paraId="7EA89789">
            <w:pPr>
              <w:widowControl w:val="0"/>
              <w:jc w:val="center"/>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sz w:val="24"/>
                <w:szCs w:val="24"/>
                <w:highlight w:val="none"/>
                <w:vertAlign w:val="baseline"/>
                <w:lang w:val="en-US" w:eastAsia="zh-CN"/>
              </w:rPr>
              <w:t>合计</w:t>
            </w:r>
          </w:p>
        </w:tc>
        <w:tc>
          <w:tcPr>
            <w:tcW w:w="1704" w:type="dxa"/>
            <w:noWrap w:val="0"/>
            <w:vAlign w:val="top"/>
          </w:tcPr>
          <w:p w14:paraId="4E16098E">
            <w:pPr>
              <w:widowControl w:val="0"/>
              <w:jc w:val="center"/>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sz w:val="24"/>
                <w:szCs w:val="24"/>
                <w:highlight w:val="none"/>
                <w:vertAlign w:val="baseline"/>
                <w:lang w:val="en-US" w:eastAsia="zh-CN"/>
              </w:rPr>
              <w:t>84</w:t>
            </w:r>
          </w:p>
        </w:tc>
      </w:tr>
    </w:tbl>
    <w:p w14:paraId="1387ADF0">
      <w:pPr>
        <w:pStyle w:val="2"/>
        <w:spacing w:after="0"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二</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人员要求</w:t>
      </w:r>
    </w:p>
    <w:p w14:paraId="76F31B28">
      <w:pPr>
        <w:pStyle w:val="2"/>
        <w:spacing w:after="0" w:line="360" w:lineRule="auto"/>
        <w:ind w:firstLine="480" w:firstLineChars="20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val="en-US" w:eastAsia="zh-CN"/>
        </w:rPr>
        <w:t>档案整理岗中内勤辅助1人，需具有大专及以上学历，年龄 20—40 周岁。</w:t>
      </w:r>
    </w:p>
    <w:p w14:paraId="3429FCFC">
      <w:pPr>
        <w:pStyle w:val="2"/>
        <w:spacing w:after="0" w:line="360" w:lineRule="auto"/>
        <w:ind w:firstLine="480" w:firstLineChars="20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2、特勤人员为退伍军人、警校毕业生或从事安保两年以上人员，年龄 45 周岁以下，高中及以上学历，身高170CM及以上。</w:t>
      </w:r>
    </w:p>
    <w:p w14:paraId="78D112FA">
      <w:pPr>
        <w:pStyle w:val="2"/>
        <w:spacing w:after="0" w:line="360" w:lineRule="auto"/>
        <w:ind w:firstLine="480" w:firstLineChars="20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3、监门安保员、会见安保员、监控中心人员，年龄 20—45 周岁，身高≥1.68 米（其中女性身高 ≥1.58 米），五官端正、身体健康。其他岗位，需高中以上文化程度，年龄 20—45 周岁。</w:t>
      </w:r>
    </w:p>
    <w:p w14:paraId="4A7108AA">
      <w:pPr>
        <w:pStyle w:val="2"/>
        <w:spacing w:after="0" w:line="360" w:lineRule="auto"/>
        <w:ind w:firstLine="480" w:firstLineChars="20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4、所有岗位人员必须经过体检合格【中标人须在签订合同时提供拟派的 84人医院体检报告的原件扫描件（或复印件）佐证】。</w:t>
      </w:r>
    </w:p>
    <w:p w14:paraId="2EE46158">
      <w:pPr>
        <w:pStyle w:val="2"/>
        <w:spacing w:after="0" w:line="360" w:lineRule="auto"/>
        <w:ind w:firstLine="480" w:firstLineChars="20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5、本项目须拟派一名项目经理，年龄 20—50 周岁，性别：男性，有安保管理经验。</w:t>
      </w:r>
    </w:p>
    <w:p w14:paraId="42965449">
      <w:pPr>
        <w:pStyle w:val="2"/>
        <w:spacing w:after="0" w:line="360" w:lineRule="auto"/>
        <w:ind w:firstLine="480" w:firstLineChars="20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6、所有岗位人员需统一着装。</w:t>
      </w:r>
    </w:p>
    <w:p w14:paraId="322D86FF">
      <w:pPr>
        <w:pStyle w:val="2"/>
        <w:spacing w:after="0" w:line="360" w:lineRule="auto"/>
        <w:ind w:firstLine="480" w:firstLineChars="20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7、投标人拟派本项目监控中心人员中至少应有6人（保障每班次有1人）具有应急管理部和人社部共同颁发的《消防设施操作员（四级监控）》及以上职业资格证。【中标人须在签订合同时提供证书原件扫描件（或复印件）佐证】。</w:t>
      </w:r>
    </w:p>
    <w:p w14:paraId="291078BC">
      <w:pPr>
        <w:pStyle w:val="2"/>
        <w:rPr>
          <w:rFonts w:hint="default"/>
          <w:color w:val="auto"/>
          <w:highlight w:val="none"/>
          <w:lang w:val="en-US" w:eastAsia="zh-CN"/>
        </w:rPr>
      </w:pPr>
    </w:p>
    <w:p w14:paraId="6441943C">
      <w:pPr>
        <w:pStyle w:val="2"/>
        <w:spacing w:after="0"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三</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具体岗位及职责要求：</w:t>
      </w:r>
    </w:p>
    <w:p w14:paraId="59747540">
      <w:pPr>
        <w:pStyle w:val="2"/>
        <w:pageBreakBefore w:val="0"/>
        <w:widowControl w:val="0"/>
        <w:kinsoku/>
        <w:wordWrap/>
        <w:overflowPunct/>
        <w:topLinePunct w:val="0"/>
        <w:autoSpaceDE/>
        <w:autoSpaceDN/>
        <w:bidi w:val="0"/>
        <w:adjustRightInd/>
        <w:snapToGrid/>
        <w:spacing w:after="0" w:line="480" w:lineRule="exact"/>
        <w:ind w:firstLine="482" w:firstLineChars="200"/>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rPr>
        <w:t>1、</w:t>
      </w:r>
      <w:r>
        <w:rPr>
          <w:rFonts w:hint="eastAsia" w:ascii="宋体" w:hAnsi="宋体" w:eastAsia="宋体" w:cs="宋体"/>
          <w:b/>
          <w:bCs w:val="0"/>
          <w:color w:val="auto"/>
          <w:sz w:val="24"/>
          <w:szCs w:val="24"/>
          <w:highlight w:val="none"/>
          <w:lang w:val="en-US" w:eastAsia="zh-CN"/>
        </w:rPr>
        <w:t>档案整理</w:t>
      </w:r>
    </w:p>
    <w:p w14:paraId="07360CD5">
      <w:pPr>
        <w:pStyle w:val="2"/>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1</w:t>
      </w:r>
      <w:r>
        <w:rPr>
          <w:rFonts w:hint="eastAsia" w:ascii="宋体" w:hAnsi="宋体" w:eastAsia="宋体" w:cs="宋体"/>
          <w:bCs/>
          <w:color w:val="auto"/>
          <w:sz w:val="24"/>
          <w:szCs w:val="24"/>
          <w:highlight w:val="none"/>
        </w:rPr>
        <w:t xml:space="preserve">）工作时间：上午8:00-下午17:30 </w:t>
      </w:r>
    </w:p>
    <w:p w14:paraId="2D441F59">
      <w:pPr>
        <w:pStyle w:val="2"/>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2</w:t>
      </w:r>
      <w:r>
        <w:rPr>
          <w:rFonts w:hint="eastAsia" w:ascii="宋体" w:hAnsi="宋体" w:eastAsia="宋体" w:cs="宋体"/>
          <w:bCs/>
          <w:color w:val="auto"/>
          <w:sz w:val="24"/>
          <w:szCs w:val="24"/>
          <w:highlight w:val="none"/>
        </w:rPr>
        <w:t>）工作</w:t>
      </w:r>
      <w:r>
        <w:rPr>
          <w:rFonts w:hint="eastAsia" w:ascii="宋体" w:hAnsi="宋体" w:eastAsia="宋体" w:cs="宋体"/>
          <w:bCs/>
          <w:color w:val="auto"/>
          <w:sz w:val="24"/>
          <w:szCs w:val="24"/>
          <w:highlight w:val="none"/>
          <w:lang w:val="en-US" w:eastAsia="zh-CN"/>
        </w:rPr>
        <w:t>职责</w:t>
      </w:r>
      <w:r>
        <w:rPr>
          <w:rFonts w:hint="eastAsia" w:ascii="宋体" w:hAnsi="宋体" w:eastAsia="宋体" w:cs="宋体"/>
          <w:bCs/>
          <w:color w:val="auto"/>
          <w:sz w:val="24"/>
          <w:szCs w:val="24"/>
          <w:highlight w:val="none"/>
        </w:rPr>
        <w:t>：</w:t>
      </w:r>
    </w:p>
    <w:p w14:paraId="68FE2F81">
      <w:pPr>
        <w:pStyle w:val="2"/>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①档案协助（7女）</w:t>
      </w:r>
    </w:p>
    <w:p w14:paraId="091E6365">
      <w:pPr>
        <w:pStyle w:val="2"/>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1）早晨打扫科</w:t>
      </w:r>
      <w:r>
        <w:rPr>
          <w:rFonts w:hint="eastAsia" w:ascii="宋体" w:hAnsi="宋体" w:eastAsia="宋体" w:cs="宋体"/>
          <w:bCs/>
          <w:color w:val="auto"/>
          <w:sz w:val="24"/>
          <w:szCs w:val="24"/>
          <w:highlight w:val="none"/>
          <w:lang w:val="en-US" w:eastAsia="zh-CN"/>
        </w:rPr>
        <w:t>室</w:t>
      </w:r>
      <w:r>
        <w:rPr>
          <w:rFonts w:hint="eastAsia" w:ascii="宋体" w:hAnsi="宋体" w:eastAsia="宋体" w:cs="宋体"/>
          <w:bCs/>
          <w:color w:val="auto"/>
          <w:sz w:val="24"/>
          <w:szCs w:val="24"/>
          <w:highlight w:val="none"/>
        </w:rPr>
        <w:t>及档案室卫生</w:t>
      </w:r>
    </w:p>
    <w:p w14:paraId="432C06C1">
      <w:pPr>
        <w:pStyle w:val="2"/>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2）协助民警整理新犯档案并高拍入柜</w:t>
      </w:r>
    </w:p>
    <w:p w14:paraId="723E99B1">
      <w:pPr>
        <w:pStyle w:val="2"/>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3）协助民警妥善保管、分类存放、认真维护罪犯副档，并对副档异动流转进行登记</w:t>
      </w:r>
    </w:p>
    <w:p w14:paraId="59FE2B74">
      <w:pPr>
        <w:pStyle w:val="2"/>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4）协助民警整理并高拍归档材料（包括但不限于考核材料，加减刑材料及其他需要归档保存的材料），按要求归入副档</w:t>
      </w:r>
    </w:p>
    <w:p w14:paraId="1E9C9F37">
      <w:pPr>
        <w:pStyle w:val="2"/>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5）协助民警将每月离监档案整理入库</w:t>
      </w:r>
    </w:p>
    <w:p w14:paraId="413A014D">
      <w:pPr>
        <w:pStyle w:val="2"/>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6）协助民警将需要使用的正档登记借阅、及时归还（其他部门、监区借阅的做好流转登记）</w:t>
      </w:r>
    </w:p>
    <w:p w14:paraId="6468466B">
      <w:pPr>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7）坚守岗位，认真履责，严格遵守保密规定，完成监狱交办的其他临时性工作。</w:t>
      </w:r>
    </w:p>
    <w:p w14:paraId="402F9B77">
      <w:pPr>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②内勤辅助（1人，男女不限）</w:t>
      </w:r>
    </w:p>
    <w:p w14:paraId="6259B118">
      <w:pPr>
        <w:pStyle w:val="2"/>
        <w:pageBreakBefore w:val="0"/>
        <w:widowControl w:val="0"/>
        <w:numPr>
          <w:ilvl w:val="0"/>
          <w:numId w:val="7"/>
        </w:numPr>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工作时间：上午8:00-下午17:30 </w:t>
      </w:r>
    </w:p>
    <w:p w14:paraId="18749EBC">
      <w:pPr>
        <w:pStyle w:val="2"/>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宋体"/>
          <w:color w:val="auto"/>
          <w:highlight w:val="none"/>
        </w:rPr>
      </w:pP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2</w:t>
      </w:r>
      <w:r>
        <w:rPr>
          <w:rFonts w:hint="eastAsia" w:ascii="宋体" w:hAnsi="宋体" w:eastAsia="宋体" w:cs="宋体"/>
          <w:bCs/>
          <w:color w:val="auto"/>
          <w:sz w:val="24"/>
          <w:szCs w:val="24"/>
          <w:highlight w:val="none"/>
        </w:rPr>
        <w:t>）工作</w:t>
      </w:r>
      <w:r>
        <w:rPr>
          <w:rFonts w:hint="eastAsia" w:ascii="宋体" w:hAnsi="宋体" w:eastAsia="宋体" w:cs="宋体"/>
          <w:bCs/>
          <w:color w:val="auto"/>
          <w:sz w:val="24"/>
          <w:szCs w:val="24"/>
          <w:highlight w:val="none"/>
          <w:lang w:val="en-US" w:eastAsia="zh-CN"/>
        </w:rPr>
        <w:t>职责</w:t>
      </w:r>
      <w:r>
        <w:rPr>
          <w:rFonts w:hint="eastAsia" w:ascii="宋体" w:hAnsi="宋体" w:eastAsia="宋体" w:cs="宋体"/>
          <w:bCs/>
          <w:color w:val="auto"/>
          <w:sz w:val="24"/>
          <w:szCs w:val="24"/>
          <w:highlight w:val="none"/>
        </w:rPr>
        <w:t>：</w:t>
      </w:r>
    </w:p>
    <w:p w14:paraId="41053DD8">
      <w:pPr>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val="en-US" w:eastAsia="zh-CN"/>
        </w:rPr>
        <w:t>熟练掌握微信公众号编辑软件，有较强的文字功底和创意能力。</w:t>
      </w:r>
    </w:p>
    <w:p w14:paraId="7FA34F80">
      <w:pPr>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2）</w:t>
      </w:r>
      <w:r>
        <w:rPr>
          <w:rFonts w:hint="eastAsia" w:ascii="宋体" w:hAnsi="宋体" w:eastAsia="宋体" w:cs="宋体"/>
          <w:bCs/>
          <w:color w:val="auto"/>
          <w:sz w:val="24"/>
          <w:szCs w:val="24"/>
          <w:highlight w:val="none"/>
          <w:lang w:val="en-US" w:eastAsia="zh-CN"/>
        </w:rPr>
        <w:t>熟练使用摄影设备及相关后期处理软件，具备良好的团队合作精神和沟通能力，责任心强，工作认真细致。</w:t>
      </w:r>
    </w:p>
    <w:p w14:paraId="14513A5B">
      <w:pPr>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宋体" w:hAnsi="宋体" w:eastAsia="宋体" w:cs="宋体"/>
          <w:b/>
          <w:bCs w:val="0"/>
          <w:color w:val="auto"/>
          <w:sz w:val="24"/>
          <w:szCs w:val="24"/>
          <w:highlight w:val="none"/>
          <w:lang w:val="en-US" w:eastAsia="zh-CN"/>
        </w:rPr>
      </w:pPr>
    </w:p>
    <w:p w14:paraId="429DC2A6">
      <w:pPr>
        <w:pageBreakBefore w:val="0"/>
        <w:widowControl w:val="0"/>
        <w:numPr>
          <w:ilvl w:val="0"/>
          <w:numId w:val="0"/>
        </w:numPr>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2、辅助安保（8男）</w:t>
      </w:r>
    </w:p>
    <w:p w14:paraId="14E5C9FB">
      <w:pPr>
        <w:pStyle w:val="2"/>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1</w:t>
      </w:r>
      <w:r>
        <w:rPr>
          <w:rFonts w:hint="eastAsia" w:ascii="宋体" w:hAnsi="宋体" w:eastAsia="宋体" w:cs="宋体"/>
          <w:bCs/>
          <w:color w:val="auto"/>
          <w:sz w:val="24"/>
          <w:szCs w:val="24"/>
          <w:highlight w:val="none"/>
        </w:rPr>
        <w:t xml:space="preserve">）工作时间：上午8:00-下午17:30 </w:t>
      </w:r>
    </w:p>
    <w:p w14:paraId="22BFA923">
      <w:pPr>
        <w:pStyle w:val="2"/>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2</w:t>
      </w:r>
      <w:r>
        <w:rPr>
          <w:rFonts w:hint="eastAsia" w:ascii="宋体" w:hAnsi="宋体" w:eastAsia="宋体" w:cs="宋体"/>
          <w:bCs/>
          <w:color w:val="auto"/>
          <w:sz w:val="24"/>
          <w:szCs w:val="24"/>
          <w:highlight w:val="none"/>
        </w:rPr>
        <w:t>）工作</w:t>
      </w:r>
      <w:r>
        <w:rPr>
          <w:rFonts w:hint="eastAsia" w:ascii="宋体" w:hAnsi="宋体" w:eastAsia="宋体" w:cs="宋体"/>
          <w:bCs/>
          <w:color w:val="auto"/>
          <w:sz w:val="24"/>
          <w:szCs w:val="24"/>
          <w:highlight w:val="none"/>
          <w:lang w:val="en-US" w:eastAsia="zh-CN"/>
        </w:rPr>
        <w:t>职责</w:t>
      </w:r>
      <w:r>
        <w:rPr>
          <w:rFonts w:hint="eastAsia" w:ascii="宋体" w:hAnsi="宋体" w:eastAsia="宋体" w:cs="宋体"/>
          <w:bCs/>
          <w:color w:val="auto"/>
          <w:sz w:val="24"/>
          <w:szCs w:val="24"/>
          <w:highlight w:val="none"/>
        </w:rPr>
        <w:t>：</w:t>
      </w:r>
    </w:p>
    <w:p w14:paraId="4C80449B">
      <w:pPr>
        <w:pStyle w:val="2"/>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①</w:t>
      </w:r>
      <w:r>
        <w:rPr>
          <w:rFonts w:hint="eastAsia" w:ascii="宋体" w:hAnsi="宋体" w:eastAsia="宋体" w:cs="宋体"/>
          <w:bCs/>
          <w:color w:val="auto"/>
          <w:sz w:val="24"/>
          <w:szCs w:val="24"/>
          <w:highlight w:val="none"/>
          <w:lang w:val="en-US" w:eastAsia="zh-CN"/>
        </w:rPr>
        <w:t>协助民警在施工现场对施工人员执行安保工作、对施工机械和车辆进行现场警戒工作、对施工用具进行管控和清点</w:t>
      </w:r>
      <w:r>
        <w:rPr>
          <w:rFonts w:hint="eastAsia" w:ascii="宋体" w:hAnsi="宋体" w:eastAsia="宋体" w:cs="宋体"/>
          <w:bCs/>
          <w:color w:val="auto"/>
          <w:sz w:val="24"/>
          <w:szCs w:val="24"/>
          <w:highlight w:val="none"/>
        </w:rPr>
        <w:t>。</w:t>
      </w:r>
    </w:p>
    <w:p w14:paraId="3EAC18D5">
      <w:pPr>
        <w:pStyle w:val="2"/>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②</w:t>
      </w:r>
      <w:r>
        <w:rPr>
          <w:rFonts w:hint="eastAsia" w:ascii="宋体" w:hAnsi="宋体" w:eastAsia="宋体" w:cs="宋体"/>
          <w:bCs/>
          <w:color w:val="auto"/>
          <w:sz w:val="24"/>
          <w:szCs w:val="24"/>
          <w:highlight w:val="none"/>
          <w:lang w:val="en-US" w:eastAsia="zh-CN"/>
        </w:rPr>
        <w:t>协助带班民警监督现场施工人员的安全措施到位情况、施工用具使用情况、动火及高空作业等特种作业是否规范。</w:t>
      </w:r>
    </w:p>
    <w:p w14:paraId="0244B22B">
      <w:pPr>
        <w:pStyle w:val="2"/>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③严格遵守监狱相关规定，协助带班民警对施工人员进行人员清点、工具清点、违禁品检查、施工机械、车辆进出监跟带等工作。</w:t>
      </w:r>
    </w:p>
    <w:p w14:paraId="2D75034A">
      <w:pPr>
        <w:pStyle w:val="2"/>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bCs/>
          <w:color w:val="auto"/>
          <w:sz w:val="24"/>
          <w:szCs w:val="24"/>
          <w:highlight w:val="none"/>
          <w:lang w:val="en-US" w:eastAsia="zh-CN"/>
        </w:rPr>
        <w:t>④协助民警做好安全警戒设施维护保养及开展其他日常工作。</w:t>
      </w:r>
    </w:p>
    <w:p w14:paraId="7C113129">
      <w:pPr>
        <w:pStyle w:val="2"/>
        <w:pageBreakBefore w:val="0"/>
        <w:widowControl w:val="0"/>
        <w:kinsoku/>
        <w:wordWrap/>
        <w:overflowPunct/>
        <w:topLinePunct w:val="0"/>
        <w:autoSpaceDE/>
        <w:autoSpaceDN/>
        <w:bidi w:val="0"/>
        <w:adjustRightInd/>
        <w:snapToGrid/>
        <w:spacing w:after="0" w:line="480" w:lineRule="exact"/>
        <w:ind w:firstLine="482" w:firstLineChars="200"/>
        <w:textAlignment w:val="auto"/>
        <w:rPr>
          <w:rFonts w:hint="eastAsia" w:ascii="宋体" w:hAnsi="宋体" w:eastAsia="宋体" w:cs="宋体"/>
          <w:b/>
          <w:bCs w:val="0"/>
          <w:color w:val="auto"/>
          <w:sz w:val="24"/>
          <w:szCs w:val="24"/>
          <w:highlight w:val="none"/>
          <w:lang w:val="en-US" w:eastAsia="zh-CN"/>
        </w:rPr>
      </w:pPr>
    </w:p>
    <w:p w14:paraId="078BDBDA">
      <w:pPr>
        <w:pStyle w:val="2"/>
        <w:pageBreakBefore w:val="0"/>
        <w:widowControl w:val="0"/>
        <w:kinsoku/>
        <w:wordWrap/>
        <w:overflowPunct/>
        <w:topLinePunct w:val="0"/>
        <w:autoSpaceDE/>
        <w:autoSpaceDN/>
        <w:bidi w:val="0"/>
        <w:adjustRightInd/>
        <w:snapToGrid/>
        <w:spacing w:after="0" w:line="480" w:lineRule="exact"/>
        <w:ind w:firstLine="482" w:firstLineChars="200"/>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3</w:t>
      </w:r>
      <w:r>
        <w:rPr>
          <w:rFonts w:hint="eastAsia" w:ascii="宋体" w:hAnsi="宋体" w:eastAsia="宋体" w:cs="宋体"/>
          <w:b/>
          <w:bCs w:val="0"/>
          <w:color w:val="auto"/>
          <w:sz w:val="24"/>
          <w:szCs w:val="24"/>
          <w:highlight w:val="none"/>
        </w:rPr>
        <w:t>、会见</w:t>
      </w:r>
      <w:r>
        <w:rPr>
          <w:rFonts w:hint="eastAsia" w:ascii="宋体" w:hAnsi="宋体" w:eastAsia="宋体" w:cs="宋体"/>
          <w:b/>
          <w:bCs w:val="0"/>
          <w:color w:val="auto"/>
          <w:sz w:val="24"/>
          <w:szCs w:val="24"/>
          <w:highlight w:val="none"/>
          <w:lang w:val="en-US" w:eastAsia="zh-CN"/>
        </w:rPr>
        <w:t>室（4男5女）</w:t>
      </w:r>
    </w:p>
    <w:p w14:paraId="1A04C3D2">
      <w:pPr>
        <w:pStyle w:val="2"/>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1</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工作时间：</w:t>
      </w:r>
    </w:p>
    <w:p w14:paraId="37580DFA">
      <w:pPr>
        <w:pStyle w:val="2"/>
        <w:pageBreakBefore w:val="0"/>
        <w:widowControl w:val="0"/>
        <w:numPr>
          <w:ilvl w:val="0"/>
          <w:numId w:val="0"/>
        </w:numPr>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上午 8:00-12:00</w:t>
      </w: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rPr>
        <w:t>下午 13:00-16:30。</w:t>
      </w:r>
      <w:r>
        <w:rPr>
          <w:rFonts w:hint="eastAsia" w:ascii="宋体" w:hAnsi="宋体" w:eastAsia="宋体" w:cs="宋体"/>
          <w:bCs/>
          <w:color w:val="auto"/>
          <w:sz w:val="24"/>
          <w:szCs w:val="24"/>
          <w:highlight w:val="none"/>
          <w:lang w:eastAsia="zh-CN"/>
        </w:rPr>
        <w:t>周二至周六上班，周日、周一休息</w:t>
      </w:r>
      <w:r>
        <w:rPr>
          <w:rFonts w:hint="eastAsia" w:ascii="宋体" w:hAnsi="宋体" w:eastAsia="宋体" w:cs="宋体"/>
          <w:bCs/>
          <w:color w:val="auto"/>
          <w:sz w:val="24"/>
          <w:szCs w:val="24"/>
          <w:highlight w:val="none"/>
        </w:rPr>
        <w:t>。</w:t>
      </w:r>
    </w:p>
    <w:p w14:paraId="7BA364F5">
      <w:pPr>
        <w:pStyle w:val="2"/>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2</w:t>
      </w:r>
      <w:r>
        <w:rPr>
          <w:rFonts w:hint="eastAsia" w:ascii="宋体" w:hAnsi="宋体" w:eastAsia="宋体" w:cs="宋体"/>
          <w:bCs/>
          <w:color w:val="auto"/>
          <w:sz w:val="24"/>
          <w:szCs w:val="24"/>
          <w:highlight w:val="none"/>
        </w:rPr>
        <w:t>）工作职责：</w:t>
      </w:r>
    </w:p>
    <w:p w14:paraId="5BB3CA91">
      <w:pPr>
        <w:pStyle w:val="2"/>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1）引导员工作职责（</w:t>
      </w:r>
      <w:r>
        <w:rPr>
          <w:rFonts w:hint="eastAsia" w:ascii="宋体" w:hAnsi="宋体" w:eastAsia="宋体" w:cs="宋体"/>
          <w:bCs/>
          <w:color w:val="auto"/>
          <w:sz w:val="24"/>
          <w:szCs w:val="24"/>
          <w:highlight w:val="none"/>
          <w:lang w:val="en-US" w:eastAsia="zh-CN"/>
        </w:rPr>
        <w:t>1男1</w:t>
      </w:r>
      <w:r>
        <w:rPr>
          <w:rFonts w:hint="eastAsia" w:ascii="宋体" w:hAnsi="宋体" w:eastAsia="宋体" w:cs="宋体"/>
          <w:bCs/>
          <w:color w:val="auto"/>
          <w:sz w:val="24"/>
          <w:szCs w:val="24"/>
          <w:highlight w:val="none"/>
        </w:rPr>
        <w:t>女）。</w:t>
      </w:r>
    </w:p>
    <w:p w14:paraId="20C44055">
      <w:pPr>
        <w:pStyle w:val="2"/>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①热情大方，微笑服务，坐姿端正，用语文明。</w:t>
      </w:r>
    </w:p>
    <w:p w14:paraId="1799A5B6">
      <w:pPr>
        <w:pStyle w:val="2"/>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②引导会见人存包、取号，提醒会见人在等候区等候办理会见手续等。</w:t>
      </w:r>
    </w:p>
    <w:p w14:paraId="66DA69FE">
      <w:pPr>
        <w:pStyle w:val="2"/>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③接待会见人员，并在政策允许范围内给予会见人员提供帮助。</w:t>
      </w:r>
    </w:p>
    <w:p w14:paraId="5E4DF63E">
      <w:pPr>
        <w:pStyle w:val="2"/>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④控制会见大厅东边通道大门并上锁，维持好会见中心现场秩序。</w:t>
      </w:r>
    </w:p>
    <w:p w14:paraId="7ED64477">
      <w:pPr>
        <w:pStyle w:val="2"/>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⑤协助会见结束的会见人员取回物品并提供必要的帮助。</w:t>
      </w:r>
    </w:p>
    <w:p w14:paraId="2FE75769">
      <w:pPr>
        <w:pStyle w:val="2"/>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⑥每月1号、15 号开启LED大屏，播放各类公示，按要求开启电视。</w:t>
      </w:r>
    </w:p>
    <w:p w14:paraId="14BC5759">
      <w:pPr>
        <w:pStyle w:val="2"/>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⑦及时维持打扫等候区域的卫生。</w:t>
      </w:r>
    </w:p>
    <w:p w14:paraId="442384F7">
      <w:pPr>
        <w:pStyle w:val="2"/>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⑧完成领导交办的各项临时工作。</w:t>
      </w:r>
    </w:p>
    <w:p w14:paraId="4532D721">
      <w:pPr>
        <w:pStyle w:val="2"/>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2）办证员工作职责（</w:t>
      </w:r>
      <w:r>
        <w:rPr>
          <w:rFonts w:hint="eastAsia" w:ascii="宋体" w:hAnsi="宋体" w:eastAsia="宋体" w:cs="宋体"/>
          <w:bCs/>
          <w:color w:val="auto"/>
          <w:sz w:val="24"/>
          <w:szCs w:val="24"/>
          <w:highlight w:val="none"/>
          <w:lang w:val="en-US" w:eastAsia="zh-CN"/>
        </w:rPr>
        <w:t>2</w:t>
      </w:r>
      <w:r>
        <w:rPr>
          <w:rFonts w:hint="eastAsia" w:ascii="宋体" w:hAnsi="宋体" w:eastAsia="宋体" w:cs="宋体"/>
          <w:bCs/>
          <w:color w:val="auto"/>
          <w:sz w:val="24"/>
          <w:szCs w:val="24"/>
          <w:highlight w:val="none"/>
        </w:rPr>
        <w:t xml:space="preserve"> 女）；</w:t>
      </w:r>
    </w:p>
    <w:p w14:paraId="3F8C79A4">
      <w:pPr>
        <w:pStyle w:val="2"/>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宋体"/>
          <w:color w:val="auto"/>
          <w:highlight w:val="none"/>
        </w:rPr>
      </w:pPr>
      <w:r>
        <w:rPr>
          <w:rFonts w:hint="eastAsia" w:ascii="宋体" w:hAnsi="宋体" w:eastAsia="宋体" w:cs="宋体"/>
          <w:bCs/>
          <w:color w:val="auto"/>
          <w:sz w:val="24"/>
          <w:szCs w:val="24"/>
          <w:highlight w:val="none"/>
        </w:rPr>
        <w:t>①热情大方，微笑服务，坐姿端正，用语文明。</w:t>
      </w:r>
    </w:p>
    <w:p w14:paraId="207583F8">
      <w:pPr>
        <w:pStyle w:val="2"/>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②认真核实会见人员的身份信息，对符合会见条件的会见人员按程序办理登记手续。不符合会见条件的予以劝离。</w:t>
      </w:r>
    </w:p>
    <w:p w14:paraId="2DF6A2FB">
      <w:pPr>
        <w:pStyle w:val="2"/>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③保管好会见人员登记时的各类证件。</w:t>
      </w:r>
    </w:p>
    <w:p w14:paraId="72DABF9E">
      <w:pPr>
        <w:pStyle w:val="2"/>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④做好大厅LED、电视屏材料的上传工作。</w:t>
      </w:r>
    </w:p>
    <w:p w14:paraId="232109E7">
      <w:pPr>
        <w:pStyle w:val="2"/>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⑤及时维持打扫等候区域的卫生。</w:t>
      </w:r>
    </w:p>
    <w:p w14:paraId="2E374F58">
      <w:pPr>
        <w:pStyle w:val="2"/>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⑥完成领导交办的各项临时工作。</w:t>
      </w:r>
    </w:p>
    <w:p w14:paraId="2B3FB642">
      <w:pPr>
        <w:pStyle w:val="2"/>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rPr>
        <w:t xml:space="preserve">）大厅安检员工作职责（1 </w:t>
      </w:r>
      <w:r>
        <w:rPr>
          <w:rFonts w:hint="eastAsia" w:ascii="宋体" w:hAnsi="宋体" w:eastAsia="宋体" w:cs="宋体"/>
          <w:bCs/>
          <w:color w:val="auto"/>
          <w:sz w:val="24"/>
          <w:szCs w:val="24"/>
          <w:highlight w:val="none"/>
          <w:lang w:val="en-US" w:eastAsia="zh-CN"/>
        </w:rPr>
        <w:t>女</w:t>
      </w:r>
      <w:r>
        <w:rPr>
          <w:rFonts w:hint="eastAsia" w:ascii="宋体" w:hAnsi="宋体" w:eastAsia="宋体" w:cs="宋体"/>
          <w:bCs/>
          <w:color w:val="auto"/>
          <w:sz w:val="24"/>
          <w:szCs w:val="24"/>
          <w:highlight w:val="none"/>
        </w:rPr>
        <w:t>）：</w:t>
      </w:r>
    </w:p>
    <w:p w14:paraId="1150B367">
      <w:pPr>
        <w:pStyle w:val="2"/>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①热情大方，微笑服务，坐姿端正，用语文明。</w:t>
      </w:r>
    </w:p>
    <w:p w14:paraId="07079B1C">
      <w:pPr>
        <w:pStyle w:val="2"/>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②给前来会见的会见人员进行取号、发号。</w:t>
      </w:r>
    </w:p>
    <w:p w14:paraId="374615B0">
      <w:pPr>
        <w:pStyle w:val="2"/>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③对办理会见手续的会见人员进行人数控制，不能超过3人。</w:t>
      </w:r>
    </w:p>
    <w:p w14:paraId="4845B048">
      <w:pPr>
        <w:pStyle w:val="2"/>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④维护好办证大厅的秩序，杜绝不文明行为的发生。</w:t>
      </w:r>
    </w:p>
    <w:p w14:paraId="2E33A5BD">
      <w:pPr>
        <w:pStyle w:val="2"/>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⑤对会见完毕的会见人员进行会见卡退换身份证工作。</w:t>
      </w:r>
    </w:p>
    <w:p w14:paraId="6763A423">
      <w:pPr>
        <w:pStyle w:val="2"/>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⑥及时维持打扫区域的卫生。</w:t>
      </w:r>
    </w:p>
    <w:p w14:paraId="47A6EF7C">
      <w:pPr>
        <w:pStyle w:val="2"/>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⑦完成领导交办的各项临时工作。</w:t>
      </w:r>
    </w:p>
    <w:p w14:paraId="6E7EA4B4">
      <w:pPr>
        <w:pStyle w:val="2"/>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4</w:t>
      </w:r>
      <w:r>
        <w:rPr>
          <w:rFonts w:hint="eastAsia" w:ascii="宋体" w:hAnsi="宋体" w:eastAsia="宋体" w:cs="宋体"/>
          <w:bCs/>
          <w:color w:val="auto"/>
          <w:sz w:val="24"/>
          <w:szCs w:val="24"/>
          <w:highlight w:val="none"/>
        </w:rPr>
        <w:t xml:space="preserve">）通道安检员工作职责（1 </w:t>
      </w:r>
      <w:r>
        <w:rPr>
          <w:rFonts w:hint="eastAsia" w:ascii="宋体" w:hAnsi="宋体" w:eastAsia="宋体" w:cs="宋体"/>
          <w:bCs/>
          <w:color w:val="auto"/>
          <w:sz w:val="24"/>
          <w:szCs w:val="24"/>
          <w:highlight w:val="none"/>
          <w:lang w:val="en-US" w:eastAsia="zh-CN"/>
        </w:rPr>
        <w:t>女</w:t>
      </w:r>
      <w:r>
        <w:rPr>
          <w:rFonts w:hint="eastAsia" w:ascii="宋体" w:hAnsi="宋体" w:eastAsia="宋体" w:cs="宋体"/>
          <w:bCs/>
          <w:color w:val="auto"/>
          <w:sz w:val="24"/>
          <w:szCs w:val="24"/>
          <w:highlight w:val="none"/>
        </w:rPr>
        <w:t>）：</w:t>
      </w:r>
    </w:p>
    <w:p w14:paraId="6C655CAA">
      <w:pPr>
        <w:pStyle w:val="2"/>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①热情大方，微笑服务，坐姿端正，用语文明。</w:t>
      </w:r>
    </w:p>
    <w:p w14:paraId="70A58525">
      <w:pPr>
        <w:pStyle w:val="2"/>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②指导会见人员进行会见登记、会见存款、会见存物工作。</w:t>
      </w:r>
    </w:p>
    <w:p w14:paraId="3917AB91">
      <w:pPr>
        <w:pStyle w:val="2"/>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③对所有进入会见通道的人员进行安检（注：严禁各类违禁品进监）。</w:t>
      </w:r>
    </w:p>
    <w:p w14:paraId="48754DC1">
      <w:pPr>
        <w:pStyle w:val="2"/>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④查验会见资格，对不符合会见资格的人员进行劝离，不得其进入会见通道。</w:t>
      </w:r>
    </w:p>
    <w:p w14:paraId="4E583BC5">
      <w:pPr>
        <w:pStyle w:val="2"/>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⑤维持会见通道秩序，严禁任何人在通道上停留张望。</w:t>
      </w:r>
    </w:p>
    <w:p w14:paraId="097B46BA">
      <w:pPr>
        <w:pStyle w:val="2"/>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⑥及时维持打扫区域的卫生。</w:t>
      </w:r>
    </w:p>
    <w:p w14:paraId="10690145">
      <w:pPr>
        <w:pStyle w:val="2"/>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⑦完成领导交办的各项临时工作。</w:t>
      </w:r>
    </w:p>
    <w:p w14:paraId="32AAF353">
      <w:pPr>
        <w:pStyle w:val="2"/>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5</w:t>
      </w:r>
      <w:r>
        <w:rPr>
          <w:rFonts w:hint="eastAsia" w:ascii="宋体" w:hAnsi="宋体" w:eastAsia="宋体" w:cs="宋体"/>
          <w:bCs/>
          <w:color w:val="auto"/>
          <w:sz w:val="24"/>
          <w:szCs w:val="24"/>
          <w:highlight w:val="none"/>
        </w:rPr>
        <w:t>）候见大厅保安工作职责（</w:t>
      </w:r>
      <w:r>
        <w:rPr>
          <w:rFonts w:hint="eastAsia" w:ascii="宋体" w:hAnsi="宋体" w:eastAsia="宋体" w:cs="宋体"/>
          <w:bCs/>
          <w:color w:val="auto"/>
          <w:sz w:val="24"/>
          <w:szCs w:val="24"/>
          <w:highlight w:val="none"/>
          <w:lang w:val="en-US" w:eastAsia="zh-CN"/>
        </w:rPr>
        <w:t>1</w:t>
      </w:r>
      <w:r>
        <w:rPr>
          <w:rFonts w:hint="eastAsia" w:ascii="宋体" w:hAnsi="宋体" w:eastAsia="宋体" w:cs="宋体"/>
          <w:bCs/>
          <w:color w:val="auto"/>
          <w:sz w:val="24"/>
          <w:szCs w:val="24"/>
          <w:highlight w:val="none"/>
        </w:rPr>
        <w:t>人男）：</w:t>
      </w:r>
    </w:p>
    <w:p w14:paraId="0CDEB4CB">
      <w:pPr>
        <w:pStyle w:val="2"/>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①热情大方，微笑服务，坐姿端正，用语文明。</w:t>
      </w:r>
    </w:p>
    <w:p w14:paraId="2BD8FC4E">
      <w:pPr>
        <w:pStyle w:val="2"/>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②维持好候见大厅现场秩序，杜绝不文明行为的发生，向会见人员提供政策性解读。</w:t>
      </w:r>
    </w:p>
    <w:p w14:paraId="1D6314D7">
      <w:pPr>
        <w:pStyle w:val="2"/>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③协助会见人员查询狱务公开内容等信息。</w:t>
      </w:r>
    </w:p>
    <w:p w14:paraId="542E3C77">
      <w:pPr>
        <w:pStyle w:val="2"/>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④维持会见通道秩序，严禁任何人在通道上停留张望。</w:t>
      </w:r>
    </w:p>
    <w:p w14:paraId="2115E419">
      <w:pPr>
        <w:pStyle w:val="2"/>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⑤及时维持打扫区域的卫生。</w:t>
      </w:r>
    </w:p>
    <w:p w14:paraId="47F76E3D">
      <w:pPr>
        <w:pStyle w:val="2"/>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⑥完成领导交办的各项临时工作。</w:t>
      </w:r>
    </w:p>
    <w:p w14:paraId="2A1AFA94">
      <w:pPr>
        <w:pStyle w:val="2"/>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6</w:t>
      </w:r>
      <w:r>
        <w:rPr>
          <w:rFonts w:hint="eastAsia" w:ascii="宋体" w:hAnsi="宋体" w:eastAsia="宋体" w:cs="宋体"/>
          <w:bCs/>
          <w:color w:val="auto"/>
          <w:sz w:val="24"/>
          <w:szCs w:val="24"/>
          <w:highlight w:val="none"/>
        </w:rPr>
        <w:t>）会见大厅保安工作职责（2 男）：</w:t>
      </w:r>
    </w:p>
    <w:p w14:paraId="59700CD9">
      <w:pPr>
        <w:pStyle w:val="2"/>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①热情大方，微笑服务，坐姿端正，用语文明。</w:t>
      </w:r>
    </w:p>
    <w:p w14:paraId="5EBD976B">
      <w:pPr>
        <w:pStyle w:val="2"/>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②维持好会见大厅的现场秩序，向会见人员宣讲会见过程中的注意事项。</w:t>
      </w:r>
    </w:p>
    <w:p w14:paraId="574D656F">
      <w:pPr>
        <w:pStyle w:val="2"/>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③对不按规定进行会见的人员，进行制止（注：如打手势，写纸条等）。</w:t>
      </w:r>
    </w:p>
    <w:p w14:paraId="161349D0">
      <w:pPr>
        <w:pStyle w:val="2"/>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④协助干警处理会见现场的突发事件。</w:t>
      </w:r>
    </w:p>
    <w:p w14:paraId="348EFB91">
      <w:pPr>
        <w:pStyle w:val="2"/>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⑤及时维持打扫区域的卫生。</w:t>
      </w:r>
    </w:p>
    <w:p w14:paraId="20B53634">
      <w:pPr>
        <w:pStyle w:val="2"/>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⑥完成领导交办的各项临时工作。</w:t>
      </w:r>
    </w:p>
    <w:p w14:paraId="74F9DA88">
      <w:pPr>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highlight w:val="none"/>
        </w:rPr>
      </w:pPr>
    </w:p>
    <w:p w14:paraId="06DA348C">
      <w:pPr>
        <w:pStyle w:val="2"/>
        <w:pageBreakBefore w:val="0"/>
        <w:widowControl w:val="0"/>
        <w:numPr>
          <w:ilvl w:val="0"/>
          <w:numId w:val="0"/>
        </w:numPr>
        <w:kinsoku/>
        <w:wordWrap/>
        <w:overflowPunct/>
        <w:topLinePunct w:val="0"/>
        <w:autoSpaceDE/>
        <w:autoSpaceDN/>
        <w:bidi w:val="0"/>
        <w:adjustRightInd/>
        <w:snapToGrid/>
        <w:spacing w:after="0" w:line="480" w:lineRule="exact"/>
        <w:ind w:leftChars="200"/>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4、</w:t>
      </w:r>
      <w:r>
        <w:rPr>
          <w:rFonts w:hint="eastAsia" w:ascii="宋体" w:hAnsi="宋体" w:eastAsia="宋体" w:cs="宋体"/>
          <w:b/>
          <w:bCs w:val="0"/>
          <w:color w:val="auto"/>
          <w:sz w:val="24"/>
          <w:szCs w:val="24"/>
          <w:highlight w:val="none"/>
        </w:rPr>
        <w:t>特勤</w:t>
      </w:r>
      <w:r>
        <w:rPr>
          <w:rFonts w:hint="eastAsia" w:ascii="宋体" w:hAnsi="宋体" w:eastAsia="宋体" w:cs="宋体"/>
          <w:b/>
          <w:bCs w:val="0"/>
          <w:color w:val="auto"/>
          <w:sz w:val="24"/>
          <w:szCs w:val="24"/>
          <w:highlight w:val="none"/>
          <w:lang w:val="en-US" w:eastAsia="zh-CN"/>
        </w:rPr>
        <w:t>巡逻（14男）</w:t>
      </w:r>
    </w:p>
    <w:p w14:paraId="65937C5F">
      <w:pPr>
        <w:pStyle w:val="2"/>
        <w:pageBreakBefore w:val="0"/>
        <w:widowControl w:val="0"/>
        <w:numPr>
          <w:ilvl w:val="0"/>
          <w:numId w:val="0"/>
        </w:numPr>
        <w:kinsoku/>
        <w:wordWrap/>
        <w:overflowPunct/>
        <w:topLinePunct w:val="0"/>
        <w:autoSpaceDE/>
        <w:autoSpaceDN/>
        <w:bidi w:val="0"/>
        <w:adjustRightInd/>
        <w:snapToGrid/>
        <w:spacing w:after="0" w:line="480" w:lineRule="exact"/>
        <w:ind w:left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1</w:t>
      </w:r>
      <w:r>
        <w:rPr>
          <w:rFonts w:hint="eastAsia" w:ascii="宋体" w:hAnsi="宋体" w:eastAsia="宋体" w:cs="宋体"/>
          <w:bCs/>
          <w:color w:val="auto"/>
          <w:sz w:val="24"/>
          <w:szCs w:val="24"/>
          <w:highlight w:val="none"/>
        </w:rPr>
        <w:t>）工作职责：</w:t>
      </w:r>
    </w:p>
    <w:p w14:paraId="2B4C7337">
      <w:pPr>
        <w:pStyle w:val="2"/>
        <w:pageBreakBefore w:val="0"/>
        <w:widowControl w:val="0"/>
        <w:kinsoku/>
        <w:wordWrap/>
        <w:overflowPunct/>
        <w:topLinePunct w:val="0"/>
        <w:autoSpaceDE/>
        <w:autoSpaceDN/>
        <w:bidi w:val="0"/>
        <w:adjustRightInd/>
        <w:snapToGrid/>
        <w:spacing w:after="0" w:line="480" w:lineRule="exact"/>
        <w:ind w:firstLine="720" w:firstLineChars="30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val="en-US" w:eastAsia="zh-CN"/>
        </w:rPr>
        <w:t>特勤岗：</w:t>
      </w:r>
      <w:r>
        <w:rPr>
          <w:rFonts w:hint="eastAsia" w:ascii="宋体" w:hAnsi="宋体" w:eastAsia="宋体" w:cs="宋体"/>
          <w:bCs/>
          <w:color w:val="auto"/>
          <w:sz w:val="24"/>
          <w:szCs w:val="24"/>
          <w:highlight w:val="none"/>
        </w:rPr>
        <w:t xml:space="preserve">白班从 </w:t>
      </w:r>
      <w:r>
        <w:rPr>
          <w:rFonts w:hint="eastAsia" w:ascii="宋体" w:hAnsi="宋体" w:eastAsia="宋体" w:cs="宋体"/>
          <w:bCs/>
          <w:color w:val="auto"/>
          <w:sz w:val="24"/>
          <w:szCs w:val="24"/>
          <w:highlight w:val="none"/>
          <w:lang w:val="en-US" w:eastAsia="zh-CN"/>
        </w:rPr>
        <w:t>8</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rPr>
        <w:t>0 至 1</w:t>
      </w:r>
      <w:r>
        <w:rPr>
          <w:rFonts w:hint="eastAsia" w:ascii="宋体" w:hAnsi="宋体" w:eastAsia="宋体" w:cs="宋体"/>
          <w:bCs/>
          <w:color w:val="auto"/>
          <w:sz w:val="24"/>
          <w:szCs w:val="24"/>
          <w:highlight w:val="none"/>
          <w:lang w:val="en-US" w:eastAsia="zh-CN"/>
        </w:rPr>
        <w:t>6</w:t>
      </w:r>
      <w:r>
        <w:rPr>
          <w:rFonts w:hint="eastAsia" w:ascii="宋体" w:hAnsi="宋体" w:eastAsia="宋体" w:cs="宋体"/>
          <w:bCs/>
          <w:color w:val="auto"/>
          <w:sz w:val="24"/>
          <w:szCs w:val="24"/>
          <w:highlight w:val="none"/>
        </w:rPr>
        <w:t>:00, 晚班从 1</w:t>
      </w:r>
      <w:r>
        <w:rPr>
          <w:rFonts w:hint="eastAsia" w:ascii="宋体" w:hAnsi="宋体" w:eastAsia="宋体" w:cs="宋体"/>
          <w:bCs/>
          <w:color w:val="auto"/>
          <w:sz w:val="24"/>
          <w:szCs w:val="24"/>
          <w:highlight w:val="none"/>
          <w:lang w:val="en-US" w:eastAsia="zh-CN"/>
        </w:rPr>
        <w:t>6</w:t>
      </w:r>
      <w:r>
        <w:rPr>
          <w:rFonts w:hint="eastAsia" w:ascii="宋体" w:hAnsi="宋体" w:eastAsia="宋体" w:cs="宋体"/>
          <w:bCs/>
          <w:color w:val="auto"/>
          <w:sz w:val="24"/>
          <w:szCs w:val="24"/>
          <w:highlight w:val="none"/>
        </w:rPr>
        <w:t>:00 至第二天早上 8:</w:t>
      </w: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rPr>
        <w:t>0 交班。</w:t>
      </w:r>
      <w:r>
        <w:rPr>
          <w:rFonts w:hint="eastAsia" w:ascii="宋体" w:hAnsi="宋体" w:eastAsia="宋体" w:cs="宋体"/>
          <w:bCs/>
          <w:color w:val="auto"/>
          <w:sz w:val="24"/>
          <w:szCs w:val="24"/>
          <w:highlight w:val="none"/>
          <w:lang w:val="en-US" w:eastAsia="zh-CN"/>
        </w:rPr>
        <w:t>安检通道岗：7:30-19:30</w:t>
      </w:r>
    </w:p>
    <w:p w14:paraId="5C78A3B3">
      <w:pPr>
        <w:pStyle w:val="2"/>
        <w:pageBreakBefore w:val="0"/>
        <w:widowControl w:val="0"/>
        <w:kinsoku/>
        <w:wordWrap/>
        <w:overflowPunct/>
        <w:topLinePunct w:val="0"/>
        <w:autoSpaceDE/>
        <w:autoSpaceDN/>
        <w:bidi w:val="0"/>
        <w:adjustRightInd/>
        <w:snapToGrid/>
        <w:spacing w:after="0" w:line="480" w:lineRule="exact"/>
        <w:ind w:firstLine="720" w:firstLineChars="3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2）早上在出工现场巡逻完后安排打扫监狱总值班室（吸烟室）、办公室及会见楼四楼的卫生。</w:t>
      </w:r>
    </w:p>
    <w:p w14:paraId="0A789870">
      <w:pPr>
        <w:pStyle w:val="2"/>
        <w:pageBreakBefore w:val="0"/>
        <w:widowControl w:val="0"/>
        <w:kinsoku/>
        <w:wordWrap/>
        <w:overflowPunct/>
        <w:topLinePunct w:val="0"/>
        <w:autoSpaceDE/>
        <w:autoSpaceDN/>
        <w:bidi w:val="0"/>
        <w:adjustRightInd/>
        <w:snapToGrid/>
        <w:spacing w:after="0" w:line="480" w:lineRule="exact"/>
        <w:ind w:firstLine="720" w:firstLineChars="3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3）协助民警对进监的卸货车辆进行安检。</w:t>
      </w:r>
    </w:p>
    <w:p w14:paraId="3D7044C3">
      <w:pPr>
        <w:pStyle w:val="2"/>
        <w:pageBreakBefore w:val="0"/>
        <w:widowControl w:val="0"/>
        <w:kinsoku/>
        <w:wordWrap/>
        <w:overflowPunct/>
        <w:topLinePunct w:val="0"/>
        <w:autoSpaceDE/>
        <w:autoSpaceDN/>
        <w:bidi w:val="0"/>
        <w:adjustRightInd/>
        <w:snapToGrid/>
        <w:spacing w:after="0" w:line="480" w:lineRule="exact"/>
        <w:ind w:firstLine="720" w:firstLineChars="3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4）协助民警对突发事件进行处置，如需送严管、禁闭的，晚上因突发疾病需到狱内医院就诊的等。</w:t>
      </w:r>
    </w:p>
    <w:p w14:paraId="0C4EEF0D">
      <w:pPr>
        <w:pStyle w:val="2"/>
        <w:pageBreakBefore w:val="0"/>
        <w:widowControl w:val="0"/>
        <w:kinsoku/>
        <w:wordWrap/>
        <w:overflowPunct/>
        <w:topLinePunct w:val="0"/>
        <w:autoSpaceDE/>
        <w:autoSpaceDN/>
        <w:bidi w:val="0"/>
        <w:adjustRightInd/>
        <w:snapToGrid/>
        <w:spacing w:after="0" w:line="480" w:lineRule="exact"/>
        <w:ind w:firstLine="720" w:firstLineChars="3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5）监狱有重大活动时协助民警进行安全警戒。</w:t>
      </w:r>
    </w:p>
    <w:p w14:paraId="37F42EF5">
      <w:pPr>
        <w:pStyle w:val="2"/>
        <w:pageBreakBefore w:val="0"/>
        <w:widowControl w:val="0"/>
        <w:kinsoku/>
        <w:wordWrap/>
        <w:overflowPunct/>
        <w:topLinePunct w:val="0"/>
        <w:autoSpaceDE/>
        <w:autoSpaceDN/>
        <w:bidi w:val="0"/>
        <w:adjustRightInd/>
        <w:snapToGrid/>
        <w:spacing w:after="0" w:line="480" w:lineRule="exact"/>
        <w:ind w:firstLine="720" w:firstLineChars="3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6）罪犯离监就医、住院时协助民警押解和值守。</w:t>
      </w:r>
    </w:p>
    <w:p w14:paraId="2E118609">
      <w:pPr>
        <w:pStyle w:val="2"/>
        <w:pageBreakBefore w:val="0"/>
        <w:widowControl w:val="0"/>
        <w:kinsoku/>
        <w:wordWrap/>
        <w:overflowPunct/>
        <w:topLinePunct w:val="0"/>
        <w:autoSpaceDE/>
        <w:autoSpaceDN/>
        <w:bidi w:val="0"/>
        <w:adjustRightInd/>
        <w:snapToGrid/>
        <w:spacing w:after="0" w:line="480" w:lineRule="exact"/>
        <w:ind w:firstLine="720" w:firstLineChars="3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7）协助民警对车间、监舍及罪犯过安检通道时的清监搜身检查。</w:t>
      </w:r>
    </w:p>
    <w:p w14:paraId="73E15402">
      <w:pPr>
        <w:pStyle w:val="2"/>
        <w:pageBreakBefore w:val="0"/>
        <w:widowControl w:val="0"/>
        <w:kinsoku/>
        <w:wordWrap/>
        <w:overflowPunct/>
        <w:topLinePunct w:val="0"/>
        <w:autoSpaceDE/>
        <w:autoSpaceDN/>
        <w:bidi w:val="0"/>
        <w:adjustRightInd/>
        <w:snapToGrid/>
        <w:spacing w:after="0" w:line="480" w:lineRule="exact"/>
        <w:ind w:firstLine="720" w:firstLineChars="3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8）晚收工时在民警的带领下在现场进行巡逻。</w:t>
      </w:r>
    </w:p>
    <w:p w14:paraId="6B4EEBB5">
      <w:pPr>
        <w:pStyle w:val="2"/>
        <w:pageBreakBefore w:val="0"/>
        <w:widowControl w:val="0"/>
        <w:kinsoku/>
        <w:wordWrap/>
        <w:overflowPunct/>
        <w:topLinePunct w:val="0"/>
        <w:autoSpaceDE/>
        <w:autoSpaceDN/>
        <w:bidi w:val="0"/>
        <w:adjustRightInd/>
        <w:snapToGrid/>
        <w:spacing w:after="0" w:line="480" w:lineRule="exact"/>
        <w:ind w:firstLine="720" w:firstLineChars="3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9）各监区收工离开车间后协助民警对每一层车间进行关水、关电及发热设备的处置情况检查。</w:t>
      </w:r>
    </w:p>
    <w:p w14:paraId="7791EA5F">
      <w:pPr>
        <w:pStyle w:val="2"/>
        <w:pageBreakBefore w:val="0"/>
        <w:widowControl w:val="0"/>
        <w:kinsoku/>
        <w:wordWrap/>
        <w:overflowPunct/>
        <w:topLinePunct w:val="0"/>
        <w:autoSpaceDE/>
        <w:autoSpaceDN/>
        <w:bidi w:val="0"/>
        <w:adjustRightInd/>
        <w:snapToGrid/>
        <w:spacing w:after="0" w:line="480" w:lineRule="exact"/>
        <w:ind w:firstLine="720" w:firstLineChars="3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10）驾驶电瓶车及领导交办的其它临时性任务。</w:t>
      </w:r>
    </w:p>
    <w:p w14:paraId="2D2EB9C8">
      <w:pPr>
        <w:pStyle w:val="2"/>
        <w:pageBreakBefore w:val="0"/>
        <w:widowControl w:val="0"/>
        <w:kinsoku/>
        <w:wordWrap/>
        <w:overflowPunct/>
        <w:topLinePunct w:val="0"/>
        <w:autoSpaceDE/>
        <w:autoSpaceDN/>
        <w:bidi w:val="0"/>
        <w:adjustRightInd/>
        <w:snapToGrid/>
        <w:spacing w:after="0" w:line="480" w:lineRule="exact"/>
        <w:ind w:firstLine="720" w:firstLineChars="3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11）负责对消防监控 24 小时值班及值勤记录。</w:t>
      </w:r>
    </w:p>
    <w:p w14:paraId="6CEDF37E">
      <w:pPr>
        <w:pStyle w:val="2"/>
        <w:pageBreakBefore w:val="0"/>
        <w:widowControl w:val="0"/>
        <w:kinsoku/>
        <w:wordWrap/>
        <w:overflowPunct/>
        <w:topLinePunct w:val="0"/>
        <w:autoSpaceDE/>
        <w:autoSpaceDN/>
        <w:bidi w:val="0"/>
        <w:adjustRightInd/>
        <w:snapToGrid/>
        <w:spacing w:after="0" w:line="480" w:lineRule="exact"/>
        <w:ind w:firstLine="720" w:firstLineChars="3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12）建立各项消防制度，定期对安防人员进行消防知识的培训和普及，做到每日巡察消防设施设备、动火作业、用电安全等各项消防隐患和安全，做到报警、通讯设备完好。遇突发火灾事件，相关专业人员及时到达现场，了解现场情况，按照预案做到及时处理，及时向相关单位报告。</w:t>
      </w:r>
    </w:p>
    <w:p w14:paraId="38359380">
      <w:pPr>
        <w:pStyle w:val="2"/>
        <w:pageBreakBefore w:val="0"/>
        <w:widowControl w:val="0"/>
        <w:kinsoku/>
        <w:wordWrap/>
        <w:overflowPunct/>
        <w:topLinePunct w:val="0"/>
        <w:autoSpaceDE/>
        <w:autoSpaceDN/>
        <w:bidi w:val="0"/>
        <w:adjustRightInd/>
        <w:snapToGrid/>
        <w:spacing w:after="0" w:line="480" w:lineRule="exact"/>
        <w:ind w:firstLine="720" w:firstLineChars="3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13）公共区域无堆放易燃、易爆、有毒物品。做好灭火器等消防器具年检工作，确保合格。消防设备放置合理，消防设备良好，消防泵、栓开闭、连接正常，保证随时可用。</w:t>
      </w:r>
    </w:p>
    <w:p w14:paraId="55D21C8E">
      <w:pPr>
        <w:pStyle w:val="2"/>
        <w:pageBreakBefore w:val="0"/>
        <w:widowControl w:val="0"/>
        <w:kinsoku/>
        <w:wordWrap/>
        <w:overflowPunct/>
        <w:topLinePunct w:val="0"/>
        <w:autoSpaceDE/>
        <w:autoSpaceDN/>
        <w:bidi w:val="0"/>
        <w:adjustRightInd/>
        <w:snapToGrid/>
        <w:spacing w:after="0" w:line="480" w:lineRule="exact"/>
        <w:ind w:firstLine="720" w:firstLineChars="3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14）确保消防通道畅通，无挤占消防通道现象。</w:t>
      </w:r>
    </w:p>
    <w:p w14:paraId="6CA87942">
      <w:pPr>
        <w:pStyle w:val="2"/>
        <w:pageBreakBefore w:val="0"/>
        <w:widowControl w:val="0"/>
        <w:kinsoku/>
        <w:wordWrap/>
        <w:overflowPunct/>
        <w:topLinePunct w:val="0"/>
        <w:autoSpaceDE/>
        <w:autoSpaceDN/>
        <w:bidi w:val="0"/>
        <w:adjustRightInd/>
        <w:snapToGrid/>
        <w:spacing w:after="0" w:line="480" w:lineRule="exact"/>
        <w:ind w:firstLine="720" w:firstLineChars="3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15）建立消防设备档案，实行消防监控档案专人负责。</w:t>
      </w:r>
    </w:p>
    <w:p w14:paraId="47E840FF">
      <w:pPr>
        <w:pStyle w:val="2"/>
        <w:pageBreakBefore w:val="0"/>
        <w:widowControl w:val="0"/>
        <w:kinsoku/>
        <w:wordWrap/>
        <w:overflowPunct/>
        <w:topLinePunct w:val="0"/>
        <w:autoSpaceDE/>
        <w:autoSpaceDN/>
        <w:bidi w:val="0"/>
        <w:adjustRightInd/>
        <w:snapToGrid/>
        <w:spacing w:after="0" w:line="480" w:lineRule="exact"/>
        <w:ind w:firstLine="720" w:firstLineChars="3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16）每季度对消防设施设备进行检查，发现问题及时书面告知相关部门。</w:t>
      </w:r>
    </w:p>
    <w:p w14:paraId="05B25BAD">
      <w:pPr>
        <w:pStyle w:val="2"/>
        <w:pageBreakBefore w:val="0"/>
        <w:widowControl w:val="0"/>
        <w:kinsoku/>
        <w:wordWrap/>
        <w:overflowPunct/>
        <w:topLinePunct w:val="0"/>
        <w:autoSpaceDE/>
        <w:autoSpaceDN/>
        <w:bidi w:val="0"/>
        <w:adjustRightInd/>
        <w:snapToGrid/>
        <w:spacing w:after="0" w:line="480" w:lineRule="exact"/>
        <w:ind w:firstLine="720" w:firstLineChars="300"/>
        <w:textAlignment w:val="auto"/>
        <w:rPr>
          <w:rFonts w:hint="eastAsia" w:ascii="宋体" w:hAnsi="宋体" w:eastAsia="宋体" w:cs="宋体"/>
          <w:color w:val="auto"/>
          <w:highlight w:val="none"/>
        </w:rPr>
      </w:pPr>
      <w:r>
        <w:rPr>
          <w:rFonts w:hint="eastAsia" w:ascii="宋体" w:hAnsi="宋体" w:eastAsia="宋体" w:cs="宋体"/>
          <w:bCs/>
          <w:color w:val="auto"/>
          <w:sz w:val="24"/>
          <w:szCs w:val="24"/>
          <w:highlight w:val="none"/>
        </w:rPr>
        <w:t>17）建立消防应急措施管理方案,并负责组织实施。</w:t>
      </w:r>
    </w:p>
    <w:p w14:paraId="12BFDC40">
      <w:pPr>
        <w:pStyle w:val="2"/>
        <w:pageBreakBefore w:val="0"/>
        <w:widowControl w:val="0"/>
        <w:kinsoku/>
        <w:wordWrap/>
        <w:overflowPunct/>
        <w:topLinePunct w:val="0"/>
        <w:autoSpaceDE/>
        <w:autoSpaceDN/>
        <w:bidi w:val="0"/>
        <w:adjustRightInd/>
        <w:snapToGrid/>
        <w:spacing w:after="0" w:line="480" w:lineRule="exact"/>
        <w:ind w:firstLine="720" w:firstLineChars="3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val="en-US" w:eastAsia="zh-CN"/>
        </w:rPr>
        <w:t>8</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负责安检通道内设备的维护，环境卫生的打扫，确保设备完好无损、办公卫生的干净整洁</w:t>
      </w:r>
      <w:r>
        <w:rPr>
          <w:rFonts w:hint="eastAsia" w:ascii="宋体" w:hAnsi="宋体" w:eastAsia="宋体" w:cs="宋体"/>
          <w:bCs/>
          <w:color w:val="auto"/>
          <w:sz w:val="24"/>
          <w:szCs w:val="24"/>
          <w:highlight w:val="none"/>
        </w:rPr>
        <w:t>。</w:t>
      </w:r>
    </w:p>
    <w:p w14:paraId="4B118545">
      <w:pPr>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highlight w:val="none"/>
        </w:rPr>
      </w:pPr>
    </w:p>
    <w:p w14:paraId="17247EA7">
      <w:pPr>
        <w:pStyle w:val="2"/>
        <w:pageBreakBefore w:val="0"/>
        <w:widowControl w:val="0"/>
        <w:kinsoku/>
        <w:wordWrap/>
        <w:overflowPunct/>
        <w:topLinePunct w:val="0"/>
        <w:autoSpaceDE/>
        <w:autoSpaceDN/>
        <w:bidi w:val="0"/>
        <w:adjustRightInd/>
        <w:snapToGrid/>
        <w:spacing w:after="0" w:line="480" w:lineRule="exact"/>
        <w:ind w:firstLine="482" w:firstLineChars="200"/>
        <w:textAlignment w:val="auto"/>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lang w:val="en-US" w:eastAsia="zh-CN"/>
        </w:rPr>
        <w:t>5</w:t>
      </w:r>
      <w:r>
        <w:rPr>
          <w:rFonts w:hint="eastAsia" w:ascii="宋体" w:hAnsi="宋体" w:eastAsia="宋体" w:cs="宋体"/>
          <w:b/>
          <w:bCs w:val="0"/>
          <w:color w:val="auto"/>
          <w:sz w:val="24"/>
          <w:szCs w:val="24"/>
          <w:highlight w:val="none"/>
        </w:rPr>
        <w:t>、分控</w:t>
      </w:r>
      <w:r>
        <w:rPr>
          <w:rFonts w:hint="eastAsia" w:ascii="宋体" w:hAnsi="宋体" w:eastAsia="宋体" w:cs="宋体"/>
          <w:b/>
          <w:bCs w:val="0"/>
          <w:color w:val="auto"/>
          <w:sz w:val="24"/>
          <w:szCs w:val="24"/>
          <w:highlight w:val="none"/>
          <w:lang w:val="en-US" w:eastAsia="zh-CN"/>
        </w:rPr>
        <w:t>值班（9男）</w:t>
      </w:r>
    </w:p>
    <w:p w14:paraId="3F4C7E82">
      <w:pPr>
        <w:pStyle w:val="2"/>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1</w:t>
      </w:r>
      <w:r>
        <w:rPr>
          <w:rFonts w:hint="eastAsia" w:ascii="宋体" w:hAnsi="宋体" w:eastAsia="宋体" w:cs="宋体"/>
          <w:bCs/>
          <w:color w:val="auto"/>
          <w:sz w:val="24"/>
          <w:szCs w:val="24"/>
          <w:highlight w:val="none"/>
        </w:rPr>
        <w:t>）工作时间：上半夜班 21：30－次日 2：00下半夜班 2：00－6：30</w:t>
      </w:r>
    </w:p>
    <w:p w14:paraId="4F2043E9">
      <w:pPr>
        <w:pStyle w:val="2"/>
        <w:pageBreakBefore w:val="0"/>
        <w:widowControl w:val="0"/>
        <w:kinsoku/>
        <w:wordWrap/>
        <w:overflowPunct/>
        <w:topLinePunct w:val="0"/>
        <w:autoSpaceDE/>
        <w:autoSpaceDN/>
        <w:bidi w:val="0"/>
        <w:adjustRightInd/>
        <w:snapToGrid/>
        <w:spacing w:after="0" w:line="480" w:lineRule="exac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周末及法定节假日正常上班。</w:t>
      </w:r>
    </w:p>
    <w:p w14:paraId="27D9BF83">
      <w:pPr>
        <w:pStyle w:val="2"/>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（3）工作要求：</w:t>
      </w:r>
    </w:p>
    <w:p w14:paraId="364E6DC8">
      <w:pPr>
        <w:pStyle w:val="2"/>
        <w:pageBreakBefore w:val="0"/>
        <w:widowControl w:val="0"/>
        <w:kinsoku/>
        <w:wordWrap/>
        <w:overflowPunct/>
        <w:topLinePunct w:val="0"/>
        <w:autoSpaceDE/>
        <w:autoSpaceDN/>
        <w:bidi w:val="0"/>
        <w:adjustRightInd/>
        <w:snapToGrid/>
        <w:spacing w:after="0" w:line="480" w:lineRule="exact"/>
        <w:ind w:firstLine="720" w:firstLineChars="3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1）提前十分钟到岗进行交接班，执行、落实、传达、交接内容。</w:t>
      </w:r>
    </w:p>
    <w:p w14:paraId="342302B5">
      <w:pPr>
        <w:pStyle w:val="2"/>
        <w:pageBreakBefore w:val="0"/>
        <w:widowControl w:val="0"/>
        <w:kinsoku/>
        <w:wordWrap/>
        <w:overflowPunct/>
        <w:topLinePunct w:val="0"/>
        <w:autoSpaceDE/>
        <w:autoSpaceDN/>
        <w:bidi w:val="0"/>
        <w:adjustRightInd/>
        <w:snapToGrid/>
        <w:spacing w:after="0" w:line="480" w:lineRule="exact"/>
        <w:ind w:firstLine="720" w:firstLineChars="3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2）用语文明，形象端正，坚守岗位，认真仔细。</w:t>
      </w:r>
    </w:p>
    <w:p w14:paraId="6FA2DD34">
      <w:pPr>
        <w:pStyle w:val="2"/>
        <w:pageBreakBefore w:val="0"/>
        <w:widowControl w:val="0"/>
        <w:kinsoku/>
        <w:wordWrap/>
        <w:overflowPunct/>
        <w:topLinePunct w:val="0"/>
        <w:autoSpaceDE/>
        <w:autoSpaceDN/>
        <w:bidi w:val="0"/>
        <w:adjustRightInd/>
        <w:snapToGrid/>
        <w:spacing w:after="0" w:line="480" w:lineRule="exact"/>
        <w:ind w:firstLine="720" w:firstLineChars="3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3）听从现场民警指挥，协助民警对责任范围区域进行巡查，对突发事件进行处置。</w:t>
      </w:r>
    </w:p>
    <w:p w14:paraId="0E7DAFCD">
      <w:pPr>
        <w:pStyle w:val="2"/>
        <w:pageBreakBefore w:val="0"/>
        <w:widowControl w:val="0"/>
        <w:kinsoku/>
        <w:wordWrap/>
        <w:overflowPunct/>
        <w:topLinePunct w:val="0"/>
        <w:autoSpaceDE/>
        <w:autoSpaceDN/>
        <w:bidi w:val="0"/>
        <w:adjustRightInd/>
        <w:snapToGrid/>
        <w:spacing w:after="0" w:line="480" w:lineRule="exact"/>
        <w:ind w:firstLine="720" w:firstLineChars="3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4）要有高度职业责任感，严格遵守保密规定、履行安全承诺。</w:t>
      </w:r>
    </w:p>
    <w:p w14:paraId="3608E7F7">
      <w:pPr>
        <w:pStyle w:val="2"/>
        <w:pageBreakBefore w:val="0"/>
        <w:widowControl w:val="0"/>
        <w:kinsoku/>
        <w:wordWrap/>
        <w:overflowPunct/>
        <w:topLinePunct w:val="0"/>
        <w:autoSpaceDE/>
        <w:autoSpaceDN/>
        <w:bidi w:val="0"/>
        <w:adjustRightInd/>
        <w:snapToGrid/>
        <w:spacing w:after="0" w:line="480" w:lineRule="exact"/>
        <w:ind w:firstLine="720" w:firstLineChars="3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5）保持工作区域的清洁卫生。</w:t>
      </w:r>
    </w:p>
    <w:p w14:paraId="4A5F4AC3">
      <w:pPr>
        <w:pStyle w:val="2"/>
        <w:pageBreakBefore w:val="0"/>
        <w:widowControl w:val="0"/>
        <w:kinsoku/>
        <w:wordWrap/>
        <w:overflowPunct/>
        <w:topLinePunct w:val="0"/>
        <w:autoSpaceDE/>
        <w:autoSpaceDN/>
        <w:bidi w:val="0"/>
        <w:adjustRightInd/>
        <w:snapToGrid/>
        <w:spacing w:after="0" w:line="480" w:lineRule="exact"/>
        <w:ind w:firstLine="720" w:firstLineChars="3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6）两个班次人员统一进出监管区域，非值班时段需在指定地点体息，禁止随意走动。</w:t>
      </w:r>
    </w:p>
    <w:p w14:paraId="7029290D">
      <w:pPr>
        <w:pStyle w:val="2"/>
        <w:pageBreakBefore w:val="0"/>
        <w:widowControl w:val="0"/>
        <w:kinsoku/>
        <w:wordWrap/>
        <w:overflowPunct/>
        <w:topLinePunct w:val="0"/>
        <w:autoSpaceDE/>
        <w:autoSpaceDN/>
        <w:bidi w:val="0"/>
        <w:adjustRightInd/>
        <w:snapToGrid/>
        <w:spacing w:after="0" w:line="480" w:lineRule="exact"/>
        <w:ind w:firstLine="720" w:firstLineChars="3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7）及时完成交办的各项临时性工作。</w:t>
      </w:r>
    </w:p>
    <w:p w14:paraId="69095FD6">
      <w:pPr>
        <w:pStyle w:val="2"/>
        <w:pageBreakBefore w:val="0"/>
        <w:widowControl w:val="0"/>
        <w:kinsoku/>
        <w:wordWrap/>
        <w:overflowPunct/>
        <w:topLinePunct w:val="0"/>
        <w:autoSpaceDE/>
        <w:autoSpaceDN/>
        <w:bidi w:val="0"/>
        <w:adjustRightInd/>
        <w:snapToGrid/>
        <w:spacing w:after="0" w:line="480" w:lineRule="exact"/>
        <w:ind w:firstLine="720" w:firstLineChars="3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8</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整理好个人内务卫生，保持干净整洁</w:t>
      </w:r>
      <w:r>
        <w:rPr>
          <w:rFonts w:hint="eastAsia" w:ascii="宋体" w:hAnsi="宋体" w:eastAsia="宋体" w:cs="宋体"/>
          <w:bCs/>
          <w:color w:val="auto"/>
          <w:sz w:val="24"/>
          <w:szCs w:val="24"/>
          <w:highlight w:val="none"/>
        </w:rPr>
        <w:t>。</w:t>
      </w:r>
    </w:p>
    <w:p w14:paraId="37168E6B">
      <w:pPr>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highlight w:val="none"/>
        </w:rPr>
      </w:pPr>
    </w:p>
    <w:p w14:paraId="434C7ED4">
      <w:pPr>
        <w:pStyle w:val="2"/>
        <w:pageBreakBefore w:val="0"/>
        <w:widowControl w:val="0"/>
        <w:kinsoku/>
        <w:wordWrap/>
        <w:overflowPunct/>
        <w:topLinePunct w:val="0"/>
        <w:autoSpaceDE/>
        <w:autoSpaceDN/>
        <w:bidi w:val="0"/>
        <w:adjustRightInd/>
        <w:snapToGrid/>
        <w:spacing w:after="0" w:line="480" w:lineRule="exact"/>
        <w:ind w:firstLine="723" w:firstLineChars="300"/>
        <w:textAlignment w:val="auto"/>
        <w:rPr>
          <w:rFonts w:hint="eastAsia" w:ascii="宋体" w:hAnsi="宋体" w:eastAsia="宋体" w:cs="宋体"/>
          <w:b/>
          <w:bCs w:val="0"/>
          <w:color w:val="auto"/>
          <w:sz w:val="24"/>
          <w:szCs w:val="24"/>
          <w:highlight w:val="none"/>
          <w:lang w:eastAsia="zh-CN"/>
        </w:rPr>
      </w:pPr>
      <w:r>
        <w:rPr>
          <w:rFonts w:hint="eastAsia" w:ascii="宋体" w:hAnsi="宋体" w:eastAsia="宋体" w:cs="宋体"/>
          <w:b/>
          <w:bCs w:val="0"/>
          <w:color w:val="auto"/>
          <w:sz w:val="24"/>
          <w:szCs w:val="24"/>
          <w:highlight w:val="none"/>
          <w:lang w:val="en-US" w:eastAsia="zh-CN"/>
        </w:rPr>
        <w:t>6</w:t>
      </w:r>
      <w:r>
        <w:rPr>
          <w:rFonts w:hint="eastAsia" w:ascii="宋体" w:hAnsi="宋体" w:eastAsia="宋体" w:cs="宋体"/>
          <w:b/>
          <w:bCs w:val="0"/>
          <w:color w:val="auto"/>
          <w:sz w:val="24"/>
          <w:szCs w:val="24"/>
          <w:highlight w:val="none"/>
        </w:rPr>
        <w:t>、</w:t>
      </w:r>
      <w:r>
        <w:rPr>
          <w:rFonts w:hint="eastAsia" w:ascii="宋体" w:hAnsi="宋体" w:eastAsia="宋体" w:cs="宋体"/>
          <w:b/>
          <w:bCs w:val="0"/>
          <w:color w:val="auto"/>
          <w:sz w:val="24"/>
          <w:szCs w:val="24"/>
          <w:highlight w:val="none"/>
          <w:lang w:val="en-US" w:eastAsia="zh-CN"/>
        </w:rPr>
        <w:t>监控</w:t>
      </w:r>
      <w:r>
        <w:rPr>
          <w:rFonts w:hint="eastAsia" w:ascii="宋体" w:hAnsi="宋体" w:eastAsia="宋体" w:cs="宋体"/>
          <w:b/>
          <w:bCs w:val="0"/>
          <w:color w:val="auto"/>
          <w:sz w:val="24"/>
          <w:szCs w:val="24"/>
          <w:highlight w:val="none"/>
        </w:rPr>
        <w:t>中心</w:t>
      </w:r>
      <w:r>
        <w:rPr>
          <w:rFonts w:hint="eastAsia" w:ascii="宋体" w:hAnsi="宋体" w:eastAsia="宋体" w:cs="宋体"/>
          <w:b/>
          <w:bCs w:val="0"/>
          <w:color w:val="auto"/>
          <w:sz w:val="24"/>
          <w:szCs w:val="24"/>
          <w:highlight w:val="none"/>
          <w:lang w:eastAsia="zh-CN"/>
        </w:rPr>
        <w:t>（</w:t>
      </w:r>
      <w:r>
        <w:rPr>
          <w:rFonts w:hint="eastAsia" w:ascii="宋体" w:hAnsi="宋体" w:eastAsia="宋体" w:cs="宋体"/>
          <w:b/>
          <w:bCs w:val="0"/>
          <w:color w:val="auto"/>
          <w:sz w:val="24"/>
          <w:szCs w:val="24"/>
          <w:highlight w:val="none"/>
          <w:lang w:val="en-US" w:eastAsia="zh-CN"/>
        </w:rPr>
        <w:t>3女6男</w:t>
      </w:r>
      <w:r>
        <w:rPr>
          <w:rFonts w:hint="eastAsia" w:ascii="宋体" w:hAnsi="宋体" w:eastAsia="宋体" w:cs="宋体"/>
          <w:b/>
          <w:bCs w:val="0"/>
          <w:color w:val="auto"/>
          <w:sz w:val="24"/>
          <w:szCs w:val="24"/>
          <w:highlight w:val="none"/>
          <w:lang w:eastAsia="zh-CN"/>
        </w:rPr>
        <w:t>）</w:t>
      </w:r>
    </w:p>
    <w:p w14:paraId="48B634B9">
      <w:pPr>
        <w:pStyle w:val="2"/>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（2）男工作时间：</w:t>
      </w:r>
    </w:p>
    <w:p w14:paraId="60666855">
      <w:pPr>
        <w:pStyle w:val="2"/>
        <w:pageBreakBefore w:val="0"/>
        <w:widowControl w:val="0"/>
        <w:kinsoku/>
        <w:wordWrap/>
        <w:overflowPunct/>
        <w:topLinePunct w:val="0"/>
        <w:autoSpaceDE/>
        <w:autoSpaceDN/>
        <w:bidi w:val="0"/>
        <w:adjustRightInd/>
        <w:snapToGrid/>
        <w:spacing w:after="0" w:line="480" w:lineRule="exact"/>
        <w:ind w:firstLine="960" w:firstLineChars="4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21:30-次日 2:30，2 人。</w:t>
      </w:r>
    </w:p>
    <w:p w14:paraId="62968336">
      <w:pPr>
        <w:pStyle w:val="2"/>
        <w:pageBreakBefore w:val="0"/>
        <w:widowControl w:val="0"/>
        <w:kinsoku/>
        <w:wordWrap/>
        <w:overflowPunct/>
        <w:topLinePunct w:val="0"/>
        <w:autoSpaceDE/>
        <w:autoSpaceDN/>
        <w:bidi w:val="0"/>
        <w:adjustRightInd/>
        <w:snapToGrid/>
        <w:spacing w:after="0" w:line="480" w:lineRule="exact"/>
        <w:ind w:firstLine="960" w:firstLineChars="4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2:30-8:00，2 人。</w:t>
      </w:r>
    </w:p>
    <w:p w14:paraId="04209C38">
      <w:pPr>
        <w:pStyle w:val="2"/>
        <w:pageBreakBefore w:val="0"/>
        <w:widowControl w:val="0"/>
        <w:kinsoku/>
        <w:wordWrap/>
        <w:overflowPunct/>
        <w:topLinePunct w:val="0"/>
        <w:autoSpaceDE/>
        <w:autoSpaceDN/>
        <w:bidi w:val="0"/>
        <w:adjustRightInd/>
        <w:snapToGrid/>
        <w:spacing w:after="0" w:line="480" w:lineRule="exact"/>
        <w:ind w:firstLine="960" w:firstLineChars="4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休息：2 人。</w:t>
      </w:r>
    </w:p>
    <w:p w14:paraId="05223EAD">
      <w:pPr>
        <w:pStyle w:val="2"/>
        <w:pageBreakBefore w:val="0"/>
        <w:widowControl w:val="0"/>
        <w:kinsoku/>
        <w:wordWrap/>
        <w:overflowPunct/>
        <w:topLinePunct w:val="0"/>
        <w:autoSpaceDE/>
        <w:autoSpaceDN/>
        <w:bidi w:val="0"/>
        <w:adjustRightInd/>
        <w:snapToGrid/>
        <w:spacing w:after="0" w:line="480" w:lineRule="exact"/>
        <w:ind w:firstLine="960" w:firstLineChars="4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女工作时间：</w:t>
      </w:r>
    </w:p>
    <w:p w14:paraId="3AC7C165">
      <w:pPr>
        <w:pStyle w:val="2"/>
        <w:pageBreakBefore w:val="0"/>
        <w:widowControl w:val="0"/>
        <w:kinsoku/>
        <w:wordWrap/>
        <w:overflowPunct/>
        <w:topLinePunct w:val="0"/>
        <w:autoSpaceDE/>
        <w:autoSpaceDN/>
        <w:bidi w:val="0"/>
        <w:adjustRightInd/>
        <w:snapToGrid/>
        <w:spacing w:after="0" w:line="480" w:lineRule="exact"/>
        <w:ind w:firstLine="960" w:firstLineChars="4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8:00-14:30，1 人 。</w:t>
      </w:r>
    </w:p>
    <w:p w14:paraId="41D7F4A7">
      <w:pPr>
        <w:pStyle w:val="2"/>
        <w:pageBreakBefore w:val="0"/>
        <w:widowControl w:val="0"/>
        <w:kinsoku/>
        <w:wordWrap/>
        <w:overflowPunct/>
        <w:topLinePunct w:val="0"/>
        <w:autoSpaceDE/>
        <w:autoSpaceDN/>
        <w:bidi w:val="0"/>
        <w:adjustRightInd/>
        <w:snapToGrid/>
        <w:spacing w:after="0" w:line="480" w:lineRule="exact"/>
        <w:ind w:firstLine="960" w:firstLineChars="4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14:30-21:30，1 人。</w:t>
      </w:r>
    </w:p>
    <w:p w14:paraId="6F601999">
      <w:pPr>
        <w:pStyle w:val="2"/>
        <w:pageBreakBefore w:val="0"/>
        <w:widowControl w:val="0"/>
        <w:kinsoku/>
        <w:wordWrap/>
        <w:overflowPunct/>
        <w:topLinePunct w:val="0"/>
        <w:autoSpaceDE/>
        <w:autoSpaceDN/>
        <w:bidi w:val="0"/>
        <w:adjustRightInd/>
        <w:snapToGrid/>
        <w:spacing w:after="0" w:line="480" w:lineRule="exact"/>
        <w:ind w:firstLine="960" w:firstLineChars="4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休息：1 人。</w:t>
      </w:r>
    </w:p>
    <w:p w14:paraId="496375B1">
      <w:pPr>
        <w:pStyle w:val="2"/>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（3）工作职责：</w:t>
      </w:r>
    </w:p>
    <w:p w14:paraId="4232719B">
      <w:pPr>
        <w:pStyle w:val="2"/>
        <w:pageBreakBefore w:val="0"/>
        <w:widowControl w:val="0"/>
        <w:kinsoku/>
        <w:wordWrap/>
        <w:overflowPunct/>
        <w:topLinePunct w:val="0"/>
        <w:autoSpaceDE/>
        <w:autoSpaceDN/>
        <w:bidi w:val="0"/>
        <w:adjustRightInd/>
        <w:snapToGrid/>
        <w:spacing w:after="0" w:line="480" w:lineRule="exact"/>
        <w:ind w:firstLine="720" w:firstLineChars="3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1）做好交接班工作，双方点验值班物品认真交接遗留工作及上级交代的特别事项。</w:t>
      </w:r>
    </w:p>
    <w:p w14:paraId="6C625A90">
      <w:pPr>
        <w:pStyle w:val="2"/>
        <w:pageBreakBefore w:val="0"/>
        <w:widowControl w:val="0"/>
        <w:kinsoku/>
        <w:wordWrap/>
        <w:overflowPunct/>
        <w:topLinePunct w:val="0"/>
        <w:autoSpaceDE/>
        <w:autoSpaceDN/>
        <w:bidi w:val="0"/>
        <w:adjustRightInd/>
        <w:snapToGrid/>
        <w:spacing w:after="0" w:line="480" w:lineRule="exact"/>
        <w:ind w:firstLine="720" w:firstLineChars="3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2）监控室为坐岗，要求坐姿端正，24 小时监控，不得做与工作无关的事，有领导进来自行起立。</w:t>
      </w:r>
    </w:p>
    <w:p w14:paraId="2D7BE3A5">
      <w:pPr>
        <w:pStyle w:val="2"/>
        <w:pageBreakBefore w:val="0"/>
        <w:widowControl w:val="0"/>
        <w:kinsoku/>
        <w:wordWrap/>
        <w:overflowPunct/>
        <w:topLinePunct w:val="0"/>
        <w:autoSpaceDE/>
        <w:autoSpaceDN/>
        <w:bidi w:val="0"/>
        <w:adjustRightInd/>
        <w:snapToGrid/>
        <w:spacing w:after="0" w:line="480" w:lineRule="exact"/>
        <w:ind w:firstLine="720" w:firstLineChars="3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3）熟悉指挥中心监控值班室功能和作用，熟悉有关建筑的分布情况、楼宇结构和特征，熟悉各建筑物监控及报警设施的分布，熟悉车辆进出情况，熟练使用对讲机及可视电话，熟悉监控设施云台控制及操作。</w:t>
      </w:r>
    </w:p>
    <w:p w14:paraId="69AB7D75">
      <w:pPr>
        <w:pStyle w:val="2"/>
        <w:pageBreakBefore w:val="0"/>
        <w:widowControl w:val="0"/>
        <w:kinsoku/>
        <w:wordWrap/>
        <w:overflowPunct/>
        <w:topLinePunct w:val="0"/>
        <w:autoSpaceDE/>
        <w:autoSpaceDN/>
        <w:bidi w:val="0"/>
        <w:adjustRightInd/>
        <w:snapToGrid/>
        <w:spacing w:after="0" w:line="480" w:lineRule="exact"/>
        <w:ind w:firstLine="720" w:firstLineChars="3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坚守岗位，认真履行工作职责，提高警惕，集中精力，定期切换电脑屏幕，对监控区域、目标进行巡检，密切注意观察监控区域、监控目标的动向，发现异常情况，立即与监控区域、监控目标所属的单位取得联系，并报告监狱值班科长。</w:t>
      </w:r>
    </w:p>
    <w:p w14:paraId="6F1A1E61">
      <w:pPr>
        <w:pStyle w:val="2"/>
        <w:pageBreakBefore w:val="0"/>
        <w:widowControl w:val="0"/>
        <w:kinsoku/>
        <w:wordWrap/>
        <w:overflowPunct/>
        <w:topLinePunct w:val="0"/>
        <w:autoSpaceDE/>
        <w:autoSpaceDN/>
        <w:bidi w:val="0"/>
        <w:adjustRightInd/>
        <w:snapToGrid/>
        <w:spacing w:after="0" w:line="480" w:lineRule="exact"/>
        <w:ind w:firstLine="720" w:firstLineChars="3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5）负责接听监控室电话，回答民警和有关人员的咨询，不便回答或职权以外的问题应告之其致电其它科室咨询。</w:t>
      </w:r>
    </w:p>
    <w:p w14:paraId="51D5630D">
      <w:pPr>
        <w:pStyle w:val="2"/>
        <w:pageBreakBefore w:val="0"/>
        <w:widowControl w:val="0"/>
        <w:kinsoku/>
        <w:wordWrap/>
        <w:overflowPunct/>
        <w:topLinePunct w:val="0"/>
        <w:autoSpaceDE/>
        <w:autoSpaceDN/>
        <w:bidi w:val="0"/>
        <w:adjustRightInd/>
        <w:snapToGrid/>
        <w:spacing w:after="0" w:line="480" w:lineRule="exact"/>
        <w:ind w:firstLine="720" w:firstLineChars="3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6）负责使用对讲机(电话)与各岗位值班民警进行工作沟通和联系。</w:t>
      </w:r>
    </w:p>
    <w:p w14:paraId="02EEB5C6">
      <w:pPr>
        <w:pStyle w:val="2"/>
        <w:pageBreakBefore w:val="0"/>
        <w:widowControl w:val="0"/>
        <w:kinsoku/>
        <w:wordWrap/>
        <w:overflowPunct/>
        <w:topLinePunct w:val="0"/>
        <w:autoSpaceDE/>
        <w:autoSpaceDN/>
        <w:bidi w:val="0"/>
        <w:adjustRightInd/>
        <w:snapToGrid/>
        <w:spacing w:after="0" w:line="480" w:lineRule="exact"/>
        <w:ind w:firstLine="720" w:firstLineChars="3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7）使用对讲机和电话沟通时，应注意规范和文明礼貌用语，不准利用对讲机和电话闲聊、争吵。</w:t>
      </w:r>
    </w:p>
    <w:p w14:paraId="00CD6230">
      <w:pPr>
        <w:pStyle w:val="2"/>
        <w:pageBreakBefore w:val="0"/>
        <w:widowControl w:val="0"/>
        <w:kinsoku/>
        <w:wordWrap/>
        <w:overflowPunct/>
        <w:topLinePunct w:val="0"/>
        <w:autoSpaceDE/>
        <w:autoSpaceDN/>
        <w:bidi w:val="0"/>
        <w:adjustRightInd/>
        <w:snapToGrid/>
        <w:spacing w:after="0" w:line="480" w:lineRule="exact"/>
        <w:ind w:firstLine="720" w:firstLineChars="3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8）因工作和管理上误解，导致有关人员使用电话对值班员有言语冲突时，应学会忍让，要以理服人，确实无法正常沟通时，时报告分监区长或监区领导。</w:t>
      </w:r>
    </w:p>
    <w:p w14:paraId="2E91921C">
      <w:pPr>
        <w:pStyle w:val="2"/>
        <w:pageBreakBefore w:val="0"/>
        <w:widowControl w:val="0"/>
        <w:kinsoku/>
        <w:wordWrap/>
        <w:overflowPunct/>
        <w:topLinePunct w:val="0"/>
        <w:autoSpaceDE/>
        <w:autoSpaceDN/>
        <w:bidi w:val="0"/>
        <w:adjustRightInd/>
        <w:snapToGrid/>
        <w:spacing w:after="0" w:line="480" w:lineRule="exact"/>
        <w:ind w:firstLine="720" w:firstLineChars="3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9）监控重地，禁止闲人入内，参观监控室、查监控录像必须经狱政科或狱内侦查科同意，否则不能进入监控室。</w:t>
      </w:r>
    </w:p>
    <w:p w14:paraId="34CF40D2">
      <w:pPr>
        <w:pStyle w:val="2"/>
        <w:pageBreakBefore w:val="0"/>
        <w:widowControl w:val="0"/>
        <w:kinsoku/>
        <w:wordWrap/>
        <w:overflowPunct/>
        <w:topLinePunct w:val="0"/>
        <w:autoSpaceDE/>
        <w:autoSpaceDN/>
        <w:bidi w:val="0"/>
        <w:adjustRightInd/>
        <w:snapToGrid/>
        <w:spacing w:after="0" w:line="480" w:lineRule="exact"/>
        <w:ind w:firstLine="720" w:firstLineChars="3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10）要有高度职业责任感，不得向外人提供监狱的监控点，做好保密工作。</w:t>
      </w:r>
    </w:p>
    <w:p w14:paraId="52DF7F7C">
      <w:pPr>
        <w:pStyle w:val="2"/>
        <w:pageBreakBefore w:val="0"/>
        <w:widowControl w:val="0"/>
        <w:kinsoku/>
        <w:wordWrap/>
        <w:overflowPunct/>
        <w:topLinePunct w:val="0"/>
        <w:autoSpaceDE/>
        <w:autoSpaceDN/>
        <w:bidi w:val="0"/>
        <w:adjustRightInd/>
        <w:snapToGrid/>
        <w:spacing w:after="0" w:line="480" w:lineRule="exact"/>
        <w:ind w:firstLine="720" w:firstLineChars="3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11）指挥中心监控室内的器材严禁外借，设备器材做到勤检查，按规定的每天对监控室监控和报警设备、设施进行检查操作，发现设备、设施出现故障,应在值班记录本上做好登记。</w:t>
      </w:r>
    </w:p>
    <w:p w14:paraId="27849BCD">
      <w:pPr>
        <w:pStyle w:val="2"/>
        <w:pageBreakBefore w:val="0"/>
        <w:widowControl w:val="0"/>
        <w:kinsoku/>
        <w:wordWrap/>
        <w:overflowPunct/>
        <w:topLinePunct w:val="0"/>
        <w:autoSpaceDE/>
        <w:autoSpaceDN/>
        <w:bidi w:val="0"/>
        <w:adjustRightInd/>
        <w:snapToGrid/>
        <w:spacing w:after="0" w:line="480" w:lineRule="exact"/>
        <w:ind w:firstLine="720" w:firstLineChars="3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12）至少每季度一次对摄像机表面进行清洁、除垢，对遮挡“视线”的物体进行清除，时间为每季度第一个月。</w:t>
      </w:r>
    </w:p>
    <w:p w14:paraId="77DF2BC0">
      <w:pPr>
        <w:pStyle w:val="2"/>
        <w:pageBreakBefore w:val="0"/>
        <w:widowControl w:val="0"/>
        <w:kinsoku/>
        <w:wordWrap/>
        <w:overflowPunct/>
        <w:topLinePunct w:val="0"/>
        <w:autoSpaceDE/>
        <w:autoSpaceDN/>
        <w:bidi w:val="0"/>
        <w:adjustRightInd/>
        <w:snapToGrid/>
        <w:spacing w:after="0" w:line="480" w:lineRule="exact"/>
        <w:ind w:firstLine="720" w:firstLineChars="3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13）保持监控室内整洁、卫生无异味，室内设备和操作台上不能堆放杂物。</w:t>
      </w:r>
    </w:p>
    <w:p w14:paraId="6DAC2148">
      <w:pPr>
        <w:pStyle w:val="2"/>
        <w:pageBreakBefore w:val="0"/>
        <w:widowControl w:val="0"/>
        <w:kinsoku/>
        <w:wordWrap/>
        <w:overflowPunct/>
        <w:topLinePunct w:val="0"/>
        <w:autoSpaceDE/>
        <w:autoSpaceDN/>
        <w:bidi w:val="0"/>
        <w:adjustRightInd/>
        <w:snapToGrid/>
        <w:spacing w:after="0" w:line="480" w:lineRule="exact"/>
        <w:ind w:firstLine="720" w:firstLineChars="3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14）如发现厂房劳动现场消防通堵塞时,应及时呼叫监区值班领导派人疏通。</w:t>
      </w:r>
    </w:p>
    <w:p w14:paraId="4F519FF3">
      <w:pPr>
        <w:pStyle w:val="2"/>
        <w:pageBreakBefore w:val="0"/>
        <w:widowControl w:val="0"/>
        <w:kinsoku/>
        <w:wordWrap/>
        <w:overflowPunct/>
        <w:topLinePunct w:val="0"/>
        <w:autoSpaceDE/>
        <w:autoSpaceDN/>
        <w:bidi w:val="0"/>
        <w:adjustRightInd/>
        <w:snapToGrid/>
        <w:spacing w:after="0" w:line="480" w:lineRule="exact"/>
        <w:ind w:firstLine="720" w:firstLineChars="3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15）遇到报警,应及时查看，并第一时间用对讲机全监组 200 报告监狱值班科长并做好记录。如属信息中心检测报警设备，应用对讲机个呼值班科长并告知狱政科、狱侦科和监狱值班领导。</w:t>
      </w:r>
    </w:p>
    <w:p w14:paraId="70C43477">
      <w:pPr>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highlight w:val="none"/>
        </w:rPr>
      </w:pPr>
    </w:p>
    <w:p w14:paraId="5AD59EDA">
      <w:pPr>
        <w:pStyle w:val="2"/>
        <w:pageBreakBefore w:val="0"/>
        <w:widowControl w:val="0"/>
        <w:kinsoku/>
        <w:wordWrap/>
        <w:overflowPunct/>
        <w:topLinePunct w:val="0"/>
        <w:autoSpaceDE/>
        <w:autoSpaceDN/>
        <w:bidi w:val="0"/>
        <w:adjustRightInd/>
        <w:snapToGrid/>
        <w:spacing w:after="0" w:line="480" w:lineRule="exact"/>
        <w:ind w:firstLine="482" w:firstLineChars="200"/>
        <w:textAlignment w:val="auto"/>
        <w:rPr>
          <w:rFonts w:hint="eastAsia" w:ascii="宋体" w:hAnsi="宋体" w:eastAsia="宋体" w:cs="宋体"/>
          <w:b/>
          <w:bCs w:val="0"/>
          <w:color w:val="auto"/>
          <w:sz w:val="24"/>
          <w:szCs w:val="24"/>
          <w:highlight w:val="none"/>
          <w:lang w:eastAsia="zh-CN"/>
        </w:rPr>
      </w:pPr>
      <w:r>
        <w:rPr>
          <w:rFonts w:hint="eastAsia" w:ascii="宋体" w:hAnsi="宋体" w:eastAsia="宋体" w:cs="宋体"/>
          <w:b/>
          <w:bCs w:val="0"/>
          <w:color w:val="auto"/>
          <w:sz w:val="24"/>
          <w:szCs w:val="24"/>
          <w:highlight w:val="none"/>
          <w:lang w:val="en-US" w:eastAsia="zh-CN"/>
        </w:rPr>
        <w:t>7</w:t>
      </w:r>
      <w:r>
        <w:rPr>
          <w:rFonts w:hint="eastAsia" w:ascii="宋体" w:hAnsi="宋体" w:eastAsia="宋体" w:cs="宋体"/>
          <w:b/>
          <w:bCs w:val="0"/>
          <w:color w:val="auto"/>
          <w:sz w:val="24"/>
          <w:szCs w:val="24"/>
          <w:highlight w:val="none"/>
        </w:rPr>
        <w:t>、监门安检</w:t>
      </w:r>
      <w:r>
        <w:rPr>
          <w:rFonts w:hint="eastAsia" w:ascii="宋体" w:hAnsi="宋体" w:eastAsia="宋体" w:cs="宋体"/>
          <w:b/>
          <w:bCs w:val="0"/>
          <w:color w:val="auto"/>
          <w:sz w:val="24"/>
          <w:szCs w:val="24"/>
          <w:highlight w:val="none"/>
          <w:lang w:eastAsia="zh-CN"/>
        </w:rPr>
        <w:t>（</w:t>
      </w:r>
      <w:r>
        <w:rPr>
          <w:rFonts w:hint="eastAsia" w:ascii="宋体" w:hAnsi="宋体" w:eastAsia="宋体" w:cs="宋体"/>
          <w:b/>
          <w:bCs w:val="0"/>
          <w:color w:val="auto"/>
          <w:sz w:val="24"/>
          <w:szCs w:val="24"/>
          <w:highlight w:val="none"/>
          <w:lang w:val="en-US" w:eastAsia="zh-CN"/>
        </w:rPr>
        <w:t>8男2女</w:t>
      </w:r>
      <w:r>
        <w:rPr>
          <w:rFonts w:hint="eastAsia" w:ascii="宋体" w:hAnsi="宋体" w:eastAsia="宋体" w:cs="宋体"/>
          <w:b/>
          <w:bCs w:val="0"/>
          <w:color w:val="auto"/>
          <w:sz w:val="24"/>
          <w:szCs w:val="24"/>
          <w:highlight w:val="none"/>
          <w:lang w:eastAsia="zh-CN"/>
        </w:rPr>
        <w:t>）</w:t>
      </w:r>
    </w:p>
    <w:p w14:paraId="7B842A92">
      <w:pPr>
        <w:pStyle w:val="2"/>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（2）工作时间：</w:t>
      </w:r>
    </w:p>
    <w:p w14:paraId="2B840F99">
      <w:pPr>
        <w:pStyle w:val="2"/>
        <w:pageBreakBefore w:val="0"/>
        <w:widowControl w:val="0"/>
        <w:kinsoku/>
        <w:wordWrap/>
        <w:overflowPunct/>
        <w:topLinePunct w:val="0"/>
        <w:autoSpaceDE/>
        <w:autoSpaceDN/>
        <w:bidi w:val="0"/>
        <w:adjustRightInd/>
        <w:snapToGrid/>
        <w:spacing w:after="0" w:line="480" w:lineRule="exact"/>
        <w:ind w:firstLine="720" w:firstLineChars="3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1）男工作时间：早班：7:30-18:</w:t>
      </w: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rPr>
        <w:t>0，中班：18:00-24:00，晚班：24:00-7:30</w:t>
      </w:r>
      <w:r>
        <w:rPr>
          <w:rFonts w:hint="eastAsia" w:ascii="宋体" w:hAnsi="宋体" w:eastAsia="宋体" w:cs="宋体"/>
          <w:bCs/>
          <w:color w:val="auto"/>
          <w:sz w:val="24"/>
          <w:szCs w:val="24"/>
          <w:highlight w:val="none"/>
          <w:lang w:eastAsia="zh-CN"/>
        </w:rPr>
        <w:t>。</w:t>
      </w:r>
    </w:p>
    <w:p w14:paraId="7680A2C2">
      <w:pPr>
        <w:pStyle w:val="2"/>
        <w:pageBreakBefore w:val="0"/>
        <w:widowControl w:val="0"/>
        <w:kinsoku/>
        <w:wordWrap/>
        <w:overflowPunct/>
        <w:topLinePunct w:val="0"/>
        <w:autoSpaceDE/>
        <w:autoSpaceDN/>
        <w:bidi w:val="0"/>
        <w:adjustRightInd/>
        <w:snapToGrid/>
        <w:spacing w:after="0" w:line="480" w:lineRule="exact"/>
        <w:ind w:firstLine="960" w:firstLineChars="4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周末及法定节假日正常上班。</w:t>
      </w:r>
    </w:p>
    <w:p w14:paraId="566EFE36">
      <w:pPr>
        <w:pStyle w:val="2"/>
        <w:pageBreakBefore w:val="0"/>
        <w:widowControl w:val="0"/>
        <w:kinsoku/>
        <w:wordWrap/>
        <w:overflowPunct/>
        <w:topLinePunct w:val="0"/>
        <w:autoSpaceDE/>
        <w:autoSpaceDN/>
        <w:bidi w:val="0"/>
        <w:adjustRightInd/>
        <w:snapToGrid/>
        <w:spacing w:after="0" w:line="480" w:lineRule="exact"/>
        <w:ind w:firstLine="720" w:firstLineChars="3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2）女工作时间：每天 8:00-17:30</w:t>
      </w:r>
    </w:p>
    <w:p w14:paraId="74928BC8">
      <w:pPr>
        <w:pStyle w:val="2"/>
        <w:pageBreakBefore w:val="0"/>
        <w:widowControl w:val="0"/>
        <w:kinsoku/>
        <w:wordWrap/>
        <w:overflowPunct/>
        <w:topLinePunct w:val="0"/>
        <w:autoSpaceDE/>
        <w:autoSpaceDN/>
        <w:bidi w:val="0"/>
        <w:adjustRightInd/>
        <w:snapToGrid/>
        <w:spacing w:after="0" w:line="480" w:lineRule="exact"/>
        <w:ind w:firstLine="960" w:firstLineChars="4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周末及法定节假日正常上班。</w:t>
      </w:r>
    </w:p>
    <w:p w14:paraId="10B66A37">
      <w:pPr>
        <w:pStyle w:val="2"/>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（3）工作职责：</w:t>
      </w:r>
    </w:p>
    <w:p w14:paraId="3FF81ACE">
      <w:pPr>
        <w:pStyle w:val="2"/>
        <w:pageBreakBefore w:val="0"/>
        <w:widowControl w:val="0"/>
        <w:kinsoku/>
        <w:wordWrap/>
        <w:overflowPunct/>
        <w:topLinePunct w:val="0"/>
        <w:autoSpaceDE/>
        <w:autoSpaceDN/>
        <w:bidi w:val="0"/>
        <w:adjustRightInd/>
        <w:snapToGrid/>
        <w:spacing w:after="0" w:line="480" w:lineRule="exact"/>
        <w:ind w:firstLine="720" w:firstLineChars="3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1）值班室辅助岗位人员职责（男）：</w:t>
      </w:r>
    </w:p>
    <w:p w14:paraId="34D454FE">
      <w:pPr>
        <w:pStyle w:val="2"/>
        <w:pageBreakBefore w:val="0"/>
        <w:widowControl w:val="0"/>
        <w:kinsoku/>
        <w:wordWrap/>
        <w:overflowPunct/>
        <w:topLinePunct w:val="0"/>
        <w:autoSpaceDE/>
        <w:autoSpaceDN/>
        <w:bidi w:val="0"/>
        <w:adjustRightInd/>
        <w:snapToGrid/>
        <w:spacing w:after="0" w:line="480" w:lineRule="exact"/>
        <w:ind w:firstLine="720" w:firstLineChars="3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①用语文明，形象端正，坚守岗位，认真仔细。</w:t>
      </w:r>
    </w:p>
    <w:p w14:paraId="214AC905">
      <w:pPr>
        <w:pStyle w:val="2"/>
        <w:pageBreakBefore w:val="0"/>
        <w:widowControl w:val="0"/>
        <w:kinsoku/>
        <w:wordWrap/>
        <w:overflowPunct/>
        <w:topLinePunct w:val="0"/>
        <w:autoSpaceDE/>
        <w:autoSpaceDN/>
        <w:bidi w:val="0"/>
        <w:adjustRightInd/>
        <w:snapToGrid/>
        <w:spacing w:after="0" w:line="480" w:lineRule="exact"/>
        <w:ind w:firstLine="720" w:firstLineChars="3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②提前十分钟到岗进行交接班，执行、落实、传达交接内容。</w:t>
      </w:r>
    </w:p>
    <w:p w14:paraId="71838986">
      <w:pPr>
        <w:pStyle w:val="2"/>
        <w:pageBreakBefore w:val="0"/>
        <w:widowControl w:val="0"/>
        <w:kinsoku/>
        <w:wordWrap/>
        <w:overflowPunct/>
        <w:topLinePunct w:val="0"/>
        <w:autoSpaceDE/>
        <w:autoSpaceDN/>
        <w:bidi w:val="0"/>
        <w:adjustRightInd/>
        <w:snapToGrid/>
        <w:spacing w:after="0" w:line="480" w:lineRule="exact"/>
        <w:ind w:firstLine="720" w:firstLineChars="3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③外来人员进出监，核实人员信息和人数，确认一致后方可放行。</w:t>
      </w:r>
    </w:p>
    <w:p w14:paraId="4B917798">
      <w:pPr>
        <w:pStyle w:val="2"/>
        <w:pageBreakBefore w:val="0"/>
        <w:widowControl w:val="0"/>
        <w:kinsoku/>
        <w:wordWrap/>
        <w:overflowPunct/>
        <w:topLinePunct w:val="0"/>
        <w:autoSpaceDE/>
        <w:autoSpaceDN/>
        <w:bidi w:val="0"/>
        <w:adjustRightInd/>
        <w:snapToGrid/>
        <w:spacing w:after="0" w:line="480" w:lineRule="exact"/>
        <w:ind w:firstLine="720" w:firstLineChars="3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④认真比对进出监人员的换卡信息，卡与人信息不符不得放行，并向当班干警汇报。</w:t>
      </w:r>
    </w:p>
    <w:p w14:paraId="2A23868B">
      <w:pPr>
        <w:pStyle w:val="2"/>
        <w:pageBreakBefore w:val="0"/>
        <w:widowControl w:val="0"/>
        <w:kinsoku/>
        <w:wordWrap/>
        <w:overflowPunct/>
        <w:topLinePunct w:val="0"/>
        <w:autoSpaceDE/>
        <w:autoSpaceDN/>
        <w:bidi w:val="0"/>
        <w:adjustRightInd/>
        <w:snapToGrid/>
        <w:spacing w:after="0" w:line="480" w:lineRule="exact"/>
        <w:ind w:firstLine="720" w:firstLineChars="3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⑤车辆进出监必须接到值班领导的通知，察看监控后，经值班干警确认同意后方可放行。</w:t>
      </w:r>
    </w:p>
    <w:p w14:paraId="612AAC8C">
      <w:pPr>
        <w:pStyle w:val="2"/>
        <w:pageBreakBefore w:val="0"/>
        <w:widowControl w:val="0"/>
        <w:kinsoku/>
        <w:wordWrap/>
        <w:overflowPunct/>
        <w:topLinePunct w:val="0"/>
        <w:autoSpaceDE/>
        <w:autoSpaceDN/>
        <w:bidi w:val="0"/>
        <w:adjustRightInd/>
        <w:snapToGrid/>
        <w:spacing w:after="0" w:line="480" w:lineRule="exact"/>
        <w:ind w:firstLine="720" w:firstLineChars="3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⑥维护打扫辖区的卫生。</w:t>
      </w:r>
    </w:p>
    <w:p w14:paraId="6BA6A85A">
      <w:pPr>
        <w:pStyle w:val="2"/>
        <w:pageBreakBefore w:val="0"/>
        <w:widowControl w:val="0"/>
        <w:kinsoku/>
        <w:wordWrap/>
        <w:overflowPunct/>
        <w:topLinePunct w:val="0"/>
        <w:autoSpaceDE/>
        <w:autoSpaceDN/>
        <w:bidi w:val="0"/>
        <w:adjustRightInd/>
        <w:snapToGrid/>
        <w:spacing w:after="0" w:line="480" w:lineRule="exact"/>
        <w:ind w:firstLine="720" w:firstLineChars="3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⑦完成领导交办的各项临时性工作。</w:t>
      </w:r>
    </w:p>
    <w:p w14:paraId="085A7395">
      <w:pPr>
        <w:pStyle w:val="2"/>
        <w:pageBreakBefore w:val="0"/>
        <w:widowControl w:val="0"/>
        <w:kinsoku/>
        <w:wordWrap/>
        <w:overflowPunct/>
        <w:topLinePunct w:val="0"/>
        <w:autoSpaceDE/>
        <w:autoSpaceDN/>
        <w:bidi w:val="0"/>
        <w:adjustRightInd/>
        <w:snapToGrid/>
        <w:spacing w:after="0" w:line="480" w:lineRule="exact"/>
        <w:ind w:firstLine="720" w:firstLineChars="3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2）安检岗位职（男）：</w:t>
      </w:r>
    </w:p>
    <w:p w14:paraId="44981B76">
      <w:pPr>
        <w:pStyle w:val="2"/>
        <w:pageBreakBefore w:val="0"/>
        <w:widowControl w:val="0"/>
        <w:kinsoku/>
        <w:wordWrap/>
        <w:overflowPunct/>
        <w:topLinePunct w:val="0"/>
        <w:autoSpaceDE/>
        <w:autoSpaceDN/>
        <w:bidi w:val="0"/>
        <w:adjustRightInd/>
        <w:snapToGrid/>
        <w:spacing w:after="0" w:line="480" w:lineRule="exact"/>
        <w:ind w:firstLine="720" w:firstLineChars="3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①用语文明，形象端正，坚守岗位，认真仔细。</w:t>
      </w:r>
    </w:p>
    <w:p w14:paraId="6D10EED8">
      <w:pPr>
        <w:pStyle w:val="2"/>
        <w:pageBreakBefore w:val="0"/>
        <w:widowControl w:val="0"/>
        <w:kinsoku/>
        <w:wordWrap/>
        <w:overflowPunct/>
        <w:topLinePunct w:val="0"/>
        <w:autoSpaceDE/>
        <w:autoSpaceDN/>
        <w:bidi w:val="0"/>
        <w:adjustRightInd/>
        <w:snapToGrid/>
        <w:spacing w:after="0" w:line="480" w:lineRule="exact"/>
        <w:ind w:firstLine="720" w:firstLineChars="3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②提前十分钟到岗进行交接班，执行，落实、传达交接内容。</w:t>
      </w:r>
    </w:p>
    <w:p w14:paraId="0E9F05DF">
      <w:pPr>
        <w:pStyle w:val="2"/>
        <w:pageBreakBefore w:val="0"/>
        <w:widowControl w:val="0"/>
        <w:kinsoku/>
        <w:wordWrap/>
        <w:overflowPunct/>
        <w:topLinePunct w:val="0"/>
        <w:autoSpaceDE/>
        <w:autoSpaceDN/>
        <w:bidi w:val="0"/>
        <w:adjustRightInd/>
        <w:snapToGrid/>
        <w:spacing w:after="0" w:line="480" w:lineRule="exact"/>
        <w:ind w:firstLine="720" w:firstLineChars="3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③对进监人员严格安检，严禁携带各类违禁品进监（注：外来人员不得携带现金，香烟，样衣，电子产品，信件等出入监）安检情况及时向当班干警汇报，并认真登记。</w:t>
      </w:r>
    </w:p>
    <w:p w14:paraId="027AD114">
      <w:pPr>
        <w:pStyle w:val="2"/>
        <w:pageBreakBefore w:val="0"/>
        <w:widowControl w:val="0"/>
        <w:kinsoku/>
        <w:wordWrap/>
        <w:overflowPunct/>
        <w:topLinePunct w:val="0"/>
        <w:autoSpaceDE/>
        <w:autoSpaceDN/>
        <w:bidi w:val="0"/>
        <w:adjustRightInd/>
        <w:snapToGrid/>
        <w:spacing w:after="0" w:line="480" w:lineRule="exact"/>
        <w:ind w:firstLine="720" w:firstLineChars="3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④进监工具认真仔细清点并按监狱规定确认签名。</w:t>
      </w:r>
    </w:p>
    <w:p w14:paraId="2CB51BC5">
      <w:pPr>
        <w:pStyle w:val="2"/>
        <w:pageBreakBefore w:val="0"/>
        <w:widowControl w:val="0"/>
        <w:kinsoku/>
        <w:wordWrap/>
        <w:overflowPunct/>
        <w:topLinePunct w:val="0"/>
        <w:autoSpaceDE/>
        <w:autoSpaceDN/>
        <w:bidi w:val="0"/>
        <w:adjustRightInd/>
        <w:snapToGrid/>
        <w:spacing w:after="0" w:line="480" w:lineRule="exact"/>
        <w:ind w:firstLine="720" w:firstLineChars="3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⑤核对外来人员的审批单据，人员类型和人数，确认登记，对审批单据过期，不符合进监要求的人员进行劝离。</w:t>
      </w:r>
    </w:p>
    <w:p w14:paraId="328182E1">
      <w:pPr>
        <w:pStyle w:val="2"/>
        <w:pageBreakBefore w:val="0"/>
        <w:widowControl w:val="0"/>
        <w:kinsoku/>
        <w:wordWrap/>
        <w:overflowPunct/>
        <w:topLinePunct w:val="0"/>
        <w:autoSpaceDE/>
        <w:autoSpaceDN/>
        <w:bidi w:val="0"/>
        <w:adjustRightInd/>
        <w:snapToGrid/>
        <w:spacing w:after="0" w:line="480" w:lineRule="exact"/>
        <w:ind w:firstLine="720" w:firstLineChars="3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⑥维护打扫辖区的卫生。</w:t>
      </w:r>
    </w:p>
    <w:p w14:paraId="11A2DD03">
      <w:pPr>
        <w:pStyle w:val="2"/>
        <w:pageBreakBefore w:val="0"/>
        <w:widowControl w:val="0"/>
        <w:kinsoku/>
        <w:wordWrap/>
        <w:overflowPunct/>
        <w:topLinePunct w:val="0"/>
        <w:autoSpaceDE/>
        <w:autoSpaceDN/>
        <w:bidi w:val="0"/>
        <w:adjustRightInd/>
        <w:snapToGrid/>
        <w:spacing w:after="0" w:line="480" w:lineRule="exact"/>
        <w:ind w:firstLine="720" w:firstLineChars="3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⑦完成领导交办的各项临时性工作。</w:t>
      </w:r>
    </w:p>
    <w:p w14:paraId="1A482EEE">
      <w:pPr>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highlight w:val="none"/>
        </w:rPr>
      </w:pPr>
    </w:p>
    <w:p w14:paraId="64049F5B">
      <w:pPr>
        <w:pStyle w:val="2"/>
        <w:pageBreakBefore w:val="0"/>
        <w:widowControl w:val="0"/>
        <w:kinsoku/>
        <w:wordWrap/>
        <w:overflowPunct/>
        <w:topLinePunct w:val="0"/>
        <w:autoSpaceDE/>
        <w:autoSpaceDN/>
        <w:bidi w:val="0"/>
        <w:adjustRightInd/>
        <w:snapToGrid/>
        <w:spacing w:after="0" w:line="480" w:lineRule="exact"/>
        <w:ind w:firstLine="482" w:firstLineChars="200"/>
        <w:textAlignment w:val="auto"/>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lang w:val="en-US" w:eastAsia="zh-CN"/>
        </w:rPr>
        <w:t>8</w:t>
      </w:r>
      <w:r>
        <w:rPr>
          <w:rFonts w:hint="eastAsia" w:ascii="宋体" w:hAnsi="宋体" w:eastAsia="宋体" w:cs="宋体"/>
          <w:b/>
          <w:bCs w:val="0"/>
          <w:color w:val="auto"/>
          <w:sz w:val="24"/>
          <w:szCs w:val="24"/>
          <w:highlight w:val="none"/>
        </w:rPr>
        <w:t>、</w:t>
      </w:r>
      <w:r>
        <w:rPr>
          <w:rFonts w:hint="eastAsia" w:ascii="宋体" w:hAnsi="宋体" w:eastAsia="宋体" w:cs="宋体"/>
          <w:b/>
          <w:bCs w:val="0"/>
          <w:color w:val="auto"/>
          <w:sz w:val="24"/>
          <w:szCs w:val="24"/>
          <w:highlight w:val="none"/>
          <w:lang w:val="en-US" w:eastAsia="zh-CN"/>
        </w:rPr>
        <w:t>货物运输（17男）</w:t>
      </w:r>
    </w:p>
    <w:p w14:paraId="6C0A7EF5">
      <w:pPr>
        <w:pStyle w:val="2"/>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1</w:t>
      </w:r>
      <w:r>
        <w:rPr>
          <w:rFonts w:hint="eastAsia" w:ascii="宋体" w:hAnsi="宋体" w:eastAsia="宋体" w:cs="宋体"/>
          <w:bCs/>
          <w:color w:val="auto"/>
          <w:sz w:val="24"/>
          <w:szCs w:val="24"/>
          <w:highlight w:val="none"/>
        </w:rPr>
        <w:t>）工作时间：上午7：00-12:00  下午</w:t>
      </w:r>
      <w:r>
        <w:rPr>
          <w:rFonts w:hint="eastAsia" w:ascii="宋体" w:hAnsi="宋体" w:eastAsia="宋体" w:cs="宋体"/>
          <w:bCs/>
          <w:color w:val="auto"/>
          <w:sz w:val="24"/>
          <w:szCs w:val="24"/>
          <w:highlight w:val="none"/>
          <w:lang w:val="en-US" w:eastAsia="zh-CN"/>
        </w:rPr>
        <w:t>14</w:t>
      </w:r>
      <w:r>
        <w:rPr>
          <w:rFonts w:hint="eastAsia" w:ascii="宋体" w:hAnsi="宋体" w:eastAsia="宋体" w:cs="宋体"/>
          <w:bCs/>
          <w:color w:val="auto"/>
          <w:sz w:val="24"/>
          <w:szCs w:val="24"/>
          <w:highlight w:val="none"/>
        </w:rPr>
        <w:t>:30—</w:t>
      </w:r>
      <w:r>
        <w:rPr>
          <w:rFonts w:hint="eastAsia" w:ascii="宋体" w:hAnsi="宋体" w:eastAsia="宋体" w:cs="宋体"/>
          <w:bCs/>
          <w:color w:val="auto"/>
          <w:sz w:val="24"/>
          <w:szCs w:val="24"/>
          <w:highlight w:val="none"/>
          <w:lang w:val="en-US" w:eastAsia="zh-CN"/>
        </w:rPr>
        <w:t>18</w:t>
      </w:r>
      <w:r>
        <w:rPr>
          <w:rFonts w:hint="eastAsia" w:ascii="宋体" w:hAnsi="宋体" w:eastAsia="宋体" w:cs="宋体"/>
          <w:bCs/>
          <w:color w:val="auto"/>
          <w:sz w:val="24"/>
          <w:szCs w:val="24"/>
          <w:highlight w:val="none"/>
        </w:rPr>
        <w:t>:30</w:t>
      </w:r>
    </w:p>
    <w:p w14:paraId="0D2BF770">
      <w:pPr>
        <w:pStyle w:val="2"/>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2</w:t>
      </w:r>
      <w:r>
        <w:rPr>
          <w:rFonts w:hint="eastAsia" w:ascii="宋体" w:hAnsi="宋体" w:eastAsia="宋体" w:cs="宋体"/>
          <w:bCs/>
          <w:color w:val="auto"/>
          <w:sz w:val="24"/>
          <w:szCs w:val="24"/>
          <w:highlight w:val="none"/>
        </w:rPr>
        <w:t xml:space="preserve">）工作要求 </w:t>
      </w:r>
    </w:p>
    <w:p w14:paraId="551DE4F9">
      <w:pPr>
        <w:pStyle w:val="2"/>
        <w:pageBreakBefore w:val="0"/>
        <w:widowControl w:val="0"/>
        <w:kinsoku/>
        <w:wordWrap/>
        <w:overflowPunct/>
        <w:topLinePunct w:val="0"/>
        <w:autoSpaceDE/>
        <w:autoSpaceDN/>
        <w:bidi w:val="0"/>
        <w:adjustRightInd/>
        <w:snapToGrid/>
        <w:spacing w:after="0" w:line="480" w:lineRule="exact"/>
        <w:ind w:firstLine="720" w:firstLineChars="3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1）每日及时将裁床分监区裁剪出来的各类裁片送往各生产监区，并做好裁片交接工作；</w:t>
      </w:r>
    </w:p>
    <w:p w14:paraId="74618A22">
      <w:pPr>
        <w:pStyle w:val="2"/>
        <w:pageBreakBefore w:val="0"/>
        <w:widowControl w:val="0"/>
        <w:kinsoku/>
        <w:wordWrap/>
        <w:overflowPunct/>
        <w:topLinePunct w:val="0"/>
        <w:autoSpaceDE/>
        <w:autoSpaceDN/>
        <w:bidi w:val="0"/>
        <w:adjustRightInd/>
        <w:snapToGrid/>
        <w:spacing w:after="0" w:line="480" w:lineRule="exact"/>
        <w:ind w:firstLine="720" w:firstLineChars="3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2）每日及时将裁棉车间裁出的喷胶棉送往各生产监区，并做好交接工作；</w:t>
      </w:r>
    </w:p>
    <w:p w14:paraId="2F5C4525">
      <w:pPr>
        <w:pStyle w:val="2"/>
        <w:pageBreakBefore w:val="0"/>
        <w:widowControl w:val="0"/>
        <w:kinsoku/>
        <w:wordWrap/>
        <w:overflowPunct/>
        <w:topLinePunct w:val="0"/>
        <w:autoSpaceDE/>
        <w:autoSpaceDN/>
        <w:bidi w:val="0"/>
        <w:adjustRightInd/>
        <w:snapToGrid/>
        <w:spacing w:after="0" w:line="480" w:lineRule="exact"/>
        <w:ind w:firstLine="720" w:firstLineChars="3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3）每日将外来车辆卸下来的各类生产辅料、裁片送往各生产监区，并做好交接工作；</w:t>
      </w:r>
    </w:p>
    <w:p w14:paraId="77FD32AA">
      <w:pPr>
        <w:pageBreakBefore w:val="0"/>
        <w:widowControl w:val="0"/>
        <w:kinsoku/>
        <w:wordWrap/>
        <w:overflowPunct/>
        <w:topLinePunct w:val="0"/>
        <w:autoSpaceDE/>
        <w:autoSpaceDN/>
        <w:bidi w:val="0"/>
        <w:adjustRightInd/>
        <w:snapToGrid/>
        <w:spacing w:line="480" w:lineRule="exact"/>
        <w:ind w:firstLine="720" w:firstLineChars="300"/>
        <w:textAlignment w:val="auto"/>
        <w:rPr>
          <w:rFonts w:hint="eastAsia" w:ascii="宋体" w:hAnsi="宋体" w:eastAsia="宋体" w:cs="宋体"/>
          <w:color w:val="auto"/>
          <w:highlight w:val="none"/>
        </w:rPr>
      </w:pPr>
      <w:r>
        <w:rPr>
          <w:rFonts w:hint="eastAsia" w:ascii="宋体" w:hAnsi="宋体" w:eastAsia="宋体" w:cs="宋体"/>
          <w:bCs/>
          <w:color w:val="auto"/>
          <w:sz w:val="24"/>
          <w:szCs w:val="24"/>
          <w:highlight w:val="none"/>
          <w:lang w:val="en-US" w:eastAsia="zh-CN"/>
        </w:rPr>
        <w:t>4</w:t>
      </w:r>
      <w:r>
        <w:rPr>
          <w:rFonts w:hint="eastAsia" w:ascii="宋体" w:hAnsi="宋体" w:eastAsia="宋体" w:cs="宋体"/>
          <w:bCs/>
          <w:color w:val="auto"/>
          <w:sz w:val="24"/>
          <w:szCs w:val="24"/>
          <w:highlight w:val="none"/>
        </w:rPr>
        <w:t>）每日</w:t>
      </w:r>
      <w:r>
        <w:rPr>
          <w:rFonts w:hint="eastAsia" w:ascii="宋体" w:hAnsi="宋体" w:eastAsia="宋体" w:cs="宋体"/>
          <w:bCs/>
          <w:color w:val="auto"/>
          <w:sz w:val="24"/>
          <w:szCs w:val="24"/>
          <w:highlight w:val="none"/>
          <w:lang w:val="en-US" w:eastAsia="zh-CN"/>
        </w:rPr>
        <w:t>及时将各生产车间生产出的成品送往九车间仓库</w:t>
      </w:r>
      <w:r>
        <w:rPr>
          <w:rFonts w:hint="eastAsia" w:ascii="宋体" w:hAnsi="宋体" w:eastAsia="宋体" w:cs="宋体"/>
          <w:bCs/>
          <w:color w:val="auto"/>
          <w:sz w:val="24"/>
          <w:szCs w:val="24"/>
          <w:highlight w:val="none"/>
        </w:rPr>
        <w:t>；</w:t>
      </w:r>
    </w:p>
    <w:p w14:paraId="5294F3AB">
      <w:pPr>
        <w:pStyle w:val="2"/>
        <w:pageBreakBefore w:val="0"/>
        <w:widowControl w:val="0"/>
        <w:kinsoku/>
        <w:wordWrap/>
        <w:overflowPunct/>
        <w:topLinePunct w:val="0"/>
        <w:autoSpaceDE/>
        <w:autoSpaceDN/>
        <w:bidi w:val="0"/>
        <w:adjustRightInd/>
        <w:snapToGrid/>
        <w:spacing w:after="0" w:line="480" w:lineRule="exact"/>
        <w:ind w:firstLine="720" w:firstLineChars="3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4）听从民警指挥，服从任务安排，完成民警交代的其他需要转运的事宜。送料过程要确保及时当日的任务当日完成，要确保物料在运送过程中不丢失、不弄脏。</w:t>
      </w:r>
    </w:p>
    <w:p w14:paraId="57E64F54">
      <w:pPr>
        <w:pStyle w:val="2"/>
        <w:pageBreakBefore w:val="0"/>
        <w:widowControl w:val="0"/>
        <w:kinsoku/>
        <w:wordWrap/>
        <w:overflowPunct/>
        <w:topLinePunct w:val="0"/>
        <w:autoSpaceDE/>
        <w:autoSpaceDN/>
        <w:bidi w:val="0"/>
        <w:adjustRightInd/>
        <w:snapToGrid/>
        <w:spacing w:after="0" w:line="48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rPr>
        <w:t>注：以上服务标准及要求必须完全满足，否则视为无效投标。投标人可以提供满足或优于以上基本需求的服务参加投标。</w:t>
      </w:r>
    </w:p>
    <w:p w14:paraId="77131795">
      <w:pPr>
        <w:rPr>
          <w:rFonts w:hint="eastAsia" w:ascii="宋体" w:hAnsi="宋体" w:eastAsia="宋体" w:cs="宋体"/>
          <w:color w:val="auto"/>
          <w:highlight w:val="none"/>
        </w:rPr>
      </w:pPr>
    </w:p>
    <w:p w14:paraId="288ED741">
      <w:pPr>
        <w:widowControl w:val="0"/>
        <w:spacing w:line="245" w:lineRule="auto"/>
        <w:rPr>
          <w:rFonts w:hint="eastAsia" w:ascii="宋体" w:hAnsi="宋体" w:eastAsia="宋体" w:cs="宋体"/>
          <w:color w:val="auto"/>
          <w:highlight w:val="none"/>
          <w:lang w:eastAsia="zh-CN"/>
        </w:rPr>
      </w:pPr>
    </w:p>
    <w:p w14:paraId="02A88CC5">
      <w:pPr>
        <w:widowControl w:val="0"/>
        <w:spacing w:line="245" w:lineRule="auto"/>
        <w:rPr>
          <w:rFonts w:hint="eastAsia" w:ascii="宋体" w:hAnsi="宋体" w:eastAsia="宋体" w:cs="宋体"/>
          <w:color w:val="auto"/>
          <w:highlight w:val="none"/>
          <w:lang w:eastAsia="zh-CN"/>
        </w:rPr>
      </w:pPr>
    </w:p>
    <w:p w14:paraId="3F5F79B5">
      <w:pPr>
        <w:widowControl w:val="0"/>
        <w:spacing w:line="245" w:lineRule="auto"/>
        <w:rPr>
          <w:rFonts w:hint="eastAsia" w:ascii="宋体" w:hAnsi="宋体" w:eastAsia="宋体" w:cs="宋体"/>
          <w:color w:val="auto"/>
          <w:highlight w:val="none"/>
          <w:lang w:eastAsia="zh-CN"/>
        </w:rPr>
      </w:pPr>
    </w:p>
    <w:p w14:paraId="3E216980">
      <w:pPr>
        <w:widowControl w:val="0"/>
        <w:spacing w:line="245" w:lineRule="auto"/>
        <w:rPr>
          <w:rFonts w:hint="eastAsia" w:ascii="宋体" w:hAnsi="宋体" w:eastAsia="宋体" w:cs="宋体"/>
          <w:color w:val="auto"/>
          <w:highlight w:val="none"/>
          <w:lang w:eastAsia="zh-CN"/>
        </w:rPr>
      </w:pPr>
    </w:p>
    <w:p w14:paraId="3C4D8E47">
      <w:pPr>
        <w:widowControl w:val="0"/>
        <w:spacing w:line="245" w:lineRule="auto"/>
        <w:rPr>
          <w:rFonts w:hint="eastAsia" w:ascii="宋体" w:hAnsi="宋体" w:eastAsia="宋体" w:cs="宋体"/>
          <w:color w:val="auto"/>
          <w:highlight w:val="none"/>
          <w:lang w:eastAsia="zh-CN"/>
        </w:rPr>
      </w:pPr>
    </w:p>
    <w:p w14:paraId="2FC8CB39">
      <w:pPr>
        <w:widowControl w:val="0"/>
        <w:spacing w:line="245" w:lineRule="auto"/>
        <w:rPr>
          <w:rFonts w:hint="eastAsia" w:ascii="宋体" w:hAnsi="宋体" w:eastAsia="宋体" w:cs="宋体"/>
          <w:color w:val="auto"/>
          <w:highlight w:val="none"/>
          <w:lang w:eastAsia="zh-CN"/>
        </w:rPr>
      </w:pPr>
    </w:p>
    <w:p w14:paraId="47D39EA7">
      <w:pPr>
        <w:widowControl w:val="0"/>
        <w:spacing w:line="245" w:lineRule="auto"/>
        <w:rPr>
          <w:rFonts w:hint="eastAsia" w:ascii="宋体" w:hAnsi="宋体" w:eastAsia="宋体" w:cs="宋体"/>
          <w:color w:val="auto"/>
          <w:highlight w:val="none"/>
          <w:lang w:eastAsia="zh-CN"/>
        </w:rPr>
      </w:pPr>
    </w:p>
    <w:p w14:paraId="13FA948C">
      <w:pPr>
        <w:widowControl w:val="0"/>
        <w:spacing w:line="245" w:lineRule="auto"/>
        <w:rPr>
          <w:rFonts w:hint="eastAsia" w:ascii="宋体" w:hAnsi="宋体" w:eastAsia="宋体" w:cs="宋体"/>
          <w:color w:val="auto"/>
          <w:highlight w:val="none"/>
          <w:lang w:eastAsia="zh-CN"/>
        </w:rPr>
      </w:pPr>
    </w:p>
    <w:p w14:paraId="45AB0C06">
      <w:pPr>
        <w:widowControl w:val="0"/>
        <w:spacing w:line="245" w:lineRule="auto"/>
        <w:rPr>
          <w:rFonts w:hint="eastAsia" w:ascii="宋体" w:hAnsi="宋体" w:eastAsia="宋体" w:cs="宋体"/>
          <w:color w:val="auto"/>
          <w:highlight w:val="none"/>
          <w:lang w:eastAsia="zh-CN"/>
        </w:rPr>
      </w:pPr>
    </w:p>
    <w:p w14:paraId="7286AE3D">
      <w:pPr>
        <w:widowControl w:val="0"/>
        <w:spacing w:line="245" w:lineRule="auto"/>
        <w:rPr>
          <w:rFonts w:hint="eastAsia" w:ascii="宋体" w:hAnsi="宋体" w:eastAsia="宋体" w:cs="宋体"/>
          <w:color w:val="auto"/>
          <w:highlight w:val="none"/>
          <w:lang w:eastAsia="zh-CN"/>
        </w:rPr>
      </w:pPr>
    </w:p>
    <w:p w14:paraId="18426AF3">
      <w:pPr>
        <w:widowControl w:val="0"/>
        <w:spacing w:line="245" w:lineRule="auto"/>
        <w:rPr>
          <w:rFonts w:hint="eastAsia" w:ascii="宋体" w:hAnsi="宋体" w:eastAsia="宋体" w:cs="宋体"/>
          <w:color w:val="auto"/>
          <w:highlight w:val="none"/>
          <w:lang w:eastAsia="zh-CN"/>
        </w:rPr>
      </w:pPr>
    </w:p>
    <w:p w14:paraId="71FC7F8B">
      <w:pPr>
        <w:widowControl w:val="0"/>
        <w:spacing w:line="245" w:lineRule="auto"/>
        <w:rPr>
          <w:rFonts w:hint="eastAsia" w:ascii="宋体" w:hAnsi="宋体" w:eastAsia="宋体" w:cs="宋体"/>
          <w:color w:val="auto"/>
          <w:highlight w:val="none"/>
          <w:lang w:eastAsia="zh-CN"/>
        </w:rPr>
      </w:pPr>
    </w:p>
    <w:p w14:paraId="1FEAA49C">
      <w:pPr>
        <w:widowControl w:val="0"/>
        <w:spacing w:line="245" w:lineRule="auto"/>
        <w:rPr>
          <w:rFonts w:hint="eastAsia" w:ascii="宋体" w:hAnsi="宋体" w:eastAsia="宋体" w:cs="宋体"/>
          <w:color w:val="auto"/>
          <w:highlight w:val="none"/>
          <w:lang w:eastAsia="zh-CN"/>
        </w:rPr>
      </w:pPr>
    </w:p>
    <w:p w14:paraId="4903C710">
      <w:pPr>
        <w:pStyle w:val="2"/>
        <w:rPr>
          <w:rFonts w:hint="eastAsia" w:ascii="宋体" w:hAnsi="宋体" w:eastAsia="宋体" w:cs="宋体"/>
          <w:color w:val="auto"/>
          <w:highlight w:val="none"/>
          <w:lang w:eastAsia="zh-CN"/>
        </w:rPr>
      </w:pPr>
    </w:p>
    <w:p w14:paraId="22DDE6C9">
      <w:pPr>
        <w:pStyle w:val="2"/>
        <w:rPr>
          <w:rFonts w:hint="eastAsia" w:ascii="宋体" w:hAnsi="宋体" w:eastAsia="宋体" w:cs="宋体"/>
          <w:color w:val="auto"/>
          <w:highlight w:val="none"/>
          <w:lang w:eastAsia="zh-CN"/>
        </w:rPr>
      </w:pPr>
    </w:p>
    <w:p w14:paraId="3695B85C">
      <w:pPr>
        <w:pStyle w:val="2"/>
        <w:rPr>
          <w:rFonts w:hint="eastAsia" w:ascii="宋体" w:hAnsi="宋体" w:eastAsia="宋体" w:cs="宋体"/>
          <w:color w:val="auto"/>
          <w:highlight w:val="none"/>
          <w:lang w:eastAsia="zh-CN"/>
        </w:rPr>
      </w:pPr>
    </w:p>
    <w:p w14:paraId="62543C8F">
      <w:pPr>
        <w:pStyle w:val="2"/>
        <w:rPr>
          <w:rFonts w:hint="eastAsia" w:ascii="宋体" w:hAnsi="宋体" w:eastAsia="宋体" w:cs="宋体"/>
          <w:color w:val="auto"/>
          <w:highlight w:val="none"/>
          <w:lang w:eastAsia="zh-CN"/>
        </w:rPr>
      </w:pPr>
    </w:p>
    <w:p w14:paraId="7920950A">
      <w:pPr>
        <w:pStyle w:val="2"/>
        <w:rPr>
          <w:rFonts w:hint="eastAsia" w:ascii="宋体" w:hAnsi="宋体" w:eastAsia="宋体" w:cs="宋体"/>
          <w:color w:val="auto"/>
          <w:highlight w:val="none"/>
          <w:lang w:eastAsia="zh-CN"/>
        </w:rPr>
      </w:pPr>
    </w:p>
    <w:p w14:paraId="3365F815">
      <w:pPr>
        <w:pStyle w:val="2"/>
        <w:rPr>
          <w:rFonts w:hint="eastAsia" w:ascii="宋体" w:hAnsi="宋体" w:eastAsia="宋体" w:cs="宋体"/>
          <w:color w:val="auto"/>
          <w:highlight w:val="none"/>
          <w:lang w:eastAsia="zh-CN"/>
        </w:rPr>
      </w:pPr>
    </w:p>
    <w:p w14:paraId="4E41F4F6">
      <w:pPr>
        <w:pStyle w:val="2"/>
        <w:rPr>
          <w:rFonts w:hint="eastAsia" w:ascii="宋体" w:hAnsi="宋体" w:eastAsia="宋体" w:cs="宋体"/>
          <w:color w:val="auto"/>
          <w:highlight w:val="none"/>
          <w:lang w:eastAsia="zh-CN"/>
        </w:rPr>
      </w:pPr>
    </w:p>
    <w:p w14:paraId="4C2CC9DB">
      <w:pPr>
        <w:pStyle w:val="2"/>
        <w:rPr>
          <w:rFonts w:hint="eastAsia" w:ascii="宋体" w:hAnsi="宋体" w:eastAsia="宋体" w:cs="宋体"/>
          <w:color w:val="auto"/>
          <w:highlight w:val="none"/>
          <w:lang w:eastAsia="zh-CN"/>
        </w:rPr>
      </w:pPr>
    </w:p>
    <w:p w14:paraId="2FA04FA9">
      <w:pPr>
        <w:pStyle w:val="2"/>
        <w:rPr>
          <w:rFonts w:hint="eastAsia" w:ascii="宋体" w:hAnsi="宋体" w:eastAsia="宋体" w:cs="宋体"/>
          <w:color w:val="auto"/>
          <w:highlight w:val="none"/>
          <w:lang w:eastAsia="zh-CN"/>
        </w:rPr>
      </w:pPr>
    </w:p>
    <w:p w14:paraId="4C6944C8">
      <w:pPr>
        <w:pStyle w:val="2"/>
        <w:rPr>
          <w:rFonts w:hint="eastAsia" w:ascii="宋体" w:hAnsi="宋体" w:eastAsia="宋体" w:cs="宋体"/>
          <w:color w:val="auto"/>
          <w:highlight w:val="none"/>
          <w:lang w:eastAsia="zh-CN"/>
        </w:rPr>
      </w:pPr>
    </w:p>
    <w:p w14:paraId="3A0A8470">
      <w:pPr>
        <w:pStyle w:val="2"/>
        <w:rPr>
          <w:rFonts w:hint="eastAsia" w:ascii="宋体" w:hAnsi="宋体" w:eastAsia="宋体" w:cs="宋体"/>
          <w:color w:val="auto"/>
          <w:highlight w:val="none"/>
          <w:lang w:eastAsia="zh-CN"/>
        </w:rPr>
      </w:pPr>
    </w:p>
    <w:p w14:paraId="601A6FA5">
      <w:pPr>
        <w:pStyle w:val="2"/>
        <w:rPr>
          <w:rFonts w:hint="eastAsia" w:ascii="宋体" w:hAnsi="宋体" w:eastAsia="宋体" w:cs="宋体"/>
          <w:color w:val="auto"/>
          <w:highlight w:val="none"/>
          <w:lang w:eastAsia="zh-CN"/>
        </w:rPr>
      </w:pPr>
    </w:p>
    <w:p w14:paraId="01AFCEEB">
      <w:pPr>
        <w:widowControl w:val="0"/>
        <w:spacing w:before="78" w:line="219" w:lineRule="auto"/>
        <w:outlineLvl w:val="2"/>
        <w:rPr>
          <w:rFonts w:hint="eastAsia" w:ascii="宋体" w:hAnsi="宋体" w:eastAsia="宋体" w:cs="宋体"/>
          <w:b/>
          <w:bCs/>
          <w:color w:val="auto"/>
          <w:sz w:val="24"/>
          <w:szCs w:val="24"/>
          <w:highlight w:val="none"/>
          <w:lang w:eastAsia="zh-CN"/>
        </w:rPr>
      </w:pPr>
      <w:bookmarkStart w:id="213" w:name="_Toc13979"/>
      <w:r>
        <w:rPr>
          <w:rFonts w:hint="eastAsia" w:ascii="宋体" w:hAnsi="宋体" w:eastAsia="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lang w:eastAsia="zh-CN"/>
        </w:rPr>
        <w:t xml:space="preserve"> 商务条件</w:t>
      </w:r>
      <w:bookmarkEnd w:id="213"/>
    </w:p>
    <w:tbl>
      <w:tblPr>
        <w:tblStyle w:val="21"/>
        <w:tblpPr w:leftFromText="180" w:rightFromText="180" w:vertAnchor="text" w:horzAnchor="page" w:tblpX="1110" w:tblpY="513"/>
        <w:tblOverlap w:val="never"/>
        <w:tblW w:w="0" w:type="auto"/>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01"/>
        <w:gridCol w:w="1568"/>
        <w:gridCol w:w="7980"/>
      </w:tblGrid>
      <w:tr w14:paraId="56FD91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601" w:type="dxa"/>
            <w:shd w:val="clear" w:color="auto" w:fill="EEEEEE"/>
          </w:tcPr>
          <w:p w14:paraId="4C346EC1">
            <w:pPr>
              <w:pStyle w:val="22"/>
              <w:spacing w:before="144" w:line="221" w:lineRule="auto"/>
              <w:ind w:left="74"/>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序号</w:t>
            </w:r>
          </w:p>
        </w:tc>
        <w:tc>
          <w:tcPr>
            <w:tcW w:w="1568" w:type="dxa"/>
            <w:shd w:val="clear" w:color="auto" w:fill="EEEEEE"/>
          </w:tcPr>
          <w:p w14:paraId="3E12AD76">
            <w:pPr>
              <w:pStyle w:val="22"/>
              <w:spacing w:before="145" w:line="220" w:lineRule="auto"/>
              <w:ind w:left="569"/>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需求名称</w:t>
            </w:r>
          </w:p>
        </w:tc>
        <w:tc>
          <w:tcPr>
            <w:tcW w:w="7980" w:type="dxa"/>
            <w:shd w:val="clear" w:color="auto" w:fill="EEEEEE"/>
          </w:tcPr>
          <w:p w14:paraId="57D9349A">
            <w:pPr>
              <w:pStyle w:val="22"/>
              <w:spacing w:before="145" w:line="219" w:lineRule="auto"/>
              <w:ind w:left="3772"/>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需求说明</w:t>
            </w:r>
          </w:p>
        </w:tc>
      </w:tr>
      <w:tr w14:paraId="570A8D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601" w:type="dxa"/>
          </w:tcPr>
          <w:p w14:paraId="1C10720A">
            <w:pPr>
              <w:spacing w:line="244" w:lineRule="auto"/>
              <w:rPr>
                <w:rFonts w:hint="eastAsia" w:ascii="宋体" w:hAnsi="宋体" w:eastAsia="宋体" w:cs="宋体"/>
                <w:color w:val="auto"/>
                <w:sz w:val="24"/>
                <w:szCs w:val="24"/>
                <w:highlight w:val="none"/>
              </w:rPr>
            </w:pPr>
          </w:p>
          <w:p w14:paraId="40923E53">
            <w:pPr>
              <w:spacing w:line="244" w:lineRule="auto"/>
              <w:rPr>
                <w:rFonts w:hint="eastAsia" w:ascii="宋体" w:hAnsi="宋体" w:eastAsia="宋体" w:cs="宋体"/>
                <w:color w:val="auto"/>
                <w:sz w:val="24"/>
                <w:szCs w:val="24"/>
                <w:highlight w:val="none"/>
              </w:rPr>
            </w:pPr>
          </w:p>
          <w:p w14:paraId="14D923FE">
            <w:pPr>
              <w:spacing w:line="244" w:lineRule="auto"/>
              <w:rPr>
                <w:rFonts w:hint="eastAsia" w:ascii="宋体" w:hAnsi="宋体" w:eastAsia="宋体" w:cs="宋体"/>
                <w:color w:val="auto"/>
                <w:sz w:val="24"/>
                <w:szCs w:val="24"/>
                <w:highlight w:val="none"/>
              </w:rPr>
            </w:pPr>
          </w:p>
          <w:p w14:paraId="09D8B4A2">
            <w:pPr>
              <w:spacing w:line="244" w:lineRule="auto"/>
              <w:rPr>
                <w:rFonts w:hint="eastAsia" w:ascii="宋体" w:hAnsi="宋体" w:eastAsia="宋体" w:cs="宋体"/>
                <w:color w:val="auto"/>
                <w:sz w:val="24"/>
                <w:szCs w:val="24"/>
                <w:highlight w:val="none"/>
              </w:rPr>
            </w:pPr>
          </w:p>
          <w:p w14:paraId="20FEF26D">
            <w:pPr>
              <w:spacing w:line="244" w:lineRule="auto"/>
              <w:rPr>
                <w:rFonts w:hint="eastAsia" w:ascii="宋体" w:hAnsi="宋体" w:eastAsia="宋体" w:cs="宋体"/>
                <w:color w:val="auto"/>
                <w:sz w:val="24"/>
                <w:szCs w:val="24"/>
                <w:highlight w:val="none"/>
              </w:rPr>
            </w:pPr>
          </w:p>
          <w:p w14:paraId="56820884">
            <w:pPr>
              <w:spacing w:line="245" w:lineRule="auto"/>
              <w:rPr>
                <w:rFonts w:hint="eastAsia" w:ascii="宋体" w:hAnsi="宋体" w:eastAsia="宋体" w:cs="宋体"/>
                <w:color w:val="auto"/>
                <w:sz w:val="24"/>
                <w:szCs w:val="24"/>
                <w:highlight w:val="none"/>
              </w:rPr>
            </w:pPr>
          </w:p>
          <w:p w14:paraId="5CA11963">
            <w:pPr>
              <w:spacing w:line="245" w:lineRule="auto"/>
              <w:rPr>
                <w:rFonts w:hint="eastAsia" w:ascii="宋体" w:hAnsi="宋体" w:eastAsia="宋体" w:cs="宋体"/>
                <w:color w:val="auto"/>
                <w:sz w:val="24"/>
                <w:szCs w:val="24"/>
                <w:highlight w:val="none"/>
              </w:rPr>
            </w:pPr>
          </w:p>
          <w:p w14:paraId="5074BE11">
            <w:pPr>
              <w:pStyle w:val="22"/>
              <w:spacing w:before="78" w:line="184" w:lineRule="auto"/>
              <w:ind w:left="27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568" w:type="dxa"/>
          </w:tcPr>
          <w:p w14:paraId="29FA0A10">
            <w:pPr>
              <w:rPr>
                <w:rFonts w:hint="eastAsia" w:ascii="宋体" w:hAnsi="宋体" w:eastAsia="宋体" w:cs="宋体"/>
                <w:color w:val="auto"/>
                <w:sz w:val="24"/>
                <w:szCs w:val="24"/>
                <w:highlight w:val="none"/>
              </w:rPr>
            </w:pPr>
          </w:p>
          <w:p w14:paraId="7192F285">
            <w:pPr>
              <w:rPr>
                <w:rFonts w:hint="eastAsia" w:ascii="宋体" w:hAnsi="宋体" w:eastAsia="宋体" w:cs="宋体"/>
                <w:color w:val="auto"/>
                <w:sz w:val="24"/>
                <w:szCs w:val="24"/>
                <w:highlight w:val="none"/>
              </w:rPr>
            </w:pPr>
          </w:p>
          <w:p w14:paraId="3BF003D5">
            <w:pPr>
              <w:spacing w:line="241" w:lineRule="auto"/>
              <w:rPr>
                <w:rFonts w:hint="eastAsia" w:ascii="宋体" w:hAnsi="宋体" w:eastAsia="宋体" w:cs="宋体"/>
                <w:color w:val="auto"/>
                <w:sz w:val="24"/>
                <w:szCs w:val="24"/>
                <w:highlight w:val="none"/>
              </w:rPr>
            </w:pPr>
          </w:p>
          <w:p w14:paraId="4A8513BC">
            <w:pPr>
              <w:spacing w:line="241" w:lineRule="auto"/>
              <w:rPr>
                <w:rFonts w:hint="eastAsia" w:ascii="宋体" w:hAnsi="宋体" w:eastAsia="宋体" w:cs="宋体"/>
                <w:color w:val="auto"/>
                <w:sz w:val="24"/>
                <w:szCs w:val="24"/>
                <w:highlight w:val="none"/>
              </w:rPr>
            </w:pPr>
          </w:p>
          <w:p w14:paraId="27EC6F01">
            <w:pPr>
              <w:spacing w:line="241" w:lineRule="auto"/>
              <w:rPr>
                <w:rFonts w:hint="eastAsia" w:ascii="宋体" w:hAnsi="宋体" w:eastAsia="宋体" w:cs="宋体"/>
                <w:color w:val="auto"/>
                <w:sz w:val="24"/>
                <w:szCs w:val="24"/>
                <w:highlight w:val="none"/>
              </w:rPr>
            </w:pPr>
          </w:p>
          <w:p w14:paraId="76EF2007">
            <w:pPr>
              <w:spacing w:line="241" w:lineRule="auto"/>
              <w:rPr>
                <w:rFonts w:hint="eastAsia" w:ascii="宋体" w:hAnsi="宋体" w:eastAsia="宋体" w:cs="宋体"/>
                <w:color w:val="auto"/>
                <w:sz w:val="24"/>
                <w:szCs w:val="24"/>
                <w:highlight w:val="none"/>
              </w:rPr>
            </w:pPr>
          </w:p>
          <w:p w14:paraId="6B63DCC0">
            <w:pPr>
              <w:pStyle w:val="22"/>
              <w:spacing w:before="78" w:line="347" w:lineRule="auto"/>
              <w:ind w:left="320" w:right="56" w:hanging="240"/>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履行期限、方</w:t>
            </w:r>
            <w:r>
              <w:rPr>
                <w:rFonts w:hint="eastAsia" w:ascii="宋体" w:hAnsi="宋体" w:eastAsia="宋体" w:cs="宋体"/>
                <w:color w:val="auto"/>
                <w:spacing w:val="3"/>
                <w:sz w:val="24"/>
                <w:szCs w:val="24"/>
                <w:highlight w:val="none"/>
              </w:rPr>
              <w:t xml:space="preserve"> </w:t>
            </w:r>
            <w:r>
              <w:rPr>
                <w:rFonts w:hint="eastAsia" w:ascii="宋体" w:hAnsi="宋体" w:eastAsia="宋体" w:cs="宋体"/>
                <w:color w:val="auto"/>
                <w:spacing w:val="-4"/>
                <w:sz w:val="24"/>
                <w:szCs w:val="24"/>
                <w:highlight w:val="none"/>
              </w:rPr>
              <w:t>式、地点</w:t>
            </w:r>
          </w:p>
        </w:tc>
        <w:tc>
          <w:tcPr>
            <w:tcW w:w="7980" w:type="dxa"/>
          </w:tcPr>
          <w:p w14:paraId="64E9E641">
            <w:pPr>
              <w:pStyle w:val="22"/>
              <w:spacing w:before="184" w:line="289" w:lineRule="auto"/>
              <w:ind w:left="61" w:right="25" w:firstLine="478"/>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en-US"/>
              </w:rPr>
              <w:t>1 履行期限：</w:t>
            </w:r>
            <w:r>
              <w:rPr>
                <w:rFonts w:hint="eastAsia" w:ascii="宋体" w:hAnsi="宋体" w:eastAsia="宋体" w:cs="宋体"/>
                <w:color w:val="auto"/>
                <w:sz w:val="24"/>
                <w:szCs w:val="24"/>
                <w:highlight w:val="none"/>
                <w:lang w:val="en-US" w:eastAsia="zh-CN"/>
              </w:rPr>
              <w:t>服务期限为【12个月】。</w:t>
            </w:r>
          </w:p>
          <w:p w14:paraId="389336A2">
            <w:pPr>
              <w:pStyle w:val="22"/>
              <w:spacing w:before="184" w:line="289" w:lineRule="auto"/>
              <w:ind w:left="61" w:right="25" w:firstLine="47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 履行地点：采购人指定地点。</w:t>
            </w:r>
          </w:p>
          <w:p w14:paraId="19F9EB6B">
            <w:pPr>
              <w:pStyle w:val="22"/>
              <w:spacing w:before="184" w:line="289" w:lineRule="auto"/>
              <w:ind w:left="61" w:right="25" w:firstLine="47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 履行方式：以成交方为主，采购人配合，</w:t>
            </w:r>
            <w:r>
              <w:rPr>
                <w:rFonts w:hint="eastAsia" w:ascii="宋体" w:hAnsi="宋体" w:eastAsia="宋体" w:cs="宋体"/>
                <w:color w:val="auto"/>
                <w:sz w:val="24"/>
                <w:szCs w:val="24"/>
                <w:highlight w:val="none"/>
                <w:lang w:eastAsia="zh-CN"/>
              </w:rPr>
              <w:t>中标人</w:t>
            </w:r>
            <w:r>
              <w:rPr>
                <w:rFonts w:hint="eastAsia" w:ascii="宋体" w:hAnsi="宋体" w:eastAsia="宋体" w:cs="宋体"/>
                <w:color w:val="auto"/>
                <w:sz w:val="24"/>
                <w:szCs w:val="24"/>
                <w:highlight w:val="none"/>
              </w:rPr>
              <w:t>在收到</w:t>
            </w:r>
            <w:r>
              <w:rPr>
                <w:rFonts w:hint="eastAsia" w:ascii="宋体" w:hAnsi="宋体" w:eastAsia="宋体" w:cs="宋体"/>
                <w:color w:val="auto"/>
                <w:sz w:val="24"/>
                <w:szCs w:val="24"/>
                <w:highlight w:val="none"/>
                <w:lang w:val="en-US" w:eastAsia="zh-CN"/>
              </w:rPr>
              <w:t>中标</w:t>
            </w:r>
            <w:r>
              <w:rPr>
                <w:rFonts w:hint="eastAsia" w:ascii="宋体" w:hAnsi="宋体" w:eastAsia="宋体" w:cs="宋体"/>
                <w:color w:val="auto"/>
                <w:sz w:val="24"/>
                <w:szCs w:val="24"/>
                <w:highlight w:val="none"/>
              </w:rPr>
              <w:t>通知书后即展开相关工作。</w:t>
            </w:r>
          </w:p>
          <w:p w14:paraId="71B6F124">
            <w:pPr>
              <w:pStyle w:val="22"/>
              <w:spacing w:before="184" w:line="289" w:lineRule="auto"/>
              <w:ind w:left="61" w:right="25" w:firstLine="47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 采购人按照合同规定的付款进度向</w:t>
            </w:r>
            <w:r>
              <w:rPr>
                <w:rFonts w:hint="eastAsia" w:ascii="宋体" w:hAnsi="宋体" w:eastAsia="宋体" w:cs="宋体"/>
                <w:color w:val="auto"/>
                <w:sz w:val="24"/>
                <w:szCs w:val="24"/>
                <w:highlight w:val="none"/>
                <w:lang w:eastAsia="zh-CN"/>
              </w:rPr>
              <w:t>中标人</w:t>
            </w:r>
            <w:r>
              <w:rPr>
                <w:rFonts w:hint="eastAsia" w:ascii="宋体" w:hAnsi="宋体" w:eastAsia="宋体" w:cs="宋体"/>
                <w:color w:val="auto"/>
                <w:sz w:val="24"/>
                <w:szCs w:val="24"/>
                <w:highlight w:val="none"/>
              </w:rPr>
              <w:t>支付款项。</w:t>
            </w:r>
          </w:p>
          <w:p w14:paraId="5AA9DE60">
            <w:pPr>
              <w:pStyle w:val="22"/>
              <w:spacing w:before="184" w:line="289" w:lineRule="auto"/>
              <w:ind w:left="61" w:right="25" w:firstLine="47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1.5 </w:t>
            </w:r>
            <w:r>
              <w:rPr>
                <w:rFonts w:hint="eastAsia" w:ascii="宋体" w:hAnsi="宋体" w:eastAsia="宋体" w:cs="宋体"/>
                <w:color w:val="auto"/>
                <w:sz w:val="24"/>
                <w:szCs w:val="24"/>
                <w:highlight w:val="none"/>
                <w:lang w:eastAsia="zh-CN"/>
              </w:rPr>
              <w:t>中标人</w:t>
            </w:r>
            <w:r>
              <w:rPr>
                <w:rFonts w:hint="eastAsia" w:ascii="宋体" w:hAnsi="宋体" w:eastAsia="宋体" w:cs="宋体"/>
                <w:color w:val="auto"/>
                <w:sz w:val="24"/>
                <w:szCs w:val="24"/>
                <w:highlight w:val="none"/>
              </w:rPr>
              <w:t>所提供服务的质量以及要求不符合合同规定标准的，采购人有权拒收，因此产生的一切经济损失由</w:t>
            </w:r>
            <w:r>
              <w:rPr>
                <w:rFonts w:hint="eastAsia" w:ascii="宋体" w:hAnsi="宋体" w:eastAsia="宋体" w:cs="宋体"/>
                <w:color w:val="auto"/>
                <w:sz w:val="24"/>
                <w:szCs w:val="24"/>
                <w:highlight w:val="none"/>
                <w:lang w:eastAsia="zh-CN"/>
              </w:rPr>
              <w:t>中标人</w:t>
            </w:r>
            <w:r>
              <w:rPr>
                <w:rFonts w:hint="eastAsia" w:ascii="宋体" w:hAnsi="宋体" w:eastAsia="宋体" w:cs="宋体"/>
                <w:color w:val="auto"/>
                <w:sz w:val="24"/>
                <w:szCs w:val="24"/>
                <w:highlight w:val="none"/>
              </w:rPr>
              <w:t>承担。</w:t>
            </w:r>
          </w:p>
          <w:p w14:paraId="59636456">
            <w:pPr>
              <w:pStyle w:val="22"/>
              <w:spacing w:before="184" w:line="289" w:lineRule="auto"/>
              <w:ind w:left="61" w:right="25" w:firstLine="47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1.6</w:t>
            </w:r>
            <w:r>
              <w:rPr>
                <w:rFonts w:hint="eastAsia" w:ascii="宋体" w:hAnsi="宋体" w:eastAsia="宋体" w:cs="宋体"/>
                <w:color w:val="auto"/>
                <w:sz w:val="24"/>
                <w:szCs w:val="24"/>
                <w:highlight w:val="none"/>
              </w:rPr>
              <w:t>合同签订后3个工作日内，中标供应商应向采购人指定账户（单位名称：</w:t>
            </w:r>
            <w:r>
              <w:rPr>
                <w:rFonts w:hint="eastAsia" w:ascii="宋体" w:hAnsi="宋体" w:eastAsia="宋体" w:cs="宋体"/>
                <w:color w:val="auto"/>
                <w:sz w:val="24"/>
                <w:szCs w:val="24"/>
                <w:highlight w:val="none"/>
                <w:lang w:val="en-US" w:eastAsia="zh-CN"/>
              </w:rPr>
              <w:t>江西吉瑞实业有限公司</w:t>
            </w:r>
            <w:r>
              <w:rPr>
                <w:rFonts w:hint="eastAsia" w:ascii="宋体" w:hAnsi="宋体" w:eastAsia="宋体" w:cs="宋体"/>
                <w:color w:val="auto"/>
                <w:sz w:val="24"/>
                <w:szCs w:val="24"/>
                <w:highlight w:val="none"/>
              </w:rPr>
              <w:t>；开户银行：</w:t>
            </w:r>
            <w:r>
              <w:rPr>
                <w:rFonts w:hint="eastAsia" w:ascii="宋体" w:hAnsi="宋体" w:eastAsia="宋体" w:cs="宋体"/>
                <w:color w:val="auto"/>
                <w:sz w:val="24"/>
                <w:szCs w:val="24"/>
                <w:highlight w:val="none"/>
                <w:lang w:val="en-US" w:eastAsia="zh-CN"/>
              </w:rPr>
              <w:t>农行吉安吉州支行营业部</w:t>
            </w:r>
            <w:r>
              <w:rPr>
                <w:rFonts w:hint="eastAsia" w:ascii="宋体" w:hAnsi="宋体" w:eastAsia="宋体" w:cs="宋体"/>
                <w:color w:val="auto"/>
                <w:sz w:val="24"/>
                <w:szCs w:val="24"/>
                <w:highlight w:val="none"/>
              </w:rPr>
              <w:t>；账号：</w:t>
            </w:r>
            <w:r>
              <w:rPr>
                <w:rFonts w:hint="eastAsia" w:ascii="宋体" w:hAnsi="宋体" w:eastAsia="宋体" w:cs="宋体"/>
                <w:color w:val="auto"/>
                <w:sz w:val="24"/>
                <w:szCs w:val="24"/>
                <w:highlight w:val="none"/>
                <w:lang w:val="en-US" w:eastAsia="zh-CN"/>
              </w:rPr>
              <w:t>14093101040001350</w:t>
            </w:r>
            <w:r>
              <w:rPr>
                <w:rFonts w:hint="eastAsia" w:ascii="宋体" w:hAnsi="宋体" w:eastAsia="宋体" w:cs="宋体"/>
                <w:color w:val="auto"/>
                <w:sz w:val="24"/>
                <w:szCs w:val="24"/>
                <w:highlight w:val="none"/>
              </w:rPr>
              <w:t>）支付中标金额的5%作为履约保证金。履约保证金用于补偿因中标供应商不能完成其合同义务而使采购人蒙受的损失。</w:t>
            </w:r>
          </w:p>
          <w:p w14:paraId="62EC76AF">
            <w:pPr>
              <w:pStyle w:val="22"/>
              <w:spacing w:before="184" w:line="289" w:lineRule="auto"/>
              <w:ind w:left="61" w:right="25" w:firstLine="478"/>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1.7</w:t>
            </w:r>
            <w:r>
              <w:rPr>
                <w:rFonts w:hint="eastAsia" w:ascii="宋体" w:hAnsi="宋体" w:eastAsia="宋体" w:cs="宋体"/>
                <w:color w:val="auto"/>
                <w:sz w:val="24"/>
                <w:szCs w:val="24"/>
                <w:highlight w:val="none"/>
              </w:rPr>
              <w:t>履约保证金的退回：从该项目服务期满且无服务质量问题后由采购人不计利息15个工作日内一次性无息退回中标供应商。</w:t>
            </w:r>
          </w:p>
        </w:tc>
      </w:tr>
      <w:tr w14:paraId="048E28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601" w:type="dxa"/>
          </w:tcPr>
          <w:p w14:paraId="0AC38BC1">
            <w:pPr>
              <w:spacing w:line="279" w:lineRule="auto"/>
              <w:rPr>
                <w:rFonts w:hint="eastAsia" w:ascii="宋体" w:hAnsi="宋体" w:eastAsia="宋体" w:cs="宋体"/>
                <w:color w:val="auto"/>
                <w:sz w:val="24"/>
                <w:szCs w:val="24"/>
                <w:highlight w:val="none"/>
              </w:rPr>
            </w:pPr>
          </w:p>
          <w:p w14:paraId="40B2B9FF">
            <w:pPr>
              <w:spacing w:line="279" w:lineRule="auto"/>
              <w:rPr>
                <w:rFonts w:hint="eastAsia" w:ascii="宋体" w:hAnsi="宋体" w:eastAsia="宋体" w:cs="宋体"/>
                <w:color w:val="auto"/>
                <w:sz w:val="24"/>
                <w:szCs w:val="24"/>
                <w:highlight w:val="none"/>
              </w:rPr>
            </w:pPr>
          </w:p>
          <w:p w14:paraId="7C3BD2CB">
            <w:pPr>
              <w:pStyle w:val="22"/>
              <w:spacing w:before="78" w:line="183" w:lineRule="auto"/>
              <w:ind w:left="25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568" w:type="dxa"/>
          </w:tcPr>
          <w:p w14:paraId="028CE04F">
            <w:pPr>
              <w:spacing w:line="266" w:lineRule="auto"/>
              <w:rPr>
                <w:rFonts w:hint="eastAsia" w:ascii="宋体" w:hAnsi="宋体" w:eastAsia="宋体" w:cs="宋体"/>
                <w:color w:val="auto"/>
                <w:sz w:val="24"/>
                <w:szCs w:val="24"/>
                <w:highlight w:val="none"/>
              </w:rPr>
            </w:pPr>
          </w:p>
          <w:p w14:paraId="0228ADF9">
            <w:pPr>
              <w:spacing w:line="267" w:lineRule="auto"/>
              <w:rPr>
                <w:rFonts w:hint="eastAsia" w:ascii="宋体" w:hAnsi="宋体" w:eastAsia="宋体" w:cs="宋体"/>
                <w:color w:val="auto"/>
                <w:sz w:val="24"/>
                <w:szCs w:val="24"/>
                <w:highlight w:val="none"/>
              </w:rPr>
            </w:pPr>
          </w:p>
          <w:p w14:paraId="4939FDFE">
            <w:pPr>
              <w:pStyle w:val="22"/>
              <w:spacing w:before="78" w:line="219" w:lineRule="auto"/>
              <w:ind w:left="316"/>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付款方式</w:t>
            </w:r>
          </w:p>
        </w:tc>
        <w:tc>
          <w:tcPr>
            <w:tcW w:w="7980" w:type="dxa"/>
          </w:tcPr>
          <w:p w14:paraId="50AD7B2B">
            <w:pPr>
              <w:pStyle w:val="22"/>
              <w:spacing w:before="184" w:line="289" w:lineRule="auto"/>
              <w:ind w:left="61" w:right="25" w:firstLine="47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保安服务费实行月结制，月结金额=投标报价÷12。服务满一个月后，投标人按采购人考核结果向采购人开具国家规定的正式发票，采购人在收到发票的5个工作日内进行核定支付，支付采取转账的方式（特殊情况除外）；投标人开票延迟的，采购人有权推延付款，且不视为采购人违约。</w:t>
            </w:r>
          </w:p>
        </w:tc>
      </w:tr>
      <w:tr w14:paraId="4A2A8C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601" w:type="dxa"/>
          </w:tcPr>
          <w:p w14:paraId="047EEFAB">
            <w:pPr>
              <w:spacing w:line="265" w:lineRule="auto"/>
              <w:rPr>
                <w:rFonts w:hint="eastAsia" w:ascii="宋体" w:hAnsi="宋体" w:eastAsia="宋体" w:cs="宋体"/>
                <w:color w:val="auto"/>
                <w:sz w:val="24"/>
                <w:szCs w:val="24"/>
                <w:highlight w:val="none"/>
              </w:rPr>
            </w:pPr>
          </w:p>
          <w:p w14:paraId="44467018">
            <w:pPr>
              <w:spacing w:line="265" w:lineRule="auto"/>
              <w:rPr>
                <w:rFonts w:hint="eastAsia" w:ascii="宋体" w:hAnsi="宋体" w:eastAsia="宋体" w:cs="宋体"/>
                <w:color w:val="auto"/>
                <w:sz w:val="24"/>
                <w:szCs w:val="24"/>
                <w:highlight w:val="none"/>
              </w:rPr>
            </w:pPr>
          </w:p>
          <w:p w14:paraId="548224A4">
            <w:pPr>
              <w:spacing w:line="265" w:lineRule="auto"/>
              <w:rPr>
                <w:rFonts w:hint="eastAsia" w:ascii="宋体" w:hAnsi="宋体" w:eastAsia="宋体" w:cs="宋体"/>
                <w:color w:val="auto"/>
                <w:sz w:val="24"/>
                <w:szCs w:val="24"/>
                <w:highlight w:val="none"/>
              </w:rPr>
            </w:pPr>
          </w:p>
          <w:p w14:paraId="08914653">
            <w:pPr>
              <w:spacing w:line="266" w:lineRule="auto"/>
              <w:rPr>
                <w:rFonts w:hint="eastAsia" w:ascii="宋体" w:hAnsi="宋体" w:eastAsia="宋体" w:cs="宋体"/>
                <w:color w:val="auto"/>
                <w:sz w:val="24"/>
                <w:szCs w:val="24"/>
                <w:highlight w:val="none"/>
              </w:rPr>
            </w:pPr>
          </w:p>
          <w:p w14:paraId="6B5490CD">
            <w:pPr>
              <w:spacing w:line="266" w:lineRule="auto"/>
              <w:rPr>
                <w:rFonts w:hint="eastAsia" w:ascii="宋体" w:hAnsi="宋体" w:eastAsia="宋体" w:cs="宋体"/>
                <w:color w:val="auto"/>
                <w:sz w:val="24"/>
                <w:szCs w:val="24"/>
                <w:highlight w:val="none"/>
              </w:rPr>
            </w:pPr>
          </w:p>
          <w:p w14:paraId="088F2DA2">
            <w:pPr>
              <w:spacing w:line="266" w:lineRule="auto"/>
              <w:rPr>
                <w:rFonts w:hint="eastAsia" w:ascii="宋体" w:hAnsi="宋体" w:eastAsia="宋体" w:cs="宋体"/>
                <w:color w:val="auto"/>
                <w:sz w:val="24"/>
                <w:szCs w:val="24"/>
                <w:highlight w:val="none"/>
              </w:rPr>
            </w:pPr>
          </w:p>
          <w:p w14:paraId="04E36DD9">
            <w:pPr>
              <w:spacing w:line="266" w:lineRule="auto"/>
              <w:rPr>
                <w:rFonts w:hint="eastAsia" w:ascii="宋体" w:hAnsi="宋体" w:eastAsia="宋体" w:cs="宋体"/>
                <w:color w:val="auto"/>
                <w:sz w:val="24"/>
                <w:szCs w:val="24"/>
                <w:highlight w:val="none"/>
              </w:rPr>
            </w:pPr>
          </w:p>
          <w:p w14:paraId="7A4A15C3">
            <w:pPr>
              <w:spacing w:line="266" w:lineRule="auto"/>
              <w:rPr>
                <w:rFonts w:hint="eastAsia" w:ascii="宋体" w:hAnsi="宋体" w:eastAsia="宋体" w:cs="宋体"/>
                <w:color w:val="auto"/>
                <w:sz w:val="24"/>
                <w:szCs w:val="24"/>
                <w:highlight w:val="none"/>
              </w:rPr>
            </w:pPr>
          </w:p>
          <w:p w14:paraId="489859B7">
            <w:pPr>
              <w:spacing w:line="266" w:lineRule="auto"/>
              <w:rPr>
                <w:rFonts w:hint="eastAsia" w:ascii="宋体" w:hAnsi="宋体" w:eastAsia="宋体" w:cs="宋体"/>
                <w:color w:val="auto"/>
                <w:sz w:val="24"/>
                <w:szCs w:val="24"/>
                <w:highlight w:val="none"/>
              </w:rPr>
            </w:pPr>
          </w:p>
          <w:p w14:paraId="13D99D51">
            <w:pPr>
              <w:pStyle w:val="22"/>
              <w:spacing w:before="78" w:line="183" w:lineRule="auto"/>
              <w:ind w:left="25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568" w:type="dxa"/>
          </w:tcPr>
          <w:p w14:paraId="2B2EEB2C">
            <w:pPr>
              <w:spacing w:line="261" w:lineRule="auto"/>
              <w:rPr>
                <w:rFonts w:hint="eastAsia" w:ascii="宋体" w:hAnsi="宋体" w:eastAsia="宋体" w:cs="宋体"/>
                <w:color w:val="auto"/>
                <w:sz w:val="24"/>
                <w:szCs w:val="24"/>
                <w:highlight w:val="none"/>
              </w:rPr>
            </w:pPr>
          </w:p>
          <w:p w14:paraId="4FD39328">
            <w:pPr>
              <w:spacing w:line="261" w:lineRule="auto"/>
              <w:rPr>
                <w:rFonts w:hint="eastAsia" w:ascii="宋体" w:hAnsi="宋体" w:eastAsia="宋体" w:cs="宋体"/>
                <w:color w:val="auto"/>
                <w:sz w:val="24"/>
                <w:szCs w:val="24"/>
                <w:highlight w:val="none"/>
              </w:rPr>
            </w:pPr>
          </w:p>
          <w:p w14:paraId="5060F64E">
            <w:pPr>
              <w:spacing w:line="261" w:lineRule="auto"/>
              <w:rPr>
                <w:rFonts w:hint="eastAsia" w:ascii="宋体" w:hAnsi="宋体" w:eastAsia="宋体" w:cs="宋体"/>
                <w:color w:val="auto"/>
                <w:sz w:val="24"/>
                <w:szCs w:val="24"/>
                <w:highlight w:val="none"/>
              </w:rPr>
            </w:pPr>
          </w:p>
          <w:p w14:paraId="21F4A872">
            <w:pPr>
              <w:spacing w:line="261" w:lineRule="auto"/>
              <w:rPr>
                <w:rFonts w:hint="eastAsia" w:ascii="宋体" w:hAnsi="宋体" w:eastAsia="宋体" w:cs="宋体"/>
                <w:color w:val="auto"/>
                <w:sz w:val="24"/>
                <w:szCs w:val="24"/>
                <w:highlight w:val="none"/>
              </w:rPr>
            </w:pPr>
          </w:p>
          <w:p w14:paraId="057FE21E">
            <w:pPr>
              <w:spacing w:line="261" w:lineRule="auto"/>
              <w:rPr>
                <w:rFonts w:hint="eastAsia" w:ascii="宋体" w:hAnsi="宋体" w:eastAsia="宋体" w:cs="宋体"/>
                <w:color w:val="auto"/>
                <w:sz w:val="24"/>
                <w:szCs w:val="24"/>
                <w:highlight w:val="none"/>
              </w:rPr>
            </w:pPr>
          </w:p>
          <w:p w14:paraId="7616A3CB">
            <w:pPr>
              <w:spacing w:line="262" w:lineRule="auto"/>
              <w:rPr>
                <w:rFonts w:hint="eastAsia" w:ascii="宋体" w:hAnsi="宋体" w:eastAsia="宋体" w:cs="宋体"/>
                <w:color w:val="auto"/>
                <w:sz w:val="24"/>
                <w:szCs w:val="24"/>
                <w:highlight w:val="none"/>
              </w:rPr>
            </w:pPr>
          </w:p>
          <w:p w14:paraId="04E230D0">
            <w:pPr>
              <w:spacing w:line="262" w:lineRule="auto"/>
              <w:rPr>
                <w:rFonts w:hint="eastAsia" w:ascii="宋体" w:hAnsi="宋体" w:eastAsia="宋体" w:cs="宋体"/>
                <w:color w:val="auto"/>
                <w:sz w:val="24"/>
                <w:szCs w:val="24"/>
                <w:highlight w:val="none"/>
              </w:rPr>
            </w:pPr>
          </w:p>
          <w:p w14:paraId="63EB3018">
            <w:pPr>
              <w:spacing w:line="262" w:lineRule="auto"/>
              <w:rPr>
                <w:rFonts w:hint="eastAsia" w:ascii="宋体" w:hAnsi="宋体" w:eastAsia="宋体" w:cs="宋体"/>
                <w:color w:val="auto"/>
                <w:sz w:val="24"/>
                <w:szCs w:val="24"/>
                <w:highlight w:val="none"/>
              </w:rPr>
            </w:pPr>
          </w:p>
          <w:p w14:paraId="64919CA9">
            <w:pPr>
              <w:spacing w:line="262" w:lineRule="auto"/>
              <w:rPr>
                <w:rFonts w:hint="eastAsia" w:ascii="宋体" w:hAnsi="宋体" w:eastAsia="宋体" w:cs="宋体"/>
                <w:color w:val="auto"/>
                <w:sz w:val="24"/>
                <w:szCs w:val="24"/>
                <w:highlight w:val="none"/>
              </w:rPr>
            </w:pPr>
          </w:p>
          <w:p w14:paraId="176FCDB2">
            <w:pPr>
              <w:pStyle w:val="22"/>
              <w:spacing w:before="78" w:line="218" w:lineRule="auto"/>
              <w:ind w:left="314"/>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报价方式</w:t>
            </w:r>
          </w:p>
        </w:tc>
        <w:tc>
          <w:tcPr>
            <w:tcW w:w="7980" w:type="dxa"/>
          </w:tcPr>
          <w:p w14:paraId="4628613C">
            <w:pPr>
              <w:pStyle w:val="22"/>
              <w:spacing w:before="138" w:line="290" w:lineRule="auto"/>
              <w:ind w:left="43" w:right="25" w:firstLine="482"/>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3.1</w:t>
            </w:r>
            <w:r>
              <w:rPr>
                <w:rFonts w:hint="eastAsia" w:ascii="宋体" w:hAnsi="宋体" w:eastAsia="宋体" w:cs="宋体"/>
                <w:color w:val="auto"/>
                <w:spacing w:val="-50"/>
                <w:sz w:val="24"/>
                <w:szCs w:val="24"/>
                <w:highlight w:val="none"/>
              </w:rPr>
              <w:t xml:space="preserve"> </w:t>
            </w:r>
            <w:r>
              <w:rPr>
                <w:rFonts w:hint="eastAsia" w:ascii="宋体" w:hAnsi="宋体" w:eastAsia="宋体" w:cs="宋体"/>
                <w:color w:val="auto"/>
                <w:spacing w:val="1"/>
                <w:sz w:val="24"/>
                <w:szCs w:val="24"/>
                <w:highlight w:val="none"/>
              </w:rPr>
              <w:t>所有报价均以人民币报价</w:t>
            </w:r>
            <w:r>
              <w:rPr>
                <w:rFonts w:hint="eastAsia" w:ascii="宋体" w:hAnsi="宋体" w:eastAsia="宋体" w:cs="宋体"/>
                <w:color w:val="auto"/>
                <w:spacing w:val="-4"/>
                <w:sz w:val="24"/>
                <w:szCs w:val="24"/>
                <w:highlight w:val="none"/>
              </w:rPr>
              <w:t>。</w:t>
            </w:r>
          </w:p>
          <w:p w14:paraId="27856DD4">
            <w:pPr>
              <w:pStyle w:val="22"/>
              <w:spacing w:before="183" w:line="342" w:lineRule="auto"/>
              <w:ind w:left="41" w:right="24" w:firstLine="484"/>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3.2</w:t>
            </w:r>
            <w:r>
              <w:rPr>
                <w:rFonts w:hint="eastAsia" w:ascii="宋体" w:hAnsi="宋体" w:eastAsia="宋体" w:cs="宋体"/>
                <w:color w:val="auto"/>
                <w:spacing w:val="-45"/>
                <w:sz w:val="24"/>
                <w:szCs w:val="24"/>
                <w:highlight w:val="none"/>
              </w:rPr>
              <w:t xml:space="preserve"> </w:t>
            </w:r>
            <w:r>
              <w:rPr>
                <w:rFonts w:hint="eastAsia" w:ascii="宋体" w:hAnsi="宋体" w:cs="宋体"/>
                <w:color w:val="auto"/>
                <w:sz w:val="24"/>
                <w:highlight w:val="none"/>
              </w:rPr>
              <w:t>以人民币报价，本报价须包含本项目所涉及的一切费用，如人员工资（员工工资不得低于所在省份得人均基本工资）、奖金、员工社保、国家规定的员工福利待遇等、服装费、管理费、交通费、保险费、设备维护费、税费等一切相关服务期限内费用，在服务合同期内采购人不再另行追加或增补任何费用，其他费用和缺报漏报项目费用均有投标人自行负责。报价不得高于采购预算（控制价），否则视为无效投标，所有报价均超过采购预算的，招标活动终止。投标报价为一次性不得更改的最终报价，任何有选择的报价都将被拒绝</w:t>
            </w:r>
            <w:r>
              <w:rPr>
                <w:rFonts w:hint="eastAsia" w:ascii="宋体" w:hAnsi="宋体" w:eastAsia="宋体" w:cs="宋体"/>
                <w:color w:val="auto"/>
                <w:spacing w:val="-1"/>
                <w:sz w:val="24"/>
                <w:szCs w:val="24"/>
                <w:highlight w:val="none"/>
              </w:rPr>
              <w:t>。报价文件中大写金额和小写</w:t>
            </w:r>
            <w:r>
              <w:rPr>
                <w:rFonts w:hint="eastAsia" w:ascii="宋体" w:hAnsi="宋体" w:eastAsia="宋体" w:cs="宋体"/>
                <w:color w:val="auto"/>
                <w:sz w:val="24"/>
                <w:szCs w:val="24"/>
                <w:highlight w:val="none"/>
              </w:rPr>
              <w:t>金额不一致的，以大写金额为准；总价金额与</w:t>
            </w:r>
            <w:r>
              <w:rPr>
                <w:rFonts w:hint="eastAsia" w:ascii="宋体" w:hAnsi="宋体" w:eastAsia="宋体" w:cs="宋体"/>
                <w:color w:val="auto"/>
                <w:spacing w:val="-1"/>
                <w:sz w:val="24"/>
                <w:szCs w:val="24"/>
                <w:highlight w:val="none"/>
              </w:rPr>
              <w:t>按单价汇总金额不一致的，以</w:t>
            </w:r>
            <w:r>
              <w:rPr>
                <w:rFonts w:hint="eastAsia" w:ascii="宋体" w:hAnsi="宋体" w:eastAsia="宋体" w:cs="宋体"/>
                <w:color w:val="auto"/>
                <w:sz w:val="24"/>
                <w:szCs w:val="24"/>
                <w:highlight w:val="none"/>
              </w:rPr>
              <w:t>单价金额计算结果为准；单价金额小数点有明</w:t>
            </w:r>
            <w:r>
              <w:rPr>
                <w:rFonts w:hint="eastAsia" w:ascii="宋体" w:hAnsi="宋体" w:eastAsia="宋体" w:cs="宋体"/>
                <w:color w:val="auto"/>
                <w:spacing w:val="-1"/>
                <w:sz w:val="24"/>
                <w:szCs w:val="24"/>
                <w:highlight w:val="none"/>
              </w:rPr>
              <w:t>显错位的，应以总价为准，并</w:t>
            </w:r>
            <w:r>
              <w:rPr>
                <w:rFonts w:hint="eastAsia" w:ascii="宋体" w:hAnsi="宋体" w:eastAsia="宋体" w:cs="宋体"/>
                <w:color w:val="auto"/>
                <w:spacing w:val="-2"/>
                <w:sz w:val="24"/>
                <w:szCs w:val="24"/>
                <w:highlight w:val="none"/>
              </w:rPr>
              <w:t>修改单价。</w:t>
            </w:r>
          </w:p>
          <w:p w14:paraId="377E48E5">
            <w:pPr>
              <w:pStyle w:val="22"/>
              <w:spacing w:before="184" w:line="218" w:lineRule="auto"/>
              <w:ind w:left="526"/>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3.3 响应文件只允许有一个报价，有选择的报价将不予接受。</w:t>
            </w:r>
          </w:p>
        </w:tc>
      </w:tr>
      <w:tr w14:paraId="30336C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601" w:type="dxa"/>
          </w:tcPr>
          <w:p w14:paraId="0243EBD5">
            <w:pPr>
              <w:spacing w:line="269" w:lineRule="auto"/>
              <w:rPr>
                <w:rFonts w:hint="eastAsia" w:ascii="宋体" w:hAnsi="宋体" w:eastAsia="宋体" w:cs="宋体"/>
                <w:color w:val="auto"/>
                <w:sz w:val="24"/>
                <w:szCs w:val="24"/>
                <w:highlight w:val="none"/>
              </w:rPr>
            </w:pPr>
          </w:p>
          <w:p w14:paraId="4785397E">
            <w:pPr>
              <w:spacing w:line="270" w:lineRule="auto"/>
              <w:rPr>
                <w:rFonts w:hint="eastAsia" w:ascii="宋体" w:hAnsi="宋体" w:eastAsia="宋体" w:cs="宋体"/>
                <w:color w:val="auto"/>
                <w:sz w:val="24"/>
                <w:szCs w:val="24"/>
                <w:highlight w:val="none"/>
              </w:rPr>
            </w:pPr>
          </w:p>
          <w:p w14:paraId="73922C55">
            <w:pPr>
              <w:pStyle w:val="22"/>
              <w:spacing w:before="78" w:line="183" w:lineRule="auto"/>
              <w:ind w:left="25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568" w:type="dxa"/>
          </w:tcPr>
          <w:p w14:paraId="2EFABC93">
            <w:pPr>
              <w:spacing w:line="251" w:lineRule="auto"/>
              <w:rPr>
                <w:rFonts w:hint="eastAsia" w:ascii="宋体" w:hAnsi="宋体" w:eastAsia="宋体" w:cs="宋体"/>
                <w:color w:val="auto"/>
                <w:sz w:val="24"/>
                <w:szCs w:val="24"/>
                <w:highlight w:val="none"/>
              </w:rPr>
            </w:pPr>
          </w:p>
          <w:p w14:paraId="51FD38B7">
            <w:pPr>
              <w:spacing w:line="251" w:lineRule="auto"/>
              <w:rPr>
                <w:rFonts w:hint="eastAsia" w:ascii="宋体" w:hAnsi="宋体" w:eastAsia="宋体" w:cs="宋体"/>
                <w:color w:val="auto"/>
                <w:sz w:val="24"/>
                <w:szCs w:val="24"/>
                <w:highlight w:val="none"/>
              </w:rPr>
            </w:pPr>
          </w:p>
          <w:p w14:paraId="4C80A9A1">
            <w:pPr>
              <w:pStyle w:val="22"/>
              <w:spacing w:before="78" w:line="219" w:lineRule="auto"/>
              <w:ind w:left="316"/>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违约赔偿</w:t>
            </w:r>
          </w:p>
        </w:tc>
        <w:tc>
          <w:tcPr>
            <w:tcW w:w="7980" w:type="dxa"/>
          </w:tcPr>
          <w:p w14:paraId="62270ADD">
            <w:pPr>
              <w:pStyle w:val="22"/>
              <w:spacing w:before="145" w:line="347" w:lineRule="auto"/>
              <w:ind w:left="48" w:right="24" w:firstLine="472"/>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4.</w:t>
            </w:r>
            <w:r>
              <w:rPr>
                <w:rFonts w:hint="eastAsia" w:ascii="宋体" w:hAnsi="宋体" w:eastAsia="宋体" w:cs="宋体"/>
                <w:color w:val="auto"/>
                <w:spacing w:val="3"/>
                <w:sz w:val="24"/>
                <w:szCs w:val="24"/>
                <w:highlight w:val="none"/>
                <w:lang w:val="en-US" w:eastAsia="zh-CN"/>
              </w:rPr>
              <w:t>1</w:t>
            </w:r>
            <w:r>
              <w:rPr>
                <w:rFonts w:hint="eastAsia" w:ascii="宋体" w:hAnsi="宋体" w:eastAsia="宋体" w:cs="宋体"/>
                <w:color w:val="auto"/>
                <w:spacing w:val="3"/>
                <w:sz w:val="24"/>
                <w:szCs w:val="24"/>
                <w:highlight w:val="none"/>
              </w:rPr>
              <w:t>、</w:t>
            </w:r>
            <w:r>
              <w:rPr>
                <w:rFonts w:hint="eastAsia" w:ascii="宋体" w:hAnsi="宋体"/>
                <w:color w:val="auto"/>
                <w:sz w:val="24"/>
                <w:szCs w:val="24"/>
                <w:highlight w:val="none"/>
              </w:rPr>
              <w:t>中标供应商应保证在服务过程中对本项目需要保密的相关信息进行保密，否则中标供应商承担一切与之有关的责任。</w:t>
            </w:r>
          </w:p>
          <w:p w14:paraId="175B2906">
            <w:pPr>
              <w:spacing w:line="360" w:lineRule="auto"/>
              <w:ind w:firstLine="492" w:firstLineChars="200"/>
              <w:rPr>
                <w:rFonts w:hint="eastAsia" w:ascii="宋体" w:hAnsi="宋体"/>
                <w:color w:val="auto"/>
                <w:sz w:val="24"/>
                <w:szCs w:val="24"/>
                <w:highlight w:val="none"/>
              </w:rPr>
            </w:pPr>
            <w:r>
              <w:rPr>
                <w:rFonts w:hint="eastAsia" w:ascii="宋体" w:hAnsi="宋体" w:eastAsia="宋体" w:cs="宋体"/>
                <w:color w:val="auto"/>
                <w:spacing w:val="3"/>
                <w:sz w:val="24"/>
                <w:szCs w:val="24"/>
                <w:highlight w:val="none"/>
              </w:rPr>
              <w:t>4.</w:t>
            </w:r>
            <w:r>
              <w:rPr>
                <w:rFonts w:hint="eastAsia" w:ascii="宋体" w:hAnsi="宋体" w:eastAsia="宋体" w:cs="宋体"/>
                <w:color w:val="auto"/>
                <w:spacing w:val="3"/>
                <w:sz w:val="24"/>
                <w:szCs w:val="24"/>
                <w:highlight w:val="none"/>
                <w:lang w:val="en-US" w:eastAsia="zh-CN"/>
              </w:rPr>
              <w:t>2</w:t>
            </w:r>
            <w:r>
              <w:rPr>
                <w:rFonts w:hint="eastAsia" w:ascii="宋体" w:hAnsi="宋体" w:eastAsia="宋体" w:cs="宋体"/>
                <w:color w:val="auto"/>
                <w:spacing w:val="3"/>
                <w:sz w:val="24"/>
                <w:szCs w:val="24"/>
                <w:highlight w:val="none"/>
              </w:rPr>
              <w:t>、</w:t>
            </w:r>
            <w:r>
              <w:rPr>
                <w:rFonts w:hint="eastAsia" w:ascii="宋体" w:hAnsi="宋体" w:cs="宋体"/>
                <w:color w:val="auto"/>
                <w:kern w:val="0"/>
                <w:sz w:val="24"/>
                <w:szCs w:val="24"/>
                <w:highlight w:val="none"/>
              </w:rPr>
              <w:t>被外派</w:t>
            </w:r>
            <w:r>
              <w:rPr>
                <w:rFonts w:hint="eastAsia" w:ascii="宋体" w:hAnsi="宋体"/>
                <w:color w:val="auto"/>
                <w:sz w:val="24"/>
                <w:szCs w:val="24"/>
                <w:highlight w:val="none"/>
              </w:rPr>
              <w:t xml:space="preserve">人员发生工伤工亡事故时，中标供应商在接到采购人通知后，按《工伤保险条例》妥善处理，并由保险公司及第三方肇事者承担赔偿，超出工伤保险部分由投标人解决赔偿。被外派人员因个人原因或意外，或在非工作时间发生人身伤害、死亡情形的，由投标人负责处理，采购人概不负责。 </w:t>
            </w:r>
          </w:p>
          <w:p w14:paraId="69C6870A">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lang w:val="en-US" w:eastAsia="zh-CN"/>
              </w:rPr>
              <w:t>4.3、</w:t>
            </w:r>
            <w:r>
              <w:rPr>
                <w:rFonts w:hint="eastAsia" w:ascii="宋体" w:hAnsi="宋体"/>
                <w:color w:val="auto"/>
                <w:sz w:val="24"/>
                <w:szCs w:val="24"/>
                <w:highlight w:val="none"/>
              </w:rPr>
              <w:t>被外派人员应服从采购人工作安排，并严格遵守采购单位相关管理规章制度，若被外派人员违反采购单位相关管理规章制度由中标供应商负责，将扣除履约保证金1000-5000元不等。</w:t>
            </w:r>
          </w:p>
          <w:p w14:paraId="71297662">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lang w:val="en-US" w:eastAsia="zh-CN"/>
              </w:rPr>
              <w:t>4.4、</w:t>
            </w:r>
            <w:r>
              <w:rPr>
                <w:rFonts w:hint="eastAsia" w:ascii="宋体" w:hAnsi="宋体"/>
                <w:color w:val="auto"/>
                <w:sz w:val="24"/>
                <w:szCs w:val="24"/>
                <w:highlight w:val="none"/>
              </w:rPr>
              <w:t>中标供应商外派至采购单位工作的人员必须遵守合同的规定，遇特殊原因离职的需至少提前一个月向采购人提交书面报告，中标供应商应及时补充人员。若被外派人员未经批准，无故离职的，中标供应商未应及时补充人员到位，将扣除履约保证金1000-5000元不等。</w:t>
            </w:r>
          </w:p>
          <w:p w14:paraId="221194DE">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lang w:val="en-US" w:eastAsia="zh-CN"/>
              </w:rPr>
              <w:t>4.5、</w:t>
            </w:r>
            <w:r>
              <w:rPr>
                <w:rFonts w:hint="eastAsia" w:ascii="宋体" w:hAnsi="宋体"/>
                <w:color w:val="auto"/>
                <w:sz w:val="24"/>
                <w:szCs w:val="24"/>
                <w:highlight w:val="none"/>
              </w:rPr>
              <w:t>投标人应保证采购人在使用该服务时其任何一部分时不受第三方提出侵犯其专利权、商标权和设计权的起诉。如果任何第三方提出侵权指控或赔偿要求，中标供应商必须与第三方交涉，并承担发生和可能发生的一切损失、费用和法律责任。</w:t>
            </w:r>
          </w:p>
          <w:p w14:paraId="546E56D0">
            <w:pPr>
              <w:spacing w:line="360" w:lineRule="auto"/>
              <w:ind w:firstLine="480" w:firstLineChars="200"/>
              <w:rPr>
                <w:rFonts w:hint="default" w:ascii="宋体" w:hAnsi="宋体" w:eastAsia="仿宋"/>
                <w:color w:val="auto"/>
                <w:sz w:val="24"/>
                <w:szCs w:val="24"/>
                <w:highlight w:val="none"/>
                <w:lang w:val="en-US" w:eastAsia="zh-CN"/>
              </w:rPr>
            </w:pPr>
            <w:r>
              <w:rPr>
                <w:rFonts w:hint="eastAsia" w:ascii="宋体" w:hAnsi="宋体"/>
                <w:color w:val="auto"/>
                <w:sz w:val="24"/>
                <w:szCs w:val="24"/>
                <w:highlight w:val="none"/>
                <w:lang w:val="en-US" w:eastAsia="zh-CN"/>
              </w:rPr>
              <w:t>4.6、投标人在采购人行业内有违规违纪或不廉洁行为的取消中标资格。</w:t>
            </w:r>
          </w:p>
        </w:tc>
      </w:tr>
      <w:tr w14:paraId="3344BB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601" w:type="dxa"/>
          </w:tcPr>
          <w:p w14:paraId="7A7CB7F9">
            <w:pPr>
              <w:pStyle w:val="22"/>
              <w:spacing w:before="78" w:line="183" w:lineRule="auto"/>
              <w:ind w:left="254"/>
              <w:rPr>
                <w:rFonts w:hint="eastAsia" w:ascii="宋体" w:hAnsi="宋体" w:eastAsia="宋体" w:cs="宋体"/>
                <w:color w:val="auto"/>
                <w:sz w:val="24"/>
                <w:szCs w:val="24"/>
                <w:highlight w:val="none"/>
                <w:lang w:val="en-US" w:eastAsia="zh-CN"/>
              </w:rPr>
            </w:pPr>
          </w:p>
          <w:p w14:paraId="3E73B91B">
            <w:pPr>
              <w:pStyle w:val="22"/>
              <w:spacing w:before="78" w:line="183" w:lineRule="auto"/>
              <w:ind w:left="254"/>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1568" w:type="dxa"/>
          </w:tcPr>
          <w:p w14:paraId="55D02F64">
            <w:pPr>
              <w:spacing w:line="264" w:lineRule="auto"/>
              <w:rPr>
                <w:rFonts w:hint="eastAsia" w:ascii="宋体" w:hAnsi="宋体" w:eastAsia="宋体" w:cs="宋体"/>
                <w:color w:val="auto"/>
                <w:sz w:val="24"/>
                <w:szCs w:val="24"/>
                <w:highlight w:val="none"/>
              </w:rPr>
            </w:pPr>
          </w:p>
          <w:p w14:paraId="1B78627A">
            <w:pPr>
              <w:pStyle w:val="22"/>
              <w:spacing w:before="78" w:line="219" w:lineRule="auto"/>
              <w:ind w:left="517" w:leftChars="0"/>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项目验收</w:t>
            </w:r>
          </w:p>
        </w:tc>
        <w:tc>
          <w:tcPr>
            <w:tcW w:w="7980" w:type="dxa"/>
          </w:tcPr>
          <w:p w14:paraId="62466E66">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5.1、中标人在服务及验收活动中必须遵守采购人的有关规定。</w:t>
            </w:r>
          </w:p>
          <w:p w14:paraId="0ABE0B39">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pacing w:val="3"/>
                <w:sz w:val="24"/>
                <w:szCs w:val="24"/>
                <w:highlight w:val="none"/>
                <w:lang w:val="en-US" w:eastAsia="zh-CN"/>
              </w:rPr>
            </w:pP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、最终验收：在收到</w:t>
            </w:r>
            <w:r>
              <w:rPr>
                <w:rFonts w:hint="eastAsia" w:ascii="宋体" w:hAnsi="宋体" w:eastAsia="宋体" w:cs="宋体"/>
                <w:color w:val="auto"/>
                <w:sz w:val="24"/>
                <w:szCs w:val="24"/>
                <w:highlight w:val="none"/>
                <w:lang w:val="en-US" w:eastAsia="zh-CN"/>
              </w:rPr>
              <w:t>中标人</w:t>
            </w:r>
            <w:r>
              <w:rPr>
                <w:rFonts w:hint="eastAsia" w:ascii="宋体" w:hAnsi="宋体" w:eastAsia="宋体" w:cs="宋体"/>
                <w:color w:val="auto"/>
                <w:sz w:val="24"/>
                <w:szCs w:val="24"/>
                <w:highlight w:val="none"/>
                <w:lang w:eastAsia="zh-CN"/>
              </w:rPr>
              <w:t>书面验收通知后，由采购人尽快组织相关人员依照相关标准、规范、要求、合同及有关附件要求进行验收。</w:t>
            </w:r>
          </w:p>
        </w:tc>
      </w:tr>
    </w:tbl>
    <w:p w14:paraId="29EFC73D">
      <w:pPr>
        <w:widowControl w:val="0"/>
        <w:spacing w:line="249" w:lineRule="auto"/>
        <w:rPr>
          <w:rFonts w:hint="eastAsia" w:ascii="宋体" w:hAnsi="宋体" w:eastAsia="宋体" w:cs="宋体"/>
          <w:color w:val="auto"/>
          <w:highlight w:val="none"/>
          <w:lang w:eastAsia="zh-CN"/>
        </w:rPr>
      </w:pPr>
    </w:p>
    <w:p w14:paraId="0880309D">
      <w:pPr>
        <w:spacing w:line="440" w:lineRule="exact"/>
        <w:rPr>
          <w:rFonts w:hint="eastAsia" w:ascii="宋体" w:hAnsi="宋体" w:eastAsia="宋体" w:cs="宋体"/>
          <w:color w:val="auto"/>
          <w:highlight w:val="none"/>
          <w:lang w:eastAsia="zh-CN"/>
        </w:rPr>
      </w:pPr>
      <w:r>
        <w:rPr>
          <w:rFonts w:hint="eastAsia" w:ascii="宋体" w:hAnsi="宋体"/>
          <w:b/>
          <w:color w:val="auto"/>
          <w:sz w:val="24"/>
          <w:szCs w:val="24"/>
          <w:highlight w:val="none"/>
        </w:rPr>
        <w:t>注：</w:t>
      </w:r>
      <w:r>
        <w:rPr>
          <w:rFonts w:hint="eastAsia" w:ascii="宋体" w:hAnsi="宋体"/>
          <w:b/>
          <w:color w:val="auto"/>
          <w:kern w:val="0"/>
          <w:sz w:val="24"/>
          <w:szCs w:val="24"/>
          <w:highlight w:val="none"/>
        </w:rPr>
        <w:t>以上所有商务要求投标人必须全部满足，否则视为无效投标。投标人可以提供满足或优于以上基本需求的商务要求参加投标。</w:t>
      </w:r>
    </w:p>
    <w:p w14:paraId="7B2DBA6A">
      <w:pPr>
        <w:widowControl w:val="0"/>
        <w:spacing w:line="249" w:lineRule="auto"/>
        <w:rPr>
          <w:rFonts w:hint="eastAsia" w:ascii="宋体" w:hAnsi="宋体" w:eastAsia="宋体" w:cs="宋体"/>
          <w:color w:val="auto"/>
          <w:highlight w:val="none"/>
          <w:lang w:eastAsia="zh-CN"/>
        </w:rPr>
      </w:pPr>
    </w:p>
    <w:p w14:paraId="0354CF84">
      <w:pPr>
        <w:widowControl w:val="0"/>
        <w:spacing w:line="249" w:lineRule="auto"/>
        <w:rPr>
          <w:rFonts w:hint="eastAsia" w:ascii="宋体" w:hAnsi="宋体" w:eastAsia="宋体" w:cs="宋体"/>
          <w:color w:val="auto"/>
          <w:highlight w:val="none"/>
          <w:lang w:eastAsia="zh-CN"/>
        </w:rPr>
      </w:pPr>
    </w:p>
    <w:p w14:paraId="15AC6301">
      <w:pPr>
        <w:pStyle w:val="2"/>
        <w:rPr>
          <w:rFonts w:hint="eastAsia" w:ascii="宋体" w:hAnsi="宋体" w:eastAsia="宋体" w:cs="宋体"/>
          <w:color w:val="auto"/>
          <w:highlight w:val="none"/>
          <w:lang w:eastAsia="zh-CN"/>
        </w:rPr>
      </w:pPr>
    </w:p>
    <w:p w14:paraId="6A8E88DF">
      <w:pPr>
        <w:pStyle w:val="2"/>
        <w:rPr>
          <w:rFonts w:hint="eastAsia" w:ascii="宋体" w:hAnsi="宋体" w:eastAsia="宋体" w:cs="宋体"/>
          <w:color w:val="auto"/>
          <w:highlight w:val="none"/>
          <w:lang w:eastAsia="zh-CN"/>
        </w:rPr>
      </w:pPr>
    </w:p>
    <w:p w14:paraId="2265EA88">
      <w:pPr>
        <w:widowControl w:val="0"/>
        <w:numPr>
          <w:ilvl w:val="0"/>
          <w:numId w:val="8"/>
        </w:numPr>
        <w:spacing w:before="63" w:line="224" w:lineRule="auto"/>
        <w:ind w:left="3253"/>
        <w:outlineLvl w:val="0"/>
        <w:rPr>
          <w:rFonts w:hint="eastAsia" w:ascii="宋体" w:hAnsi="宋体" w:eastAsia="宋体" w:cs="宋体"/>
          <w:color w:val="auto"/>
          <w:sz w:val="31"/>
          <w:szCs w:val="31"/>
          <w:highlight w:val="none"/>
          <w:lang w:eastAsia="zh-CN"/>
        </w:rPr>
      </w:pPr>
      <w:bookmarkStart w:id="214" w:name="_Toc10892"/>
      <w:bookmarkStart w:id="215" w:name="_Toc14136"/>
      <w:r>
        <w:rPr>
          <w:rFonts w:hint="eastAsia" w:ascii="宋体" w:hAnsi="宋体" w:eastAsia="宋体" w:cs="宋体"/>
          <w:color w:val="auto"/>
          <w:sz w:val="31"/>
          <w:szCs w:val="31"/>
          <w:highlight w:val="none"/>
          <w:lang w:eastAsia="zh-CN"/>
        </w:rPr>
        <w:t>评标方法</w:t>
      </w:r>
      <w:bookmarkEnd w:id="214"/>
      <w:bookmarkEnd w:id="215"/>
    </w:p>
    <w:p w14:paraId="7A16F865">
      <w:pPr>
        <w:widowControl w:val="0"/>
        <w:spacing w:line="360" w:lineRule="auto"/>
        <w:ind w:right="109" w:firstLine="240" w:firstLineChars="100"/>
        <w:jc w:val="both"/>
        <w:rPr>
          <w:rFonts w:hint="eastAsia" w:ascii="宋体" w:hAnsi="宋体" w:eastAsia="宋体" w:cs="宋体"/>
          <w:color w:val="auto"/>
          <w:highlight w:val="none"/>
          <w:lang w:eastAsia="zh-CN"/>
        </w:rPr>
      </w:pPr>
      <w:r>
        <w:rPr>
          <w:rFonts w:hint="eastAsia" w:ascii="宋体" w:hAnsi="宋体" w:eastAsia="宋体" w:cs="宋体"/>
          <w:color w:val="auto"/>
          <w:sz w:val="24"/>
          <w:szCs w:val="24"/>
          <w:highlight w:val="none"/>
          <w:lang w:eastAsia="zh-CN"/>
        </w:rPr>
        <w:sym w:font="Wingdings 2" w:char="0052"/>
      </w:r>
      <w:r>
        <w:rPr>
          <w:rFonts w:hint="eastAsia" w:ascii="宋体" w:hAnsi="宋体" w:eastAsia="宋体" w:cs="宋体"/>
          <w:color w:val="auto"/>
          <w:sz w:val="24"/>
          <w:szCs w:val="24"/>
          <w:highlight w:val="none"/>
          <w:lang w:eastAsia="zh-CN"/>
        </w:rPr>
        <w:t xml:space="preserve">  综合评分法</w:t>
      </w:r>
    </w:p>
    <w:p w14:paraId="301CE01F">
      <w:pPr>
        <w:pStyle w:val="4"/>
        <w:widowControl w:val="0"/>
        <w:numPr>
          <w:ilvl w:val="0"/>
          <w:numId w:val="9"/>
        </w:numPr>
        <w:spacing w:before="0" w:after="0"/>
        <w:jc w:val="both"/>
        <w:rPr>
          <w:rFonts w:hint="eastAsia" w:ascii="宋体" w:hAnsi="宋体" w:eastAsia="宋体" w:cs="宋体"/>
          <w:color w:val="auto"/>
          <w:sz w:val="24"/>
          <w:szCs w:val="24"/>
          <w:highlight w:val="none"/>
          <w:lang w:eastAsia="zh-CN"/>
        </w:rPr>
      </w:pPr>
      <w:bookmarkStart w:id="216" w:name="_Toc14396"/>
      <w:bookmarkStart w:id="217" w:name="_Toc11411"/>
      <w:r>
        <w:rPr>
          <w:rFonts w:hint="eastAsia" w:ascii="宋体" w:hAnsi="宋体" w:eastAsia="宋体" w:cs="宋体"/>
          <w:color w:val="auto"/>
          <w:sz w:val="24"/>
          <w:szCs w:val="24"/>
          <w:highlight w:val="none"/>
          <w:lang w:eastAsia="zh-CN"/>
        </w:rPr>
        <w:t>符合性审查</w:t>
      </w:r>
      <w:bookmarkEnd w:id="216"/>
      <w:bookmarkEnd w:id="217"/>
    </w:p>
    <w:tbl>
      <w:tblPr>
        <w:tblStyle w:val="16"/>
        <w:tblpPr w:leftFromText="180" w:rightFromText="180" w:vertAnchor="text" w:horzAnchor="page" w:tblpX="1582" w:tblpY="574"/>
        <w:tblOverlap w:val="never"/>
        <w:tblW w:w="96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2"/>
        <w:gridCol w:w="7756"/>
        <w:gridCol w:w="840"/>
      </w:tblGrid>
      <w:tr w14:paraId="06C24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9608" w:type="dxa"/>
            <w:gridSpan w:val="3"/>
            <w:tcBorders>
              <w:top w:val="single" w:color="auto" w:sz="4" w:space="0"/>
              <w:left w:val="single" w:color="auto" w:sz="4" w:space="0"/>
              <w:bottom w:val="single" w:color="auto" w:sz="4" w:space="0"/>
              <w:right w:val="single" w:color="auto" w:sz="4" w:space="0"/>
            </w:tcBorders>
            <w:noWrap/>
            <w:vAlign w:val="center"/>
          </w:tcPr>
          <w:p w14:paraId="778A42AF">
            <w:pPr>
              <w:widowControl w:val="0"/>
              <w:jc w:val="center"/>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（一）价格部分（</w:t>
            </w:r>
            <w:r>
              <w:rPr>
                <w:rFonts w:hint="eastAsia" w:ascii="宋体" w:hAnsi="宋体" w:eastAsia="宋体" w:cs="宋体"/>
                <w:b/>
                <w:color w:val="auto"/>
                <w:sz w:val="24"/>
                <w:szCs w:val="24"/>
                <w:highlight w:val="none"/>
                <w:lang w:val="en-US" w:eastAsia="zh-CN"/>
              </w:rPr>
              <w:t>21</w:t>
            </w:r>
            <w:r>
              <w:rPr>
                <w:rFonts w:hint="eastAsia" w:ascii="宋体" w:hAnsi="宋体" w:eastAsia="宋体" w:cs="宋体"/>
                <w:b/>
                <w:color w:val="auto"/>
                <w:sz w:val="24"/>
                <w:szCs w:val="24"/>
                <w:highlight w:val="none"/>
                <w:lang w:eastAsia="zh-CN"/>
              </w:rPr>
              <w:t>分）</w:t>
            </w:r>
          </w:p>
        </w:tc>
      </w:tr>
      <w:tr w14:paraId="726AF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012" w:type="dxa"/>
            <w:tcBorders>
              <w:top w:val="single" w:color="auto" w:sz="4" w:space="0"/>
              <w:left w:val="single" w:color="auto" w:sz="4" w:space="0"/>
              <w:bottom w:val="single" w:color="auto" w:sz="4" w:space="0"/>
              <w:right w:val="single" w:color="auto" w:sz="4" w:space="0"/>
            </w:tcBorders>
            <w:noWrap/>
            <w:vAlign w:val="center"/>
          </w:tcPr>
          <w:p w14:paraId="038092EF">
            <w:pPr>
              <w:widowControl w:val="0"/>
              <w:jc w:val="center"/>
              <w:rPr>
                <w:rFonts w:hint="eastAsia" w:ascii="宋体" w:hAnsi="宋体" w:eastAsia="宋体" w:cs="宋体"/>
                <w:bCs/>
                <w:color w:val="auto"/>
                <w:sz w:val="24"/>
                <w:szCs w:val="24"/>
                <w:highlight w:val="none"/>
              </w:rPr>
            </w:pPr>
            <w:r>
              <w:rPr>
                <w:rFonts w:hint="eastAsia" w:ascii="宋体" w:hAnsi="宋体" w:eastAsia="宋体" w:cs="宋体"/>
                <w:b/>
                <w:color w:val="auto"/>
                <w:sz w:val="24"/>
                <w:szCs w:val="24"/>
                <w:highlight w:val="none"/>
              </w:rPr>
              <w:t>评分点</w:t>
            </w:r>
          </w:p>
        </w:tc>
        <w:tc>
          <w:tcPr>
            <w:tcW w:w="7756" w:type="dxa"/>
            <w:tcBorders>
              <w:top w:val="single" w:color="auto" w:sz="4" w:space="0"/>
              <w:left w:val="single" w:color="auto" w:sz="4" w:space="0"/>
              <w:bottom w:val="single" w:color="auto" w:sz="4" w:space="0"/>
              <w:right w:val="single" w:color="auto" w:sz="4" w:space="0"/>
            </w:tcBorders>
            <w:noWrap/>
            <w:vAlign w:val="center"/>
          </w:tcPr>
          <w:p w14:paraId="25575249">
            <w:pPr>
              <w:widowControl w:val="0"/>
              <w:ind w:firstLine="361" w:firstLineChars="150"/>
              <w:jc w:val="center"/>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评审内容</w:t>
            </w:r>
          </w:p>
        </w:tc>
        <w:tc>
          <w:tcPr>
            <w:tcW w:w="840" w:type="dxa"/>
            <w:tcBorders>
              <w:top w:val="single" w:color="auto" w:sz="4" w:space="0"/>
              <w:left w:val="single" w:color="auto" w:sz="4" w:space="0"/>
              <w:bottom w:val="single" w:color="auto" w:sz="4" w:space="0"/>
              <w:right w:val="single" w:color="auto" w:sz="4" w:space="0"/>
            </w:tcBorders>
            <w:noWrap/>
            <w:vAlign w:val="center"/>
          </w:tcPr>
          <w:p w14:paraId="397D37C3">
            <w:pPr>
              <w:widowControl w:val="0"/>
              <w:jc w:val="center"/>
              <w:rPr>
                <w:rFonts w:hint="eastAsia" w:ascii="宋体" w:hAnsi="宋体" w:eastAsia="宋体" w:cs="宋体"/>
                <w:bCs/>
                <w:color w:val="auto"/>
                <w:sz w:val="24"/>
                <w:szCs w:val="24"/>
                <w:highlight w:val="none"/>
              </w:rPr>
            </w:pPr>
            <w:r>
              <w:rPr>
                <w:rFonts w:hint="eastAsia" w:ascii="宋体" w:hAnsi="宋体" w:eastAsia="宋体" w:cs="宋体"/>
                <w:b/>
                <w:color w:val="auto"/>
                <w:sz w:val="24"/>
                <w:szCs w:val="24"/>
                <w:highlight w:val="none"/>
              </w:rPr>
              <w:t>分值</w:t>
            </w:r>
          </w:p>
        </w:tc>
      </w:tr>
      <w:tr w14:paraId="3F959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0" w:hRule="atLeast"/>
        </w:trPr>
        <w:tc>
          <w:tcPr>
            <w:tcW w:w="1012" w:type="dxa"/>
            <w:tcBorders>
              <w:top w:val="single" w:color="auto" w:sz="4" w:space="0"/>
              <w:left w:val="single" w:color="auto" w:sz="4" w:space="0"/>
              <w:bottom w:val="single" w:color="auto" w:sz="4" w:space="0"/>
              <w:right w:val="single" w:color="auto" w:sz="4" w:space="0"/>
            </w:tcBorders>
            <w:noWrap/>
            <w:vAlign w:val="center"/>
          </w:tcPr>
          <w:p w14:paraId="1F7970D8">
            <w:pPr>
              <w:widowControl w:val="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报价</w:t>
            </w:r>
          </w:p>
        </w:tc>
        <w:tc>
          <w:tcPr>
            <w:tcW w:w="7756" w:type="dxa"/>
            <w:tcBorders>
              <w:top w:val="single" w:color="auto" w:sz="4" w:space="0"/>
              <w:left w:val="single" w:color="auto" w:sz="4" w:space="0"/>
              <w:bottom w:val="single" w:color="auto" w:sz="4" w:space="0"/>
              <w:right w:val="single" w:color="auto" w:sz="4" w:space="0"/>
            </w:tcBorders>
            <w:noWrap/>
            <w:vAlign w:val="center"/>
          </w:tcPr>
          <w:p w14:paraId="7F0F0778">
            <w:pPr>
              <w:pageBreakBefore w:val="0"/>
              <w:widowControl w:val="0"/>
              <w:wordWrap/>
              <w:overflowPunct/>
              <w:topLinePunct w:val="0"/>
              <w:bidi w:val="0"/>
              <w:spacing w:before="36" w:line="359" w:lineRule="auto"/>
              <w:ind w:left="119" w:right="102" w:firstLine="480" w:firstLineChars="200"/>
              <w:jc w:val="both"/>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eastAsia="zh-CN"/>
              </w:rPr>
              <w:t>价格分采用低价优先法计算，即满足招标文件要求且投标价格最低的投标报价为评标基准价，其价格分为满分。其他投标人的价格分统一按下列公式计算：</w:t>
            </w:r>
          </w:p>
          <w:p w14:paraId="544B2857">
            <w:pPr>
              <w:keepNext w:val="0"/>
              <w:keepLines w:val="0"/>
              <w:pageBreakBefore w:val="0"/>
              <w:widowControl w:val="0"/>
              <w:kinsoku w:val="0"/>
              <w:wordWrap/>
              <w:overflowPunct/>
              <w:topLinePunct w:val="0"/>
              <w:autoSpaceDE w:val="0"/>
              <w:autoSpaceDN w:val="0"/>
              <w:bidi w:val="0"/>
              <w:adjustRightInd w:val="0"/>
              <w:snapToGrid w:val="0"/>
              <w:spacing w:before="36" w:line="240" w:lineRule="auto"/>
              <w:ind w:left="119" w:right="102"/>
              <w:jc w:val="both"/>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0"/>
                <w:position w:val="0"/>
                <w:sz w:val="24"/>
                <w:szCs w:val="24"/>
                <w:highlight w:val="none"/>
                <w:lang w:eastAsia="zh-CN"/>
              </w:rPr>
              <w:t>投标报价得分=（评标基准价/投标报价）*</w:t>
            </w:r>
            <w:r>
              <w:rPr>
                <w:rFonts w:hint="eastAsia" w:ascii="宋体" w:hAnsi="宋体" w:eastAsia="宋体" w:cs="宋体"/>
                <w:color w:val="auto"/>
                <w:spacing w:val="0"/>
                <w:position w:val="0"/>
                <w:sz w:val="24"/>
                <w:szCs w:val="24"/>
                <w:highlight w:val="none"/>
                <w:lang w:val="en-US" w:eastAsia="zh-CN"/>
              </w:rPr>
              <w:t>100* 报价分权重</w:t>
            </w:r>
          </w:p>
        </w:tc>
        <w:tc>
          <w:tcPr>
            <w:tcW w:w="840" w:type="dxa"/>
            <w:tcBorders>
              <w:top w:val="single" w:color="auto" w:sz="4" w:space="0"/>
              <w:left w:val="single" w:color="auto" w:sz="4" w:space="0"/>
              <w:bottom w:val="single" w:color="auto" w:sz="4" w:space="0"/>
              <w:right w:val="single" w:color="auto" w:sz="4" w:space="0"/>
            </w:tcBorders>
            <w:noWrap/>
            <w:vAlign w:val="center"/>
          </w:tcPr>
          <w:p w14:paraId="03ED4D9F">
            <w:pPr>
              <w:widowControl w:val="0"/>
              <w:jc w:val="center"/>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val="en-US" w:eastAsia="zh-CN"/>
              </w:rPr>
              <w:t>21</w:t>
            </w:r>
            <w:r>
              <w:rPr>
                <w:rFonts w:hint="eastAsia" w:ascii="宋体" w:hAnsi="宋体" w:eastAsia="宋体" w:cs="宋体"/>
                <w:bCs/>
                <w:color w:val="auto"/>
                <w:sz w:val="24"/>
                <w:szCs w:val="24"/>
                <w:highlight w:val="none"/>
              </w:rPr>
              <w:t>分</w:t>
            </w:r>
          </w:p>
        </w:tc>
      </w:tr>
      <w:tr w14:paraId="5D0D1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9608" w:type="dxa"/>
            <w:gridSpan w:val="3"/>
            <w:tcBorders>
              <w:top w:val="single" w:color="auto" w:sz="4" w:space="0"/>
              <w:left w:val="single" w:color="auto" w:sz="4" w:space="0"/>
              <w:bottom w:val="single" w:color="auto" w:sz="4" w:space="0"/>
              <w:right w:val="single" w:color="auto" w:sz="4" w:space="0"/>
            </w:tcBorders>
            <w:noWrap/>
            <w:vAlign w:val="center"/>
          </w:tcPr>
          <w:p w14:paraId="081B898E">
            <w:pPr>
              <w:widowControl w:val="0"/>
              <w:jc w:val="center"/>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（二）技术部分（</w:t>
            </w:r>
            <w:r>
              <w:rPr>
                <w:rFonts w:hint="eastAsia" w:ascii="宋体" w:hAnsi="宋体" w:eastAsia="宋体" w:cs="宋体"/>
                <w:b/>
                <w:color w:val="auto"/>
                <w:sz w:val="24"/>
                <w:szCs w:val="24"/>
                <w:highlight w:val="none"/>
                <w:lang w:val="en-US" w:eastAsia="zh-CN"/>
              </w:rPr>
              <w:t>28</w:t>
            </w:r>
            <w:r>
              <w:rPr>
                <w:rFonts w:hint="eastAsia" w:ascii="宋体" w:hAnsi="宋体" w:eastAsia="宋体" w:cs="宋体"/>
                <w:b/>
                <w:color w:val="auto"/>
                <w:sz w:val="24"/>
                <w:szCs w:val="24"/>
                <w:highlight w:val="none"/>
                <w:lang w:eastAsia="zh-CN"/>
              </w:rPr>
              <w:t>分）</w:t>
            </w:r>
          </w:p>
        </w:tc>
      </w:tr>
      <w:tr w14:paraId="755F5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12" w:type="dxa"/>
            <w:tcBorders>
              <w:top w:val="single" w:color="auto" w:sz="4" w:space="0"/>
              <w:left w:val="single" w:color="auto" w:sz="4" w:space="0"/>
              <w:bottom w:val="single" w:color="auto" w:sz="4" w:space="0"/>
              <w:right w:val="single" w:color="auto" w:sz="4" w:space="0"/>
            </w:tcBorders>
            <w:noWrap/>
            <w:vAlign w:val="center"/>
          </w:tcPr>
          <w:p w14:paraId="529F3F6D">
            <w:pPr>
              <w:widowControl w:val="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评分点</w:t>
            </w:r>
          </w:p>
        </w:tc>
        <w:tc>
          <w:tcPr>
            <w:tcW w:w="7756" w:type="dxa"/>
            <w:tcBorders>
              <w:top w:val="single" w:color="auto" w:sz="4" w:space="0"/>
              <w:left w:val="single" w:color="auto" w:sz="4" w:space="0"/>
              <w:bottom w:val="single" w:color="auto" w:sz="4" w:space="0"/>
              <w:right w:val="single" w:color="auto" w:sz="4" w:space="0"/>
            </w:tcBorders>
            <w:noWrap/>
            <w:vAlign w:val="center"/>
          </w:tcPr>
          <w:p w14:paraId="58E7B420">
            <w:pPr>
              <w:widowControl w:val="0"/>
              <w:ind w:firstLine="361" w:firstLineChars="15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评审内容</w:t>
            </w:r>
          </w:p>
        </w:tc>
        <w:tc>
          <w:tcPr>
            <w:tcW w:w="840" w:type="dxa"/>
            <w:tcBorders>
              <w:top w:val="single" w:color="auto" w:sz="4" w:space="0"/>
              <w:left w:val="single" w:color="auto" w:sz="4" w:space="0"/>
              <w:bottom w:val="single" w:color="auto" w:sz="4" w:space="0"/>
              <w:right w:val="single" w:color="auto" w:sz="4" w:space="0"/>
            </w:tcBorders>
            <w:noWrap/>
            <w:vAlign w:val="center"/>
          </w:tcPr>
          <w:p w14:paraId="60409BA0">
            <w:pPr>
              <w:widowControl w:val="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分值</w:t>
            </w:r>
          </w:p>
        </w:tc>
      </w:tr>
      <w:tr w14:paraId="41E92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012" w:type="dxa"/>
            <w:tcBorders>
              <w:top w:val="single" w:color="auto" w:sz="4" w:space="0"/>
              <w:left w:val="single" w:color="auto" w:sz="4" w:space="0"/>
              <w:bottom w:val="single" w:color="auto" w:sz="4" w:space="0"/>
              <w:right w:val="single" w:color="auto" w:sz="4" w:space="0"/>
            </w:tcBorders>
            <w:noWrap/>
            <w:vAlign w:val="center"/>
          </w:tcPr>
          <w:p w14:paraId="40268966">
            <w:pPr>
              <w:widowControl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技术指标及</w:t>
            </w:r>
          </w:p>
          <w:p w14:paraId="09556DB8">
            <w:pPr>
              <w:widowControl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要求</w:t>
            </w:r>
          </w:p>
        </w:tc>
        <w:tc>
          <w:tcPr>
            <w:tcW w:w="7756" w:type="dxa"/>
            <w:tcBorders>
              <w:top w:val="single" w:color="auto" w:sz="4" w:space="0"/>
              <w:left w:val="single" w:color="auto" w:sz="4" w:space="0"/>
              <w:bottom w:val="single" w:color="auto" w:sz="4" w:space="0"/>
              <w:right w:val="single" w:color="auto" w:sz="4" w:space="0"/>
            </w:tcBorders>
            <w:noWrap/>
            <w:vAlign w:val="center"/>
          </w:tcPr>
          <w:p w14:paraId="612C58D0">
            <w:pPr>
              <w:widowControl w:val="0"/>
              <w:spacing w:line="360" w:lineRule="auto"/>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完全响应招标文件“第五章采购需求”二、采购需求（一）服务需求中所有实质性条款，任何一项不满足投标无效。</w:t>
            </w:r>
          </w:p>
          <w:p w14:paraId="07B81C9B">
            <w:pPr>
              <w:widowControl w:val="0"/>
              <w:spacing w:line="360" w:lineRule="auto"/>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评审依据：服务需求响应/偏离表。</w:t>
            </w:r>
          </w:p>
        </w:tc>
        <w:tc>
          <w:tcPr>
            <w:tcW w:w="840" w:type="dxa"/>
            <w:tcBorders>
              <w:top w:val="single" w:color="auto" w:sz="4" w:space="0"/>
              <w:left w:val="single" w:color="auto" w:sz="4" w:space="0"/>
              <w:bottom w:val="single" w:color="auto" w:sz="4" w:space="0"/>
              <w:right w:val="single" w:color="auto" w:sz="4" w:space="0"/>
            </w:tcBorders>
            <w:noWrap/>
            <w:vAlign w:val="center"/>
          </w:tcPr>
          <w:p w14:paraId="7728DFCE">
            <w:pPr>
              <w:widowControl w:val="0"/>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符合性审查</w:t>
            </w:r>
          </w:p>
        </w:tc>
      </w:tr>
      <w:tr w14:paraId="34B40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012" w:type="dxa"/>
            <w:tcBorders>
              <w:top w:val="single" w:color="auto" w:sz="4" w:space="0"/>
              <w:left w:val="single" w:color="auto" w:sz="4" w:space="0"/>
              <w:bottom w:val="single" w:color="auto" w:sz="4" w:space="0"/>
              <w:right w:val="single" w:color="auto" w:sz="4" w:space="0"/>
            </w:tcBorders>
            <w:noWrap/>
            <w:vAlign w:val="center"/>
          </w:tcPr>
          <w:p w14:paraId="53819EED">
            <w:pPr>
              <w:bidi w:val="0"/>
              <w:jc w:val="center"/>
              <w:rPr>
                <w:rFonts w:hint="eastAsia" w:ascii="宋体" w:hAnsi="宋体" w:eastAsia="宋体" w:cs="宋体"/>
                <w:color w:val="auto"/>
                <w:sz w:val="24"/>
                <w:szCs w:val="24"/>
                <w:highlight w:val="none"/>
              </w:rPr>
            </w:pPr>
            <w:r>
              <w:rPr>
                <w:rFonts w:hint="eastAsia"/>
                <w:color w:val="auto"/>
                <w:sz w:val="24"/>
                <w:szCs w:val="24"/>
                <w:highlight w:val="none"/>
                <w:lang w:eastAsia="zh-CN"/>
              </w:rPr>
              <w:t>总体服务方案</w:t>
            </w:r>
          </w:p>
        </w:tc>
        <w:tc>
          <w:tcPr>
            <w:tcW w:w="7756" w:type="dxa"/>
            <w:tcBorders>
              <w:top w:val="single" w:color="auto" w:sz="4" w:space="0"/>
              <w:left w:val="single" w:color="auto" w:sz="4" w:space="0"/>
              <w:bottom w:val="single" w:color="auto" w:sz="4" w:space="0"/>
              <w:right w:val="single" w:color="auto" w:sz="4" w:space="0"/>
            </w:tcBorders>
            <w:noWrap/>
          </w:tcPr>
          <w:p w14:paraId="53482DD3">
            <w:pPr>
              <w:autoSpaceDE/>
              <w:autoSpaceDN/>
              <w:spacing w:line="440" w:lineRule="exact"/>
              <w:jc w:val="both"/>
              <w:textAlignment w:val="center"/>
              <w:rPr>
                <w:rFonts w:hint="default" w:ascii="宋体" w:hAnsi="宋体" w:eastAsia="宋体" w:cs="宋体"/>
                <w:b/>
                <w:bCs/>
                <w:i w:val="0"/>
                <w:iCs w:val="0"/>
                <w:color w:val="auto"/>
                <w:kern w:val="0"/>
                <w:sz w:val="24"/>
                <w:szCs w:val="24"/>
                <w:highlight w:val="none"/>
                <w:u w:val="none"/>
                <w:lang w:val="en-US" w:eastAsia="zh-CN"/>
              </w:rPr>
            </w:pPr>
            <w:r>
              <w:rPr>
                <w:rFonts w:hint="eastAsia"/>
                <w:color w:val="auto"/>
                <w:sz w:val="24"/>
                <w:highlight w:val="none"/>
              </w:rPr>
              <w:t>投标人提供完善合理的服务方案，方案须包含但不限于：</w:t>
            </w:r>
            <w:r>
              <w:rPr>
                <w:rFonts w:hint="eastAsia" w:ascii="宋体" w:hAnsi="宋体" w:eastAsia="宋体" w:cs="宋体"/>
                <w:i w:val="0"/>
                <w:iCs w:val="0"/>
                <w:color w:val="auto"/>
                <w:kern w:val="0"/>
                <w:sz w:val="24"/>
                <w:szCs w:val="24"/>
                <w:highlight w:val="none"/>
                <w:u w:val="none"/>
                <w:lang w:val="en-US" w:eastAsia="zh-CN"/>
              </w:rPr>
              <w:t>①</w:t>
            </w:r>
            <w:r>
              <w:rPr>
                <w:rFonts w:hint="eastAsia"/>
                <w:color w:val="auto"/>
                <w:sz w:val="24"/>
                <w:highlight w:val="none"/>
              </w:rPr>
              <w:t>服务理念、目标</w:t>
            </w:r>
            <w:r>
              <w:rPr>
                <w:rFonts w:hint="eastAsia" w:ascii="宋体" w:hAnsi="宋体" w:eastAsia="宋体" w:cs="宋体"/>
                <w:i w:val="0"/>
                <w:iCs w:val="0"/>
                <w:color w:val="auto"/>
                <w:kern w:val="0"/>
                <w:sz w:val="24"/>
                <w:szCs w:val="24"/>
                <w:highlight w:val="none"/>
                <w:u w:val="none"/>
                <w:lang w:val="en-US" w:eastAsia="zh-CN"/>
              </w:rPr>
              <w:t>；②</w:t>
            </w:r>
            <w:r>
              <w:rPr>
                <w:rFonts w:hint="eastAsia"/>
                <w:color w:val="auto"/>
                <w:sz w:val="24"/>
                <w:highlight w:val="none"/>
              </w:rPr>
              <w:t>服务内容与服务标准</w:t>
            </w:r>
            <w:r>
              <w:rPr>
                <w:rFonts w:hint="eastAsia"/>
                <w:color w:val="auto"/>
                <w:sz w:val="24"/>
                <w:highlight w:val="none"/>
                <w:lang w:val="en-US" w:eastAsia="zh-CN"/>
              </w:rPr>
              <w:t>；③</w:t>
            </w:r>
            <w:r>
              <w:rPr>
                <w:rFonts w:hint="eastAsia"/>
                <w:color w:val="auto"/>
                <w:sz w:val="24"/>
                <w:highlight w:val="none"/>
              </w:rPr>
              <w:t>工作细则与工作流程</w:t>
            </w:r>
            <w:r>
              <w:rPr>
                <w:rFonts w:hint="eastAsia"/>
                <w:color w:val="auto"/>
                <w:sz w:val="24"/>
                <w:highlight w:val="none"/>
                <w:lang w:eastAsia="zh-CN"/>
              </w:rPr>
              <w:t>；④岗位职责与考核办法；⑤</w:t>
            </w:r>
            <w:r>
              <w:rPr>
                <w:rFonts w:hint="eastAsia"/>
                <w:color w:val="auto"/>
                <w:sz w:val="24"/>
                <w:highlight w:val="none"/>
              </w:rPr>
              <w:t>人事制度与培训制度</w:t>
            </w:r>
            <w:r>
              <w:rPr>
                <w:rFonts w:hint="eastAsia"/>
                <w:color w:val="auto"/>
                <w:sz w:val="24"/>
                <w:highlight w:val="none"/>
                <w:lang w:eastAsia="zh-CN"/>
              </w:rPr>
              <w:t>；⑥</w:t>
            </w:r>
            <w:r>
              <w:rPr>
                <w:rFonts w:hint="eastAsia"/>
                <w:color w:val="auto"/>
                <w:sz w:val="24"/>
                <w:highlight w:val="none"/>
              </w:rPr>
              <w:t>.应急预案及措施</w:t>
            </w:r>
            <w:r>
              <w:rPr>
                <w:rFonts w:hint="eastAsia"/>
                <w:color w:val="auto"/>
                <w:sz w:val="24"/>
                <w:highlight w:val="none"/>
                <w:lang w:eastAsia="zh-CN"/>
              </w:rPr>
              <w:t>；⑦</w:t>
            </w:r>
            <w:r>
              <w:rPr>
                <w:rFonts w:hint="eastAsia"/>
                <w:color w:val="auto"/>
                <w:sz w:val="24"/>
                <w:highlight w:val="none"/>
              </w:rPr>
              <w:t>投标人须在违反服务规定时的处理及整改效率等方面有完整的处理措施</w:t>
            </w:r>
            <w:r>
              <w:rPr>
                <w:rFonts w:hint="eastAsia"/>
                <w:color w:val="auto"/>
                <w:sz w:val="24"/>
                <w:highlight w:val="none"/>
                <w:lang w:eastAsia="zh-CN"/>
              </w:rPr>
              <w:t>；⑧</w:t>
            </w:r>
            <w:r>
              <w:rPr>
                <w:rFonts w:hint="eastAsia"/>
                <w:color w:val="auto"/>
                <w:sz w:val="24"/>
                <w:highlight w:val="none"/>
              </w:rPr>
              <w:t>投标人针对本项目具有保安服务的目标及质量指标控制的承诺</w:t>
            </w:r>
            <w:r>
              <w:rPr>
                <w:rFonts w:hint="eastAsia"/>
                <w:color w:val="auto"/>
                <w:sz w:val="24"/>
                <w:highlight w:val="none"/>
                <w:lang w:eastAsia="zh-CN"/>
              </w:rPr>
              <w:t>；</w:t>
            </w:r>
            <w:r>
              <w:rPr>
                <w:rFonts w:hint="eastAsia"/>
                <w:color w:val="auto"/>
                <w:sz w:val="24"/>
                <w:highlight w:val="none"/>
                <w:lang w:val="en-US" w:eastAsia="zh-CN"/>
              </w:rPr>
              <w:t>每有一项得1分，满分8分。</w:t>
            </w:r>
          </w:p>
          <w:p w14:paraId="4C470720">
            <w:pPr>
              <w:autoSpaceDE/>
              <w:autoSpaceDN/>
              <w:spacing w:line="440" w:lineRule="exact"/>
              <w:jc w:val="both"/>
              <w:textAlignment w:val="center"/>
              <w:rPr>
                <w:rFonts w:hint="eastAsia" w:ascii="宋体" w:hAnsi="宋体" w:eastAsia="宋体" w:cs="宋体"/>
                <w:color w:val="auto"/>
                <w:sz w:val="24"/>
                <w:szCs w:val="24"/>
                <w:highlight w:val="none"/>
                <w:lang w:eastAsia="zh-CN"/>
              </w:rPr>
            </w:pPr>
            <w:r>
              <w:rPr>
                <w:rFonts w:hint="eastAsia" w:ascii="宋体" w:hAnsi="宋体" w:eastAsia="宋体" w:cs="宋体"/>
                <w:b/>
                <w:bCs/>
                <w:i w:val="0"/>
                <w:iCs w:val="0"/>
                <w:color w:val="auto"/>
                <w:kern w:val="0"/>
                <w:sz w:val="24"/>
                <w:szCs w:val="24"/>
                <w:highlight w:val="none"/>
                <w:u w:val="none"/>
                <w:lang w:val="en-US" w:eastAsia="zh-CN"/>
              </w:rPr>
              <w:t>评审依据：提供详细合理的方案并加盖公章，未提供不得分。</w:t>
            </w:r>
          </w:p>
        </w:tc>
        <w:tc>
          <w:tcPr>
            <w:tcW w:w="840" w:type="dxa"/>
            <w:tcBorders>
              <w:top w:val="single" w:color="auto" w:sz="4" w:space="0"/>
              <w:left w:val="single" w:color="auto" w:sz="4" w:space="0"/>
              <w:bottom w:val="single" w:color="auto" w:sz="4" w:space="0"/>
              <w:right w:val="single" w:color="auto" w:sz="4" w:space="0"/>
            </w:tcBorders>
            <w:noWrap/>
            <w:vAlign w:val="center"/>
          </w:tcPr>
          <w:p w14:paraId="294704ED">
            <w:pPr>
              <w:pStyle w:val="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eastAsia="zh-CN"/>
              </w:rPr>
              <w:t>分</w:t>
            </w:r>
          </w:p>
        </w:tc>
      </w:tr>
      <w:tr w14:paraId="1C8AE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0" w:hRule="atLeast"/>
        </w:trPr>
        <w:tc>
          <w:tcPr>
            <w:tcW w:w="1012" w:type="dxa"/>
            <w:tcBorders>
              <w:top w:val="single" w:color="auto" w:sz="4" w:space="0"/>
              <w:left w:val="single" w:color="auto" w:sz="4" w:space="0"/>
              <w:bottom w:val="single" w:color="auto" w:sz="4" w:space="0"/>
              <w:right w:val="single" w:color="auto" w:sz="4" w:space="0"/>
            </w:tcBorders>
            <w:noWrap/>
            <w:vAlign w:val="center"/>
          </w:tcPr>
          <w:p w14:paraId="27739BE6">
            <w:pPr>
              <w:autoSpaceDE/>
              <w:autoSpaceDN/>
              <w:spacing w:line="440" w:lineRule="exact"/>
              <w:jc w:val="center"/>
              <w:textAlignment w:val="center"/>
              <w:rPr>
                <w:rFonts w:hint="eastAsia"/>
                <w:color w:val="auto"/>
                <w:sz w:val="24"/>
                <w:highlight w:val="none"/>
                <w:lang w:val="en-US" w:eastAsia="zh-CN"/>
              </w:rPr>
            </w:pPr>
            <w:r>
              <w:rPr>
                <w:rFonts w:hint="eastAsia"/>
                <w:color w:val="auto"/>
                <w:sz w:val="24"/>
                <w:highlight w:val="none"/>
                <w:lang w:val="en-US" w:eastAsia="zh-CN"/>
              </w:rPr>
              <w:t>拟</w:t>
            </w:r>
          </w:p>
          <w:p w14:paraId="17DEC279">
            <w:pPr>
              <w:autoSpaceDE/>
              <w:autoSpaceDN/>
              <w:spacing w:line="440" w:lineRule="exact"/>
              <w:jc w:val="center"/>
              <w:textAlignment w:val="center"/>
              <w:rPr>
                <w:rFonts w:hint="eastAsia"/>
                <w:color w:val="auto"/>
                <w:sz w:val="24"/>
                <w:highlight w:val="none"/>
                <w:lang w:val="en-US" w:eastAsia="zh-CN"/>
              </w:rPr>
            </w:pPr>
            <w:r>
              <w:rPr>
                <w:rFonts w:hint="eastAsia"/>
                <w:color w:val="auto"/>
                <w:sz w:val="24"/>
                <w:highlight w:val="none"/>
                <w:lang w:val="en-US" w:eastAsia="zh-CN"/>
              </w:rPr>
              <w:t>派</w:t>
            </w:r>
          </w:p>
          <w:p w14:paraId="27016FD8">
            <w:pPr>
              <w:autoSpaceDE/>
              <w:autoSpaceDN/>
              <w:spacing w:line="440" w:lineRule="exact"/>
              <w:jc w:val="center"/>
              <w:textAlignment w:val="center"/>
              <w:rPr>
                <w:rFonts w:hint="eastAsia"/>
                <w:color w:val="auto"/>
                <w:sz w:val="24"/>
                <w:highlight w:val="none"/>
                <w:lang w:val="en-US" w:eastAsia="zh-CN"/>
              </w:rPr>
            </w:pPr>
            <w:r>
              <w:rPr>
                <w:rFonts w:hint="eastAsia"/>
                <w:color w:val="auto"/>
                <w:sz w:val="24"/>
                <w:highlight w:val="none"/>
                <w:lang w:val="en-US" w:eastAsia="zh-CN"/>
              </w:rPr>
              <w:t>入</w:t>
            </w:r>
          </w:p>
          <w:p w14:paraId="5E8A8404">
            <w:pPr>
              <w:autoSpaceDE/>
              <w:autoSpaceDN/>
              <w:spacing w:line="440" w:lineRule="exact"/>
              <w:jc w:val="center"/>
              <w:textAlignment w:val="center"/>
              <w:rPr>
                <w:rFonts w:hint="eastAsia"/>
                <w:color w:val="auto"/>
                <w:sz w:val="24"/>
                <w:highlight w:val="none"/>
                <w:lang w:val="en-US" w:eastAsia="zh-CN"/>
              </w:rPr>
            </w:pPr>
            <w:r>
              <w:rPr>
                <w:rFonts w:hint="eastAsia"/>
                <w:color w:val="auto"/>
                <w:sz w:val="24"/>
                <w:highlight w:val="none"/>
                <w:lang w:val="en-US" w:eastAsia="zh-CN"/>
              </w:rPr>
              <w:t>本</w:t>
            </w:r>
          </w:p>
          <w:p w14:paraId="5D5E2837">
            <w:pPr>
              <w:autoSpaceDE/>
              <w:autoSpaceDN/>
              <w:spacing w:line="440" w:lineRule="exact"/>
              <w:jc w:val="center"/>
              <w:textAlignment w:val="center"/>
              <w:rPr>
                <w:rFonts w:hint="eastAsia"/>
                <w:color w:val="auto"/>
                <w:sz w:val="24"/>
                <w:highlight w:val="none"/>
                <w:lang w:val="en-US" w:eastAsia="zh-CN"/>
              </w:rPr>
            </w:pPr>
            <w:r>
              <w:rPr>
                <w:rFonts w:hint="eastAsia"/>
                <w:color w:val="auto"/>
                <w:sz w:val="24"/>
                <w:highlight w:val="none"/>
                <w:lang w:val="en-US" w:eastAsia="zh-CN"/>
              </w:rPr>
              <w:t>项</w:t>
            </w:r>
          </w:p>
          <w:p w14:paraId="3EF34679">
            <w:pPr>
              <w:autoSpaceDE/>
              <w:autoSpaceDN/>
              <w:spacing w:line="440" w:lineRule="exact"/>
              <w:jc w:val="center"/>
              <w:textAlignment w:val="center"/>
              <w:rPr>
                <w:rFonts w:hint="eastAsia"/>
                <w:color w:val="auto"/>
                <w:sz w:val="24"/>
                <w:highlight w:val="none"/>
                <w:lang w:val="en-US" w:eastAsia="zh-CN"/>
              </w:rPr>
            </w:pPr>
            <w:r>
              <w:rPr>
                <w:rFonts w:hint="eastAsia"/>
                <w:color w:val="auto"/>
                <w:sz w:val="24"/>
                <w:highlight w:val="none"/>
                <w:lang w:val="en-US" w:eastAsia="zh-CN"/>
              </w:rPr>
              <w:t>目</w:t>
            </w:r>
          </w:p>
          <w:p w14:paraId="31B95D87">
            <w:pPr>
              <w:autoSpaceDE/>
              <w:autoSpaceDN/>
              <w:spacing w:line="440" w:lineRule="exact"/>
              <w:jc w:val="center"/>
              <w:textAlignment w:val="center"/>
              <w:rPr>
                <w:rFonts w:hint="eastAsia"/>
                <w:color w:val="auto"/>
                <w:sz w:val="24"/>
                <w:highlight w:val="none"/>
                <w:lang w:val="en-US" w:eastAsia="zh-CN"/>
              </w:rPr>
            </w:pPr>
            <w:r>
              <w:rPr>
                <w:rFonts w:hint="eastAsia"/>
                <w:color w:val="auto"/>
                <w:sz w:val="24"/>
                <w:highlight w:val="none"/>
                <w:lang w:val="en-US" w:eastAsia="zh-CN"/>
              </w:rPr>
              <w:t>人</w:t>
            </w:r>
          </w:p>
          <w:p w14:paraId="5BDEED93">
            <w:pPr>
              <w:autoSpaceDE/>
              <w:autoSpaceDN/>
              <w:spacing w:line="440" w:lineRule="exact"/>
              <w:jc w:val="center"/>
              <w:textAlignment w:val="center"/>
              <w:rPr>
                <w:rFonts w:hint="eastAsia"/>
                <w:color w:val="auto"/>
                <w:sz w:val="24"/>
                <w:highlight w:val="none"/>
                <w:lang w:val="en-US" w:eastAsia="zh-CN"/>
              </w:rPr>
            </w:pPr>
            <w:r>
              <w:rPr>
                <w:rFonts w:hint="eastAsia"/>
                <w:color w:val="auto"/>
                <w:sz w:val="24"/>
                <w:highlight w:val="none"/>
                <w:lang w:val="en-US" w:eastAsia="zh-CN"/>
              </w:rPr>
              <w:t>员</w:t>
            </w:r>
          </w:p>
        </w:tc>
        <w:tc>
          <w:tcPr>
            <w:tcW w:w="7756" w:type="dxa"/>
            <w:tcBorders>
              <w:top w:val="single" w:color="auto" w:sz="4" w:space="0"/>
              <w:left w:val="single" w:color="auto" w:sz="4" w:space="0"/>
              <w:bottom w:val="single" w:color="auto" w:sz="4" w:space="0"/>
              <w:right w:val="single" w:color="auto" w:sz="4" w:space="0"/>
            </w:tcBorders>
            <w:noWrap/>
          </w:tcPr>
          <w:p w14:paraId="4B6F34B9">
            <w:pPr>
              <w:autoSpaceDE/>
              <w:autoSpaceDN/>
              <w:spacing w:line="440" w:lineRule="exact"/>
              <w:jc w:val="both"/>
              <w:textAlignment w:val="center"/>
              <w:rPr>
                <w:rFonts w:hint="eastAsia"/>
                <w:color w:val="auto"/>
                <w:sz w:val="24"/>
                <w:highlight w:val="none"/>
              </w:rPr>
            </w:pPr>
            <w:r>
              <w:rPr>
                <w:rFonts w:hint="eastAsia"/>
                <w:color w:val="auto"/>
                <w:sz w:val="24"/>
                <w:highlight w:val="none"/>
              </w:rPr>
              <w:t>1、投标人拟派本项目</w:t>
            </w:r>
            <w:r>
              <w:rPr>
                <w:rFonts w:hint="eastAsia"/>
                <w:color w:val="auto"/>
                <w:sz w:val="24"/>
                <w:highlight w:val="none"/>
                <w:lang w:val="en-US" w:eastAsia="zh-CN"/>
              </w:rPr>
              <w:t>除特勤巡逻岗外，其他</w:t>
            </w:r>
            <w:r>
              <w:rPr>
                <w:rFonts w:hint="eastAsia"/>
                <w:color w:val="auto"/>
                <w:sz w:val="24"/>
                <w:highlight w:val="none"/>
              </w:rPr>
              <w:t>男性安保人员</w:t>
            </w:r>
            <w:r>
              <w:rPr>
                <w:rFonts w:hint="eastAsia"/>
                <w:color w:val="auto"/>
                <w:sz w:val="24"/>
                <w:highlight w:val="none"/>
                <w:lang w:val="en-US" w:eastAsia="zh-CN"/>
              </w:rPr>
              <w:t>，</w:t>
            </w:r>
            <w:r>
              <w:rPr>
                <w:rFonts w:hint="eastAsia"/>
                <w:color w:val="auto"/>
                <w:sz w:val="24"/>
                <w:highlight w:val="none"/>
              </w:rPr>
              <w:t>有复员、退伍、转业的军人</w:t>
            </w:r>
            <w:r>
              <w:rPr>
                <w:rFonts w:hint="eastAsia"/>
                <w:color w:val="auto"/>
                <w:sz w:val="24"/>
                <w:highlight w:val="none"/>
                <w:lang w:val="en-US" w:eastAsia="zh-CN"/>
              </w:rPr>
              <w:t>或警校毕业生</w:t>
            </w:r>
            <w:r>
              <w:rPr>
                <w:rFonts w:hint="eastAsia"/>
                <w:color w:val="auto"/>
                <w:sz w:val="24"/>
                <w:highlight w:val="none"/>
              </w:rPr>
              <w:t>，每提供1人加</w:t>
            </w:r>
            <w:r>
              <w:rPr>
                <w:rFonts w:hint="eastAsia"/>
                <w:color w:val="auto"/>
                <w:sz w:val="24"/>
                <w:highlight w:val="none"/>
                <w:lang w:val="en-US"/>
              </w:rPr>
              <w:t>1</w:t>
            </w:r>
            <w:r>
              <w:rPr>
                <w:rFonts w:hint="eastAsia"/>
                <w:color w:val="auto"/>
                <w:sz w:val="24"/>
                <w:highlight w:val="none"/>
              </w:rPr>
              <w:t>分，本项最多加</w:t>
            </w:r>
            <w:r>
              <w:rPr>
                <w:rFonts w:hint="eastAsia"/>
                <w:color w:val="auto"/>
                <w:sz w:val="24"/>
                <w:highlight w:val="none"/>
                <w:lang w:val="en-US"/>
              </w:rPr>
              <w:t>10</w:t>
            </w:r>
            <w:r>
              <w:rPr>
                <w:rFonts w:hint="eastAsia"/>
                <w:color w:val="auto"/>
                <w:sz w:val="24"/>
                <w:highlight w:val="none"/>
              </w:rPr>
              <w:t>分。</w:t>
            </w:r>
          </w:p>
          <w:p w14:paraId="1A6C4912">
            <w:pPr>
              <w:autoSpaceDE/>
              <w:autoSpaceDN/>
              <w:spacing w:line="440" w:lineRule="exact"/>
              <w:jc w:val="both"/>
              <w:textAlignment w:val="center"/>
              <w:rPr>
                <w:rFonts w:hint="eastAsia"/>
                <w:b/>
                <w:bCs/>
                <w:color w:val="auto"/>
                <w:sz w:val="24"/>
                <w:highlight w:val="none"/>
              </w:rPr>
            </w:pPr>
            <w:r>
              <w:rPr>
                <w:rFonts w:hint="eastAsia"/>
                <w:b/>
                <w:bCs/>
                <w:color w:val="auto"/>
                <w:sz w:val="24"/>
                <w:highlight w:val="none"/>
              </w:rPr>
              <w:t>评审依据：投标文件中须提供复员、退伍、转业军人</w:t>
            </w:r>
            <w:r>
              <w:rPr>
                <w:rFonts w:hint="eastAsia"/>
                <w:b/>
                <w:bCs/>
                <w:color w:val="auto"/>
                <w:sz w:val="24"/>
                <w:highlight w:val="none"/>
                <w:lang w:eastAsia="zh-CN"/>
              </w:rPr>
              <w:t>、</w:t>
            </w:r>
            <w:r>
              <w:rPr>
                <w:rFonts w:hint="eastAsia"/>
                <w:b/>
                <w:bCs/>
                <w:color w:val="auto"/>
                <w:sz w:val="24"/>
                <w:highlight w:val="none"/>
                <w:lang w:val="en-US" w:eastAsia="zh-CN"/>
              </w:rPr>
              <w:t>警校毕业生</w:t>
            </w:r>
            <w:r>
              <w:rPr>
                <w:rFonts w:hint="eastAsia"/>
                <w:b/>
                <w:bCs/>
                <w:color w:val="auto"/>
                <w:sz w:val="24"/>
                <w:highlight w:val="none"/>
              </w:rPr>
              <w:t>相关证件以及开标前 6个月内任意一个月投标人为其缴纳社保的证明材料</w:t>
            </w:r>
            <w:r>
              <w:rPr>
                <w:rFonts w:hint="eastAsia"/>
                <w:b/>
                <w:bCs/>
                <w:color w:val="auto"/>
                <w:sz w:val="24"/>
                <w:highlight w:val="none"/>
                <w:lang w:val="en-US" w:eastAsia="zh-CN"/>
              </w:rPr>
              <w:t>扫描件</w:t>
            </w:r>
            <w:r>
              <w:rPr>
                <w:rFonts w:hint="eastAsia"/>
                <w:b/>
                <w:bCs/>
                <w:color w:val="auto"/>
                <w:sz w:val="24"/>
                <w:highlight w:val="none"/>
              </w:rPr>
              <w:t>并加盖公章佐证。</w:t>
            </w:r>
          </w:p>
          <w:p w14:paraId="21333980">
            <w:pPr>
              <w:pStyle w:val="2"/>
              <w:rPr>
                <w:rFonts w:hint="eastAsia"/>
                <w:color w:val="auto"/>
                <w:highlight w:val="none"/>
              </w:rPr>
            </w:pPr>
          </w:p>
          <w:p w14:paraId="06082375">
            <w:pPr>
              <w:autoSpaceDE/>
              <w:autoSpaceDN/>
              <w:spacing w:line="440" w:lineRule="exact"/>
              <w:jc w:val="both"/>
              <w:textAlignment w:val="center"/>
              <w:rPr>
                <w:rFonts w:hint="eastAsia"/>
                <w:color w:val="auto"/>
                <w:sz w:val="24"/>
                <w:highlight w:val="none"/>
                <w:lang w:val="en-US" w:eastAsia="zh-CN"/>
              </w:rPr>
            </w:pPr>
            <w:r>
              <w:rPr>
                <w:rFonts w:hint="eastAsia"/>
                <w:color w:val="auto"/>
                <w:sz w:val="24"/>
                <w:highlight w:val="none"/>
                <w:lang w:val="en-US" w:eastAsia="zh-CN"/>
              </w:rPr>
              <w:t>2、投标人</w:t>
            </w:r>
            <w:r>
              <w:rPr>
                <w:rFonts w:hint="eastAsia"/>
                <w:color w:val="auto"/>
                <w:sz w:val="24"/>
                <w:highlight w:val="none"/>
              </w:rPr>
              <w:t>拟派</w:t>
            </w:r>
            <w:r>
              <w:rPr>
                <w:rFonts w:hint="eastAsia"/>
                <w:color w:val="auto"/>
                <w:sz w:val="24"/>
                <w:highlight w:val="none"/>
                <w:lang w:val="en-US" w:eastAsia="zh-CN"/>
              </w:rPr>
              <w:t>本项目</w:t>
            </w:r>
            <w:r>
              <w:rPr>
                <w:rFonts w:hint="eastAsia"/>
                <w:color w:val="auto"/>
                <w:sz w:val="24"/>
                <w:highlight w:val="none"/>
              </w:rPr>
              <w:t>管</w:t>
            </w:r>
            <w:r>
              <w:rPr>
                <w:rFonts w:hint="eastAsia"/>
                <w:color w:val="auto"/>
                <w:sz w:val="24"/>
                <w:highlight w:val="none"/>
                <w:lang w:val="en-US" w:eastAsia="zh-CN"/>
              </w:rPr>
              <w:t>档案管理协助岗人员</w:t>
            </w:r>
            <w:r>
              <w:rPr>
                <w:rFonts w:hint="eastAsia"/>
                <w:color w:val="auto"/>
                <w:sz w:val="24"/>
                <w:highlight w:val="none"/>
                <w:lang w:val="en-US"/>
              </w:rPr>
              <w:t>中，每一名具有</w:t>
            </w:r>
            <w:r>
              <w:rPr>
                <w:rFonts w:hint="eastAsia"/>
                <w:color w:val="auto"/>
                <w:sz w:val="24"/>
                <w:highlight w:val="none"/>
              </w:rPr>
              <w:t>大专或以上学历的加</w:t>
            </w:r>
            <w:r>
              <w:rPr>
                <w:rFonts w:hint="eastAsia"/>
                <w:color w:val="auto"/>
                <w:sz w:val="24"/>
                <w:highlight w:val="none"/>
                <w:lang w:val="en-US"/>
              </w:rPr>
              <w:t>1分，</w:t>
            </w:r>
            <w:r>
              <w:rPr>
                <w:rFonts w:hint="eastAsia"/>
                <w:color w:val="auto"/>
                <w:sz w:val="24"/>
                <w:highlight w:val="none"/>
              </w:rPr>
              <w:t>不符合的不加分，本项最高加</w:t>
            </w:r>
            <w:r>
              <w:rPr>
                <w:rFonts w:hint="eastAsia"/>
                <w:color w:val="auto"/>
                <w:sz w:val="24"/>
                <w:highlight w:val="none"/>
                <w:lang w:val="en-US" w:eastAsia="zh-CN"/>
              </w:rPr>
              <w:t>8</w:t>
            </w:r>
            <w:r>
              <w:rPr>
                <w:rFonts w:hint="eastAsia"/>
                <w:color w:val="auto"/>
                <w:sz w:val="24"/>
                <w:highlight w:val="none"/>
                <w:lang w:val="en-US"/>
              </w:rPr>
              <w:t>分</w:t>
            </w:r>
            <w:r>
              <w:rPr>
                <w:rFonts w:hint="eastAsia"/>
                <w:color w:val="auto"/>
                <w:sz w:val="24"/>
                <w:highlight w:val="none"/>
                <w:lang w:val="en-US" w:eastAsia="zh-CN"/>
              </w:rPr>
              <w:t>。</w:t>
            </w:r>
          </w:p>
          <w:p w14:paraId="6C283520">
            <w:pPr>
              <w:autoSpaceDE/>
              <w:autoSpaceDN/>
              <w:spacing w:line="440" w:lineRule="exact"/>
              <w:jc w:val="both"/>
              <w:textAlignment w:val="center"/>
              <w:rPr>
                <w:rFonts w:hint="eastAsia"/>
                <w:b/>
                <w:bCs/>
                <w:color w:val="auto"/>
                <w:sz w:val="24"/>
                <w:highlight w:val="none"/>
              </w:rPr>
            </w:pPr>
            <w:r>
              <w:rPr>
                <w:rFonts w:hint="eastAsia"/>
                <w:b/>
                <w:bCs/>
                <w:color w:val="auto"/>
                <w:sz w:val="24"/>
                <w:highlight w:val="none"/>
              </w:rPr>
              <w:t>评审依据：投标文件中提供以上人员:毕业证或学位证书扫描件；开标前6个月内任意一个月投标人为其缴纳社保的证明材料</w:t>
            </w:r>
            <w:r>
              <w:rPr>
                <w:rFonts w:hint="eastAsia"/>
                <w:b/>
                <w:bCs/>
                <w:color w:val="auto"/>
                <w:sz w:val="24"/>
                <w:highlight w:val="none"/>
                <w:lang w:val="en-US" w:eastAsia="zh-CN"/>
              </w:rPr>
              <w:t>扫描件</w:t>
            </w:r>
            <w:r>
              <w:rPr>
                <w:rFonts w:hint="eastAsia"/>
                <w:b/>
                <w:bCs/>
                <w:color w:val="auto"/>
                <w:sz w:val="24"/>
                <w:highlight w:val="none"/>
              </w:rPr>
              <w:t>并加盖公章佐证。</w:t>
            </w:r>
          </w:p>
          <w:p w14:paraId="78CE94A8">
            <w:pPr>
              <w:pStyle w:val="2"/>
              <w:rPr>
                <w:rFonts w:hint="eastAsia"/>
                <w:color w:val="auto"/>
                <w:highlight w:val="none"/>
              </w:rPr>
            </w:pPr>
          </w:p>
          <w:p w14:paraId="3364B990">
            <w:pPr>
              <w:autoSpaceDE/>
              <w:autoSpaceDN/>
              <w:spacing w:line="440" w:lineRule="exact"/>
              <w:jc w:val="both"/>
              <w:textAlignment w:val="center"/>
              <w:rPr>
                <w:rFonts w:hint="default"/>
                <w:color w:val="auto"/>
                <w:sz w:val="24"/>
                <w:highlight w:val="none"/>
                <w:lang w:val="en-US" w:eastAsia="zh-CN"/>
              </w:rPr>
            </w:pPr>
            <w:r>
              <w:rPr>
                <w:rFonts w:hint="eastAsia"/>
                <w:color w:val="auto"/>
                <w:sz w:val="24"/>
                <w:highlight w:val="none"/>
                <w:lang w:val="en-US" w:eastAsia="zh-CN"/>
              </w:rPr>
              <w:t>3、</w:t>
            </w:r>
            <w:r>
              <w:rPr>
                <w:rFonts w:hint="eastAsia"/>
                <w:color w:val="auto"/>
                <w:sz w:val="24"/>
                <w:highlight w:val="none"/>
              </w:rPr>
              <w:t>投标人拟派本项目</w:t>
            </w:r>
            <w:r>
              <w:rPr>
                <w:rFonts w:hint="eastAsia"/>
                <w:color w:val="auto"/>
                <w:sz w:val="24"/>
                <w:highlight w:val="none"/>
                <w:lang w:val="en-US" w:eastAsia="zh-CN"/>
              </w:rPr>
              <w:t>档案管理内勤辅助岗</w:t>
            </w:r>
            <w:r>
              <w:rPr>
                <w:rFonts w:hint="eastAsia"/>
                <w:color w:val="auto"/>
                <w:sz w:val="24"/>
                <w:highlight w:val="none"/>
              </w:rPr>
              <w:t>人员</w:t>
            </w:r>
            <w:r>
              <w:rPr>
                <w:rFonts w:hint="eastAsia"/>
                <w:color w:val="auto"/>
                <w:sz w:val="24"/>
                <w:highlight w:val="none"/>
                <w:lang w:eastAsia="zh-CN"/>
              </w:rPr>
              <w:t>，</w:t>
            </w:r>
            <w:r>
              <w:rPr>
                <w:rFonts w:hint="eastAsia"/>
                <w:color w:val="auto"/>
                <w:sz w:val="24"/>
                <w:highlight w:val="none"/>
                <w:lang w:val="en-US" w:eastAsia="zh-CN"/>
              </w:rPr>
              <w:t>具有新闻传播、摄影、设计、中文专业的加2分。本项最高加2分。</w:t>
            </w:r>
          </w:p>
          <w:p w14:paraId="3C4263E5">
            <w:pPr>
              <w:autoSpaceDE/>
              <w:autoSpaceDN/>
              <w:spacing w:line="440" w:lineRule="exact"/>
              <w:jc w:val="both"/>
              <w:textAlignment w:val="center"/>
              <w:rPr>
                <w:rFonts w:hint="eastAsia"/>
                <w:color w:val="auto"/>
                <w:sz w:val="24"/>
                <w:highlight w:val="none"/>
                <w:lang w:val="en-US" w:eastAsia="zh-CN"/>
              </w:rPr>
            </w:pPr>
            <w:r>
              <w:rPr>
                <w:rFonts w:hint="eastAsia"/>
                <w:b/>
                <w:bCs/>
                <w:color w:val="auto"/>
                <w:sz w:val="24"/>
                <w:highlight w:val="none"/>
              </w:rPr>
              <w:t>评审依据：投标文件中提供以上人员:毕业证或学位证书扫描件；开标前6个月内任意一个月投标人为其缴纳社保的证明材料</w:t>
            </w:r>
            <w:r>
              <w:rPr>
                <w:rFonts w:hint="eastAsia"/>
                <w:b/>
                <w:bCs/>
                <w:color w:val="auto"/>
                <w:sz w:val="24"/>
                <w:highlight w:val="none"/>
                <w:lang w:val="en-US" w:eastAsia="zh-CN"/>
              </w:rPr>
              <w:t>扫描件</w:t>
            </w:r>
            <w:r>
              <w:rPr>
                <w:rFonts w:hint="eastAsia"/>
                <w:b/>
                <w:bCs/>
                <w:color w:val="auto"/>
                <w:sz w:val="24"/>
                <w:highlight w:val="none"/>
              </w:rPr>
              <w:t>并加盖公章佐证。</w:t>
            </w:r>
          </w:p>
        </w:tc>
        <w:tc>
          <w:tcPr>
            <w:tcW w:w="840" w:type="dxa"/>
            <w:tcBorders>
              <w:top w:val="single" w:color="auto" w:sz="4" w:space="0"/>
              <w:left w:val="single" w:color="auto" w:sz="4" w:space="0"/>
              <w:bottom w:val="single" w:color="auto" w:sz="4" w:space="0"/>
              <w:right w:val="single" w:color="auto" w:sz="4" w:space="0"/>
            </w:tcBorders>
            <w:noWrap/>
            <w:vAlign w:val="center"/>
          </w:tcPr>
          <w:p w14:paraId="3B2CAF3F">
            <w:pPr>
              <w:pStyle w:val="2"/>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20分</w:t>
            </w:r>
          </w:p>
        </w:tc>
      </w:tr>
      <w:tr w14:paraId="4A2A6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9608" w:type="dxa"/>
            <w:gridSpan w:val="3"/>
            <w:tcBorders>
              <w:top w:val="single" w:color="auto" w:sz="4" w:space="0"/>
              <w:left w:val="single" w:color="auto" w:sz="4" w:space="0"/>
              <w:bottom w:val="single" w:color="auto" w:sz="4" w:space="0"/>
              <w:right w:val="single" w:color="auto" w:sz="4" w:space="0"/>
            </w:tcBorders>
            <w:noWrap/>
            <w:vAlign w:val="center"/>
          </w:tcPr>
          <w:p w14:paraId="681D02B6">
            <w:pPr>
              <w:widowControl w:val="0"/>
              <w:jc w:val="center"/>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（三）商务部分（</w:t>
            </w:r>
            <w:r>
              <w:rPr>
                <w:rFonts w:hint="eastAsia" w:ascii="宋体" w:hAnsi="宋体" w:eastAsia="宋体" w:cs="宋体"/>
                <w:b/>
                <w:bCs/>
                <w:color w:val="auto"/>
                <w:sz w:val="24"/>
                <w:szCs w:val="24"/>
                <w:highlight w:val="none"/>
                <w:lang w:val="en-US" w:eastAsia="zh-CN"/>
              </w:rPr>
              <w:t>11</w:t>
            </w:r>
            <w:r>
              <w:rPr>
                <w:rFonts w:hint="eastAsia" w:ascii="宋体" w:hAnsi="宋体" w:eastAsia="宋体" w:cs="宋体"/>
                <w:b/>
                <w:bCs/>
                <w:color w:val="auto"/>
                <w:sz w:val="24"/>
                <w:szCs w:val="24"/>
                <w:highlight w:val="none"/>
                <w:lang w:eastAsia="zh-CN"/>
              </w:rPr>
              <w:t>分）</w:t>
            </w:r>
          </w:p>
        </w:tc>
      </w:tr>
      <w:tr w14:paraId="7F24D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12" w:type="dxa"/>
            <w:tcBorders>
              <w:top w:val="single" w:color="auto" w:sz="4" w:space="0"/>
              <w:left w:val="single" w:color="auto" w:sz="4" w:space="0"/>
              <w:bottom w:val="single" w:color="auto" w:sz="4" w:space="0"/>
              <w:right w:val="single" w:color="auto" w:sz="4" w:space="0"/>
            </w:tcBorders>
            <w:noWrap/>
            <w:vAlign w:val="center"/>
          </w:tcPr>
          <w:p w14:paraId="199F3992">
            <w:pPr>
              <w:widowControl w:val="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评分点</w:t>
            </w:r>
          </w:p>
        </w:tc>
        <w:tc>
          <w:tcPr>
            <w:tcW w:w="7756" w:type="dxa"/>
            <w:tcBorders>
              <w:top w:val="single" w:color="auto" w:sz="4" w:space="0"/>
              <w:left w:val="single" w:color="auto" w:sz="4" w:space="0"/>
              <w:bottom w:val="single" w:color="auto" w:sz="4" w:space="0"/>
              <w:right w:val="single" w:color="auto" w:sz="4" w:space="0"/>
            </w:tcBorders>
            <w:noWrap/>
            <w:vAlign w:val="center"/>
          </w:tcPr>
          <w:p w14:paraId="612BB385">
            <w:pPr>
              <w:widowControl w:val="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评审内容</w:t>
            </w:r>
          </w:p>
        </w:tc>
        <w:tc>
          <w:tcPr>
            <w:tcW w:w="840" w:type="dxa"/>
            <w:tcBorders>
              <w:top w:val="single" w:color="auto" w:sz="4" w:space="0"/>
              <w:left w:val="single" w:color="auto" w:sz="4" w:space="0"/>
              <w:bottom w:val="single" w:color="auto" w:sz="4" w:space="0"/>
              <w:right w:val="single" w:color="auto" w:sz="4" w:space="0"/>
            </w:tcBorders>
            <w:noWrap/>
            <w:vAlign w:val="center"/>
          </w:tcPr>
          <w:p w14:paraId="2B36D900">
            <w:pPr>
              <w:widowControl w:val="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分值</w:t>
            </w:r>
          </w:p>
        </w:tc>
      </w:tr>
      <w:tr w14:paraId="50026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trPr>
        <w:tc>
          <w:tcPr>
            <w:tcW w:w="1012" w:type="dxa"/>
            <w:tcBorders>
              <w:top w:val="single" w:color="auto" w:sz="4" w:space="0"/>
              <w:left w:val="single" w:color="auto" w:sz="4" w:space="0"/>
              <w:bottom w:val="single" w:color="auto" w:sz="4" w:space="0"/>
              <w:right w:val="single" w:color="auto" w:sz="4" w:space="0"/>
            </w:tcBorders>
            <w:noWrap/>
            <w:vAlign w:val="center"/>
          </w:tcPr>
          <w:p w14:paraId="4B539105">
            <w:pPr>
              <w:widowControl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w:t>
            </w:r>
          </w:p>
          <w:p w14:paraId="2635B97B">
            <w:pPr>
              <w:widowControl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条款</w:t>
            </w:r>
          </w:p>
        </w:tc>
        <w:tc>
          <w:tcPr>
            <w:tcW w:w="7756" w:type="dxa"/>
            <w:tcBorders>
              <w:top w:val="single" w:color="auto" w:sz="4" w:space="0"/>
              <w:left w:val="single" w:color="auto" w:sz="4" w:space="0"/>
              <w:bottom w:val="single" w:color="auto" w:sz="4" w:space="0"/>
              <w:right w:val="single" w:color="auto" w:sz="4" w:space="0"/>
            </w:tcBorders>
            <w:noWrap/>
            <w:vAlign w:val="center"/>
          </w:tcPr>
          <w:p w14:paraId="3A8A950C">
            <w:pPr>
              <w:autoSpaceDE/>
              <w:autoSpaceDN/>
              <w:spacing w:line="440" w:lineRule="exact"/>
              <w:jc w:val="both"/>
              <w:textAlignment w:val="center"/>
              <w:rPr>
                <w:rFonts w:hint="eastAsia" w:eastAsia="宋体"/>
                <w:color w:val="auto"/>
                <w:sz w:val="24"/>
                <w:highlight w:val="none"/>
                <w:lang w:val="en-US" w:eastAsia="zh-CN"/>
              </w:rPr>
            </w:pPr>
            <w:r>
              <w:rPr>
                <w:rFonts w:hint="eastAsia" w:eastAsia="宋体"/>
                <w:color w:val="auto"/>
                <w:sz w:val="24"/>
                <w:highlight w:val="none"/>
                <w:lang w:val="en-US" w:eastAsia="zh-CN"/>
              </w:rPr>
              <w:t>完全响应招标文件“第五章采购需求”二、采购需求（二）商务条款中所有实质性条款，任何一项不满足投标无效。</w:t>
            </w:r>
          </w:p>
          <w:p w14:paraId="0581DA3F">
            <w:pPr>
              <w:autoSpaceDE/>
              <w:autoSpaceDN/>
              <w:spacing w:line="440" w:lineRule="exact"/>
              <w:jc w:val="both"/>
              <w:textAlignment w:val="center"/>
              <w:rPr>
                <w:rFonts w:hint="eastAsia" w:eastAsia="宋体"/>
                <w:color w:val="auto"/>
                <w:sz w:val="24"/>
                <w:highlight w:val="none"/>
                <w:lang w:val="en-US" w:eastAsia="zh-CN"/>
              </w:rPr>
            </w:pPr>
            <w:r>
              <w:rPr>
                <w:rFonts w:hint="eastAsia" w:eastAsia="宋体"/>
                <w:b/>
                <w:bCs/>
                <w:color w:val="auto"/>
                <w:sz w:val="24"/>
                <w:highlight w:val="none"/>
                <w:lang w:val="en-US" w:eastAsia="zh-CN"/>
              </w:rPr>
              <w:t>评审依据：商务需求响应/偏离表。</w:t>
            </w:r>
          </w:p>
        </w:tc>
        <w:tc>
          <w:tcPr>
            <w:tcW w:w="840" w:type="dxa"/>
            <w:tcBorders>
              <w:top w:val="single" w:color="auto" w:sz="4" w:space="0"/>
              <w:left w:val="single" w:color="auto" w:sz="4" w:space="0"/>
              <w:bottom w:val="single" w:color="auto" w:sz="4" w:space="0"/>
              <w:right w:val="single" w:color="auto" w:sz="4" w:space="0"/>
            </w:tcBorders>
            <w:noWrap/>
            <w:vAlign w:val="center"/>
          </w:tcPr>
          <w:p w14:paraId="794E21A3">
            <w:pPr>
              <w:widowControl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符合性审查</w:t>
            </w:r>
          </w:p>
        </w:tc>
      </w:tr>
      <w:tr w14:paraId="4312D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trPr>
        <w:tc>
          <w:tcPr>
            <w:tcW w:w="1012" w:type="dxa"/>
            <w:tcBorders>
              <w:top w:val="single" w:color="auto" w:sz="4" w:space="0"/>
              <w:left w:val="single" w:color="auto" w:sz="4" w:space="0"/>
              <w:bottom w:val="single" w:color="auto" w:sz="4" w:space="0"/>
              <w:right w:val="single" w:color="auto" w:sz="4" w:space="0"/>
            </w:tcBorders>
            <w:noWrap/>
            <w:vAlign w:val="center"/>
          </w:tcPr>
          <w:p w14:paraId="6811F2B7">
            <w:pPr>
              <w:widowControl w:val="0"/>
              <w:spacing w:line="360"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业绩证明</w:t>
            </w:r>
          </w:p>
        </w:tc>
        <w:tc>
          <w:tcPr>
            <w:tcW w:w="7756" w:type="dxa"/>
            <w:tcBorders>
              <w:top w:val="single" w:color="auto" w:sz="4" w:space="0"/>
              <w:left w:val="single" w:color="auto" w:sz="4" w:space="0"/>
              <w:bottom w:val="single" w:color="auto" w:sz="4" w:space="0"/>
              <w:right w:val="single" w:color="auto" w:sz="4" w:space="0"/>
            </w:tcBorders>
            <w:noWrap/>
            <w:vAlign w:val="center"/>
          </w:tcPr>
          <w:p w14:paraId="5299DE4E">
            <w:pPr>
              <w:autoSpaceDE/>
              <w:autoSpaceDN/>
              <w:spacing w:line="440" w:lineRule="exact"/>
              <w:jc w:val="both"/>
              <w:textAlignment w:val="center"/>
              <w:rPr>
                <w:rFonts w:hint="eastAsia" w:eastAsia="宋体"/>
                <w:color w:val="auto"/>
                <w:sz w:val="24"/>
                <w:highlight w:val="none"/>
                <w:lang w:val="en-US" w:eastAsia="zh-CN"/>
              </w:rPr>
            </w:pPr>
            <w:r>
              <w:rPr>
                <w:rFonts w:hint="eastAsia" w:eastAsia="宋体"/>
                <w:color w:val="auto"/>
                <w:sz w:val="24"/>
                <w:highlight w:val="none"/>
                <w:lang w:val="en-US" w:eastAsia="zh-CN"/>
              </w:rPr>
              <w:t>投标人自2020年1月1日以来（以合同签订时间为准）承担保安服务项目的，每提供一份案例合同加1分，最多加6分。</w:t>
            </w:r>
          </w:p>
          <w:p w14:paraId="7F6DC0BF">
            <w:pPr>
              <w:autoSpaceDE/>
              <w:autoSpaceDN/>
              <w:spacing w:line="440" w:lineRule="exact"/>
              <w:jc w:val="both"/>
              <w:textAlignment w:val="center"/>
              <w:rPr>
                <w:rFonts w:hint="eastAsia" w:eastAsia="宋体"/>
                <w:color w:val="auto"/>
                <w:sz w:val="24"/>
                <w:highlight w:val="none"/>
                <w:lang w:val="en-US" w:eastAsia="zh-CN"/>
              </w:rPr>
            </w:pPr>
            <w:r>
              <w:rPr>
                <w:rFonts w:hint="eastAsia" w:eastAsia="宋体"/>
                <w:b/>
                <w:bCs/>
                <w:color w:val="auto"/>
                <w:sz w:val="24"/>
                <w:highlight w:val="none"/>
                <w:lang w:val="en-US" w:eastAsia="zh-CN"/>
              </w:rPr>
              <w:t>评审依据：投标文件中须提供合同原件扫描件佐证。</w:t>
            </w:r>
          </w:p>
        </w:tc>
        <w:tc>
          <w:tcPr>
            <w:tcW w:w="840" w:type="dxa"/>
            <w:tcBorders>
              <w:top w:val="single" w:color="auto" w:sz="4" w:space="0"/>
              <w:left w:val="single" w:color="auto" w:sz="4" w:space="0"/>
              <w:bottom w:val="single" w:color="auto" w:sz="4" w:space="0"/>
              <w:right w:val="single" w:color="auto" w:sz="4" w:space="0"/>
            </w:tcBorders>
            <w:noWrap/>
            <w:vAlign w:val="center"/>
          </w:tcPr>
          <w:p w14:paraId="53DA221D">
            <w:pPr>
              <w:widowControl w:val="0"/>
              <w:spacing w:line="360"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6分</w:t>
            </w:r>
          </w:p>
        </w:tc>
      </w:tr>
      <w:tr w14:paraId="15305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trPr>
        <w:tc>
          <w:tcPr>
            <w:tcW w:w="1012" w:type="dxa"/>
            <w:tcBorders>
              <w:top w:val="single" w:color="auto" w:sz="4" w:space="0"/>
              <w:left w:val="single" w:color="auto" w:sz="4" w:space="0"/>
              <w:bottom w:val="single" w:color="auto" w:sz="4" w:space="0"/>
              <w:right w:val="single" w:color="auto" w:sz="4" w:space="0"/>
            </w:tcBorders>
            <w:noWrap/>
            <w:vAlign w:val="center"/>
          </w:tcPr>
          <w:p w14:paraId="6585BA15">
            <w:pPr>
              <w:widowControl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人员资质</w:t>
            </w:r>
          </w:p>
        </w:tc>
        <w:tc>
          <w:tcPr>
            <w:tcW w:w="7756" w:type="dxa"/>
            <w:tcBorders>
              <w:top w:val="single" w:color="auto" w:sz="4" w:space="0"/>
              <w:left w:val="single" w:color="auto" w:sz="4" w:space="0"/>
              <w:bottom w:val="single" w:color="auto" w:sz="4" w:space="0"/>
              <w:right w:val="single" w:color="auto" w:sz="4" w:space="0"/>
            </w:tcBorders>
            <w:noWrap/>
            <w:vAlign w:val="center"/>
          </w:tcPr>
          <w:p w14:paraId="4128B45C">
            <w:pPr>
              <w:autoSpaceDE/>
              <w:autoSpaceDN/>
              <w:spacing w:line="440" w:lineRule="exact"/>
              <w:jc w:val="both"/>
              <w:textAlignment w:val="center"/>
              <w:rPr>
                <w:rFonts w:hint="eastAsia"/>
                <w:color w:val="auto"/>
                <w:sz w:val="24"/>
                <w:highlight w:val="none"/>
              </w:rPr>
            </w:pPr>
            <w:r>
              <w:rPr>
                <w:rFonts w:hint="eastAsia"/>
                <w:color w:val="auto"/>
                <w:sz w:val="24"/>
                <w:highlight w:val="none"/>
              </w:rPr>
              <w:t>投标人</w:t>
            </w:r>
            <w:r>
              <w:rPr>
                <w:rFonts w:hint="eastAsia" w:eastAsia="宋体"/>
                <w:color w:val="auto"/>
                <w:sz w:val="24"/>
                <w:highlight w:val="none"/>
                <w:lang w:val="en-US" w:eastAsia="zh-CN"/>
              </w:rPr>
              <w:t>公司人员具</w:t>
            </w:r>
            <w:r>
              <w:rPr>
                <w:rFonts w:hint="eastAsia"/>
                <w:color w:val="auto"/>
                <w:sz w:val="24"/>
                <w:highlight w:val="none"/>
              </w:rPr>
              <w:t>有人力</w:t>
            </w:r>
            <w:r>
              <w:rPr>
                <w:rFonts w:hint="eastAsia"/>
                <w:color w:val="auto"/>
                <w:sz w:val="24"/>
                <w:highlight w:val="none"/>
                <w:lang w:eastAsia="zh-CN"/>
              </w:rPr>
              <w:t>资源和</w:t>
            </w:r>
            <w:r>
              <w:rPr>
                <w:rFonts w:hint="eastAsia"/>
                <w:color w:val="auto"/>
                <w:sz w:val="24"/>
                <w:highlight w:val="none"/>
              </w:rPr>
              <w:t>社会保障部门</w:t>
            </w:r>
            <w:r>
              <w:rPr>
                <w:rFonts w:hint="eastAsia"/>
                <w:color w:val="auto"/>
                <w:sz w:val="24"/>
                <w:highlight w:val="none"/>
                <w:lang w:eastAsia="zh-CN"/>
              </w:rPr>
              <w:t>颁</w:t>
            </w:r>
            <w:r>
              <w:rPr>
                <w:rFonts w:hint="eastAsia"/>
                <w:color w:val="auto"/>
                <w:sz w:val="24"/>
                <w:highlight w:val="none"/>
              </w:rPr>
              <w:t>发的《二级（技师）保安员》职业资格证，每提供1人加1分，本项最多加</w:t>
            </w:r>
            <w:r>
              <w:rPr>
                <w:rFonts w:hint="eastAsia"/>
                <w:color w:val="auto"/>
                <w:sz w:val="24"/>
                <w:highlight w:val="none"/>
                <w:lang w:val="en-US"/>
              </w:rPr>
              <w:t>5</w:t>
            </w:r>
            <w:r>
              <w:rPr>
                <w:rFonts w:hint="eastAsia"/>
                <w:color w:val="auto"/>
                <w:sz w:val="24"/>
                <w:highlight w:val="none"/>
              </w:rPr>
              <w:t>分。</w:t>
            </w:r>
          </w:p>
          <w:p w14:paraId="2C8BB7F9">
            <w:pPr>
              <w:autoSpaceDE/>
              <w:autoSpaceDN/>
              <w:spacing w:line="440" w:lineRule="exact"/>
              <w:jc w:val="both"/>
              <w:textAlignment w:val="center"/>
              <w:rPr>
                <w:rFonts w:hint="eastAsia" w:ascii="宋体" w:hAnsi="宋体" w:eastAsia="宋体" w:cs="宋体"/>
                <w:color w:val="auto"/>
                <w:sz w:val="24"/>
                <w:szCs w:val="24"/>
                <w:highlight w:val="none"/>
                <w:lang w:val="en-US" w:eastAsia="zh-CN"/>
              </w:rPr>
            </w:pPr>
            <w:r>
              <w:rPr>
                <w:rFonts w:hint="eastAsia"/>
                <w:b/>
                <w:bCs/>
                <w:color w:val="auto"/>
                <w:sz w:val="24"/>
                <w:highlight w:val="none"/>
              </w:rPr>
              <w:t>评审依据：投标文件中须提供有人力</w:t>
            </w:r>
            <w:r>
              <w:rPr>
                <w:rFonts w:hint="eastAsia"/>
                <w:b/>
                <w:bCs/>
                <w:color w:val="auto"/>
                <w:sz w:val="24"/>
                <w:highlight w:val="none"/>
                <w:lang w:eastAsia="zh-CN"/>
              </w:rPr>
              <w:t>资源和</w:t>
            </w:r>
            <w:r>
              <w:rPr>
                <w:rFonts w:hint="eastAsia"/>
                <w:b/>
                <w:bCs/>
                <w:color w:val="auto"/>
                <w:sz w:val="24"/>
                <w:highlight w:val="none"/>
              </w:rPr>
              <w:t>社会保障部门</w:t>
            </w:r>
            <w:r>
              <w:rPr>
                <w:rFonts w:hint="eastAsia"/>
                <w:b/>
                <w:bCs/>
                <w:color w:val="auto"/>
                <w:sz w:val="24"/>
                <w:highlight w:val="none"/>
                <w:lang w:eastAsia="zh-CN"/>
              </w:rPr>
              <w:t>颁</w:t>
            </w:r>
            <w:r>
              <w:rPr>
                <w:rFonts w:hint="eastAsia"/>
                <w:b/>
                <w:bCs/>
                <w:color w:val="auto"/>
                <w:sz w:val="24"/>
                <w:highlight w:val="none"/>
              </w:rPr>
              <w:t>发的《二级（技师）保安员》职业资格证、国家职业资格证书全国联网查询截图以及开标前 6个月内任意一个月投标人为其缴纳社保的证明材料</w:t>
            </w:r>
            <w:r>
              <w:rPr>
                <w:rFonts w:hint="eastAsia"/>
                <w:b/>
                <w:bCs/>
                <w:color w:val="auto"/>
                <w:sz w:val="24"/>
                <w:highlight w:val="none"/>
                <w:lang w:val="en-US" w:eastAsia="zh-CN"/>
              </w:rPr>
              <w:t>扫描件</w:t>
            </w:r>
            <w:r>
              <w:rPr>
                <w:rFonts w:hint="eastAsia"/>
                <w:b/>
                <w:bCs/>
                <w:color w:val="auto"/>
                <w:sz w:val="24"/>
                <w:highlight w:val="none"/>
              </w:rPr>
              <w:t>并加盖公章佐证。</w:t>
            </w:r>
          </w:p>
        </w:tc>
        <w:tc>
          <w:tcPr>
            <w:tcW w:w="840" w:type="dxa"/>
            <w:tcBorders>
              <w:top w:val="single" w:color="auto" w:sz="4" w:space="0"/>
              <w:left w:val="single" w:color="auto" w:sz="4" w:space="0"/>
              <w:bottom w:val="single" w:color="auto" w:sz="4" w:space="0"/>
              <w:right w:val="single" w:color="auto" w:sz="4" w:space="0"/>
            </w:tcBorders>
            <w:noWrap/>
            <w:vAlign w:val="center"/>
          </w:tcPr>
          <w:p w14:paraId="38449885">
            <w:pPr>
              <w:widowControl w:val="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5分</w:t>
            </w:r>
          </w:p>
        </w:tc>
      </w:tr>
    </w:tbl>
    <w:p w14:paraId="0711C3A5">
      <w:pPr>
        <w:pStyle w:val="7"/>
        <w:widowControl w:val="0"/>
        <w:ind w:left="0" w:leftChars="0"/>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lang w:eastAsia="zh-CN"/>
        </w:rPr>
        <w:t>注：</w:t>
      </w:r>
      <w:r>
        <w:rPr>
          <w:rFonts w:hint="eastAsia" w:ascii="宋体" w:hAnsi="宋体" w:eastAsia="宋体" w:cs="宋体"/>
          <w:b/>
          <w:color w:val="auto"/>
          <w:sz w:val="28"/>
          <w:szCs w:val="28"/>
          <w:highlight w:val="none"/>
          <w:lang w:val="en-US" w:eastAsia="zh-CN"/>
        </w:rPr>
        <w:t>1.</w:t>
      </w:r>
      <w:r>
        <w:rPr>
          <w:rFonts w:hint="eastAsia" w:ascii="宋体" w:hAnsi="宋体" w:eastAsia="宋体" w:cs="宋体"/>
          <w:b/>
          <w:color w:val="auto"/>
          <w:sz w:val="28"/>
          <w:szCs w:val="28"/>
          <w:highlight w:val="none"/>
          <w:lang w:eastAsia="zh-CN"/>
        </w:rPr>
        <w:t>投标人不得提供虚假材料以骗取成交，一经查证，将取消成交资格，并没收投标保证金及按相关法律法规规定进行处罚。中标人在领取中标通知书之日需准备以上评分材料证书证明文件原件及资质证书原件在签订合同前备查。</w:t>
      </w:r>
    </w:p>
    <w:p w14:paraId="5C9DFCBE">
      <w:pPr>
        <w:pStyle w:val="7"/>
        <w:widowControl w:val="0"/>
        <w:ind w:left="0" w:leftChars="0" w:firstLine="562" w:firstLineChars="200"/>
        <w:rPr>
          <w:rFonts w:hint="default" w:ascii="宋体" w:hAnsi="宋体" w:eastAsia="宋体" w:cs="宋体"/>
          <w:color w:val="auto"/>
          <w:highlight w:val="none"/>
          <w:lang w:val="en-US" w:eastAsia="zh-CN"/>
        </w:rPr>
      </w:pPr>
      <w:r>
        <w:rPr>
          <w:rFonts w:hint="eastAsia" w:ascii="宋体" w:hAnsi="宋体" w:eastAsia="宋体" w:cs="宋体"/>
          <w:b/>
          <w:color w:val="auto"/>
          <w:sz w:val="28"/>
          <w:szCs w:val="28"/>
          <w:highlight w:val="none"/>
          <w:lang w:val="en-US" w:eastAsia="zh-CN"/>
        </w:rPr>
        <w:t>2.中标人在合同履行期间如需更换投标时拟派人员的，须向采购人提出申请并经采购人同意方可更换。否则视为未按合同约定履约。</w:t>
      </w:r>
    </w:p>
    <w:p w14:paraId="597DBA85">
      <w:pPr>
        <w:widowControl w:val="0"/>
        <w:spacing w:line="265" w:lineRule="auto"/>
        <w:rPr>
          <w:rFonts w:hint="eastAsia" w:ascii="宋体" w:hAnsi="宋体" w:eastAsia="宋体" w:cs="宋体"/>
          <w:color w:val="auto"/>
          <w:highlight w:val="none"/>
          <w:lang w:eastAsia="zh-CN"/>
        </w:rPr>
      </w:pPr>
    </w:p>
    <w:p w14:paraId="333BFFFE">
      <w:pPr>
        <w:rPr>
          <w:rFonts w:hint="eastAsia" w:ascii="宋体" w:hAnsi="宋体" w:eastAsia="宋体" w:cs="宋体"/>
          <w:color w:val="auto"/>
          <w:highlight w:val="none"/>
          <w:lang w:eastAsia="zh-CN"/>
        </w:rPr>
      </w:pPr>
    </w:p>
    <w:sectPr>
      <w:headerReference r:id="rId23" w:type="default"/>
      <w:footerReference r:id="rId2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DDB42F">
    <w:pPr>
      <w:pStyle w:val="10"/>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27"/>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3DE865B8">
                          <w:pPr>
                            <w:pStyle w:val="10"/>
                          </w:pPr>
                          <w:r>
                            <w:fldChar w:fldCharType="begin"/>
                          </w:r>
                          <w:r>
                            <w:instrText xml:space="preserve"> PAGE  \* MERGEFORMAT </w:instrText>
                          </w:r>
                          <w:r>
                            <w:fldChar w:fldCharType="separate"/>
                          </w:r>
                          <w:r>
                            <w:t>1</w:t>
                          </w:r>
                          <w:r>
                            <w:fldChar w:fldCharType="end"/>
                          </w:r>
                        </w:p>
                      </w:txbxContent>
                    </wps:txbx>
                    <wps:bodyPr vert="horz" wrap="none" lIns="0" tIns="0" rIns="0" bIns="0" anchor="t" upright="0">
                      <a:spAutoFit/>
                    </wps:bodyPr>
                  </wps:wsp>
                </a:graphicData>
              </a:graphic>
            </wp:anchor>
          </w:drawing>
        </mc:Choice>
        <mc:Fallback>
          <w:pict>
            <v:rect id="文本框 27"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&#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Ll1uVLQAAAABQEAAA8AAAAAAAAAAQAgAAAAIgAAAGRy&#10;cy9kb3ducmV2LnhtbFBLAQIUABQAAAAIAIdO4kDAjyTl1AEAAJ8DAAAOAAAAAAAAAAEAIAAAAB8B&#10;AABkcnMvZTJvRG9jLnhtbFBLBQYAAAAABgAGAFkBAABlBQAAAAA=&#10;">
              <v:fill on="f" focussize="0,0"/>
              <v:stroke on="f"/>
              <v:imagedata o:title=""/>
              <o:lock v:ext="edit" aspectratio="f"/>
              <v:textbox inset="0mm,0mm,0mm,0mm" style="mso-fit-shape-to-text:t;">
                <w:txbxContent>
                  <w:p w14:paraId="3DE865B8">
                    <w:pPr>
                      <w:pStyle w:val="10"/>
                    </w:pPr>
                    <w:r>
                      <w:fldChar w:fldCharType="begin"/>
                    </w:r>
                    <w:r>
                      <w:instrText xml:space="preserve"> PAGE  \* MERGEFORMAT </w:instrText>
                    </w:r>
                    <w:r>
                      <w:fldChar w:fldCharType="separate"/>
                    </w:r>
                    <w:r>
                      <w:t>1</w:t>
                    </w:r>
                    <w:r>
                      <w:fldChar w:fldCharType="end"/>
                    </w:r>
                  </w:p>
                </w:txbxContent>
              </v:textbox>
            </v:rect>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852269">
    <w:pPr>
      <w:spacing w:line="176" w:lineRule="auto"/>
      <w:ind w:left="4367"/>
      <w:rPr>
        <w:rFonts w:ascii="Times New Roman" w:hAnsi="Times New Roman" w:eastAsia="Times New Roman" w:cs="Times New Roman"/>
        <w:sz w:val="18"/>
        <w:szCs w:val="18"/>
      </w:rPr>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8" name="文本框 38"/>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4F3AB4BA">
                          <w:pPr>
                            <w:pStyle w:val="10"/>
                          </w:pPr>
                          <w:r>
                            <w:fldChar w:fldCharType="begin"/>
                          </w:r>
                          <w:r>
                            <w:instrText xml:space="preserve"> PAGE  \* MERGEFORMAT </w:instrText>
                          </w:r>
                          <w:r>
                            <w:fldChar w:fldCharType="separate"/>
                          </w:r>
                          <w:r>
                            <w:t>63</w:t>
                          </w:r>
                          <w:r>
                            <w:fldChar w:fldCharType="end"/>
                          </w:r>
                        </w:p>
                      </w:txbxContent>
                    </wps:txbx>
                    <wps:bodyPr vert="horz" wrap="none" lIns="0" tIns="0" rIns="0" bIns="0" anchor="t" upright="0">
                      <a:spAutoFit/>
                    </wps:bodyPr>
                  </wps:wsp>
                </a:graphicData>
              </a:graphic>
            </wp:anchor>
          </w:drawing>
        </mc:Choice>
        <mc:Fallback>
          <w:pict>
            <v:rect id="文本框 38"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2vrkndIBAACfAwAADgAAAAAAAAABACAAAAAfAQAA&#10;ZHJzL2Uyb0RvYy54bWxQSwUGAAAAAAYABgBZAQAAYwUAAAAA&#10;">
              <v:fill on="f" focussize="0,0"/>
              <v:stroke on="f"/>
              <v:imagedata o:title=""/>
              <o:lock v:ext="edit" aspectratio="f"/>
              <v:textbox inset="0mm,0mm,0mm,0mm" style="mso-fit-shape-to-text:t;">
                <w:txbxContent>
                  <w:p w14:paraId="4F3AB4BA">
                    <w:pPr>
                      <w:pStyle w:val="10"/>
                    </w:pPr>
                    <w:r>
                      <w:fldChar w:fldCharType="begin"/>
                    </w:r>
                    <w:r>
                      <w:instrText xml:space="preserve"> PAGE  \* MERGEFORMAT </w:instrText>
                    </w:r>
                    <w:r>
                      <w:fldChar w:fldCharType="separate"/>
                    </w:r>
                    <w:r>
                      <w:t>63</w:t>
                    </w:r>
                    <w:r>
                      <w:fldChar w:fldCharType="end"/>
                    </w:r>
                  </w:p>
                </w:txbxContent>
              </v:textbox>
            </v:rect>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C6C0CD">
    <w:pPr>
      <w:spacing w:line="176" w:lineRule="auto"/>
      <w:ind w:left="4367"/>
      <w:rPr>
        <w:rFonts w:ascii="Times New Roman" w:hAnsi="Times New Roman" w:eastAsia="Times New Roman" w:cs="Times New Roman"/>
        <w:sz w:val="18"/>
        <w:szCs w:val="18"/>
      </w:rPr>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9" name="文本框 39"/>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498CE8AA">
                          <w:pPr>
                            <w:pStyle w:val="10"/>
                          </w:pPr>
                          <w:r>
                            <w:fldChar w:fldCharType="begin"/>
                          </w:r>
                          <w:r>
                            <w:instrText xml:space="preserve"> PAGE  \* MERGEFORMAT </w:instrText>
                          </w:r>
                          <w:r>
                            <w:fldChar w:fldCharType="separate"/>
                          </w:r>
                          <w:r>
                            <w:t>65</w:t>
                          </w:r>
                          <w:r>
                            <w:fldChar w:fldCharType="end"/>
                          </w:r>
                        </w:p>
                      </w:txbxContent>
                    </wps:txbx>
                    <wps:bodyPr vert="horz" wrap="none" lIns="0" tIns="0" rIns="0" bIns="0" anchor="t" upright="0">
                      <a:spAutoFit/>
                    </wps:bodyPr>
                  </wps:wsp>
                </a:graphicData>
              </a:graphic>
            </wp:anchor>
          </w:drawing>
        </mc:Choice>
        <mc:Fallback>
          <w:pict>
            <v:rect id="文本框 39"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&#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Ll1uVLQAAAABQEAAA8AAAAAAAAAAQAgAAAAIgAAAGRy&#10;cy9kb3ducmV2LnhtbFBLAQIUABQAAAAIAIdO4kAcLYEv1AEAAJ8DAAAOAAAAAAAAAAEAIAAAAB8B&#10;AABkcnMvZTJvRG9jLnhtbFBLBQYAAAAABgAGAFkBAABlBQAAAAA=&#10;">
              <v:fill on="f" focussize="0,0"/>
              <v:stroke on="f"/>
              <v:imagedata o:title=""/>
              <o:lock v:ext="edit" aspectratio="f"/>
              <v:textbox inset="0mm,0mm,0mm,0mm" style="mso-fit-shape-to-text:t;">
                <w:txbxContent>
                  <w:p w14:paraId="498CE8AA">
                    <w:pPr>
                      <w:pStyle w:val="10"/>
                    </w:pPr>
                    <w:r>
                      <w:fldChar w:fldCharType="begin"/>
                    </w:r>
                    <w:r>
                      <w:instrText xml:space="preserve"> PAGE  \* MERGEFORMAT </w:instrText>
                    </w:r>
                    <w:r>
                      <w:fldChar w:fldCharType="separate"/>
                    </w:r>
                    <w:r>
                      <w:t>65</w:t>
                    </w:r>
                    <w:r>
                      <w:fldChar w:fldCharType="end"/>
                    </w:r>
                  </w:p>
                </w:txbxContent>
              </v:textbox>
            </v:rect>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BA21A9">
    <w:pPr>
      <w:spacing w:line="176" w:lineRule="auto"/>
      <w:ind w:left="4367"/>
      <w:rPr>
        <w:rFonts w:ascii="Times New Roman" w:hAnsi="Times New Roman" w:eastAsia="Times New Roman" w:cs="Times New Roman"/>
        <w:sz w:val="18"/>
        <w:szCs w:val="18"/>
      </w:rPr>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10" name="文本框 40"/>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71FF93C1">
                          <w:pPr>
                            <w:pStyle w:val="10"/>
                          </w:pPr>
                          <w:r>
                            <w:fldChar w:fldCharType="begin"/>
                          </w:r>
                          <w:r>
                            <w:instrText xml:space="preserve"> PAGE  \* MERGEFORMAT </w:instrText>
                          </w:r>
                          <w:r>
                            <w:fldChar w:fldCharType="separate"/>
                          </w:r>
                          <w:r>
                            <w:t>66</w:t>
                          </w:r>
                          <w:r>
                            <w:fldChar w:fldCharType="end"/>
                          </w:r>
                        </w:p>
                      </w:txbxContent>
                    </wps:txbx>
                    <wps:bodyPr vert="horz" wrap="none" lIns="0" tIns="0" rIns="0" bIns="0" anchor="t" upright="0">
                      <a:spAutoFit/>
                    </wps:bodyPr>
                  </wps:wsp>
                </a:graphicData>
              </a:graphic>
            </wp:anchor>
          </w:drawing>
        </mc:Choice>
        <mc:Fallback>
          <w:pict>
            <v:rect id="文本框 40"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l1uVLQAAAABQEAAA8AAAAAAAAAAQAgAAAAIgAAAGRycy9k&#10;b3ducmV2LnhtbFBLAQIUABQAAAAIAIdO4kDytb+g0QEAAJ8DAAAOAAAAAAAAAAEAIAAAAB8BAABk&#10;cnMvZTJvRG9jLnhtbFBLBQYAAAAABgAGAFkBAABiBQAAAAA=&#10;">
              <v:fill on="f" focussize="0,0"/>
              <v:stroke on="f"/>
              <v:imagedata o:title=""/>
              <o:lock v:ext="edit" aspectratio="f"/>
              <v:textbox inset="0mm,0mm,0mm,0mm" style="mso-fit-shape-to-text:t;">
                <w:txbxContent>
                  <w:p w14:paraId="71FF93C1">
                    <w:pPr>
                      <w:pStyle w:val="10"/>
                    </w:pPr>
                    <w:r>
                      <w:fldChar w:fldCharType="begin"/>
                    </w:r>
                    <w:r>
                      <w:instrText xml:space="preserve"> PAGE  \* MERGEFORMAT </w:instrText>
                    </w:r>
                    <w:r>
                      <w:fldChar w:fldCharType="separate"/>
                    </w:r>
                    <w:r>
                      <w:t>66</w:t>
                    </w:r>
                    <w:r>
                      <w:fldChar w:fldCharType="end"/>
                    </w:r>
                  </w:p>
                </w:txbxContent>
              </v:textbox>
            </v:rect>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B27735">
    <w:pPr>
      <w:pStyle w:val="10"/>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11" name="文本框 4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6058A74D">
                          <w:pPr>
                            <w:pStyle w:val="10"/>
                          </w:pPr>
                          <w:r>
                            <w:fldChar w:fldCharType="begin"/>
                          </w:r>
                          <w:r>
                            <w:instrText xml:space="preserve"> PAGE  \* MERGEFORMAT </w:instrText>
                          </w:r>
                          <w:r>
                            <w:fldChar w:fldCharType="separate"/>
                          </w:r>
                          <w:r>
                            <w:t>67</w:t>
                          </w:r>
                          <w:r>
                            <w:fldChar w:fldCharType="end"/>
                          </w:r>
                        </w:p>
                      </w:txbxContent>
                    </wps:txbx>
                    <wps:bodyPr vert="horz" wrap="none" lIns="0" tIns="0" rIns="0" bIns="0" anchor="t" upright="0">
                      <a:spAutoFit/>
                    </wps:bodyPr>
                  </wps:wsp>
                </a:graphicData>
              </a:graphic>
            </wp:anchor>
          </w:drawing>
        </mc:Choice>
        <mc:Fallback>
          <w:pict>
            <v:rect id="文本框 4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NGLaEtIBAACfAwAADgAAAAAAAAABACAAAAAfAQAA&#10;ZHJzL2Uyb0RvYy54bWxQSwUGAAAAAAYABgBZAQAAYwUAAAAA&#10;">
              <v:fill on="f" focussize="0,0"/>
              <v:stroke on="f"/>
              <v:imagedata o:title=""/>
              <o:lock v:ext="edit" aspectratio="f"/>
              <v:textbox inset="0mm,0mm,0mm,0mm" style="mso-fit-shape-to-text:t;">
                <w:txbxContent>
                  <w:p w14:paraId="6058A74D">
                    <w:pPr>
                      <w:pStyle w:val="10"/>
                    </w:pPr>
                    <w:r>
                      <w:fldChar w:fldCharType="begin"/>
                    </w:r>
                    <w:r>
                      <w:instrText xml:space="preserve"> PAGE  \* MERGEFORMAT </w:instrText>
                    </w:r>
                    <w:r>
                      <w:fldChar w:fldCharType="separate"/>
                    </w:r>
                    <w:r>
                      <w:t>67</w:t>
                    </w:r>
                    <w:r>
                      <w:fldChar w:fldCharType="end"/>
                    </w:r>
                  </w:p>
                </w:txbxContent>
              </v:textbox>
            </v:rect>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BA1D9E">
    <w:pPr>
      <w:pStyle w:val="10"/>
      <w:rPr>
        <w:lang w:eastAsia="zh-CN"/>
      </w:rPr>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12" name="文本框 4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3F152E6E">
                          <w:pPr>
                            <w:pStyle w:val="10"/>
                          </w:pPr>
                          <w:r>
                            <w:fldChar w:fldCharType="begin"/>
                          </w:r>
                          <w:r>
                            <w:instrText xml:space="preserve"> PAGE  \* MERGEFORMAT </w:instrText>
                          </w:r>
                          <w:r>
                            <w:fldChar w:fldCharType="separate"/>
                          </w:r>
                          <w:r>
                            <w:t>70</w:t>
                          </w:r>
                          <w:r>
                            <w:fldChar w:fldCharType="end"/>
                          </w:r>
                        </w:p>
                      </w:txbxContent>
                    </wps:txbx>
                    <wps:bodyPr vert="horz" wrap="none" lIns="0" tIns="0" rIns="0" bIns="0" anchor="t" upright="0">
                      <a:spAutoFit/>
                    </wps:bodyPr>
                  </wps:wsp>
                </a:graphicData>
              </a:graphic>
            </wp:anchor>
          </w:drawing>
        </mc:Choice>
        <mc:Fallback>
          <w:pict>
            <v:rect id="文本框 4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uXW5UtAAAAAFAQAADwAAAAAAAAABACAAAAAiAAAAZHJz&#10;L2Rvd25yZXYueG1sUEsBAhQAFAAAAAgAh07iQD8cBR/TAQAAnwMAAA4AAAAAAAAAAQAgAAAAHwEA&#10;AGRycy9lMm9Eb2MueG1sUEsFBgAAAAAGAAYAWQEAAGQFAAAAAA==&#10;">
              <v:fill on="f" focussize="0,0"/>
              <v:stroke on="f"/>
              <v:imagedata o:title=""/>
              <o:lock v:ext="edit" aspectratio="f"/>
              <v:textbox inset="0mm,0mm,0mm,0mm" style="mso-fit-shape-to-text:t;">
                <w:txbxContent>
                  <w:p w14:paraId="3F152E6E">
                    <w:pPr>
                      <w:pStyle w:val="10"/>
                    </w:pPr>
                    <w:r>
                      <w:fldChar w:fldCharType="begin"/>
                    </w:r>
                    <w:r>
                      <w:instrText xml:space="preserve"> PAGE  \* MERGEFORMAT </w:instrText>
                    </w:r>
                    <w:r>
                      <w:fldChar w:fldCharType="separate"/>
                    </w:r>
                    <w:r>
                      <w:t>70</w:t>
                    </w:r>
                    <w:r>
                      <w:fldChar w:fldCharType="end"/>
                    </w:r>
                  </w:p>
                </w:txbxContent>
              </v:textbox>
            </v:rect>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EEC67B">
    <w:pPr>
      <w:pStyle w:val="10"/>
      <w:rPr>
        <w:lang w:eastAsia="zh-CN"/>
      </w:rPr>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13" name="文本框 4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3C17DB8B">
                          <w:pPr>
                            <w:pStyle w:val="10"/>
                          </w:pPr>
                          <w:r>
                            <w:fldChar w:fldCharType="begin"/>
                          </w:r>
                          <w:r>
                            <w:instrText xml:space="preserve"> PAGE  \* MERGEFORMAT </w:instrText>
                          </w:r>
                          <w:r>
                            <w:fldChar w:fldCharType="separate"/>
                          </w:r>
                          <w:r>
                            <w:t>77</w:t>
                          </w:r>
                          <w:r>
                            <w:fldChar w:fldCharType="end"/>
                          </w:r>
                        </w:p>
                      </w:txbxContent>
                    </wps:txbx>
                    <wps:bodyPr vert="horz" wrap="none" lIns="0" tIns="0" rIns="0" bIns="0" anchor="t" upright="0">
                      <a:spAutoFit/>
                    </wps:bodyPr>
                  </wps:wsp>
                </a:graphicData>
              </a:graphic>
            </wp:anchor>
          </w:drawing>
        </mc:Choice>
        <mc:Fallback>
          <w:pict>
            <v:rect id="文本框 43"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&#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uXW5UtAAAAAFAQAADwAAAAAAAAABACAAAAAiAAAAZHJz&#10;L2Rvd25yZXYueG1sUEsBAhQAFAAAAAgAh07iQPnLYK3TAQAAnwMAAA4AAAAAAAAAAQAgAAAAHwEA&#10;AGRycy9lMm9Eb2MueG1sUEsFBgAAAAAGAAYAWQEAAGQFAAAAAA==&#10;">
              <v:fill on="f" focussize="0,0"/>
              <v:stroke on="f"/>
              <v:imagedata o:title=""/>
              <o:lock v:ext="edit" aspectratio="f"/>
              <v:textbox inset="0mm,0mm,0mm,0mm" style="mso-fit-shape-to-text:t;">
                <w:txbxContent>
                  <w:p w14:paraId="3C17DB8B">
                    <w:pPr>
                      <w:pStyle w:val="10"/>
                    </w:pPr>
                    <w:r>
                      <w:fldChar w:fldCharType="begin"/>
                    </w:r>
                    <w:r>
                      <w:instrText xml:space="preserve"> PAGE  \* MERGEFORMAT </w:instrText>
                    </w:r>
                    <w:r>
                      <w:fldChar w:fldCharType="separate"/>
                    </w:r>
                    <w:r>
                      <w:t>77</w:t>
                    </w:r>
                    <w:r>
                      <w:fldChar w:fldCharType="end"/>
                    </w:r>
                  </w:p>
                </w:txbxContent>
              </v:textbox>
            </v:rect>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A3A1FC">
    <w:pPr>
      <w:pStyle w:val="10"/>
      <w:rPr>
        <w:lang w:eastAsia="zh-CN"/>
      </w:rPr>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14" name="文本框 44"/>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6E250B3D">
                          <w:pPr>
                            <w:pStyle w:val="10"/>
                          </w:pPr>
                          <w:r>
                            <w:fldChar w:fldCharType="begin"/>
                          </w:r>
                          <w:r>
                            <w:instrText xml:space="preserve"> PAGE  \* MERGEFORMAT </w:instrText>
                          </w:r>
                          <w:r>
                            <w:fldChar w:fldCharType="separate"/>
                          </w:r>
                          <w:r>
                            <w:t>78</w:t>
                          </w:r>
                          <w:r>
                            <w:fldChar w:fldCharType="end"/>
                          </w:r>
                        </w:p>
                      </w:txbxContent>
                    </wps:txbx>
                    <wps:bodyPr vert="horz" wrap="none" lIns="0" tIns="0" rIns="0" bIns="0" anchor="t" upright="0">
                      <a:spAutoFit/>
                    </wps:bodyPr>
                  </wps:wsp>
                </a:graphicData>
              </a:graphic>
            </wp:anchor>
          </w:drawing>
        </mc:Choice>
        <mc:Fallback>
          <w:pict>
            <v:rect id="文本框 44"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uXW5UtAAAAAFAQAADwAAAAAAAAABACAAAAAiAAAAZHJz&#10;L2Rvd25yZXYueG1sUEsBAhQAFAAAAAgAh07iQCnguwTTAQAAnwMAAA4AAAAAAAAAAQAgAAAAHwEA&#10;AGRycy9lMm9Eb2MueG1sUEsFBgAAAAAGAAYAWQEAAGQFAAAAAA==&#10;">
              <v:fill on="f" focussize="0,0"/>
              <v:stroke on="f"/>
              <v:imagedata o:title=""/>
              <o:lock v:ext="edit" aspectratio="f"/>
              <v:textbox inset="0mm,0mm,0mm,0mm" style="mso-fit-shape-to-text:t;">
                <w:txbxContent>
                  <w:p w14:paraId="6E250B3D">
                    <w:pPr>
                      <w:pStyle w:val="10"/>
                    </w:pPr>
                    <w:r>
                      <w:fldChar w:fldCharType="begin"/>
                    </w:r>
                    <w:r>
                      <w:instrText xml:space="preserve"> PAGE  \* MERGEFORMAT </w:instrText>
                    </w:r>
                    <w:r>
                      <w:fldChar w:fldCharType="separate"/>
                    </w:r>
                    <w:r>
                      <w:t>78</w:t>
                    </w:r>
                    <w:r>
                      <w:fldChar w:fldCharType="end"/>
                    </w:r>
                  </w:p>
                </w:txbxContent>
              </v:textbox>
            </v:rect>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2D0A07">
    <w:pPr>
      <w:pStyle w:val="10"/>
      <w:rPr>
        <w:lang w:eastAsia="zh-CN"/>
      </w:rPr>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15" name="文本框 45"/>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5C7D9495">
                          <w:pPr>
                            <w:pStyle w:val="10"/>
                          </w:pPr>
                          <w:r>
                            <w:fldChar w:fldCharType="begin"/>
                          </w:r>
                          <w:r>
                            <w:instrText xml:space="preserve"> PAGE  \* MERGEFORMAT </w:instrText>
                          </w:r>
                          <w:r>
                            <w:fldChar w:fldCharType="separate"/>
                          </w:r>
                          <w:r>
                            <w:t>79</w:t>
                          </w:r>
                          <w:r>
                            <w:fldChar w:fldCharType="end"/>
                          </w:r>
                        </w:p>
                      </w:txbxContent>
                    </wps:txbx>
                    <wps:bodyPr vert="horz" wrap="none" lIns="0" tIns="0" rIns="0" bIns="0" anchor="t" upright="0">
                      <a:spAutoFit/>
                    </wps:bodyPr>
                  </wps:wsp>
                </a:graphicData>
              </a:graphic>
            </wp:anchor>
          </w:drawing>
        </mc:Choice>
        <mc:Fallback>
          <w:pict>
            <v:rect id="文本框 45"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&#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uXW5UtAAAAAFAQAADwAAAAAAAAABACAAAAAiAAAAZHJz&#10;L2Rvd25yZXYueG1sUEsBAhQAFAAAAAgAh07iQO833rbTAQAAnwMAAA4AAAAAAAAAAQAgAAAAHwEA&#10;AGRycy9lMm9Eb2MueG1sUEsFBgAAAAAGAAYAWQEAAGQFAAAAAA==&#10;">
              <v:fill on="f" focussize="0,0"/>
              <v:stroke on="f"/>
              <v:imagedata o:title=""/>
              <o:lock v:ext="edit" aspectratio="f"/>
              <v:textbox inset="0mm,0mm,0mm,0mm" style="mso-fit-shape-to-text:t;">
                <w:txbxContent>
                  <w:p w14:paraId="5C7D9495">
                    <w:pPr>
                      <w:pStyle w:val="10"/>
                    </w:pPr>
                    <w:r>
                      <w:fldChar w:fldCharType="begin"/>
                    </w:r>
                    <w:r>
                      <w:instrText xml:space="preserve"> PAGE  \* MERGEFORMAT </w:instrText>
                    </w:r>
                    <w:r>
                      <w:fldChar w:fldCharType="separate"/>
                    </w:r>
                    <w:r>
                      <w:t>79</w:t>
                    </w:r>
                    <w:r>
                      <w:fldChar w:fldCharType="end"/>
                    </w:r>
                  </w:p>
                </w:txbxContent>
              </v:textbox>
            </v:rect>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1386F4">
    <w:pPr>
      <w:pStyle w:val="10"/>
      <w:rPr>
        <w:lang w:eastAsia="zh-CN"/>
      </w:rPr>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16" name="文本框 46"/>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5A201C30">
                          <w:pPr>
                            <w:pStyle w:val="10"/>
                          </w:pPr>
                          <w:r>
                            <w:fldChar w:fldCharType="begin"/>
                          </w:r>
                          <w:r>
                            <w:instrText xml:space="preserve"> PAGE  \* MERGEFORMAT </w:instrText>
                          </w:r>
                          <w:r>
                            <w:fldChar w:fldCharType="separate"/>
                          </w:r>
                          <w:r>
                            <w:t>80</w:t>
                          </w:r>
                          <w:r>
                            <w:fldChar w:fldCharType="end"/>
                          </w:r>
                        </w:p>
                      </w:txbxContent>
                    </wps:txbx>
                    <wps:bodyPr vert="horz" wrap="none" lIns="0" tIns="0" rIns="0" bIns="0" anchor="t" upright="0">
                      <a:spAutoFit/>
                    </wps:bodyPr>
                  </wps:wsp>
                </a:graphicData>
              </a:graphic>
            </wp:anchor>
          </w:drawing>
        </mc:Choice>
        <mc:Fallback>
          <w:pict>
            <v:rect id="文本框 46"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uXW5UtAAAAAFAQAADwAAAAAAAAABACAAAAAiAAAAZHJz&#10;L2Rvd25yZXYueG1sUEsBAhQAFAAAAAgAh07iQORJAbvTAQAAnwMAAA4AAAAAAAAAAQAgAAAAHwEA&#10;AGRycy9lMm9Eb2MueG1sUEsFBgAAAAAGAAYAWQEAAGQFAAAAAA==&#10;">
              <v:fill on="f" focussize="0,0"/>
              <v:stroke on="f"/>
              <v:imagedata o:title=""/>
              <o:lock v:ext="edit" aspectratio="f"/>
              <v:textbox inset="0mm,0mm,0mm,0mm" style="mso-fit-shape-to-text:t;">
                <w:txbxContent>
                  <w:p w14:paraId="5A201C30">
                    <w:pPr>
                      <w:pStyle w:val="10"/>
                    </w:pPr>
                    <w:r>
                      <w:fldChar w:fldCharType="begin"/>
                    </w:r>
                    <w:r>
                      <w:instrText xml:space="preserve"> PAGE  \* MERGEFORMAT </w:instrText>
                    </w:r>
                    <w:r>
                      <w:fldChar w:fldCharType="separate"/>
                    </w:r>
                    <w:r>
                      <w:t>80</w:t>
                    </w:r>
                    <w:r>
                      <w:fldChar w:fldCharType="end"/>
                    </w:r>
                  </w:p>
                </w:txbxContent>
              </v:textbox>
            </v:rect>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EB5F36">
    <w:pPr>
      <w:pStyle w:val="10"/>
      <w:rPr>
        <w:lang w:eastAsia="zh-CN"/>
      </w:rPr>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17" name="文本框 47"/>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45A0F3F1">
                          <w:pPr>
                            <w:pStyle w:val="10"/>
                          </w:pPr>
                          <w:r>
                            <w:fldChar w:fldCharType="begin"/>
                          </w:r>
                          <w:r>
                            <w:instrText xml:space="preserve"> PAGE  \* MERGEFORMAT </w:instrText>
                          </w:r>
                          <w:r>
                            <w:fldChar w:fldCharType="separate"/>
                          </w:r>
                          <w:r>
                            <w:t>81</w:t>
                          </w:r>
                          <w:r>
                            <w:fldChar w:fldCharType="end"/>
                          </w:r>
                        </w:p>
                      </w:txbxContent>
                    </wps:txbx>
                    <wps:bodyPr vert="horz" wrap="none" lIns="0" tIns="0" rIns="0" bIns="0" anchor="t" upright="0">
                      <a:spAutoFit/>
                    </wps:bodyPr>
                  </wps:wsp>
                </a:graphicData>
              </a:graphic>
            </wp:anchor>
          </w:drawing>
        </mc:Choice>
        <mc:Fallback>
          <w:pict>
            <v:rect id="文本框 47"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&#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uXW5UtAAAAAFAQAADwAAAAAAAAABACAAAAAiAAAAZHJz&#10;L2Rvd25yZXYueG1sUEsBAhQAFAAAAAgAh07iQCKeZAnTAQAAnwMAAA4AAAAAAAAAAQAgAAAAHwEA&#10;AGRycy9lMm9Eb2MueG1sUEsFBgAAAAAGAAYAWQEAAGQFAAAAAA==&#10;">
              <v:fill on="f" focussize="0,0"/>
              <v:stroke on="f"/>
              <v:imagedata o:title=""/>
              <o:lock v:ext="edit" aspectratio="f"/>
              <v:textbox inset="0mm,0mm,0mm,0mm" style="mso-fit-shape-to-text:t;">
                <w:txbxContent>
                  <w:p w14:paraId="45A0F3F1">
                    <w:pPr>
                      <w:pStyle w:val="10"/>
                    </w:pPr>
                    <w:r>
                      <w:fldChar w:fldCharType="begin"/>
                    </w:r>
                    <w:r>
                      <w:instrText xml:space="preserve"> PAGE  \* MERGEFORMAT </w:instrText>
                    </w:r>
                    <w:r>
                      <w:fldChar w:fldCharType="separate"/>
                    </w:r>
                    <w:r>
                      <w:t>81</w:t>
                    </w:r>
                    <w: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7A23A9">
    <w:pPr>
      <w:pStyle w:val="10"/>
      <w:tabs>
        <w:tab w:val="clear" w:pos="4153"/>
      </w:tabs>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8" name="文本框 28"/>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0FF09532">
                          <w:pPr>
                            <w:pStyle w:val="10"/>
                          </w:pPr>
                          <w:r>
                            <w:fldChar w:fldCharType="begin"/>
                          </w:r>
                          <w:r>
                            <w:instrText xml:space="preserve"> PAGE  \* MERGEFORMAT </w:instrText>
                          </w:r>
                          <w:r>
                            <w:fldChar w:fldCharType="separate"/>
                          </w:r>
                          <w:r>
                            <w:t>2</w:t>
                          </w:r>
                          <w:r>
                            <w:fldChar w:fldCharType="end"/>
                          </w:r>
                        </w:p>
                      </w:txbxContent>
                    </wps:txbx>
                    <wps:bodyPr vert="horz" wrap="none" lIns="0" tIns="0" rIns="0" bIns="0" anchor="t" upright="0">
                      <a:spAutoFit/>
                    </wps:bodyPr>
                  </wps:wsp>
                </a:graphicData>
              </a:graphic>
            </wp:anchor>
          </w:drawing>
        </mc:Choice>
        <mc:Fallback>
          <w:pict>
            <v:rect id="文本框 28"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5wmG39IBAACfAwAADgAAAAAAAAABACAAAAAfAQAA&#10;ZHJzL2Uyb0RvYy54bWxQSwUGAAAAAAYABgBZAQAAYwUAAAAA&#10;">
              <v:fill on="f" focussize="0,0"/>
              <v:stroke on="f"/>
              <v:imagedata o:title=""/>
              <o:lock v:ext="edit" aspectratio="f"/>
              <v:textbox inset="0mm,0mm,0mm,0mm" style="mso-fit-shape-to-text:t;">
                <w:txbxContent>
                  <w:p w14:paraId="0FF09532">
                    <w:pPr>
                      <w:pStyle w:val="10"/>
                    </w:pPr>
                    <w:r>
                      <w:fldChar w:fldCharType="begin"/>
                    </w:r>
                    <w:r>
                      <w:instrText xml:space="preserve"> PAGE  \* MERGEFORMAT </w:instrText>
                    </w:r>
                    <w:r>
                      <w:fldChar w:fldCharType="separate"/>
                    </w:r>
                    <w:r>
                      <w:t>2</w:t>
                    </w:r>
                    <w:r>
                      <w:fldChar w:fldCharType="end"/>
                    </w:r>
                  </w:p>
                </w:txbxContent>
              </v:textbox>
            </v:rect>
          </w:pict>
        </mc:Fallback>
      </mc:AlternateContent>
    </w:r>
    <w:r>
      <w:rPr>
        <w:rFonts w:hint="eastAsia" w:eastAsia="宋体"/>
        <w:lang w:eastAsia="zh-CN"/>
      </w:rPr>
      <w:tab/>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F3C4FF">
    <w:pPr>
      <w:pStyle w:val="10"/>
      <w:rPr>
        <w:lang w:eastAsia="zh-CN"/>
      </w:rPr>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18" name="文本框 48"/>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78BA6F58">
                          <w:pPr>
                            <w:pStyle w:val="10"/>
                          </w:pPr>
                          <w:r>
                            <w:fldChar w:fldCharType="begin"/>
                          </w:r>
                          <w:r>
                            <w:instrText xml:space="preserve"> PAGE  \* MERGEFORMAT </w:instrText>
                          </w:r>
                          <w:r>
                            <w:fldChar w:fldCharType="separate"/>
                          </w:r>
                          <w:r>
                            <w:t>82</w:t>
                          </w:r>
                          <w:r>
                            <w:fldChar w:fldCharType="end"/>
                          </w:r>
                        </w:p>
                      </w:txbxContent>
                    </wps:txbx>
                    <wps:bodyPr vert="horz" wrap="none" lIns="0" tIns="0" rIns="0" bIns="0" anchor="t" upright="0">
                      <a:spAutoFit/>
                    </wps:bodyPr>
                  </wps:wsp>
                </a:graphicData>
              </a:graphic>
            </wp:anchor>
          </w:drawing>
        </mc:Choice>
        <mc:Fallback>
          <w:pict>
            <v:rect id="文本框 48"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BRjGM9IBAACfAwAADgAAAAAAAAABACAAAAAfAQAA&#10;ZHJzL2Uyb0RvYy54bWxQSwUGAAAAAAYABgBZAQAAYwUAAAAA&#10;">
              <v:fill on="f" focussize="0,0"/>
              <v:stroke on="f"/>
              <v:imagedata o:title=""/>
              <o:lock v:ext="edit" aspectratio="f"/>
              <v:textbox inset="0mm,0mm,0mm,0mm" style="mso-fit-shape-to-text:t;">
                <w:txbxContent>
                  <w:p w14:paraId="78BA6F58">
                    <w:pPr>
                      <w:pStyle w:val="10"/>
                    </w:pPr>
                    <w:r>
                      <w:fldChar w:fldCharType="begin"/>
                    </w:r>
                    <w:r>
                      <w:instrText xml:space="preserve"> PAGE  \* MERGEFORMAT </w:instrText>
                    </w:r>
                    <w:r>
                      <w:fldChar w:fldCharType="separate"/>
                    </w:r>
                    <w:r>
                      <w:t>82</w:t>
                    </w:r>
                    <w:r>
                      <w:fldChar w:fldCharType="end"/>
                    </w:r>
                  </w:p>
                </w:txbxContent>
              </v:textbox>
            </v:rect>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E5FAA5">
    <w:pPr>
      <w:pStyle w:val="10"/>
      <w:rPr>
        <w:lang w:eastAsia="zh-CN"/>
      </w:rPr>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20" name="文本框 50"/>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6B18F1F4">
                          <w:pPr>
                            <w:pStyle w:val="10"/>
                          </w:pPr>
                          <w:r>
                            <w:fldChar w:fldCharType="begin"/>
                          </w:r>
                          <w:r>
                            <w:instrText xml:space="preserve"> PAGE  \* MERGEFORMAT </w:instrText>
                          </w:r>
                          <w:r>
                            <w:fldChar w:fldCharType="separate"/>
                          </w:r>
                          <w:r>
                            <w:t>84</w:t>
                          </w:r>
                          <w:r>
                            <w:fldChar w:fldCharType="end"/>
                          </w:r>
                        </w:p>
                      </w:txbxContent>
                    </wps:txbx>
                    <wps:bodyPr vert="horz" wrap="none" lIns="0" tIns="0" rIns="0" bIns="0" anchor="t" upright="0">
                      <a:spAutoFit/>
                    </wps:bodyPr>
                  </wps:wsp>
                </a:graphicData>
              </a:graphic>
            </wp:anchor>
          </w:drawing>
        </mc:Choice>
        <mc:Fallback>
          <w:pict>
            <v:rect id="文本框 50"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QBE9ytIBAACfAwAADgAAAAAAAAABACAAAAAfAQAA&#10;ZHJzL2Uyb0RvYy54bWxQSwUGAAAAAAYABgBZAQAAYwUAAAAA&#10;">
              <v:fill on="f" focussize="0,0"/>
              <v:stroke on="f"/>
              <v:imagedata o:title=""/>
              <o:lock v:ext="edit" aspectratio="f"/>
              <v:textbox inset="0mm,0mm,0mm,0mm" style="mso-fit-shape-to-text:t;">
                <w:txbxContent>
                  <w:p w14:paraId="6B18F1F4">
                    <w:pPr>
                      <w:pStyle w:val="10"/>
                    </w:pPr>
                    <w:r>
                      <w:fldChar w:fldCharType="begin"/>
                    </w:r>
                    <w:r>
                      <w:instrText xml:space="preserve"> PAGE  \* MERGEFORMAT </w:instrText>
                    </w:r>
                    <w:r>
                      <w:fldChar w:fldCharType="separate"/>
                    </w:r>
                    <w:r>
                      <w:t>84</w:t>
                    </w:r>
                    <w:r>
                      <w:fldChar w:fldCharType="end"/>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E58B3F">
    <w:pPr>
      <w:spacing w:line="173" w:lineRule="auto"/>
      <w:ind w:left="5140"/>
      <w:rPr>
        <w:rFonts w:ascii="Times New Roman" w:hAnsi="Times New Roman" w:eastAsia="Times New Roman" w:cs="Times New Roman"/>
        <w:sz w:val="18"/>
        <w:szCs w:val="18"/>
      </w:rPr>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9" name="文本框 29"/>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22432350">
                          <w:pPr>
                            <w:pStyle w:val="10"/>
                          </w:pPr>
                          <w:r>
                            <w:fldChar w:fldCharType="begin"/>
                          </w:r>
                          <w:r>
                            <w:instrText xml:space="preserve"> PAGE  \* MERGEFORMAT </w:instrText>
                          </w:r>
                          <w:r>
                            <w:fldChar w:fldCharType="separate"/>
                          </w:r>
                          <w:r>
                            <w:t>3</w:t>
                          </w:r>
                          <w:r>
                            <w:fldChar w:fldCharType="end"/>
                          </w:r>
                        </w:p>
                      </w:txbxContent>
                    </wps:txbx>
                    <wps:bodyPr vert="horz" wrap="none" lIns="0" tIns="0" rIns="0" bIns="0" anchor="t" upright="0">
                      <a:spAutoFit/>
                    </wps:bodyPr>
                  </wps:wsp>
                </a:graphicData>
              </a:graphic>
            </wp:anchor>
          </w:drawing>
        </mc:Choice>
        <mc:Fallback>
          <w:pict>
            <v:rect id="文本框 29"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&#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uXW5UtAAAAAFAQAADwAAAAAAAAABACAAAAAiAAAAZHJz&#10;L2Rvd25yZXYueG1sUEsBAhQAFAAAAAgAh07iQCHe423TAQAAnwMAAA4AAAAAAAAAAQAgAAAAHwEA&#10;AGRycy9lMm9Eb2MueG1sUEsFBgAAAAAGAAYAWQEAAGQFAAAAAA==&#10;">
              <v:fill on="f" focussize="0,0"/>
              <v:stroke on="f"/>
              <v:imagedata o:title=""/>
              <o:lock v:ext="edit" aspectratio="f"/>
              <v:textbox inset="0mm,0mm,0mm,0mm" style="mso-fit-shape-to-text:t;">
                <w:txbxContent>
                  <w:p w14:paraId="22432350">
                    <w:pPr>
                      <w:pStyle w:val="10"/>
                    </w:pPr>
                    <w:r>
                      <w:fldChar w:fldCharType="begin"/>
                    </w:r>
                    <w:r>
                      <w:instrText xml:space="preserve"> PAGE  \* MERGEFORMAT </w:instrText>
                    </w:r>
                    <w:r>
                      <w:fldChar w:fldCharType="separate"/>
                    </w:r>
                    <w:r>
                      <w:t>3</w:t>
                    </w:r>
                    <w:r>
                      <w:fldChar w:fldCharType="end"/>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2B9589">
    <w:pPr>
      <w:spacing w:line="176" w:lineRule="auto"/>
      <w:ind w:left="4592"/>
      <w:rPr>
        <w:rFonts w:ascii="Times New Roman" w:hAnsi="Times New Roman" w:eastAsia="Times New Roman" w:cs="Times New Roman"/>
        <w:sz w:val="18"/>
        <w:szCs w:val="18"/>
      </w:rPr>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0" name="文本框 30"/>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13735300">
                          <w:pPr>
                            <w:pStyle w:val="10"/>
                          </w:pPr>
                          <w:r>
                            <w:fldChar w:fldCharType="begin"/>
                          </w:r>
                          <w:r>
                            <w:instrText xml:space="preserve"> PAGE  \* MERGEFORMAT </w:instrText>
                          </w:r>
                          <w:r>
                            <w:fldChar w:fldCharType="separate"/>
                          </w:r>
                          <w:r>
                            <w:t>11</w:t>
                          </w:r>
                          <w:r>
                            <w:fldChar w:fldCharType="end"/>
                          </w:r>
                        </w:p>
                      </w:txbxContent>
                    </wps:txbx>
                    <wps:bodyPr vert="horz" wrap="none" lIns="0" tIns="0" rIns="0" bIns="0" anchor="t" upright="0">
                      <a:spAutoFit/>
                    </wps:bodyPr>
                  </wps:wsp>
                </a:graphicData>
              </a:graphic>
            </wp:anchor>
          </w:drawing>
        </mc:Choice>
        <mc:Fallback>
          <w:pict>
            <v:rect id="文本框 30"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l1uVLQAAAABQEAAA8AAAAAAAAAAQAgAAAAIgAAAGRycy9k&#10;b3ducmV2LnhtbFBLAQIUABQAAAAIAIdO4kAtV50O0QEAAJ8DAAAOAAAAAAAAAAEAIAAAAB8BAABk&#10;cnMvZTJvRG9jLnhtbFBLBQYAAAAABgAGAFkBAABiBQAAAAA=&#10;">
              <v:fill on="f" focussize="0,0"/>
              <v:stroke on="f"/>
              <v:imagedata o:title=""/>
              <o:lock v:ext="edit" aspectratio="f"/>
              <v:textbox inset="0mm,0mm,0mm,0mm" style="mso-fit-shape-to-text:t;">
                <w:txbxContent>
                  <w:p w14:paraId="13735300">
                    <w:pPr>
                      <w:pStyle w:val="10"/>
                    </w:pPr>
                    <w:r>
                      <w:fldChar w:fldCharType="begin"/>
                    </w:r>
                    <w:r>
                      <w:instrText xml:space="preserve"> PAGE  \* MERGEFORMAT </w:instrText>
                    </w:r>
                    <w:r>
                      <w:fldChar w:fldCharType="separate"/>
                    </w:r>
                    <w:r>
                      <w:t>11</w:t>
                    </w:r>
                    <w:r>
                      <w:fldChar w:fldCharType="end"/>
                    </w:r>
                  </w:p>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315622">
    <w:pPr>
      <w:spacing w:line="176" w:lineRule="auto"/>
      <w:ind w:left="4578"/>
      <w:rPr>
        <w:rFonts w:ascii="Times New Roman" w:hAnsi="Times New Roman" w:eastAsia="Times New Roman" w:cs="Times New Roman"/>
        <w:sz w:val="18"/>
        <w:szCs w:val="18"/>
      </w:rPr>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3" name="文本框 3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245E682E">
                          <w:pPr>
                            <w:pStyle w:val="10"/>
                          </w:pPr>
                          <w:r>
                            <w:fldChar w:fldCharType="begin"/>
                          </w:r>
                          <w:r>
                            <w:instrText xml:space="preserve"> PAGE  \* MERGEFORMAT </w:instrText>
                          </w:r>
                          <w:r>
                            <w:fldChar w:fldCharType="separate"/>
                          </w:r>
                          <w:r>
                            <w:t>55</w:t>
                          </w:r>
                          <w:r>
                            <w:fldChar w:fldCharType="end"/>
                          </w:r>
                        </w:p>
                      </w:txbxContent>
                    </wps:txbx>
                    <wps:bodyPr vert="horz" wrap="none" lIns="0" tIns="0" rIns="0" bIns="0" anchor="t" upright="0">
                      <a:spAutoFit/>
                    </wps:bodyPr>
                  </wps:wsp>
                </a:graphicData>
              </a:graphic>
            </wp:anchor>
          </w:drawing>
        </mc:Choice>
        <mc:Fallback>
          <w:pict>
            <v:rect id="文本框 33"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&#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uXW5UtAAAAAFAQAADwAAAAAAAAABACAAAAAiAAAAZHJz&#10;L2Rvd25yZXYueG1sUEsBAhQAFAAAAAgAh07iQCYpQgPTAQAAnwMAAA4AAAAAAAAAAQAgAAAAHwEA&#10;AGRycy9lMm9Eb2MueG1sUEsFBgAAAAAGAAYAWQEAAGQFAAAAAA==&#10;">
              <v:fill on="f" focussize="0,0"/>
              <v:stroke on="f"/>
              <v:imagedata o:title=""/>
              <o:lock v:ext="edit" aspectratio="f"/>
              <v:textbox inset="0mm,0mm,0mm,0mm" style="mso-fit-shape-to-text:t;">
                <w:txbxContent>
                  <w:p w14:paraId="245E682E">
                    <w:pPr>
                      <w:pStyle w:val="10"/>
                    </w:pPr>
                    <w:r>
                      <w:fldChar w:fldCharType="begin"/>
                    </w:r>
                    <w:r>
                      <w:instrText xml:space="preserve"> PAGE  \* MERGEFORMAT </w:instrText>
                    </w:r>
                    <w:r>
                      <w:fldChar w:fldCharType="separate"/>
                    </w:r>
                    <w:r>
                      <w:t>55</w:t>
                    </w:r>
                    <w:r>
                      <w:fldChar w:fldCharType="end"/>
                    </w:r>
                  </w:p>
                </w:txbxContent>
              </v:textbox>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5C09D8">
    <w:pPr>
      <w:spacing w:line="176" w:lineRule="auto"/>
      <w:ind w:left="4586"/>
      <w:rPr>
        <w:rFonts w:ascii="Times New Roman" w:hAnsi="Times New Roman" w:eastAsia="Times New Roman" w:cs="Times New Roman"/>
        <w:sz w:val="18"/>
        <w:szCs w:val="18"/>
      </w:rPr>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4" name="文本框 34"/>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4FDBFB45">
                          <w:pPr>
                            <w:pStyle w:val="10"/>
                          </w:pPr>
                          <w:r>
                            <w:fldChar w:fldCharType="begin"/>
                          </w:r>
                          <w:r>
                            <w:instrText xml:space="preserve"> PAGE  \* MERGEFORMAT </w:instrText>
                          </w:r>
                          <w:r>
                            <w:fldChar w:fldCharType="separate"/>
                          </w:r>
                          <w:r>
                            <w:t>56</w:t>
                          </w:r>
                          <w:r>
                            <w:fldChar w:fldCharType="end"/>
                          </w:r>
                        </w:p>
                      </w:txbxContent>
                    </wps:txbx>
                    <wps:bodyPr vert="horz" wrap="none" lIns="0" tIns="0" rIns="0" bIns="0" anchor="t" upright="0">
                      <a:spAutoFit/>
                    </wps:bodyPr>
                  </wps:wsp>
                </a:graphicData>
              </a:graphic>
            </wp:anchor>
          </w:drawing>
        </mc:Choice>
        <mc:Fallback>
          <w:pict>
            <v:rect id="文本框 34"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&#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uXW5UtAAAAAFAQAADwAAAAAAAAABACAAAAAiAAAAZHJz&#10;L2Rvd25yZXYueG1sUEsBAhQAFAAAAAgAh07iQPYCmarTAQAAnwMAAA4AAAAAAAAAAQAgAAAAHwEA&#10;AGRycy9lMm9Eb2MueG1sUEsFBgAAAAAGAAYAWQEAAGQFAAAAAA==&#10;">
              <v:fill on="f" focussize="0,0"/>
              <v:stroke on="f"/>
              <v:imagedata o:title=""/>
              <o:lock v:ext="edit" aspectratio="f"/>
              <v:textbox inset="0mm,0mm,0mm,0mm" style="mso-fit-shape-to-text:t;">
                <w:txbxContent>
                  <w:p w14:paraId="4FDBFB45">
                    <w:pPr>
                      <w:pStyle w:val="10"/>
                    </w:pPr>
                    <w:r>
                      <w:fldChar w:fldCharType="begin"/>
                    </w:r>
                    <w:r>
                      <w:instrText xml:space="preserve"> PAGE  \* MERGEFORMAT </w:instrText>
                    </w:r>
                    <w:r>
                      <w:fldChar w:fldCharType="separate"/>
                    </w:r>
                    <w:r>
                      <w:t>56</w:t>
                    </w:r>
                    <w:r>
                      <w:fldChar w:fldCharType="end"/>
                    </w:r>
                  </w:p>
                </w:txbxContent>
              </v:textbox>
            </v:rect>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2B4C0E">
    <w:pPr>
      <w:spacing w:line="176" w:lineRule="auto"/>
      <w:ind w:left="7012"/>
      <w:rPr>
        <w:rFonts w:ascii="Times New Roman" w:hAnsi="Times New Roman" w:eastAsia="Times New Roman" w:cs="Times New Roman"/>
        <w:sz w:val="18"/>
        <w:szCs w:val="18"/>
      </w:rPr>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5" name="文本框 35"/>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48AF4CE0">
                          <w:pPr>
                            <w:pStyle w:val="10"/>
                          </w:pPr>
                          <w:r>
                            <w:fldChar w:fldCharType="begin"/>
                          </w:r>
                          <w:r>
                            <w:instrText xml:space="preserve"> PAGE  \* MERGEFORMAT </w:instrText>
                          </w:r>
                          <w:r>
                            <w:fldChar w:fldCharType="separate"/>
                          </w:r>
                          <w:r>
                            <w:t>57</w:t>
                          </w:r>
                          <w:r>
                            <w:fldChar w:fldCharType="end"/>
                          </w:r>
                        </w:p>
                      </w:txbxContent>
                    </wps:txbx>
                    <wps:bodyPr vert="horz" wrap="none" lIns="0" tIns="0" rIns="0" bIns="0" anchor="t" upright="0">
                      <a:spAutoFit/>
                    </wps:bodyPr>
                  </wps:wsp>
                </a:graphicData>
              </a:graphic>
            </wp:anchor>
          </w:drawing>
        </mc:Choice>
        <mc:Fallback>
          <w:pict>
            <v:rect id="文本框 35"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&#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Ll1uVLQAAAABQEAAA8AAAAAAAAAAQAgAAAAIgAAAGRy&#10;cy9kb3ducmV2LnhtbFBLAQIUABQAAAAIAIdO4kAw1fwY1AEAAJ8DAAAOAAAAAAAAAAEAIAAAAB8B&#10;AABkcnMvZTJvRG9jLnhtbFBLBQYAAAAABgAGAFkBAABlBQAAAAA=&#10;">
              <v:fill on="f" focussize="0,0"/>
              <v:stroke on="f"/>
              <v:imagedata o:title=""/>
              <o:lock v:ext="edit" aspectratio="f"/>
              <v:textbox inset="0mm,0mm,0mm,0mm" style="mso-fit-shape-to-text:t;">
                <w:txbxContent>
                  <w:p w14:paraId="48AF4CE0">
                    <w:pPr>
                      <w:pStyle w:val="10"/>
                    </w:pPr>
                    <w:r>
                      <w:fldChar w:fldCharType="begin"/>
                    </w:r>
                    <w:r>
                      <w:instrText xml:space="preserve"> PAGE  \* MERGEFORMAT </w:instrText>
                    </w:r>
                    <w:r>
                      <w:fldChar w:fldCharType="separate"/>
                    </w:r>
                    <w:r>
                      <w:t>57</w:t>
                    </w:r>
                    <w:r>
                      <w:fldChar w:fldCharType="end"/>
                    </w:r>
                  </w:p>
                </w:txbxContent>
              </v:textbox>
            </v:rect>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E057EC">
    <w:pPr>
      <w:spacing w:line="176" w:lineRule="auto"/>
      <w:ind w:left="4452"/>
      <w:rPr>
        <w:rFonts w:ascii="Times New Roman" w:hAnsi="Times New Roman" w:eastAsia="Times New Roman" w:cs="Times New Roman"/>
        <w:sz w:val="18"/>
        <w:szCs w:val="18"/>
      </w:rPr>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6" name="文本框 36"/>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546A5E3F">
                          <w:pPr>
                            <w:pStyle w:val="10"/>
                          </w:pPr>
                          <w:r>
                            <w:fldChar w:fldCharType="begin"/>
                          </w:r>
                          <w:r>
                            <w:instrText xml:space="preserve"> PAGE  \* MERGEFORMAT </w:instrText>
                          </w:r>
                          <w:r>
                            <w:fldChar w:fldCharType="separate"/>
                          </w:r>
                          <w:r>
                            <w:t>59</w:t>
                          </w:r>
                          <w:r>
                            <w:fldChar w:fldCharType="end"/>
                          </w:r>
                        </w:p>
                      </w:txbxContent>
                    </wps:txbx>
                    <wps:bodyPr vert="horz" wrap="none" lIns="0" tIns="0" rIns="0" bIns="0" anchor="t" upright="0">
                      <a:spAutoFit/>
                    </wps:bodyPr>
                  </wps:wsp>
                </a:graphicData>
              </a:graphic>
            </wp:anchor>
          </w:drawing>
        </mc:Choice>
        <mc:Fallback>
          <w:pict>
            <v:rect id="文本框 36"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&#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uXW5UtAAAAAFAQAADwAAAAAAAAABACAAAAAiAAAAZHJz&#10;L2Rvd25yZXYueG1sUEsBAhQAFAAAAAgAh07iQDurIxXTAQAAnwMAAA4AAAAAAAAAAQAgAAAAHwEA&#10;AGRycy9lMm9Eb2MueG1sUEsFBgAAAAAGAAYAWQEAAGQFAAAAAA==&#10;">
              <v:fill on="f" focussize="0,0"/>
              <v:stroke on="f"/>
              <v:imagedata o:title=""/>
              <o:lock v:ext="edit" aspectratio="f"/>
              <v:textbox inset="0mm,0mm,0mm,0mm" style="mso-fit-shape-to-text:t;">
                <w:txbxContent>
                  <w:p w14:paraId="546A5E3F">
                    <w:pPr>
                      <w:pStyle w:val="10"/>
                    </w:pPr>
                    <w:r>
                      <w:fldChar w:fldCharType="begin"/>
                    </w:r>
                    <w:r>
                      <w:instrText xml:space="preserve"> PAGE  \* MERGEFORMAT </w:instrText>
                    </w:r>
                    <w:r>
                      <w:fldChar w:fldCharType="separate"/>
                    </w:r>
                    <w:r>
                      <w:t>59</w:t>
                    </w:r>
                    <w:r>
                      <w:fldChar w:fldCharType="end"/>
                    </w:r>
                  </w:p>
                </w:txbxContent>
              </v:textbox>
            </v:rect>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4A4828">
    <w:pPr>
      <w:spacing w:line="176" w:lineRule="auto"/>
      <w:ind w:left="4872"/>
      <w:rPr>
        <w:rFonts w:ascii="Times New Roman" w:hAnsi="Times New Roman" w:eastAsia="Times New Roman" w:cs="Times New Roman"/>
        <w:sz w:val="18"/>
        <w:szCs w:val="18"/>
      </w:rPr>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7" name="文本框 37"/>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6B5051A6">
                          <w:pPr>
                            <w:pStyle w:val="10"/>
                          </w:pPr>
                          <w:r>
                            <w:fldChar w:fldCharType="begin"/>
                          </w:r>
                          <w:r>
                            <w:instrText xml:space="preserve"> PAGE  \* MERGEFORMAT </w:instrText>
                          </w:r>
                          <w:r>
                            <w:fldChar w:fldCharType="separate"/>
                          </w:r>
                          <w:r>
                            <w:t>60</w:t>
                          </w:r>
                          <w:r>
                            <w:fldChar w:fldCharType="end"/>
                          </w:r>
                        </w:p>
                      </w:txbxContent>
                    </wps:txbx>
                    <wps:bodyPr vert="horz" wrap="none" lIns="0" tIns="0" rIns="0" bIns="0" anchor="t" upright="0">
                      <a:spAutoFit/>
                    </wps:bodyPr>
                  </wps:wsp>
                </a:graphicData>
              </a:graphic>
            </wp:anchor>
          </w:drawing>
        </mc:Choice>
        <mc:Fallback>
          <w:pict>
            <v:rect id="文本框 37"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&#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Ll1uVLQAAAABQEAAA8AAAAAAAAAAQAgAAAAIgAAAGRy&#10;cy9kb3ducmV2LnhtbFBLAQIUABQAAAAIAIdO4kD9fEan1AEAAJ8DAAAOAAAAAAAAAAEAIAAAAB8B&#10;AABkcnMvZTJvRG9jLnhtbFBLBQYAAAAABgAGAFkBAABlBQAAAAA=&#10;">
              <v:fill on="f" focussize="0,0"/>
              <v:stroke on="f"/>
              <v:imagedata o:title=""/>
              <o:lock v:ext="edit" aspectratio="f"/>
              <v:textbox inset="0mm,0mm,0mm,0mm" style="mso-fit-shape-to-text:t;">
                <w:txbxContent>
                  <w:p w14:paraId="6B5051A6">
                    <w:pPr>
                      <w:pStyle w:val="10"/>
                    </w:pPr>
                    <w:r>
                      <w:fldChar w:fldCharType="begin"/>
                    </w:r>
                    <w:r>
                      <w:instrText xml:space="preserve"> PAGE  \* MERGEFORMAT </w:instrText>
                    </w:r>
                    <w:r>
                      <w:fldChar w:fldCharType="separate"/>
                    </w:r>
                    <w:r>
                      <w:t>60</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80B720">
    <w:pPr>
      <w:widowControl/>
      <w:autoSpaceDE w:val="0"/>
      <w:autoSpaceDN w:val="0"/>
      <w:spacing w:before="120" w:beforeLines="50" w:after="120" w:afterLines="50"/>
      <w:jc w:val="both"/>
      <w:textAlignment w:val="bottom"/>
      <w:rPr>
        <w:rFonts w:hint="default" w:ascii="宋体" w:hAnsi="宋体" w:eastAsia="宋体" w:cs="宋体"/>
        <w:b w:val="0"/>
        <w:bCs w:val="0"/>
        <w:sz w:val="8"/>
        <w:szCs w:val="8"/>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singleLevel"/>
    <w:tmpl w:val="00000002"/>
    <w:lvl w:ilvl="0" w:tentative="0">
      <w:start w:val="5"/>
      <w:numFmt w:val="chineseCounting"/>
      <w:suff w:val="nothing"/>
      <w:lvlText w:val="%1、"/>
      <w:lvlJc w:val="left"/>
      <w:rPr>
        <w:rFonts w:hint="eastAsia"/>
      </w:rPr>
    </w:lvl>
  </w:abstractNum>
  <w:abstractNum w:abstractNumId="1">
    <w:nsid w:val="00000005"/>
    <w:multiLevelType w:val="singleLevel"/>
    <w:tmpl w:val="00000005"/>
    <w:lvl w:ilvl="0" w:tentative="0">
      <w:start w:val="4"/>
      <w:numFmt w:val="decimal"/>
      <w:lvlText w:val="%1."/>
      <w:lvlJc w:val="left"/>
      <w:pPr>
        <w:tabs>
          <w:tab w:val="left" w:pos="312"/>
        </w:tabs>
      </w:pPr>
    </w:lvl>
  </w:abstractNum>
  <w:abstractNum w:abstractNumId="2">
    <w:nsid w:val="00000009"/>
    <w:multiLevelType w:val="singleLevel"/>
    <w:tmpl w:val="00000009"/>
    <w:lvl w:ilvl="0" w:tentative="0">
      <w:start w:val="1"/>
      <w:numFmt w:val="chineseCounting"/>
      <w:suff w:val="nothing"/>
      <w:lvlText w:val="%1、"/>
      <w:lvlJc w:val="left"/>
      <w:rPr>
        <w:rFonts w:hint="eastAsia"/>
      </w:rPr>
    </w:lvl>
  </w:abstractNum>
  <w:abstractNum w:abstractNumId="3">
    <w:nsid w:val="0000000A"/>
    <w:multiLevelType w:val="singleLevel"/>
    <w:tmpl w:val="0000000A"/>
    <w:lvl w:ilvl="0" w:tentative="0">
      <w:start w:val="6"/>
      <w:numFmt w:val="chineseCounting"/>
      <w:suff w:val="nothing"/>
      <w:lvlText w:val="%1、"/>
      <w:lvlJc w:val="left"/>
      <w:rPr>
        <w:rFonts w:hint="eastAsia"/>
        <w:b/>
        <w:bCs/>
      </w:rPr>
    </w:lvl>
  </w:abstractNum>
  <w:abstractNum w:abstractNumId="4">
    <w:nsid w:val="0000000C"/>
    <w:multiLevelType w:val="singleLevel"/>
    <w:tmpl w:val="0000000C"/>
    <w:lvl w:ilvl="0" w:tentative="0">
      <w:start w:val="1"/>
      <w:numFmt w:val="chineseCounting"/>
      <w:suff w:val="nothing"/>
      <w:lvlText w:val="%1、"/>
      <w:lvlJc w:val="left"/>
      <w:rPr>
        <w:rFonts w:hint="eastAsia"/>
      </w:rPr>
    </w:lvl>
  </w:abstractNum>
  <w:abstractNum w:abstractNumId="5">
    <w:nsid w:val="0000001B"/>
    <w:multiLevelType w:val="singleLevel"/>
    <w:tmpl w:val="0000001B"/>
    <w:lvl w:ilvl="0" w:tentative="0">
      <w:start w:val="6"/>
      <w:numFmt w:val="chineseCounting"/>
      <w:suff w:val="space"/>
      <w:lvlText w:val="第%1章"/>
      <w:lvlJc w:val="left"/>
      <w:rPr>
        <w:rFonts w:hint="eastAsia"/>
      </w:rPr>
    </w:lvl>
  </w:abstractNum>
  <w:abstractNum w:abstractNumId="6">
    <w:nsid w:val="00000020"/>
    <w:multiLevelType w:val="singleLevel"/>
    <w:tmpl w:val="00000020"/>
    <w:lvl w:ilvl="0" w:tentative="0">
      <w:start w:val="2"/>
      <w:numFmt w:val="decimal"/>
      <w:suff w:val="nothing"/>
      <w:lvlText w:val="%1、"/>
      <w:lvlJc w:val="left"/>
    </w:lvl>
  </w:abstractNum>
  <w:abstractNum w:abstractNumId="7">
    <w:nsid w:val="00000022"/>
    <w:multiLevelType w:val="singleLevel"/>
    <w:tmpl w:val="00000022"/>
    <w:lvl w:ilvl="0" w:tentative="0">
      <w:start w:val="4"/>
      <w:numFmt w:val="chineseCounting"/>
      <w:suff w:val="nothing"/>
      <w:lvlText w:val="%1、"/>
      <w:lvlJc w:val="left"/>
      <w:rPr>
        <w:rFonts w:hint="eastAsia"/>
      </w:rPr>
    </w:lvl>
  </w:abstractNum>
  <w:abstractNum w:abstractNumId="8">
    <w:nsid w:val="4DF85198"/>
    <w:multiLevelType w:val="singleLevel"/>
    <w:tmpl w:val="4DF85198"/>
    <w:lvl w:ilvl="0" w:tentative="0">
      <w:start w:val="1"/>
      <w:numFmt w:val="decimal"/>
      <w:suff w:val="nothing"/>
      <w:lvlText w:val="（%1）"/>
      <w:lvlJc w:val="left"/>
    </w:lvl>
  </w:abstractNum>
  <w:num w:numId="1">
    <w:abstractNumId w:val="1"/>
  </w:num>
  <w:num w:numId="2">
    <w:abstractNumId w:val="0"/>
  </w:num>
  <w:num w:numId="3">
    <w:abstractNumId w:val="7"/>
  </w:num>
  <w:num w:numId="4">
    <w:abstractNumId w:val="3"/>
  </w:num>
  <w:num w:numId="5">
    <w:abstractNumId w:val="6"/>
  </w:num>
  <w:num w:numId="6">
    <w:abstractNumId w:val="4"/>
  </w:num>
  <w:num w:numId="7">
    <w:abstractNumId w:val="8"/>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E5141F"/>
    <w:rsid w:val="0B2613F9"/>
    <w:rsid w:val="10041776"/>
    <w:rsid w:val="1015465B"/>
    <w:rsid w:val="12DD1C1A"/>
    <w:rsid w:val="1C1F4214"/>
    <w:rsid w:val="1DA1618D"/>
    <w:rsid w:val="22900E4E"/>
    <w:rsid w:val="2464593D"/>
    <w:rsid w:val="27C464FF"/>
    <w:rsid w:val="2B540C8E"/>
    <w:rsid w:val="2F922A46"/>
    <w:rsid w:val="37973FA8"/>
    <w:rsid w:val="43D74ADD"/>
    <w:rsid w:val="44777D23"/>
    <w:rsid w:val="45D125EF"/>
    <w:rsid w:val="48171365"/>
    <w:rsid w:val="632C1151"/>
    <w:rsid w:val="6452587C"/>
    <w:rsid w:val="671F6C92"/>
    <w:rsid w:val="676E5BF7"/>
    <w:rsid w:val="6BA465CC"/>
    <w:rsid w:val="6E7A3607"/>
    <w:rsid w:val="7014521A"/>
    <w:rsid w:val="75037A12"/>
    <w:rsid w:val="75764AC6"/>
    <w:rsid w:val="78F93F43"/>
    <w:rsid w:val="7BFD27D5"/>
    <w:rsid w:val="7E3D7F5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3">
    <w:name w:val="heading 1"/>
    <w:basedOn w:val="1"/>
    <w:next w:val="1"/>
    <w:qFormat/>
    <w:uiPriority w:val="0"/>
    <w:pPr>
      <w:spacing w:before="74"/>
      <w:ind w:left="815"/>
      <w:outlineLvl w:val="0"/>
    </w:pPr>
    <w:rPr>
      <w:rFonts w:hint="eastAsia" w:ascii="宋体" w:hAnsi="宋体" w:eastAsia="宋体"/>
      <w:b/>
      <w:sz w:val="32"/>
    </w:rPr>
  </w:style>
  <w:style w:type="paragraph" w:styleId="4">
    <w:name w:val="heading 2"/>
    <w:basedOn w:val="1"/>
    <w:next w:val="1"/>
    <w:qFormat/>
    <w:uiPriority w:val="0"/>
    <w:pPr>
      <w:keepNext/>
      <w:keepLines/>
      <w:spacing w:before="260" w:after="260" w:line="413" w:lineRule="auto"/>
      <w:outlineLvl w:val="1"/>
    </w:pPr>
    <w:rPr>
      <w:rFonts w:eastAsia="黑体"/>
      <w:b/>
      <w:bCs/>
      <w:sz w:val="32"/>
      <w:szCs w:val="32"/>
    </w:rPr>
  </w:style>
  <w:style w:type="paragraph" w:styleId="5">
    <w:name w:val="heading 3"/>
    <w:basedOn w:val="1"/>
    <w:next w:val="1"/>
    <w:qFormat/>
    <w:uiPriority w:val="0"/>
    <w:pPr>
      <w:spacing w:before="0" w:beforeAutospacing="1" w:after="0" w:afterAutospacing="1"/>
      <w:jc w:val="left"/>
    </w:pPr>
    <w:rPr>
      <w:rFonts w:hint="eastAsia" w:ascii="宋体" w:hAnsi="宋体" w:eastAsia="宋体" w:cs="宋体"/>
      <w:b/>
      <w:bCs/>
      <w:kern w:val="0"/>
      <w:sz w:val="27"/>
      <w:szCs w:val="27"/>
      <w:lang w:val="en-US" w:eastAsia="zh-CN"/>
    </w:rPr>
  </w:style>
  <w:style w:type="character" w:default="1" w:styleId="18">
    <w:name w:val="Default Paragraph Font"/>
    <w:qFormat/>
    <w:uiPriority w:val="1"/>
  </w:style>
  <w:style w:type="table" w:default="1" w:styleId="16">
    <w:name w:val="Normal Table"/>
    <w:qFormat/>
    <w:uiPriority w:val="99"/>
    <w:tblPr>
      <w:tblCellMar>
        <w:top w:w="0" w:type="dxa"/>
        <w:left w:w="108" w:type="dxa"/>
        <w:bottom w:w="0" w:type="dxa"/>
        <w:right w:w="108" w:type="dxa"/>
      </w:tblCellMar>
    </w:tblPr>
  </w:style>
  <w:style w:type="paragraph" w:styleId="2">
    <w:name w:val="Body Text"/>
    <w:basedOn w:val="1"/>
    <w:qFormat/>
    <w:uiPriority w:val="0"/>
    <w:rPr>
      <w:rFonts w:ascii="仿宋" w:hAnsi="仿宋" w:eastAsia="仿宋" w:cs="仿宋"/>
      <w:sz w:val="30"/>
      <w:szCs w:val="30"/>
    </w:rPr>
  </w:style>
  <w:style w:type="paragraph" w:styleId="6">
    <w:name w:val="annotation text"/>
    <w:basedOn w:val="1"/>
    <w:link w:val="30"/>
    <w:qFormat/>
    <w:uiPriority w:val="0"/>
  </w:style>
  <w:style w:type="paragraph" w:styleId="7">
    <w:name w:val="Body Text Indent"/>
    <w:basedOn w:val="1"/>
    <w:qFormat/>
    <w:uiPriority w:val="0"/>
    <w:pPr>
      <w:spacing w:after="120"/>
      <w:ind w:left="420" w:leftChars="200"/>
    </w:pPr>
    <w:rPr>
      <w:rFonts w:eastAsia="微软雅黑"/>
      <w:sz w:val="24"/>
      <w:szCs w:val="20"/>
    </w:rPr>
  </w:style>
  <w:style w:type="paragraph" w:styleId="8">
    <w:name w:val="Plain Text"/>
    <w:basedOn w:val="1"/>
    <w:qFormat/>
    <w:uiPriority w:val="0"/>
    <w:rPr>
      <w:rFonts w:ascii="宋体" w:hAnsi="Courier New"/>
      <w:sz w:val="20"/>
    </w:rPr>
  </w:style>
  <w:style w:type="paragraph" w:styleId="9">
    <w:name w:val="Balloon Text"/>
    <w:basedOn w:val="1"/>
    <w:link w:val="28"/>
    <w:qFormat/>
    <w:uiPriority w:val="0"/>
    <w:rPr>
      <w:sz w:val="18"/>
      <w:szCs w:val="18"/>
    </w:rPr>
  </w:style>
  <w:style w:type="paragraph" w:styleId="10">
    <w:name w:val="footer"/>
    <w:basedOn w:val="1"/>
    <w:qFormat/>
    <w:uiPriority w:val="0"/>
    <w:pPr>
      <w:tabs>
        <w:tab w:val="center" w:pos="4153"/>
        <w:tab w:val="right" w:pos="8306"/>
      </w:tabs>
    </w:pPr>
    <w:rPr>
      <w:sz w:val="18"/>
    </w:rPr>
  </w:style>
  <w:style w:type="paragraph" w:styleId="11">
    <w:name w:val="header"/>
    <w:basedOn w:val="1"/>
    <w:link w:val="29"/>
    <w:qFormat/>
    <w:uiPriority w:val="0"/>
    <w:pPr>
      <w:pBdr>
        <w:bottom w:val="single" w:color="auto" w:sz="6" w:space="1"/>
      </w:pBdr>
      <w:tabs>
        <w:tab w:val="center" w:pos="4153"/>
        <w:tab w:val="right" w:pos="8306"/>
      </w:tabs>
      <w:jc w:val="center"/>
    </w:pPr>
    <w:rPr>
      <w:sz w:val="18"/>
      <w:szCs w:val="18"/>
    </w:rPr>
  </w:style>
  <w:style w:type="paragraph" w:styleId="12">
    <w:name w:val="Body Text 2"/>
    <w:basedOn w:val="1"/>
    <w:qFormat/>
    <w:uiPriority w:val="0"/>
    <w:pPr>
      <w:snapToGrid w:val="0"/>
      <w:spacing w:before="120" w:after="120"/>
    </w:pPr>
    <w:rPr>
      <w:rFonts w:ascii="宋体"/>
      <w:sz w:val="24"/>
    </w:rPr>
  </w:style>
  <w:style w:type="paragraph" w:styleId="13">
    <w:name w:val="Normal (Web)"/>
    <w:basedOn w:val="1"/>
    <w:qFormat/>
    <w:uiPriority w:val="0"/>
    <w:pPr>
      <w:spacing w:before="100" w:beforeAutospacing="1" w:after="100" w:afterAutospacing="1"/>
    </w:pPr>
    <w:rPr>
      <w:rFonts w:ascii="宋体" w:hAnsi="宋体" w:eastAsia="宋体" w:cs="宋体"/>
      <w:sz w:val="24"/>
    </w:rPr>
  </w:style>
  <w:style w:type="paragraph" w:styleId="14">
    <w:name w:val="Title"/>
    <w:basedOn w:val="1"/>
    <w:next w:val="1"/>
    <w:qFormat/>
    <w:uiPriority w:val="10"/>
    <w:pPr>
      <w:spacing w:before="240" w:after="60"/>
      <w:jc w:val="center"/>
      <w:outlineLvl w:val="0"/>
    </w:pPr>
    <w:rPr>
      <w:rFonts w:ascii="Cambria" w:hAnsi="Cambria"/>
      <w:b/>
      <w:bCs/>
      <w:sz w:val="32"/>
      <w:szCs w:val="32"/>
    </w:rPr>
  </w:style>
  <w:style w:type="paragraph" w:styleId="15">
    <w:name w:val="Body Text First Indent"/>
    <w:basedOn w:val="2"/>
    <w:qFormat/>
    <w:uiPriority w:val="0"/>
    <w:pPr>
      <w:ind w:firstLine="420" w:firstLineChars="100"/>
    </w:pPr>
  </w:style>
  <w:style w:type="table" w:styleId="17">
    <w:name w:val="Table Grid"/>
    <w:basedOn w:val="1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0"/>
    <w:rPr>
      <w:b/>
    </w:rPr>
  </w:style>
  <w:style w:type="character" w:styleId="20">
    <w:name w:val="annotation reference"/>
    <w:basedOn w:val="18"/>
    <w:qFormat/>
    <w:uiPriority w:val="0"/>
    <w:rPr>
      <w:sz w:val="21"/>
      <w:szCs w:val="21"/>
    </w:rPr>
  </w:style>
  <w:style w:type="table" w:customStyle="1" w:styleId="21">
    <w:name w:val="Table Normal"/>
    <w:qFormat/>
    <w:uiPriority w:val="0"/>
    <w:tblPr>
      <w:tblCellMar>
        <w:top w:w="0" w:type="dxa"/>
        <w:left w:w="0" w:type="dxa"/>
        <w:bottom w:w="0" w:type="dxa"/>
        <w:right w:w="0" w:type="dxa"/>
      </w:tblCellMar>
    </w:tblPr>
  </w:style>
  <w:style w:type="paragraph" w:customStyle="1" w:styleId="22">
    <w:name w:val="Table Text"/>
    <w:basedOn w:val="1"/>
    <w:qFormat/>
    <w:uiPriority w:val="0"/>
  </w:style>
  <w:style w:type="paragraph" w:customStyle="1" w:styleId="23">
    <w:name w:val="正文缩进1"/>
    <w:basedOn w:val="1"/>
    <w:qFormat/>
    <w:uiPriority w:val="0"/>
    <w:pPr>
      <w:ind w:firstLine="420" w:firstLineChars="200"/>
    </w:pPr>
  </w:style>
  <w:style w:type="paragraph" w:customStyle="1" w:styleId="24">
    <w:name w:val="Heading #2|1"/>
    <w:basedOn w:val="1"/>
    <w:qFormat/>
    <w:uiPriority w:val="0"/>
    <w:pPr>
      <w:widowControl w:val="0"/>
      <w:spacing w:after="580" w:line="634" w:lineRule="exact"/>
      <w:jc w:val="center"/>
      <w:outlineLvl w:val="1"/>
    </w:pPr>
    <w:rPr>
      <w:rFonts w:ascii="宋体" w:hAnsi="宋体" w:eastAsia="宋体" w:cs="宋体"/>
      <w:sz w:val="44"/>
      <w:szCs w:val="44"/>
      <w:lang w:val="zh-TW" w:eastAsia="zh-TW" w:bidi="zh-TW"/>
    </w:rPr>
  </w:style>
  <w:style w:type="paragraph" w:customStyle="1" w:styleId="25">
    <w:name w:val="Body text|1"/>
    <w:basedOn w:val="1"/>
    <w:qFormat/>
    <w:uiPriority w:val="0"/>
    <w:pPr>
      <w:widowControl w:val="0"/>
      <w:spacing w:line="432" w:lineRule="auto"/>
      <w:ind w:firstLine="400"/>
    </w:pPr>
    <w:rPr>
      <w:rFonts w:ascii="宋体" w:hAnsi="宋体" w:eastAsia="宋体" w:cs="宋体"/>
      <w:sz w:val="30"/>
      <w:szCs w:val="30"/>
      <w:lang w:val="zh-TW" w:eastAsia="zh-TW" w:bidi="zh-TW"/>
    </w:rPr>
  </w:style>
  <w:style w:type="paragraph" w:customStyle="1" w:styleId="26">
    <w:name w:val="Body text|2"/>
    <w:basedOn w:val="1"/>
    <w:qFormat/>
    <w:uiPriority w:val="0"/>
    <w:pPr>
      <w:widowControl w:val="0"/>
    </w:pPr>
    <w:rPr>
      <w:rFonts w:ascii="宋体" w:hAnsi="宋体" w:eastAsia="宋体" w:cs="宋体"/>
      <w:sz w:val="26"/>
      <w:szCs w:val="26"/>
      <w:lang w:val="zh-TW" w:eastAsia="zh-TW" w:bidi="zh-TW"/>
    </w:rPr>
  </w:style>
  <w:style w:type="paragraph" w:customStyle="1" w:styleId="27">
    <w:name w:val="首行缩进"/>
    <w:basedOn w:val="1"/>
    <w:qFormat/>
    <w:uiPriority w:val="0"/>
    <w:pPr>
      <w:widowControl w:val="0"/>
      <w:kinsoku/>
      <w:snapToGrid/>
      <w:spacing w:line="360" w:lineRule="auto"/>
      <w:ind w:firstLine="480" w:firstLineChars="200"/>
      <w:textAlignment w:val="auto"/>
    </w:pPr>
    <w:rPr>
      <w:rFonts w:ascii="宋体" w:hAnsi="宋体" w:eastAsia="宋体" w:cs="宋体"/>
      <w:snapToGrid/>
      <w:color w:val="auto"/>
      <w:sz w:val="24"/>
      <w:szCs w:val="24"/>
      <w:lang w:eastAsia="zh-CN"/>
    </w:rPr>
  </w:style>
  <w:style w:type="character" w:customStyle="1" w:styleId="28">
    <w:name w:val="批注框文本 Char"/>
    <w:basedOn w:val="18"/>
    <w:link w:val="9"/>
    <w:qFormat/>
    <w:uiPriority w:val="0"/>
    <w:rPr>
      <w:rFonts w:ascii="Arial" w:hAnsi="Arial" w:eastAsia="Arial" w:cs="Arial"/>
      <w:snapToGrid w:val="0"/>
      <w:color w:val="000000"/>
      <w:sz w:val="18"/>
      <w:szCs w:val="18"/>
      <w:lang w:eastAsia="en-US"/>
    </w:rPr>
  </w:style>
  <w:style w:type="character" w:customStyle="1" w:styleId="29">
    <w:name w:val="页眉 Char"/>
    <w:basedOn w:val="18"/>
    <w:link w:val="11"/>
    <w:qFormat/>
    <w:uiPriority w:val="0"/>
    <w:rPr>
      <w:rFonts w:ascii="Arial" w:hAnsi="Arial" w:eastAsia="Arial" w:cs="Arial"/>
      <w:snapToGrid w:val="0"/>
      <w:color w:val="000000"/>
      <w:sz w:val="18"/>
      <w:szCs w:val="18"/>
      <w:lang w:eastAsia="en-US"/>
    </w:rPr>
  </w:style>
  <w:style w:type="character" w:customStyle="1" w:styleId="30">
    <w:name w:val="批注文字 Char"/>
    <w:basedOn w:val="18"/>
    <w:link w:val="6"/>
    <w:qFormat/>
    <w:uiPriority w:val="0"/>
    <w:rPr>
      <w:rFonts w:ascii="Arial" w:hAnsi="Arial" w:eastAsia="Arial" w:cs="Arial"/>
      <w:snapToGrid w:val="0"/>
      <w:color w:val="000000"/>
      <w:sz w:val="21"/>
      <w:szCs w:val="21"/>
      <w:lang w:eastAsia="en-US"/>
    </w:rPr>
  </w:style>
  <w:style w:type="paragraph" w:customStyle="1" w:styleId="31">
    <w:name w:val="WPSOffice手动目录 1"/>
    <w:qFormat/>
    <w:uiPriority w:val="0"/>
    <w:pPr>
      <w:ind w:leftChars="0"/>
    </w:pPr>
    <w:rPr>
      <w:rFonts w:ascii="Times New Roman" w:hAnsi="Times New Roman" w:eastAsia="宋体" w:cs="Times New Roman"/>
      <w:sz w:val="20"/>
      <w:szCs w:val="20"/>
    </w:rPr>
  </w:style>
  <w:style w:type="paragraph" w:customStyle="1" w:styleId="32">
    <w:name w:val="WPSOffice手动目录 2"/>
    <w:qFormat/>
    <w:uiPriority w:val="0"/>
    <w:pPr>
      <w:ind w:leftChars="200"/>
    </w:pPr>
    <w:rPr>
      <w:rFonts w:ascii="Times New Roman" w:hAnsi="Times New Roman" w:eastAsia="宋体" w:cs="Times New Roman"/>
      <w:sz w:val="20"/>
      <w:szCs w:val="20"/>
    </w:rPr>
  </w:style>
  <w:style w:type="paragraph" w:customStyle="1" w:styleId="33">
    <w:name w:val="WPSOffice手动目录 3"/>
    <w:qFormat/>
    <w:uiPriority w:val="0"/>
    <w:pPr>
      <w:ind w:leftChars="400"/>
    </w:pPr>
    <w:rPr>
      <w:rFonts w:ascii="Times New Roman" w:hAnsi="Times New Roman" w:eastAsia="宋体" w:cs="Times New Roman"/>
      <w:sz w:val="20"/>
      <w:szCs w:val="20"/>
    </w:rPr>
  </w:style>
  <w:style w:type="paragraph" w:customStyle="1" w:styleId="34">
    <w:name w:val="List Paragraph_26009b46-4eea-4c5a-9c40-9ff23a56fd35"/>
    <w:basedOn w:val="1"/>
    <w:qFormat/>
    <w:uiPriority w:val="34"/>
    <w:pPr>
      <w:ind w:firstLine="420" w:firstLineChars="200"/>
    </w:pPr>
  </w:style>
  <w:style w:type="character" w:customStyle="1" w:styleId="35">
    <w:name w:val="font21"/>
    <w:basedOn w:val="18"/>
    <w:qFormat/>
    <w:uiPriority w:val="0"/>
    <w:rPr>
      <w:rFonts w:hint="eastAsia" w:ascii="宋体" w:hAnsi="宋体" w:cs="宋体"/>
      <w:kern w:val="0"/>
      <w:sz w:val="18"/>
      <w:szCs w:val="18"/>
    </w:rPr>
  </w:style>
  <w:style w:type="paragraph" w:customStyle="1" w:styleId="36">
    <w:name w:val="纯文本2"/>
    <w:basedOn w:val="1"/>
    <w:qFormat/>
    <w:uiPriority w:val="0"/>
    <w:rPr>
      <w:rFonts w:ascii="宋体" w:hAnsi="Courier New" w:eastAsia="宋体" w:cs="Times New Roman"/>
      <w:szCs w:val="20"/>
    </w:rPr>
  </w:style>
  <w:style w:type="paragraph" w:customStyle="1" w:styleId="37">
    <w:name w:val="列出段落1"/>
    <w:basedOn w:val="1"/>
    <w:qFormat/>
    <w:uiPriority w:val="34"/>
    <w:pPr>
      <w:ind w:firstLine="420" w:firstLineChars="200"/>
    </w:pPr>
    <w:rPr>
      <w:rFonts w:ascii="Calibri" w:hAnsi="Calibri" w:eastAsia="宋体" w:cs="Calibri"/>
      <w:szCs w:val="21"/>
    </w:rPr>
  </w:style>
  <w:style w:type="paragraph" w:customStyle="1" w:styleId="38">
    <w:name w:val="正文1"/>
    <w:basedOn w:val="1"/>
    <w:qFormat/>
    <w:uiPriority w:val="0"/>
    <w:pPr>
      <w:tabs>
        <w:tab w:val="left" w:pos="1077"/>
        <w:tab w:val="left" w:pos="3419"/>
      </w:tabs>
      <w:spacing w:after="60" w:line="312" w:lineRule="auto"/>
      <w:ind w:firstLine="567"/>
    </w:pPr>
    <w:rPr>
      <w:rFonts w:ascii="Arial" w:hAnsi="Arial" w:eastAsia="宋体" w:cs="Times New Roman"/>
      <w:kern w:val="0"/>
      <w:sz w:val="28"/>
      <w:szCs w:val="20"/>
    </w:rPr>
  </w:style>
  <w:style w:type="paragraph" w:customStyle="1" w:styleId="39">
    <w:name w:val="Table Paragraph"/>
    <w:basedOn w:val="1"/>
    <w:qFormat/>
    <w:uiPriority w:val="1"/>
    <w:rPr>
      <w:rFonts w:ascii="仿宋" w:hAnsi="仿宋" w:eastAsia="仿宋" w:cs="仿宋"/>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image" Target="media/image1.png"/><Relationship Id="rId25" Type="http://schemas.openxmlformats.org/officeDocument/2006/relationships/theme" Target="theme/theme1.xml"/><Relationship Id="rId24" Type="http://schemas.openxmlformats.org/officeDocument/2006/relationships/footer" Target="footer21.xml"/><Relationship Id="rId23" Type="http://schemas.openxmlformats.org/officeDocument/2006/relationships/header" Target="header1.xml"/><Relationship Id="rId22" Type="http://schemas.openxmlformats.org/officeDocument/2006/relationships/footer" Target="footer20.xml"/><Relationship Id="rId21" Type="http://schemas.openxmlformats.org/officeDocument/2006/relationships/footer" Target="footer19.xml"/><Relationship Id="rId20" Type="http://schemas.openxmlformats.org/officeDocument/2006/relationships/footer" Target="footer18.xml"/><Relationship Id="rId2" Type="http://schemas.openxmlformats.org/officeDocument/2006/relationships/settings" Target="settings.xml"/><Relationship Id="rId19" Type="http://schemas.openxmlformats.org/officeDocument/2006/relationships/footer" Target="footer17.xml"/><Relationship Id="rId18" Type="http://schemas.openxmlformats.org/officeDocument/2006/relationships/footer" Target="footer16.xml"/><Relationship Id="rId17" Type="http://schemas.openxmlformats.org/officeDocument/2006/relationships/footer" Target="footer15.xml"/><Relationship Id="rId16" Type="http://schemas.openxmlformats.org/officeDocument/2006/relationships/footer" Target="footer14.xml"/><Relationship Id="rId15" Type="http://schemas.openxmlformats.org/officeDocument/2006/relationships/footer" Target="footer13.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其他</Company>
  <Pages>72</Pages>
  <Words>26171</Words>
  <Characters>27637</Characters>
  <Paragraphs>2794</Paragraphs>
  <TotalTime>176</TotalTime>
  <ScaleCrop>false</ScaleCrop>
  <LinksUpToDate>false</LinksUpToDate>
  <CharactersWithSpaces>28287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2024-11-22T01:50:00Z</dcterms:created>
  <dc:creator>Administrator</dc:creator>
  <cp:lastModifiedBy>Administrator</cp:lastModifiedBy>
  <dcterms:modified xsi:type="dcterms:W3CDTF">2025-09-17T06:38:31Z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C439E4B5AD424BDA9C37F67348E40F13_13</vt:lpwstr>
  </property>
  <property fmtid="{D5CDD505-2E9C-101B-9397-08002B2CF9AE}" pid="4" name="KSOTemplateDocerSaveRecord">
    <vt:lpwstr>eyJoZGlkIjoiYTE3OGM2NWIwZDZmMzRlNmYyNTc0ZGVmMTczOTJhOWMiLCJ1c2VySWQiOiI2MjMzMjUzMzkifQ==</vt:lpwstr>
  </property>
</Properties>
</file>