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鹰潭一八四医院药品询价公示（临时采购）</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询价，欢迎符合资格条件供应商报名参与。现就拟采购项目情况及相关要求公告如下：</w:t>
      </w:r>
    </w:p>
    <w:tbl>
      <w:tblPr>
        <w:tblStyle w:val="7"/>
        <w:tblW w:w="104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2"/>
        <w:gridCol w:w="1170"/>
        <w:gridCol w:w="1620"/>
        <w:gridCol w:w="1605"/>
        <w:gridCol w:w="1319"/>
        <w:gridCol w:w="2131"/>
        <w:gridCol w:w="1470"/>
      </w:tblGrid>
      <w:tr w14:paraId="15995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BD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序号</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05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使用科室</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74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w:t>
            </w:r>
            <w:r>
              <w:rPr>
                <w:rFonts w:hint="eastAsia" w:ascii="仿宋_GB2312" w:hAnsi="仿宋_GB2312" w:eastAsia="仿宋_GB2312" w:cs="仿宋_GB2312"/>
                <w:b/>
                <w:bCs/>
                <w:i w:val="0"/>
                <w:iCs w:val="0"/>
                <w:color w:val="000000"/>
                <w:kern w:val="0"/>
                <w:sz w:val="21"/>
                <w:szCs w:val="21"/>
                <w:highlight w:val="none"/>
                <w:u w:val="none"/>
                <w:lang w:val="en-US" w:eastAsia="zh-CN" w:bidi="ar"/>
              </w:rPr>
              <w:t>名称</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70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规格型号</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D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lang w:eastAsia="zh-CN"/>
              </w:rPr>
            </w:pPr>
            <w:r>
              <w:rPr>
                <w:rFonts w:hint="eastAsia" w:ascii="仿宋_GB2312" w:hAnsi="仿宋_GB2312" w:cs="仿宋_GB2312"/>
                <w:b/>
                <w:bCs/>
                <w:i w:val="0"/>
                <w:iCs w:val="0"/>
                <w:color w:val="000000"/>
                <w:sz w:val="21"/>
                <w:szCs w:val="21"/>
                <w:highlight w:val="none"/>
                <w:u w:val="none"/>
                <w:lang w:eastAsia="zh-CN"/>
              </w:rPr>
              <w:t>采购数量</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B1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药品厂家</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02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kern w:val="0"/>
                <w:sz w:val="21"/>
                <w:szCs w:val="21"/>
                <w:highlight w:val="none"/>
                <w:u w:val="none"/>
                <w:lang w:val="en-US" w:eastAsia="zh-CN" w:bidi="ar"/>
              </w:rPr>
              <w:t>备注</w:t>
            </w:r>
          </w:p>
        </w:tc>
      </w:tr>
      <w:tr w14:paraId="46627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4B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A3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46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b w:val="0"/>
                <w:bCs w:val="0"/>
                <w:i w:val="0"/>
                <w:iCs w:val="0"/>
                <w:color w:val="000000"/>
                <w:kern w:val="0"/>
                <w:sz w:val="21"/>
                <w:szCs w:val="21"/>
                <w:highlight w:val="none"/>
                <w:u w:val="none"/>
                <w:lang w:val="en-US" w:eastAsia="zh-CN" w:bidi="ar"/>
              </w:rPr>
            </w:pPr>
            <w:r>
              <w:rPr>
                <w:rFonts w:hint="eastAsia" w:ascii="仿宋_GB2312" w:hAnsi="仿宋_GB2312" w:cs="仿宋_GB2312"/>
                <w:b w:val="0"/>
                <w:bCs w:val="0"/>
                <w:i w:val="0"/>
                <w:iCs w:val="0"/>
                <w:color w:val="000000"/>
                <w:kern w:val="0"/>
                <w:sz w:val="21"/>
                <w:szCs w:val="21"/>
                <w:highlight w:val="none"/>
                <w:u w:val="none"/>
                <w:lang w:val="en-US" w:eastAsia="zh-CN" w:bidi="ar"/>
              </w:rPr>
              <w:t>缬沙坦氨氯地平（I）</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76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b w:val="0"/>
                <w:bCs w:val="0"/>
                <w:i w:val="0"/>
                <w:iCs w:val="0"/>
                <w:color w:val="000000"/>
                <w:kern w:val="0"/>
                <w:sz w:val="21"/>
                <w:szCs w:val="21"/>
                <w:highlight w:val="none"/>
                <w:u w:val="none"/>
                <w:lang w:val="en-US" w:eastAsia="zh-CN" w:bidi="ar"/>
              </w:rPr>
            </w:pPr>
            <w:r>
              <w:rPr>
                <w:rFonts w:hint="eastAsia" w:ascii="仿宋_GB2312" w:hAnsi="仿宋_GB2312" w:cs="仿宋_GB2312"/>
                <w:b w:val="0"/>
                <w:bCs w:val="0"/>
                <w:i w:val="0"/>
                <w:iCs w:val="0"/>
                <w:color w:val="000000"/>
                <w:kern w:val="0"/>
                <w:sz w:val="21"/>
                <w:szCs w:val="21"/>
                <w:highlight w:val="none"/>
                <w:u w:val="none"/>
                <w:lang w:val="en-US" w:eastAsia="zh-CN" w:bidi="ar"/>
              </w:rPr>
              <w:t>80/5mg</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D1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b w:val="0"/>
                <w:bCs w:val="0"/>
                <w:i w:val="0"/>
                <w:iCs w:val="0"/>
                <w:color w:val="000000"/>
                <w:kern w:val="0"/>
                <w:sz w:val="21"/>
                <w:szCs w:val="21"/>
                <w:highlight w:val="none"/>
                <w:u w:val="none"/>
                <w:lang w:val="en-US" w:eastAsia="zh-CN" w:bidi="ar"/>
              </w:rPr>
            </w:pPr>
            <w:r>
              <w:rPr>
                <w:rFonts w:hint="eastAsia" w:ascii="仿宋_GB2312" w:hAnsi="仿宋_GB2312" w:cs="仿宋_GB2312"/>
                <w:b w:val="0"/>
                <w:bCs w:val="0"/>
                <w:i w:val="0"/>
                <w:iCs w:val="0"/>
                <w:color w:val="000000"/>
                <w:kern w:val="0"/>
                <w:sz w:val="21"/>
                <w:szCs w:val="21"/>
                <w:highlight w:val="none"/>
                <w:u w:val="none"/>
                <w:lang w:val="en-US" w:eastAsia="zh-CN" w:bidi="ar"/>
              </w:rPr>
              <w:t>26</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AB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b w:val="0"/>
                <w:bCs w:val="0"/>
                <w:i w:val="0"/>
                <w:iCs w:val="0"/>
                <w:color w:val="000000"/>
                <w:kern w:val="0"/>
                <w:sz w:val="21"/>
                <w:szCs w:val="21"/>
                <w:highlight w:val="none"/>
                <w:u w:val="none"/>
                <w:lang w:val="en-US" w:eastAsia="zh-CN" w:bidi="ar"/>
              </w:rPr>
            </w:pPr>
            <w:r>
              <w:rPr>
                <w:rFonts w:hint="eastAsia" w:ascii="仿宋_GB2312" w:hAnsi="仿宋_GB2312" w:cs="仿宋_GB2312"/>
                <w:b w:val="0"/>
                <w:bCs w:val="0"/>
                <w:i w:val="0"/>
                <w:iCs w:val="0"/>
                <w:color w:val="000000"/>
                <w:kern w:val="0"/>
                <w:sz w:val="21"/>
                <w:szCs w:val="21"/>
                <w:highlight w:val="none"/>
                <w:u w:val="none"/>
                <w:lang w:val="en-US" w:eastAsia="zh-CN" w:bidi="ar"/>
              </w:rPr>
              <w:t>Novartis Farma S.p.A</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92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r>
    </w:tbl>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本项目服务纳入SPD管理。</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250C1C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5挂网药品须在江西省医保平台建立报价药品配送关系。</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1.6</w:t>
      </w:r>
      <w:r>
        <w:rPr>
          <w:rFonts w:hint="eastAsia" w:ascii="仿宋_GB2312" w:hAnsi="仿宋_GB2312" w:cs="仿宋_GB2312"/>
          <w:b w:val="0"/>
          <w:bCs w:val="0"/>
          <w:color w:val="auto"/>
          <w:sz w:val="28"/>
          <w:szCs w:val="28"/>
          <w:highlight w:val="none"/>
          <w:lang w:val="en-US" w:eastAsia="zh-CN"/>
        </w:rPr>
        <w:t>如因产品质量等问题导致的医疗纠纷和事故，由供应商承担。</w:t>
      </w:r>
    </w:p>
    <w:p w14:paraId="6603B9F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1.7供应商可根据自身供应能力，选择表内部分或全部药品进行响应。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药品序号、药品</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序号药品资质信息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生产许可证</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3.4.5生产厂家的纸质授权证明（分级授权须逐级提供，且须提供各级授权公司资质）及江西省医保平台建立配送关系截图（挂网药品需提供）。</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3.4.8廉洁销售和质量保证承诺书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3.4.9无违法记录声明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3.4.10公示要求提供的其它材料（若有）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本项目无需获取采购文件，请按照本询价公示提供报名资料。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60451E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w:t>
      </w:r>
      <w:r>
        <w:rPr>
          <w:rFonts w:hint="eastAsia" w:ascii="仿宋_GB2312" w:hAnsi="仿宋_GB2312" w:eastAsia="仿宋_GB2312" w:cs="仿宋_GB2312"/>
          <w:color w:val="auto"/>
          <w:sz w:val="28"/>
          <w:szCs w:val="28"/>
          <w:highlight w:val="yellow"/>
        </w:rPr>
        <w:t>2025年</w:t>
      </w:r>
      <w:r>
        <w:rPr>
          <w:rFonts w:hint="eastAsia" w:ascii="仿宋_GB2312" w:hAnsi="仿宋_GB2312" w:cs="仿宋_GB2312"/>
          <w:color w:val="auto"/>
          <w:sz w:val="28"/>
          <w:szCs w:val="28"/>
          <w:highlight w:val="yellow"/>
          <w:lang w:val="en-US" w:eastAsia="zh-CN"/>
        </w:rPr>
        <w:t>9</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20</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11</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178C40B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招标采购办公室</w:t>
      </w:r>
      <w:r>
        <w:rPr>
          <w:rFonts w:hint="eastAsia" w:ascii="仿宋_GB2312" w:hAnsi="仿宋_GB2312" w:eastAsia="仿宋_GB2312" w:cs="仿宋_GB2312"/>
          <w:color w:val="auto"/>
          <w:sz w:val="28"/>
          <w:szCs w:val="28"/>
          <w:highlight w:val="none"/>
        </w:rPr>
        <w:t>。</w:t>
      </w:r>
    </w:p>
    <w:p w14:paraId="2247ABA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yellow"/>
        </w:rPr>
        <w:t>2025年</w:t>
      </w:r>
      <w:r>
        <w:rPr>
          <w:rFonts w:hint="eastAsia" w:ascii="仿宋_GB2312" w:hAnsi="仿宋_GB2312" w:cs="仿宋_GB2312"/>
          <w:color w:val="auto"/>
          <w:sz w:val="28"/>
          <w:szCs w:val="28"/>
          <w:highlight w:val="yellow"/>
          <w:lang w:val="en-US" w:eastAsia="zh-CN"/>
        </w:rPr>
        <w:t>9</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20</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11</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r>
        <w:rPr>
          <w:rFonts w:hint="eastAsia" w:ascii="仿宋_GB2312" w:hAnsi="仿宋_GB2312" w:cs="仿宋_GB2312"/>
          <w:color w:val="auto"/>
          <w:sz w:val="28"/>
          <w:szCs w:val="28"/>
          <w:highlight w:val="yellow"/>
          <w:lang w:eastAsia="zh-CN"/>
        </w:rPr>
        <w:t>（开启时间另行通知）</w:t>
      </w:r>
    </w:p>
    <w:p w14:paraId="44C50D2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yellow"/>
          <w:u w:val="single"/>
          <w:lang w:val="en-US" w:eastAsia="zh-CN"/>
        </w:rPr>
        <w:t xml:space="preserve"> 三 </w:t>
      </w:r>
      <w:r>
        <w:rPr>
          <w:rFonts w:hint="eastAsia" w:ascii="仿宋_GB2312" w:hAnsi="仿宋_GB2312" w:cs="仿宋_GB2312"/>
          <w:color w:val="auto"/>
          <w:sz w:val="28"/>
          <w:szCs w:val="28"/>
          <w:highlight w:val="yellow"/>
          <w:lang w:eastAsia="zh-CN"/>
        </w:rPr>
        <w:t>个</w:t>
      </w:r>
      <w:r>
        <w:rPr>
          <w:rFonts w:hint="eastAsia" w:ascii="仿宋_GB2312" w:hAnsi="仿宋_GB2312" w:cs="仿宋_GB2312"/>
          <w:color w:val="auto"/>
          <w:sz w:val="28"/>
          <w:szCs w:val="28"/>
          <w:highlight w:val="none"/>
          <w:lang w:eastAsia="zh-CN"/>
        </w:rPr>
        <w:t>自然日。</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本次询价公示及结果公示均在“江西省招标投标网（http://www.jxtb.org.cn/）和鹰潭一八四医院官网（https://ww</w:t>
      </w:r>
      <w:bookmarkStart w:id="0" w:name="_GoBack"/>
      <w:bookmarkEnd w:id="0"/>
      <w:r>
        <w:rPr>
          <w:rFonts w:hint="eastAsia" w:ascii="仿宋_GB2312" w:hAnsi="仿宋_GB2312" w:cs="仿宋_GB2312"/>
          <w:color w:val="auto"/>
          <w:sz w:val="28"/>
          <w:szCs w:val="28"/>
          <w:highlight w:val="none"/>
          <w:lang w:eastAsia="zh-CN"/>
        </w:rPr>
        <w:t>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eastAsia="zh-CN"/>
        </w:rPr>
        <w:t>何老师</w:t>
      </w:r>
    </w:p>
    <w:p w14:paraId="2BE4E37F">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18296845093</w:t>
      </w:r>
    </w:p>
    <w:p w14:paraId="153A432A">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15465" w:type="dxa"/>
        <w:tblInd w:w="-1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0"/>
        <w:gridCol w:w="1275"/>
        <w:gridCol w:w="1515"/>
        <w:gridCol w:w="1768"/>
        <w:gridCol w:w="1232"/>
        <w:gridCol w:w="900"/>
        <w:gridCol w:w="1275"/>
        <w:gridCol w:w="855"/>
        <w:gridCol w:w="1290"/>
        <w:gridCol w:w="1230"/>
        <w:gridCol w:w="1545"/>
        <w:gridCol w:w="990"/>
      </w:tblGrid>
      <w:tr w14:paraId="142C1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15465"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6A11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鹰潭一八四医院临采药品比价单</w:t>
            </w:r>
          </w:p>
        </w:tc>
      </w:tr>
      <w:tr w14:paraId="1BFE6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36839">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报价企业</w:t>
            </w:r>
          </w:p>
          <w:p w14:paraId="3D5CE59B">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（盖章）</w:t>
            </w:r>
          </w:p>
        </w:tc>
        <w:tc>
          <w:tcPr>
            <w:tcW w:w="57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D0D892">
            <w:pPr>
              <w:jc w:val="center"/>
              <w:rPr>
                <w:rFonts w:hint="eastAsia" w:ascii="宋体" w:hAnsi="宋体" w:eastAsia="宋体" w:cs="宋体"/>
                <w:b/>
                <w:bCs/>
                <w:i w:val="0"/>
                <w:iCs w:val="0"/>
                <w:color w:val="000000"/>
                <w:sz w:val="22"/>
                <w:szCs w:val="22"/>
                <w:u w:val="none"/>
              </w:rPr>
            </w:pP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A564">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询价截止时间</w:t>
            </w:r>
          </w:p>
        </w:tc>
        <w:tc>
          <w:tcPr>
            <w:tcW w:w="59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14BF4">
            <w:pPr>
              <w:keepNext w:val="0"/>
              <w:keepLines w:val="0"/>
              <w:widowControl/>
              <w:suppressLineNumbers w:val="0"/>
              <w:jc w:val="center"/>
              <w:textAlignment w:val="center"/>
              <w:rPr>
                <w:rFonts w:hint="default" w:ascii="宋体" w:hAnsi="宋体" w:eastAsia="仿宋_GB2312" w:cs="宋体"/>
                <w:b/>
                <w:bCs/>
                <w:i w:val="0"/>
                <w:iCs w:val="0"/>
                <w:color w:val="000000"/>
                <w:sz w:val="22"/>
                <w:szCs w:val="22"/>
                <w:u w:val="none"/>
                <w:lang w:val="en-US" w:eastAsia="zh-CN"/>
              </w:rPr>
            </w:pPr>
            <w:r>
              <w:rPr>
                <w:rFonts w:hint="eastAsia" w:ascii="宋体" w:hAnsi="宋体" w:eastAsia="宋体" w:cs="宋体"/>
                <w:i w:val="0"/>
                <w:iCs w:val="0"/>
                <w:color w:val="000000"/>
                <w:kern w:val="0"/>
                <w:sz w:val="22"/>
                <w:szCs w:val="22"/>
                <w:highlight w:val="yellow"/>
                <w:u w:val="none"/>
                <w:lang w:val="en-US" w:eastAsia="zh-CN" w:bidi="ar"/>
              </w:rPr>
              <w:t>2025年9月20日11：00</w:t>
            </w:r>
          </w:p>
        </w:tc>
      </w:tr>
      <w:tr w14:paraId="7140F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EDFC">
            <w:pPr>
              <w:keepNext w:val="0"/>
              <w:keepLines w:val="0"/>
              <w:widowControl/>
              <w:suppressLineNumbers w:val="0"/>
              <w:ind w:left="0" w:leftChars="0" w:firstLine="442" w:firstLineChars="200"/>
              <w:jc w:val="both"/>
              <w:textAlignment w:val="center"/>
              <w:rPr>
                <w:rFonts w:hint="eastAsia" w:ascii="宋体" w:hAnsi="宋体" w:eastAsia="宋体" w:cs="宋体"/>
                <w:b/>
                <w:bCs/>
                <w:i w:val="0"/>
                <w:iCs w:val="0"/>
                <w:color w:val="000000"/>
                <w:sz w:val="22"/>
                <w:szCs w:val="22"/>
                <w:u w:val="none"/>
                <w:lang w:eastAsia="zh-CN"/>
              </w:rPr>
            </w:pPr>
            <w:r>
              <w:rPr>
                <w:rFonts w:hint="eastAsia" w:ascii="宋体" w:hAnsi="宋体" w:eastAsia="宋体" w:cs="宋体"/>
                <w:b/>
                <w:bCs/>
                <w:i w:val="0"/>
                <w:iCs w:val="0"/>
                <w:color w:val="000000"/>
                <w:sz w:val="22"/>
                <w:szCs w:val="22"/>
                <w:u w:val="none"/>
                <w:lang w:eastAsia="zh-CN"/>
              </w:rPr>
              <w:t>序号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944D">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药品名称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E601">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药品规格</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FE7A">
            <w:pPr>
              <w:keepNext w:val="0"/>
              <w:keepLines w:val="0"/>
              <w:widowControl/>
              <w:suppressLineNumbers w:val="0"/>
              <w:ind w:left="0" w:leftChars="0" w:firstLine="442" w:firstLineChars="20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药品厂家</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CB29">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2970">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1B97">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生产企业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9791">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8C48">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省平台挂网ID</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CF6D">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省平台挂网价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A90B">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采购平台是否授权及点配送</w:t>
            </w:r>
          </w:p>
        </w:tc>
        <w:tc>
          <w:tcPr>
            <w:tcW w:w="990" w:type="dxa"/>
            <w:tcBorders>
              <w:top w:val="single" w:color="000000" w:sz="4" w:space="0"/>
              <w:left w:val="single" w:color="000000" w:sz="4" w:space="0"/>
              <w:bottom w:val="nil"/>
              <w:right w:val="single" w:color="000000" w:sz="4" w:space="0"/>
            </w:tcBorders>
            <w:shd w:val="clear" w:color="auto" w:fill="auto"/>
            <w:vAlign w:val="center"/>
          </w:tcPr>
          <w:p w14:paraId="551DD1C3">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77ECD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EAE83">
            <w:pPr>
              <w:rPr>
                <w:rFonts w:hint="eastAsia" w:ascii="宋体" w:hAnsi="宋体" w:eastAsia="宋体" w:cs="宋体"/>
                <w:i w:val="0"/>
                <w:iCs w:val="0"/>
                <w:color w:val="303133"/>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B49A3">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279CC">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71933">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0F44">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B3B39">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5CE9">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7051">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C3F8">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44826">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6A98AD69">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53E64">
            <w:pPr>
              <w:rPr>
                <w:rFonts w:hint="eastAsia" w:ascii="宋体" w:hAnsi="宋体" w:eastAsia="宋体" w:cs="宋体"/>
                <w:i w:val="0"/>
                <w:iCs w:val="0"/>
                <w:color w:val="000000"/>
                <w:sz w:val="22"/>
                <w:szCs w:val="22"/>
                <w:u w:val="none"/>
              </w:rPr>
            </w:pPr>
          </w:p>
        </w:tc>
      </w:tr>
      <w:tr w14:paraId="1A100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BA1C1">
            <w:pPr>
              <w:jc w:val="lef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FED0C">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EDC2">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818F4">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3208">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C632E">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41A5">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67A13">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3620">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AE369">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339DAD49">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EDD29">
            <w:pPr>
              <w:rPr>
                <w:rFonts w:hint="eastAsia" w:ascii="宋体" w:hAnsi="宋体" w:eastAsia="宋体" w:cs="宋体"/>
                <w:i w:val="0"/>
                <w:iCs w:val="0"/>
                <w:color w:val="000000"/>
                <w:sz w:val="22"/>
                <w:szCs w:val="22"/>
                <w:u w:val="none"/>
              </w:rPr>
            </w:pPr>
          </w:p>
        </w:tc>
      </w:tr>
      <w:tr w14:paraId="4E437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2D1D">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A77F">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DED7">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B7AA">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B484">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6D60A">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C12D">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BCBCB">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2548">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CF82">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9598">
            <w:pPr>
              <w:rPr>
                <w:rFonts w:hint="eastAsia" w:ascii="宋体" w:hAnsi="宋体" w:eastAsia="宋体" w:cs="宋体"/>
                <w:i w:val="0"/>
                <w:iCs w:val="0"/>
                <w:color w:val="000000"/>
                <w:sz w:val="22"/>
                <w:szCs w:val="22"/>
                <w:u w:val="none"/>
              </w:rPr>
            </w:pPr>
          </w:p>
        </w:tc>
        <w:tc>
          <w:tcPr>
            <w:tcW w:w="990" w:type="dxa"/>
            <w:tcBorders>
              <w:top w:val="nil"/>
              <w:left w:val="single" w:color="000000" w:sz="4" w:space="0"/>
              <w:bottom w:val="single" w:color="000000" w:sz="4" w:space="0"/>
              <w:right w:val="single" w:color="000000" w:sz="4" w:space="0"/>
            </w:tcBorders>
            <w:shd w:val="clear" w:color="auto" w:fill="auto"/>
            <w:noWrap/>
            <w:vAlign w:val="center"/>
          </w:tcPr>
          <w:p w14:paraId="68827BD2">
            <w:pPr>
              <w:rPr>
                <w:rFonts w:hint="eastAsia" w:ascii="宋体" w:hAnsi="宋体" w:eastAsia="宋体" w:cs="宋体"/>
                <w:i w:val="0"/>
                <w:iCs w:val="0"/>
                <w:color w:val="000000"/>
                <w:sz w:val="22"/>
                <w:szCs w:val="22"/>
                <w:u w:val="none"/>
              </w:rPr>
            </w:pPr>
          </w:p>
        </w:tc>
      </w:tr>
      <w:tr w14:paraId="2C283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1F03">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6CA8">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FBDD">
            <w:pPr>
              <w:jc w:val="center"/>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1FE1">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2CB2">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0A17D">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7E7F">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DBAFD">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3254">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138E5">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DA8E">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F9AE">
            <w:pPr>
              <w:rPr>
                <w:rFonts w:hint="eastAsia" w:ascii="宋体" w:hAnsi="宋体" w:eastAsia="宋体" w:cs="宋体"/>
                <w:i w:val="0"/>
                <w:iCs w:val="0"/>
                <w:color w:val="000000"/>
                <w:sz w:val="22"/>
                <w:szCs w:val="22"/>
                <w:u w:val="none"/>
              </w:rPr>
            </w:pPr>
          </w:p>
        </w:tc>
      </w:tr>
    </w:tbl>
    <w:p w14:paraId="08488506">
      <w:pPr>
        <w:ind w:left="0" w:leftChars="0" w:firstLine="0" w:firstLineChars="0"/>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生产许可证</w:t>
      </w:r>
    </w:p>
    <w:p w14:paraId="4A5DE3C0">
      <w:pPr>
        <w:rPr>
          <w:rFonts w:hint="eastAsia"/>
          <w:highlight w:val="none"/>
          <w:lang w:eastAsia="zh-CN"/>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5.生产厂家的纸质授权证明（分级授权须逐级提供，且须提供各级授权公司资质）及江西省医保平台建立配送关系截图。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药品询价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药品序号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1"/>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1"/>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廉洁销售和质量保证承诺书</w:t>
      </w:r>
    </w:p>
    <w:p w14:paraId="24BF1BC9">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鹰潭一八四医院：</w:t>
      </w:r>
    </w:p>
    <w:p w14:paraId="6DCAC425">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我公司保证严格按照国家有关法律法规及贵院有关规定和要求，及时、保质保量为贵院配送药品、医用耗材等产品，并提供全面、完善的服务，同时承诺：</w:t>
      </w:r>
    </w:p>
    <w:p w14:paraId="3965501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一、具备配送医药产品的合法资质，所配送的医药产品与</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合同一致，不自行涨价和变更规格型号、材质、生产企业等。</w:t>
      </w:r>
    </w:p>
    <w:p w14:paraId="1CE63B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二、不论贵院采购产品数量和金额多少，均保证按照约定的配送时间及时送货到位，急需产品节假日照常配送。</w:t>
      </w:r>
    </w:p>
    <w:p w14:paraId="66045BB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三、保证所配送的医药产品是合法有效的产品，产品质量符合国家相关标准，在质量保证期（有效期）内因产品质量问题产生的责任由我公司承担。</w:t>
      </w:r>
    </w:p>
    <w:p w14:paraId="26CD64C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四、所配送的医药产品储运条件符合国家规定，并采取有效措施保证储运过程中的产品质量与安全，因运输过程造成的质量问题及损耗由我公司负责。</w:t>
      </w:r>
    </w:p>
    <w:p w14:paraId="3154507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五、我公司指定</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作为销售代表洽谈业务。销售代表仅在工作时间到贵院指定地点联系商谈，不到住院部、门诊部、医技科室等推销相关产品，不借故到贵院领导、工作人员家中访谈并提供任何好处。</w:t>
      </w:r>
    </w:p>
    <w:p w14:paraId="1A5EBFBC">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六、不以回扣、宴请等方式影响贵院采购或使用医药产品的选择权，不利用任何途径和方式，统计贵院医师个人及临床科室能关医药产品用量信息。</w:t>
      </w:r>
    </w:p>
    <w:p w14:paraId="7FDEA6B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如违反以上承诺，我公司自愿无条件按照贵院有关规定接受处罚。</w:t>
      </w:r>
    </w:p>
    <w:p w14:paraId="11BD141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本承诺书作为医用耗材采购合同</w:t>
      </w:r>
      <w:r>
        <w:rPr>
          <w:rFonts w:hint="eastAsia" w:ascii="仿宋_GB2312" w:hAnsi="仿宋_GB2312" w:eastAsia="仿宋_GB2312" w:cs="仿宋_GB2312"/>
          <w:sz w:val="28"/>
          <w:szCs w:val="28"/>
          <w:lang w:eastAsia="zh-CN"/>
        </w:rPr>
        <w:t>和药品采购合同</w:t>
      </w:r>
      <w:r>
        <w:rPr>
          <w:rFonts w:hint="eastAsia" w:ascii="仿宋_GB2312" w:hAnsi="仿宋_GB2312" w:eastAsia="仿宋_GB2312" w:cs="仿宋_GB2312"/>
          <w:sz w:val="28"/>
          <w:szCs w:val="28"/>
        </w:rPr>
        <w:t>的重要组成部分，与</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合同一并执行，具有同等法律效力，从签订之日起生效。</w:t>
      </w:r>
    </w:p>
    <w:p w14:paraId="062DF948">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p>
    <w:p w14:paraId="5C8134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u w:val="single"/>
        </w:rPr>
      </w:pPr>
      <w:r>
        <w:rPr>
          <w:rFonts w:hint="eastAsia" w:ascii="仿宋_GB2312" w:hAnsi="仿宋_GB2312" w:cs="仿宋_GB2312"/>
          <w:sz w:val="28"/>
          <w:szCs w:val="28"/>
          <w:lang w:eastAsia="zh-CN"/>
        </w:rPr>
        <w:t>供应商名称</w:t>
      </w:r>
      <w:r>
        <w:rPr>
          <w:rFonts w:hint="eastAsia" w:ascii="仿宋_GB2312" w:hAnsi="仿宋_GB2312" w:eastAsia="仿宋_GB2312" w:cs="仿宋_GB2312"/>
          <w:sz w:val="28"/>
          <w:szCs w:val="28"/>
        </w:rPr>
        <w:t>（盖章）：</w:t>
      </w:r>
      <w:r>
        <w:rPr>
          <w:rFonts w:hint="eastAsia" w:ascii="仿宋_GB2312" w:hAnsi="仿宋_GB2312" w:eastAsia="仿宋_GB2312" w:cs="仿宋_GB2312"/>
          <w:sz w:val="28"/>
          <w:szCs w:val="28"/>
          <w:u w:val="single"/>
        </w:rPr>
        <w:t xml:space="preserve">                    </w:t>
      </w:r>
    </w:p>
    <w:p w14:paraId="35B6B25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u w:val="single"/>
        </w:rPr>
        <w:t xml:space="preserve">                         </w:t>
      </w:r>
    </w:p>
    <w:p w14:paraId="1BF633E5">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p w14:paraId="6F2F66EE">
      <w:pPr>
        <w:rPr>
          <w:rFonts w:hint="eastAsia"/>
          <w:b w:val="0"/>
          <w:bCs w:val="0"/>
          <w:color w:val="auto"/>
          <w:lang w:val="en-US" w:eastAsia="zh-CN"/>
        </w:rPr>
      </w:pPr>
      <w:r>
        <w:rPr>
          <w:rFonts w:hint="eastAsia"/>
          <w:b w:val="0"/>
          <w:bCs w:val="0"/>
          <w:color w:val="auto"/>
          <w:lang w:val="en-US" w:eastAsia="zh-CN"/>
        </w:rPr>
        <w:br w:type="page"/>
      </w:r>
    </w:p>
    <w:p w14:paraId="74BD416A">
      <w:pPr>
        <w:keepNext w:val="0"/>
        <w:keepLines w:val="0"/>
        <w:pageBreakBefore w:val="0"/>
        <w:widowControl/>
        <w:kinsoku/>
        <w:wordWrap/>
        <w:overflowPunct/>
        <w:topLinePunct w:val="0"/>
        <w:autoSpaceDE/>
        <w:autoSpaceDN/>
        <w:bidi w:val="0"/>
        <w:adjustRightInd/>
        <w:snapToGrid/>
        <w:spacing w:line="460" w:lineRule="exact"/>
        <w:ind w:right="0"/>
        <w:jc w:val="both"/>
        <w:textAlignment w:val="baseline"/>
        <w:rPr>
          <w:rFonts w:hint="eastAsia"/>
          <w:b w:val="0"/>
          <w:bCs w:val="0"/>
          <w:color w:val="auto"/>
          <w:highlight w:val="none"/>
          <w:lang w:val="en-US" w:eastAsia="zh-CN"/>
        </w:rPr>
      </w:pP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9.无违法记录声明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110AA56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10.公示要求提供的其它材料（若有）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6136A0"/>
    <w:rsid w:val="06577474"/>
    <w:rsid w:val="094A2B91"/>
    <w:rsid w:val="10032FEE"/>
    <w:rsid w:val="11401740"/>
    <w:rsid w:val="128707FF"/>
    <w:rsid w:val="136C3C8E"/>
    <w:rsid w:val="148830D3"/>
    <w:rsid w:val="149E6117"/>
    <w:rsid w:val="15C971FE"/>
    <w:rsid w:val="16775FC6"/>
    <w:rsid w:val="16EA2C3C"/>
    <w:rsid w:val="1765797E"/>
    <w:rsid w:val="17AB72E5"/>
    <w:rsid w:val="1EFB709A"/>
    <w:rsid w:val="22692C0D"/>
    <w:rsid w:val="230E380E"/>
    <w:rsid w:val="239E225F"/>
    <w:rsid w:val="23FE192D"/>
    <w:rsid w:val="28753671"/>
    <w:rsid w:val="295A6BF7"/>
    <w:rsid w:val="2A824AC9"/>
    <w:rsid w:val="2BC860CA"/>
    <w:rsid w:val="2CEF2903"/>
    <w:rsid w:val="31D40319"/>
    <w:rsid w:val="33ED7605"/>
    <w:rsid w:val="35415CC5"/>
    <w:rsid w:val="361027C2"/>
    <w:rsid w:val="37490E61"/>
    <w:rsid w:val="3A644A2D"/>
    <w:rsid w:val="3D932E36"/>
    <w:rsid w:val="3F211237"/>
    <w:rsid w:val="41BD79E6"/>
    <w:rsid w:val="43467146"/>
    <w:rsid w:val="43C15764"/>
    <w:rsid w:val="43FF1225"/>
    <w:rsid w:val="44191BBB"/>
    <w:rsid w:val="445826E4"/>
    <w:rsid w:val="446D4E8C"/>
    <w:rsid w:val="45AD272F"/>
    <w:rsid w:val="47633879"/>
    <w:rsid w:val="49EC55C0"/>
    <w:rsid w:val="4A171C4E"/>
    <w:rsid w:val="4B26325B"/>
    <w:rsid w:val="4C7B3413"/>
    <w:rsid w:val="4D3A5B4F"/>
    <w:rsid w:val="4D785BA5"/>
    <w:rsid w:val="4DDC25D7"/>
    <w:rsid w:val="4EB41C4F"/>
    <w:rsid w:val="4F1314E9"/>
    <w:rsid w:val="529B480F"/>
    <w:rsid w:val="52FE4D9E"/>
    <w:rsid w:val="531E71EE"/>
    <w:rsid w:val="532D11DF"/>
    <w:rsid w:val="543E18E2"/>
    <w:rsid w:val="57127115"/>
    <w:rsid w:val="5806097D"/>
    <w:rsid w:val="59B72B1F"/>
    <w:rsid w:val="5B01367D"/>
    <w:rsid w:val="5D047455"/>
    <w:rsid w:val="621409C5"/>
    <w:rsid w:val="656136E1"/>
    <w:rsid w:val="67566AFF"/>
    <w:rsid w:val="68AF316F"/>
    <w:rsid w:val="69990F25"/>
    <w:rsid w:val="6A707ED8"/>
    <w:rsid w:val="6B95409A"/>
    <w:rsid w:val="6BCF0C2E"/>
    <w:rsid w:val="6CB90470"/>
    <w:rsid w:val="6D4D2752"/>
    <w:rsid w:val="6DE60B09"/>
    <w:rsid w:val="6E957DB8"/>
    <w:rsid w:val="71174B27"/>
    <w:rsid w:val="72966C0C"/>
    <w:rsid w:val="72CE78A5"/>
    <w:rsid w:val="73115E8B"/>
    <w:rsid w:val="74BA2882"/>
    <w:rsid w:val="75175B20"/>
    <w:rsid w:val="75BA48CD"/>
    <w:rsid w:val="765637C0"/>
    <w:rsid w:val="76693715"/>
    <w:rsid w:val="78AC787A"/>
    <w:rsid w:val="7A733DDE"/>
    <w:rsid w:val="7BB67714"/>
    <w:rsid w:val="7BD84D64"/>
    <w:rsid w:val="7F127358"/>
    <w:rsid w:val="7F1E7AAB"/>
    <w:rsid w:val="7F485D15"/>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0"/>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8">
    <w:name w:val="Default Paragraph Font"/>
    <w:autoRedefine/>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0">
    <w:name w:val="标题 2 Char"/>
    <w:basedOn w:val="8"/>
    <w:link w:val="3"/>
    <w:autoRedefine/>
    <w:semiHidden/>
    <w:qFormat/>
    <w:uiPriority w:val="0"/>
    <w:rPr>
      <w:rFonts w:ascii="Arial" w:hAnsi="Arial" w:eastAsia="黑体" w:cs="Times New Roman"/>
      <w:b/>
      <w:kern w:val="2"/>
      <w:sz w:val="32"/>
      <w:szCs w:val="22"/>
    </w:rPr>
  </w:style>
  <w:style w:type="paragraph" w:customStyle="1" w:styleId="11">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2">
    <w:name w:val="font91"/>
    <w:basedOn w:val="8"/>
    <w:qFormat/>
    <w:uiPriority w:val="0"/>
    <w:rPr>
      <w:rFonts w:hint="eastAsia" w:ascii="楷体_GB2312" w:eastAsia="楷体_GB2312" w:cs="楷体_GB2312"/>
      <w:color w:val="000000"/>
      <w:sz w:val="18"/>
      <w:szCs w:val="18"/>
      <w:u w:val="none"/>
    </w:rPr>
  </w:style>
  <w:style w:type="character" w:customStyle="1" w:styleId="13">
    <w:name w:val="font151"/>
    <w:basedOn w:val="8"/>
    <w:qFormat/>
    <w:uiPriority w:val="0"/>
    <w:rPr>
      <w:rFonts w:hint="default" w:ascii="Times New Roman" w:hAnsi="Times New Roman" w:cs="Times New Roman"/>
      <w:color w:val="000000"/>
      <w:sz w:val="18"/>
      <w:szCs w:val="18"/>
      <w:u w:val="none"/>
    </w:rPr>
  </w:style>
  <w:style w:type="character" w:customStyle="1" w:styleId="14">
    <w:name w:val="font31"/>
    <w:basedOn w:val="8"/>
    <w:qFormat/>
    <w:uiPriority w:val="0"/>
    <w:rPr>
      <w:rFonts w:hint="eastAsia" w:ascii="楷体_GB2312" w:eastAsia="楷体_GB2312" w:cs="楷体_GB2312"/>
      <w:color w:val="000000"/>
      <w:sz w:val="22"/>
      <w:szCs w:val="22"/>
      <w:u w:val="none"/>
    </w:rPr>
  </w:style>
  <w:style w:type="character" w:customStyle="1" w:styleId="15">
    <w:name w:val="font13"/>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仿宋_GB2312" w:eastAsia="仿宋_GB2312" w:cs="仿宋_GB2312"/>
      <w:color w:val="000000"/>
      <w:sz w:val="22"/>
      <w:szCs w:val="22"/>
      <w:u w:val="none"/>
    </w:rPr>
  </w:style>
  <w:style w:type="character" w:customStyle="1" w:styleId="17">
    <w:name w:val="font141"/>
    <w:basedOn w:val="8"/>
    <w:qFormat/>
    <w:uiPriority w:val="0"/>
    <w:rPr>
      <w:rFonts w:hint="eastAsia" w:ascii="仿宋_GB2312" w:eastAsia="仿宋_GB2312" w:cs="仿宋_GB2312"/>
      <w:b/>
      <w:bCs/>
      <w:color w:val="000000"/>
      <w:sz w:val="22"/>
      <w:szCs w:val="22"/>
      <w:u w:val="none"/>
    </w:rPr>
  </w:style>
  <w:style w:type="character" w:customStyle="1" w:styleId="18">
    <w:name w:val="font21"/>
    <w:basedOn w:val="8"/>
    <w:qFormat/>
    <w:uiPriority w:val="0"/>
    <w:rPr>
      <w:rFonts w:hint="eastAsia" w:ascii="楷体_GB2312" w:eastAsia="楷体_GB2312" w:cs="楷体_GB2312"/>
      <w:color w:val="000000"/>
      <w:sz w:val="20"/>
      <w:szCs w:val="20"/>
      <w:u w:val="none"/>
    </w:rPr>
  </w:style>
  <w:style w:type="character" w:customStyle="1" w:styleId="19">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2675</Words>
  <Characters>2903</Characters>
  <Lines>0</Lines>
  <Paragraphs>0</Paragraphs>
  <TotalTime>17</TotalTime>
  <ScaleCrop>false</ScaleCrop>
  <LinksUpToDate>false</LinksUpToDate>
  <CharactersWithSpaces>3070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陶</cp:lastModifiedBy>
  <cp:lastPrinted>2025-06-13T01:41:00Z</cp:lastPrinted>
  <dcterms:modified xsi:type="dcterms:W3CDTF">2025-09-17T01:58:53Z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3620AB30C132459BA6715C098025CE97_13</vt:lpwstr>
  </property>
  <property fmtid="{D5CDD505-2E9C-101B-9397-08002B2CF9AE}" pid="4" name="KSOTemplateDocerSaveRecord">
    <vt:lpwstr>eyJoZGlkIjoiZDUwODEzZjc2NDU4MmMyMDA1OWViYmY0NzQyYzNjZDgiLCJ1c2VySWQiOiI0MTA0OTU1NzYifQ==</vt:lpwstr>
  </property>
</Properties>
</file>