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寻全高速部分机电系统提质升级项目</w:t>
      </w:r>
      <w:r>
        <w:rPr>
          <w:rFonts w:hint="eastAsia" w:ascii="宋体" w:hAnsi="宋体" w:eastAsia="宋体" w:cs="宋体"/>
          <w:b/>
          <w:bCs/>
          <w:color w:val="auto"/>
          <w:sz w:val="36"/>
          <w:szCs w:val="36"/>
          <w:highlight w:val="none"/>
          <w:lang w:eastAsia="zh-CN"/>
        </w:rPr>
        <w:t>施工招标关键内容公开</w:t>
      </w:r>
    </w:p>
    <w:p>
      <w:pPr>
        <w:keepNext w:val="0"/>
        <w:keepLines w:val="0"/>
        <w:pageBreakBefore w:val="0"/>
        <w:wordWrap/>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38"/>
          <w:szCs w:val="38"/>
          <w:highlight w:val="none"/>
          <w:lang w:eastAsia="zh-CN"/>
        </w:rPr>
      </w:pP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根据《公路工程建设项目招标投标管理办法》的规定，现对</w:t>
      </w:r>
      <w:r>
        <w:rPr>
          <w:rFonts w:hint="eastAsia" w:ascii="宋体" w:hAnsi="宋体" w:cs="宋体"/>
          <w:color w:val="auto"/>
          <w:sz w:val="24"/>
          <w:szCs w:val="24"/>
          <w:highlight w:val="none"/>
          <w:lang w:eastAsia="zh-CN"/>
        </w:rPr>
        <w:t>寻全高速部分机电系统提质升级项目施工招标</w:t>
      </w:r>
      <w:r>
        <w:rPr>
          <w:rFonts w:hint="eastAsia" w:ascii="宋体" w:hAnsi="宋体" w:eastAsia="宋体" w:cs="宋体"/>
          <w:color w:val="auto"/>
          <w:sz w:val="24"/>
          <w:szCs w:val="24"/>
          <w:highlight w:val="none"/>
        </w:rPr>
        <w:t>文件中的关键内容进行公开：</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一、项目概况</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eastAsia="zh-CN"/>
        </w:rPr>
        <w:t>寻全高速部分机电系统提质升级项目施工招标</w:t>
      </w:r>
      <w:r>
        <w:rPr>
          <w:rFonts w:hint="eastAsia" w:ascii="宋体" w:hAnsi="宋体" w:eastAsia="宋体" w:cs="宋体"/>
          <w:color w:val="auto"/>
          <w:sz w:val="24"/>
          <w:szCs w:val="24"/>
          <w:highlight w:val="none"/>
        </w:rPr>
        <w:t>公告。</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二、投标人资格要求</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eastAsia="zh-CN"/>
        </w:rPr>
        <w:t>寻全高速部分机电系统提质升级项目施工招标</w:t>
      </w:r>
      <w:r>
        <w:rPr>
          <w:rFonts w:hint="eastAsia" w:ascii="宋体" w:hAnsi="宋体" w:eastAsia="宋体" w:cs="宋体"/>
          <w:color w:val="auto"/>
          <w:sz w:val="24"/>
          <w:szCs w:val="24"/>
          <w:highlight w:val="none"/>
        </w:rPr>
        <w:t>公告。</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三、评标办法</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本次招标采用</w:t>
      </w:r>
      <w:r>
        <w:rPr>
          <w:rFonts w:hint="eastAsia" w:ascii="宋体" w:hAnsi="宋体" w:cs="宋体"/>
          <w:color w:val="auto"/>
          <w:sz w:val="24"/>
          <w:szCs w:val="24"/>
          <w:highlight w:val="none"/>
          <w:lang w:val="en-US" w:eastAsia="zh-CN"/>
        </w:rPr>
        <w:t>技术评分最低标价法</w:t>
      </w:r>
      <w:r>
        <w:rPr>
          <w:rFonts w:hint="eastAsia" w:ascii="宋体" w:hAnsi="宋体" w:eastAsia="宋体" w:cs="宋体"/>
          <w:color w:val="auto"/>
          <w:sz w:val="24"/>
          <w:szCs w:val="24"/>
          <w:highlight w:val="none"/>
        </w:rPr>
        <w:t>（详见附件）。</w:t>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四、联系方式</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1"/>
          <w:sz w:val="24"/>
          <w:szCs w:val="24"/>
          <w:highlight w:val="none"/>
          <w:lang w:eastAsia="zh-CN"/>
        </w:rPr>
      </w:pPr>
      <w:r>
        <w:rPr>
          <w:rFonts w:hint="default"/>
          <w:color w:val="auto"/>
          <w:spacing w:val="-1"/>
          <w:sz w:val="24"/>
          <w:szCs w:val="24"/>
          <w:highlight w:val="none"/>
        </w:rPr>
        <w:t>招标人：</w:t>
      </w:r>
      <w:r>
        <w:rPr>
          <w:rFonts w:hint="eastAsia" w:ascii="宋体" w:hAnsi="宋体" w:eastAsia="宋体" w:cs="宋体"/>
          <w:color w:val="000000"/>
          <w:spacing w:val="0"/>
          <w:sz w:val="24"/>
          <w:szCs w:val="24"/>
          <w:highlight w:val="none"/>
          <w:lang w:eastAsia="zh-CN"/>
        </w:rPr>
        <w:t>赣州交通控股集团有限公司</w:t>
      </w:r>
      <w:r>
        <w:rPr>
          <w:rFonts w:hint="eastAsia"/>
          <w:color w:val="auto"/>
          <w:spacing w:val="-1"/>
          <w:sz w:val="24"/>
          <w:szCs w:val="24"/>
          <w:highlight w:val="none"/>
          <w:lang w:eastAsia="zh-CN"/>
        </w:rPr>
        <w:t xml:space="preserve">  </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20"/>
          <w:sz w:val="24"/>
          <w:szCs w:val="24"/>
          <w:highlight w:val="none"/>
        </w:rPr>
      </w:pPr>
      <w:r>
        <w:rPr>
          <w:rFonts w:hint="default"/>
          <w:color w:val="auto"/>
          <w:spacing w:val="-1"/>
          <w:sz w:val="24"/>
          <w:szCs w:val="24"/>
          <w:highlight w:val="none"/>
        </w:rPr>
        <w:t>地</w:t>
      </w:r>
      <w:r>
        <w:rPr>
          <w:rFonts w:hint="default"/>
          <w:color w:val="auto"/>
          <w:sz w:val="24"/>
          <w:szCs w:val="24"/>
          <w:highlight w:val="none"/>
        </w:rPr>
        <w:t xml:space="preserve">   址：江西省赣州市章贡区沙河镇赣州绕城高速赣州东出口</w:t>
      </w:r>
      <w:r>
        <w:rPr>
          <w:rFonts w:hint="default"/>
          <w:color w:val="auto"/>
          <w:spacing w:val="20"/>
          <w:sz w:val="24"/>
          <w:szCs w:val="24"/>
          <w:highlight w:val="none"/>
        </w:rPr>
        <w:t xml:space="preserve"> </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邮</w:t>
      </w:r>
      <w:r>
        <w:rPr>
          <w:rFonts w:hint="default"/>
          <w:color w:val="auto"/>
          <w:sz w:val="24"/>
          <w:szCs w:val="24"/>
          <w:highlight w:val="none"/>
        </w:rPr>
        <w:t xml:space="preserve"> </w:t>
      </w:r>
      <w:r>
        <w:rPr>
          <w:rFonts w:hint="default"/>
          <w:color w:val="auto"/>
          <w:spacing w:val="120"/>
          <w:sz w:val="24"/>
          <w:szCs w:val="24"/>
          <w:highlight w:val="none"/>
        </w:rPr>
        <w:t xml:space="preserve"> </w:t>
      </w:r>
      <w:r>
        <w:rPr>
          <w:rFonts w:hint="default"/>
          <w:color w:val="auto"/>
          <w:sz w:val="24"/>
          <w:szCs w:val="24"/>
          <w:highlight w:val="none"/>
        </w:rPr>
        <w:t>编：341000</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联系人：</w:t>
      </w:r>
      <w:r>
        <w:rPr>
          <w:rFonts w:hint="eastAsia"/>
          <w:color w:val="auto"/>
          <w:spacing w:val="-1"/>
          <w:sz w:val="24"/>
          <w:szCs w:val="24"/>
          <w:highlight w:val="none"/>
          <w:lang w:val="en-US" w:eastAsia="zh-CN"/>
        </w:rPr>
        <w:t>赖女士</w:t>
      </w:r>
      <w:r>
        <w:rPr>
          <w:rFonts w:hint="default"/>
          <w:color w:val="auto"/>
          <w:sz w:val="24"/>
          <w:szCs w:val="24"/>
          <w:highlight w:val="none"/>
        </w:rPr>
        <w:t xml:space="preserve"> </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20"/>
          <w:sz w:val="24"/>
          <w:szCs w:val="24"/>
          <w:highlight w:val="none"/>
        </w:rPr>
      </w:pPr>
      <w:r>
        <w:rPr>
          <w:rFonts w:hint="default"/>
          <w:color w:val="auto"/>
          <w:spacing w:val="-1"/>
          <w:sz w:val="24"/>
          <w:szCs w:val="24"/>
          <w:highlight w:val="none"/>
        </w:rPr>
        <w:t>电</w:t>
      </w:r>
      <w:r>
        <w:rPr>
          <w:rFonts w:hint="default"/>
          <w:color w:val="auto"/>
          <w:sz w:val="24"/>
          <w:szCs w:val="24"/>
          <w:highlight w:val="none"/>
        </w:rPr>
        <w:t xml:space="preserve">   话：0797-8289692</w:t>
      </w:r>
      <w:r>
        <w:rPr>
          <w:rFonts w:hint="default"/>
          <w:color w:val="auto"/>
          <w:spacing w:val="20"/>
          <w:sz w:val="24"/>
          <w:szCs w:val="24"/>
          <w:highlight w:val="none"/>
        </w:rPr>
        <w:t xml:space="preserve"> </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传</w:t>
      </w:r>
      <w:r>
        <w:rPr>
          <w:rFonts w:hint="default"/>
          <w:color w:val="auto"/>
          <w:sz w:val="24"/>
          <w:szCs w:val="24"/>
          <w:highlight w:val="none"/>
        </w:rPr>
        <w:t xml:space="preserve">   真：0797-8289692</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00" w:firstLineChars="200"/>
        <w:textAlignment w:val="auto"/>
        <w:rPr>
          <w:rFonts w:hint="default"/>
          <w:color w:val="auto"/>
          <w:sz w:val="20"/>
          <w:szCs w:val="24"/>
          <w:highlight w:val="none"/>
        </w:rPr>
      </w:pP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80" w:firstLineChars="200"/>
        <w:textAlignment w:val="auto"/>
        <w:rPr>
          <w:rFonts w:hint="eastAsia" w:eastAsia="宋体"/>
          <w:color w:val="auto"/>
          <w:sz w:val="24"/>
          <w:szCs w:val="24"/>
          <w:highlight w:val="none"/>
          <w:lang w:eastAsia="zh-CN"/>
        </w:rPr>
      </w:pPr>
      <w:r>
        <w:rPr>
          <w:rFonts w:hint="default"/>
          <w:color w:val="auto"/>
          <w:sz w:val="24"/>
          <w:szCs w:val="24"/>
          <w:highlight w:val="none"/>
        </w:rPr>
        <w:t>招标代理机构：</w:t>
      </w:r>
      <w:r>
        <w:rPr>
          <w:rFonts w:hint="eastAsia"/>
          <w:color w:val="auto"/>
          <w:sz w:val="24"/>
          <w:szCs w:val="24"/>
          <w:highlight w:val="none"/>
          <w:lang w:eastAsia="zh-CN"/>
        </w:rPr>
        <w:t>江西省赣南公路勘察设计院有限公司</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rPr>
      </w:pPr>
      <w:r>
        <w:rPr>
          <w:rFonts w:hint="default"/>
          <w:color w:val="auto"/>
          <w:spacing w:val="-1"/>
          <w:sz w:val="24"/>
          <w:szCs w:val="24"/>
          <w:highlight w:val="none"/>
        </w:rPr>
        <w:t>地</w:t>
      </w:r>
      <w:r>
        <w:rPr>
          <w:rFonts w:hint="default"/>
          <w:color w:val="auto"/>
          <w:sz w:val="24"/>
          <w:szCs w:val="24"/>
          <w:highlight w:val="none"/>
        </w:rPr>
        <w:t xml:space="preserve">        址：赣州市章江新区赞贤路</w:t>
      </w:r>
      <w:r>
        <w:rPr>
          <w:rFonts w:hint="default"/>
          <w:color w:val="auto"/>
          <w:spacing w:val="-60"/>
          <w:sz w:val="24"/>
          <w:szCs w:val="24"/>
          <w:highlight w:val="none"/>
        </w:rPr>
        <w:t xml:space="preserve"> </w:t>
      </w:r>
      <w:r>
        <w:rPr>
          <w:rFonts w:hint="default"/>
          <w:color w:val="auto"/>
          <w:sz w:val="24"/>
          <w:szCs w:val="24"/>
          <w:highlight w:val="none"/>
        </w:rPr>
        <w:t>36</w:t>
      </w:r>
      <w:r>
        <w:rPr>
          <w:rFonts w:hint="default"/>
          <w:color w:val="auto"/>
          <w:spacing w:val="-60"/>
          <w:sz w:val="24"/>
          <w:szCs w:val="24"/>
          <w:highlight w:val="none"/>
        </w:rPr>
        <w:t xml:space="preserve"> </w:t>
      </w:r>
      <w:r>
        <w:rPr>
          <w:rFonts w:hint="default"/>
          <w:color w:val="auto"/>
          <w:sz w:val="24"/>
          <w:szCs w:val="24"/>
          <w:highlight w:val="none"/>
        </w:rPr>
        <w:t>号</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z w:val="24"/>
          <w:szCs w:val="24"/>
          <w:highlight w:val="none"/>
          <w:lang w:eastAsia="zh-CN"/>
        </w:rPr>
      </w:pPr>
      <w:r>
        <w:rPr>
          <w:rFonts w:hint="default"/>
          <w:color w:val="auto"/>
          <w:spacing w:val="-1"/>
          <w:sz w:val="24"/>
          <w:szCs w:val="24"/>
          <w:highlight w:val="none"/>
        </w:rPr>
        <w:t>联</w:t>
      </w:r>
      <w:r>
        <w:rPr>
          <w:rFonts w:hint="default"/>
          <w:color w:val="auto"/>
          <w:sz w:val="24"/>
          <w:szCs w:val="24"/>
          <w:highlight w:val="none"/>
        </w:rPr>
        <w:t xml:space="preserve"> </w:t>
      </w:r>
      <w:r>
        <w:rPr>
          <w:rFonts w:hint="default"/>
          <w:color w:val="auto"/>
          <w:spacing w:val="120"/>
          <w:sz w:val="24"/>
          <w:szCs w:val="24"/>
          <w:highlight w:val="none"/>
        </w:rPr>
        <w:t xml:space="preserve"> </w:t>
      </w:r>
      <w:r>
        <w:rPr>
          <w:rFonts w:hint="default"/>
          <w:color w:val="auto"/>
          <w:sz w:val="24"/>
          <w:szCs w:val="24"/>
          <w:highlight w:val="none"/>
        </w:rPr>
        <w:t xml:space="preserve">系 </w:t>
      </w:r>
      <w:r>
        <w:rPr>
          <w:rFonts w:hint="default"/>
          <w:color w:val="auto"/>
          <w:sz w:val="24"/>
          <w:szCs w:val="24"/>
          <w:highlight w:val="none"/>
          <w:lang w:val="en-US" w:eastAsia="zh-CN"/>
        </w:rPr>
        <w:t xml:space="preserve">  </w:t>
      </w:r>
      <w:r>
        <w:rPr>
          <w:rFonts w:hint="default"/>
          <w:color w:val="auto"/>
          <w:sz w:val="24"/>
          <w:szCs w:val="24"/>
          <w:highlight w:val="none"/>
        </w:rPr>
        <w:t>人：</w:t>
      </w:r>
      <w:r>
        <w:rPr>
          <w:rFonts w:hint="eastAsia"/>
          <w:color w:val="auto"/>
          <w:sz w:val="24"/>
          <w:szCs w:val="24"/>
          <w:highlight w:val="none"/>
          <w:lang w:val="en-US" w:eastAsia="zh-CN"/>
        </w:rPr>
        <w:t>谢</w:t>
      </w:r>
      <w:r>
        <w:rPr>
          <w:rFonts w:hint="default"/>
          <w:color w:val="auto"/>
          <w:sz w:val="24"/>
          <w:szCs w:val="24"/>
          <w:highlight w:val="none"/>
          <w:lang w:eastAsia="zh-CN"/>
        </w:rPr>
        <w:t>工</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20"/>
          <w:sz w:val="24"/>
          <w:szCs w:val="24"/>
          <w:highlight w:val="none"/>
        </w:rPr>
      </w:pPr>
      <w:r>
        <w:rPr>
          <w:rFonts w:hint="default"/>
          <w:color w:val="auto"/>
          <w:spacing w:val="-1"/>
          <w:sz w:val="24"/>
          <w:szCs w:val="24"/>
          <w:highlight w:val="none"/>
        </w:rPr>
        <w:t>电</w:t>
      </w:r>
      <w:r>
        <w:rPr>
          <w:rFonts w:hint="default"/>
          <w:color w:val="auto"/>
          <w:sz w:val="24"/>
          <w:szCs w:val="24"/>
          <w:highlight w:val="none"/>
        </w:rPr>
        <w:t xml:space="preserve">     </w:t>
      </w:r>
      <w:r>
        <w:rPr>
          <w:rFonts w:hint="default"/>
          <w:color w:val="auto"/>
          <w:spacing w:val="120"/>
          <w:sz w:val="24"/>
          <w:szCs w:val="24"/>
          <w:highlight w:val="none"/>
        </w:rPr>
        <w:t xml:space="preserve"> </w:t>
      </w:r>
      <w:r>
        <w:rPr>
          <w:rFonts w:hint="default"/>
          <w:color w:val="auto"/>
          <w:sz w:val="24"/>
          <w:szCs w:val="24"/>
          <w:highlight w:val="none"/>
        </w:rPr>
        <w:t>话： 0797-8088235</w:t>
      </w:r>
      <w:r>
        <w:rPr>
          <w:rFonts w:hint="default"/>
          <w:color w:val="auto"/>
          <w:spacing w:val="20"/>
          <w:sz w:val="24"/>
          <w:szCs w:val="24"/>
          <w:highlight w:val="none"/>
        </w:rPr>
        <w:t xml:space="preserve"> </w:t>
      </w:r>
    </w:p>
    <w:p>
      <w:pPr>
        <w:pStyle w:val="5"/>
        <w:keepNext w:val="0"/>
        <w:keepLines w:val="0"/>
        <w:pageBreakBefore w:val="0"/>
        <w:kinsoku w:val="0"/>
        <w:wordWrap/>
        <w:overflowPunct w:val="0"/>
        <w:topLinePunct w:val="0"/>
        <w:autoSpaceDE/>
        <w:autoSpaceDN/>
        <w:bidi w:val="0"/>
        <w:adjustRightInd w:val="0"/>
        <w:snapToGrid w:val="0"/>
        <w:spacing w:line="360" w:lineRule="auto"/>
        <w:ind w:left="0" w:firstLine="476" w:firstLineChars="200"/>
        <w:textAlignment w:val="auto"/>
        <w:rPr>
          <w:rFonts w:hint="default"/>
          <w:color w:val="auto"/>
          <w:spacing w:val="-1"/>
          <w:sz w:val="24"/>
          <w:szCs w:val="24"/>
          <w:highlight w:val="none"/>
        </w:rPr>
      </w:pPr>
      <w:r>
        <w:rPr>
          <w:rFonts w:hint="default"/>
          <w:color w:val="auto"/>
          <w:spacing w:val="-1"/>
          <w:sz w:val="24"/>
          <w:szCs w:val="24"/>
          <w:highlight w:val="none"/>
        </w:rPr>
        <w:t>电子邮件：</w:t>
      </w:r>
      <w:r>
        <w:rPr>
          <w:rFonts w:hint="default"/>
          <w:color w:val="auto"/>
          <w:spacing w:val="-1"/>
          <w:sz w:val="24"/>
          <w:szCs w:val="24"/>
          <w:highlight w:val="none"/>
        </w:rPr>
        <w:fldChar w:fldCharType="begin"/>
      </w:r>
      <w:r>
        <w:rPr>
          <w:rFonts w:hint="default"/>
          <w:color w:val="auto"/>
          <w:spacing w:val="-1"/>
          <w:sz w:val="24"/>
          <w:szCs w:val="24"/>
          <w:highlight w:val="none"/>
        </w:rPr>
        <w:instrText xml:space="preserve"> HYPERLINK "mailto:gnglkcsjy@163.com" </w:instrText>
      </w:r>
      <w:r>
        <w:rPr>
          <w:rFonts w:hint="default"/>
          <w:color w:val="auto"/>
          <w:spacing w:val="-1"/>
          <w:sz w:val="24"/>
          <w:szCs w:val="24"/>
          <w:highlight w:val="none"/>
        </w:rPr>
        <w:fldChar w:fldCharType="separate"/>
      </w:r>
      <w:r>
        <w:rPr>
          <w:rFonts w:hint="default"/>
          <w:color w:val="auto"/>
          <w:spacing w:val="-1"/>
          <w:sz w:val="24"/>
          <w:szCs w:val="24"/>
          <w:highlight w:val="none"/>
        </w:rPr>
        <w:t>gnglkcsjy@163.com</w:t>
      </w:r>
      <w:r>
        <w:rPr>
          <w:rFonts w:hint="default"/>
          <w:color w:val="auto"/>
          <w:spacing w:val="-1"/>
          <w:sz w:val="24"/>
          <w:szCs w:val="24"/>
          <w:highlight w:val="none"/>
        </w:rPr>
        <w:fldChar w:fldCharType="end"/>
      </w: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sz w:val="24"/>
          <w:szCs w:val="24"/>
          <w:highlight w:val="none"/>
          <w:lang w:val="en-US" w:eastAsia="zh-CN"/>
        </w:rPr>
        <w:sectPr>
          <w:pgSz w:w="11906" w:h="16838"/>
          <w:pgMar w:top="1440" w:right="1080" w:bottom="1440" w:left="1080" w:header="851" w:footer="992" w:gutter="0"/>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bookmarkStart w:id="0" w:name="_Toc9094"/>
      <w:r>
        <w:rPr>
          <w:rFonts w:hint="eastAsia" w:ascii="宋体" w:hAnsi="宋体" w:eastAsia="宋体" w:cs="宋体"/>
          <w:b/>
          <w:bCs/>
          <w:color w:val="auto"/>
          <w:sz w:val="24"/>
          <w:szCs w:val="24"/>
          <w:highlight w:val="none"/>
          <w:lang w:val="en-US" w:eastAsia="zh-CN"/>
        </w:rPr>
        <w:t>评标办法</w:t>
      </w:r>
    </w:p>
    <w:bookmarkEnd w:id="0"/>
    <w:tbl>
      <w:tblPr>
        <w:tblStyle w:val="11"/>
        <w:tblW w:w="947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843"/>
        <w:gridCol w:w="776"/>
        <w:gridCol w:w="2000"/>
        <w:gridCol w:w="5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2404" w:type="dxa"/>
            <w:gridSpan w:val="3"/>
            <w:noWrap w:val="0"/>
            <w:vAlign w:val="top"/>
          </w:tcPr>
          <w:p>
            <w:pPr>
              <w:pStyle w:val="14"/>
              <w:spacing w:before="130" w:line="250" w:lineRule="exact"/>
              <w:ind w:left="673" w:right="666"/>
              <w:jc w:val="center"/>
              <w:rPr>
                <w:rFonts w:hint="eastAsia" w:ascii="宋体" w:hAnsi="宋体" w:cs="宋体"/>
                <w:b/>
                <w:color w:val="auto"/>
                <w:sz w:val="21"/>
                <w:highlight w:val="none"/>
              </w:rPr>
            </w:pPr>
            <w:bookmarkStart w:id="1" w:name="bookmark72"/>
            <w:bookmarkEnd w:id="1"/>
            <w:r>
              <w:rPr>
                <w:rFonts w:hint="eastAsia" w:ascii="宋体" w:hAnsi="宋体" w:cs="宋体"/>
                <w:b/>
                <w:color w:val="auto"/>
                <w:sz w:val="21"/>
                <w:highlight w:val="none"/>
              </w:rPr>
              <w:t>条款号</w:t>
            </w:r>
          </w:p>
        </w:tc>
        <w:tc>
          <w:tcPr>
            <w:tcW w:w="7075" w:type="dxa"/>
            <w:gridSpan w:val="2"/>
            <w:noWrap w:val="0"/>
            <w:vAlign w:val="top"/>
          </w:tcPr>
          <w:p>
            <w:pPr>
              <w:pStyle w:val="14"/>
              <w:spacing w:before="130" w:line="250" w:lineRule="exact"/>
              <w:ind w:left="2341" w:right="2329"/>
              <w:jc w:val="center"/>
              <w:rPr>
                <w:rFonts w:hint="eastAsia" w:ascii="宋体" w:hAnsi="宋体" w:cs="宋体"/>
                <w:b/>
                <w:color w:val="auto"/>
                <w:sz w:val="21"/>
                <w:highlight w:val="none"/>
              </w:rPr>
            </w:pPr>
            <w:r>
              <w:rPr>
                <w:rFonts w:hint="eastAsia" w:ascii="宋体" w:hAnsi="宋体" w:cs="宋体"/>
                <w:b/>
                <w:color w:val="auto"/>
                <w:sz w:val="21"/>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6" w:hRule="atLeast"/>
          <w:jc w:val="center"/>
        </w:trPr>
        <w:tc>
          <w:tcPr>
            <w:tcW w:w="78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color w:val="auto"/>
                <w:sz w:val="21"/>
                <w:highlight w:val="none"/>
              </w:rPr>
            </w:pPr>
            <w:r>
              <w:rPr>
                <w:rFonts w:hint="eastAsia" w:ascii="宋体" w:hAnsi="宋体" w:cs="宋体"/>
                <w:color w:val="auto"/>
                <w:sz w:val="21"/>
                <w:highlight w:val="none"/>
              </w:rPr>
              <w:t>1</w:t>
            </w:r>
          </w:p>
        </w:tc>
        <w:tc>
          <w:tcPr>
            <w:tcW w:w="1619" w:type="dxa"/>
            <w:gridSpan w:val="2"/>
            <w:noWrap w:val="0"/>
            <w:vAlign w:val="center"/>
          </w:tcPr>
          <w:p>
            <w:pPr>
              <w:pStyle w:val="14"/>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cs="宋体"/>
                <w:color w:val="auto"/>
                <w:sz w:val="21"/>
                <w:highlight w:val="none"/>
              </w:rPr>
            </w:pPr>
            <w:r>
              <w:rPr>
                <w:rFonts w:hint="eastAsia" w:ascii="宋体" w:hAnsi="宋体" w:cs="宋体"/>
                <w:color w:val="auto"/>
                <w:sz w:val="21"/>
                <w:highlight w:val="none"/>
              </w:rPr>
              <w:t>评标方法</w:t>
            </w:r>
          </w:p>
        </w:tc>
        <w:tc>
          <w:tcPr>
            <w:tcW w:w="7075" w:type="dxa"/>
            <w:gridSpan w:val="2"/>
            <w:noWrap w:val="0"/>
            <w:vAlign w:val="center"/>
          </w:tcPr>
          <w:p>
            <w:pPr>
              <w:pStyle w:val="14"/>
              <w:spacing w:before="89" w:line="276" w:lineRule="auto"/>
              <w:ind w:left="107" w:right="96" w:firstLine="420"/>
              <w:jc w:val="both"/>
              <w:rPr>
                <w:rFonts w:hint="eastAsia" w:ascii="宋体" w:hAnsi="宋体" w:cs="宋体"/>
                <w:color w:val="auto"/>
                <w:sz w:val="21"/>
                <w:highlight w:val="none"/>
              </w:rPr>
            </w:pPr>
            <w:r>
              <w:rPr>
                <w:rFonts w:hint="eastAsia" w:ascii="宋体" w:hAnsi="宋体" w:cs="宋体"/>
                <w:color w:val="auto"/>
                <w:sz w:val="21"/>
                <w:highlight w:val="none"/>
              </w:rPr>
              <w:t>评标价相等时，评标委员会依次按照以下优先顺序推荐中标候选人或确定中标人：</w:t>
            </w:r>
          </w:p>
          <w:p>
            <w:pPr>
              <w:pStyle w:val="14"/>
              <w:numPr>
                <w:ilvl w:val="0"/>
                <w:numId w:val="1"/>
              </w:numPr>
              <w:spacing w:line="276" w:lineRule="auto"/>
              <w:ind w:firstLine="21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商务及技术得分高者优先</w:t>
            </w:r>
            <w:r>
              <w:rPr>
                <w:rFonts w:hint="eastAsia" w:ascii="宋体" w:hAnsi="宋体" w:cs="宋体"/>
                <w:color w:val="auto"/>
                <w:sz w:val="21"/>
                <w:szCs w:val="21"/>
                <w:highlight w:val="none"/>
                <w:lang w:eastAsia="zh-CN"/>
              </w:rPr>
              <w:t>；</w:t>
            </w:r>
          </w:p>
          <w:p>
            <w:pPr>
              <w:pStyle w:val="14"/>
              <w:numPr>
                <w:ilvl w:val="0"/>
                <w:numId w:val="1"/>
              </w:numPr>
              <w:spacing w:line="276" w:lineRule="auto"/>
              <w:ind w:firstLine="210"/>
              <w:jc w:val="both"/>
              <w:rPr>
                <w:rFonts w:hint="eastAsia" w:ascii="宋体" w:hAnsi="宋体" w:cs="宋体"/>
                <w:color w:val="auto"/>
                <w:sz w:val="21"/>
                <w:highlight w:val="none"/>
              </w:rPr>
            </w:pPr>
            <w:r>
              <w:rPr>
                <w:rFonts w:hint="eastAsia" w:ascii="宋体" w:hAnsi="宋体" w:cs="宋体"/>
                <w:color w:val="auto"/>
                <w:sz w:val="21"/>
                <w:szCs w:val="21"/>
                <w:highlight w:val="none"/>
              </w:rPr>
              <w:t>技术文件得分较高的投标人优先。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2404" w:type="dxa"/>
            <w:gridSpan w:val="3"/>
            <w:noWrap w:val="0"/>
            <w:vAlign w:val="center"/>
          </w:tcPr>
          <w:p>
            <w:pPr>
              <w:jc w:val="center"/>
              <w:rPr>
                <w:color w:val="auto"/>
                <w:sz w:val="21"/>
                <w:highlight w:val="none"/>
              </w:rPr>
            </w:pPr>
            <w:r>
              <w:rPr>
                <w:color w:val="auto"/>
                <w:sz w:val="21"/>
                <w:highlight w:val="none"/>
              </w:rPr>
              <w:t>条款号</w:t>
            </w:r>
          </w:p>
        </w:tc>
        <w:tc>
          <w:tcPr>
            <w:tcW w:w="2000" w:type="dxa"/>
            <w:noWrap w:val="0"/>
            <w:vAlign w:val="center"/>
          </w:tcPr>
          <w:p>
            <w:pPr>
              <w:jc w:val="center"/>
              <w:rPr>
                <w:color w:val="auto"/>
                <w:sz w:val="21"/>
                <w:highlight w:val="none"/>
              </w:rPr>
            </w:pPr>
            <w:r>
              <w:rPr>
                <w:color w:val="auto"/>
                <w:sz w:val="21"/>
                <w:highlight w:val="none"/>
              </w:rPr>
              <w:t>评审因素</w:t>
            </w:r>
          </w:p>
        </w:tc>
        <w:tc>
          <w:tcPr>
            <w:tcW w:w="5075" w:type="dxa"/>
            <w:noWrap w:val="0"/>
            <w:vAlign w:val="center"/>
          </w:tcPr>
          <w:p>
            <w:pPr>
              <w:adjustRightInd w:val="0"/>
              <w:snapToGrid w:val="0"/>
              <w:spacing w:before="72" w:beforeLines="30" w:after="72" w:afterLines="30"/>
              <w:ind w:left="72" w:leftChars="30" w:right="72" w:rightChars="30"/>
              <w:jc w:val="center"/>
              <w:rPr>
                <w:color w:val="auto"/>
                <w:sz w:val="21"/>
                <w:highlight w:val="none"/>
              </w:rPr>
            </w:pPr>
            <w:r>
              <w:rPr>
                <w:color w:val="auto"/>
                <w:sz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1" w:hRule="atLeast"/>
          <w:jc w:val="center"/>
        </w:trPr>
        <w:tc>
          <w:tcPr>
            <w:tcW w:w="78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2.1.1</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2.1.3</w:t>
            </w:r>
          </w:p>
        </w:tc>
        <w:tc>
          <w:tcPr>
            <w:tcW w:w="84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第</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一</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个</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信</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封</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商</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务</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及</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技</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术</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文</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件</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w:t>
            </w:r>
          </w:p>
        </w:tc>
        <w:tc>
          <w:tcPr>
            <w:tcW w:w="776" w:type="dxa"/>
            <w:vMerge w:val="restart"/>
            <w:noWrap w:val="0"/>
            <w:textDirection w:val="tbRlV"/>
            <w:vAlign w:val="center"/>
          </w:tcPr>
          <w:p>
            <w:pPr>
              <w:ind w:left="420"/>
              <w:jc w:val="center"/>
              <w:rPr>
                <w:rFonts w:hint="eastAsia"/>
                <w:color w:val="auto"/>
                <w:sz w:val="21"/>
                <w:highlight w:val="none"/>
              </w:rPr>
            </w:pPr>
            <w:r>
              <w:rPr>
                <w:rFonts w:hint="eastAsia"/>
                <w:color w:val="auto"/>
                <w:sz w:val="21"/>
                <w:highlight w:val="none"/>
              </w:rPr>
              <w:t>形式评审与响应性评审标准</w:t>
            </w:r>
          </w:p>
        </w:tc>
        <w:tc>
          <w:tcPr>
            <w:tcW w:w="2000" w:type="dxa"/>
            <w:noWrap w:val="0"/>
            <w:vAlign w:val="center"/>
          </w:tcPr>
          <w:p>
            <w:pPr>
              <w:ind w:left="0" w:leftChars="0" w:firstLine="0" w:firstLineChars="0"/>
              <w:jc w:val="center"/>
              <w:rPr>
                <w:color w:val="auto"/>
                <w:sz w:val="21"/>
                <w:highlight w:val="none"/>
              </w:rPr>
            </w:pPr>
            <w:r>
              <w:rPr>
                <w:color w:val="auto"/>
                <w:sz w:val="21"/>
                <w:highlight w:val="none"/>
              </w:rPr>
              <w:t>投标</w:t>
            </w:r>
            <w:r>
              <w:rPr>
                <w:rFonts w:hint="eastAsia"/>
                <w:color w:val="auto"/>
                <w:sz w:val="21"/>
                <w:highlight w:val="none"/>
              </w:rPr>
              <w:t>函填写</w:t>
            </w:r>
          </w:p>
        </w:tc>
        <w:tc>
          <w:tcPr>
            <w:tcW w:w="5075" w:type="dxa"/>
            <w:noWrap w:val="0"/>
            <w:vAlign w:val="center"/>
          </w:tcPr>
          <w:p>
            <w:pPr>
              <w:pStyle w:val="14"/>
              <w:adjustRightInd w:val="0"/>
              <w:snapToGrid w:val="0"/>
              <w:spacing w:before="72" w:beforeLines="30" w:after="72" w:afterLines="30"/>
              <w:ind w:left="72" w:leftChars="30" w:right="72" w:rightChars="30"/>
              <w:rPr>
                <w:rFonts w:hint="eastAsia"/>
                <w:color w:val="auto"/>
                <w:sz w:val="21"/>
                <w:highlight w:val="none"/>
              </w:rPr>
            </w:pPr>
            <w:r>
              <w:rPr>
                <w:rFonts w:hint="eastAsia" w:ascii="宋体" w:hAnsi="宋体" w:cs="宋体"/>
                <w:color w:val="auto"/>
                <w:sz w:val="21"/>
                <w:szCs w:val="22"/>
                <w:highlight w:val="none"/>
                <w:lang w:val="zh-CN" w:bidi="zh-CN"/>
              </w:rPr>
              <w:t>投标函按招标文件规定填报了项目名称、补遗书编号（如有）、工期、工程质量要求及安全目标，投标函附录的所有数据均符合招标文件规定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投标函附录数据</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2"/>
                <w:highlight w:val="none"/>
                <w:lang w:val="zh-CN" w:bidi="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color w:val="auto"/>
                <w:sz w:val="21"/>
                <w:highlight w:val="none"/>
              </w:rPr>
              <w:t>文件</w:t>
            </w:r>
            <w:r>
              <w:rPr>
                <w:rFonts w:hint="eastAsia"/>
                <w:color w:val="auto"/>
                <w:sz w:val="21"/>
                <w:highlight w:val="none"/>
              </w:rPr>
              <w:t>填写及组成</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2"/>
                <w:highlight w:val="none"/>
                <w:lang w:val="zh-CN" w:bidi="zh-CN"/>
              </w:rPr>
              <w:t>投标文件组成齐全完整，内容均按规定填写。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文件</w:t>
            </w:r>
            <w:r>
              <w:rPr>
                <w:color w:val="auto"/>
                <w:sz w:val="21"/>
                <w:highlight w:val="none"/>
              </w:rPr>
              <w:t>签字盖章</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投标保证金</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eastAsia="宋体"/>
                <w:color w:val="auto"/>
                <w:sz w:val="21"/>
                <w:highlight w:val="none"/>
                <w:lang w:val="en-US" w:eastAsia="zh-CN" w:bidi="ar-SA"/>
              </w:rPr>
            </w:pPr>
            <w:r>
              <w:rPr>
                <w:rFonts w:hint="eastAsia" w:eastAsia="宋体"/>
                <w:color w:val="auto"/>
                <w:sz w:val="21"/>
                <w:highlight w:val="none"/>
                <w:lang w:val="en-US" w:eastAsia="zh-CN" w:bidi="ar-SA"/>
              </w:rPr>
              <w:t>法定代表人身份证明</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由法定代表人电子签名并加盖单位电子公章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投标文件备选方案</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同一投标人同一标段未提交两个以上不同的投标文件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1"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投标报价</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未出现有关投标报价的内容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9"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计划工期</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color w:val="auto"/>
                <w:sz w:val="21"/>
                <w:highlight w:val="none"/>
              </w:rPr>
              <w:t>质量</w:t>
            </w:r>
            <w:r>
              <w:rPr>
                <w:rFonts w:hint="eastAsia"/>
                <w:color w:val="auto"/>
                <w:sz w:val="21"/>
                <w:highlight w:val="none"/>
              </w:rPr>
              <w:t>要求</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color w:val="auto"/>
                <w:sz w:val="21"/>
                <w:highlight w:val="none"/>
              </w:rPr>
            </w:pPr>
            <w:r>
              <w:rPr>
                <w:rFonts w:hint="eastAsia"/>
                <w:color w:val="auto"/>
                <w:sz w:val="21"/>
                <w:highlight w:val="none"/>
              </w:rPr>
              <w:t>安全目标</w:t>
            </w:r>
          </w:p>
        </w:tc>
        <w:tc>
          <w:tcPr>
            <w:tcW w:w="5075" w:type="dxa"/>
            <w:noWrap w:val="0"/>
            <w:vAlign w:val="center"/>
          </w:tcPr>
          <w:p>
            <w:pPr>
              <w:adjustRightInd w:val="0"/>
              <w:snapToGrid w:val="0"/>
              <w:spacing w:before="72" w:beforeLines="30" w:after="72" w:afterLines="30"/>
              <w:ind w:left="72" w:leftChars="30"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1"/>
                <w:highlight w:val="none"/>
              </w:rPr>
              <w:t>符合第二章“投标人须知”第 1.3.4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6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szCs w:val="21"/>
                <w:highlight w:val="none"/>
              </w:rPr>
            </w:pPr>
            <w:r>
              <w:rPr>
                <w:rFonts w:hint="eastAsia"/>
                <w:color w:val="auto"/>
                <w:sz w:val="21"/>
                <w:szCs w:val="21"/>
                <w:highlight w:val="none"/>
              </w:rPr>
              <w:t>权利义务符合招标文件规定</w:t>
            </w:r>
          </w:p>
        </w:tc>
        <w:tc>
          <w:tcPr>
            <w:tcW w:w="5075" w:type="dxa"/>
            <w:noWrap w:val="0"/>
            <w:vAlign w:val="center"/>
          </w:tcPr>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b.投标人未增加委托人的责任范围，或减少投标人义务；</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c.投标人未提出不同的支付办法；</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d.投标人对合同纠纷、事故处理办法未提出异议；</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e.投标人在投标活动中无欺诈行为；</w:t>
            </w:r>
          </w:p>
          <w:p>
            <w:pPr>
              <w:adjustRightInd w:val="0"/>
              <w:snapToGrid w:val="0"/>
              <w:spacing w:before="72" w:beforeLines="30" w:after="72" w:afterLines="30"/>
              <w:ind w:left="72" w:leftChars="30" w:right="72" w:rightChars="3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f.投标人未对合同条款有重要保留。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szCs w:val="21"/>
                <w:highlight w:val="none"/>
              </w:rPr>
            </w:pPr>
            <w:r>
              <w:rPr>
                <w:rFonts w:hint="eastAsia"/>
                <w:color w:val="auto"/>
                <w:sz w:val="21"/>
                <w:highlight w:val="none"/>
              </w:rPr>
              <w:t>投标人不得存在的情形</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投标人不得存在第二章“投标人须知”第1.4.3项或第1.4.4项规定的任何一种情形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其他</w:t>
            </w:r>
          </w:p>
        </w:tc>
        <w:tc>
          <w:tcPr>
            <w:tcW w:w="5075" w:type="dxa"/>
            <w:noWrap w:val="0"/>
            <w:vAlign w:val="center"/>
          </w:tcPr>
          <w:p>
            <w:pPr>
              <w:adjustRightInd w:val="0"/>
              <w:snapToGrid w:val="0"/>
              <w:spacing w:before="72" w:beforeLines="30" w:after="72" w:afterLines="30"/>
              <w:ind w:right="72" w:rightChars="30"/>
              <w:rPr>
                <w:rFonts w:hint="eastAsia" w:ascii="宋体" w:hAnsi="宋体" w:cs="宋体"/>
                <w:color w:val="auto"/>
                <w:sz w:val="21"/>
                <w:szCs w:val="22"/>
                <w:highlight w:val="none"/>
                <w:lang w:val="zh-CN" w:bidi="zh-CN"/>
              </w:rPr>
            </w:pPr>
            <w:r>
              <w:rPr>
                <w:rFonts w:hint="eastAsia" w:ascii="宋体" w:hAnsi="宋体" w:cs="宋体"/>
                <w:color w:val="auto"/>
                <w:sz w:val="21"/>
                <w:szCs w:val="22"/>
                <w:highlight w:val="none"/>
                <w:lang w:val="zh-CN" w:bidi="zh-CN"/>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具备竞争性</w:t>
            </w:r>
          </w:p>
        </w:tc>
        <w:tc>
          <w:tcPr>
            <w:tcW w:w="5075" w:type="dxa"/>
            <w:noWrap w:val="0"/>
            <w:vAlign w:val="center"/>
          </w:tcPr>
          <w:p>
            <w:pPr>
              <w:adjustRightInd w:val="0"/>
              <w:snapToGrid w:val="0"/>
              <w:spacing w:before="72" w:beforeLines="30" w:after="72" w:afterLines="30"/>
              <w:ind w:right="72" w:rightChars="30"/>
              <w:rPr>
                <w:rFonts w:hint="default" w:ascii="宋体" w:hAnsi="宋体" w:cs="宋体"/>
                <w:color w:val="auto"/>
                <w:sz w:val="21"/>
                <w:szCs w:val="22"/>
                <w:highlight w:val="none"/>
                <w:lang w:val="en-US" w:bidi="zh-CN"/>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1" w:hRule="atLeast"/>
          <w:jc w:val="center"/>
        </w:trPr>
        <w:tc>
          <w:tcPr>
            <w:tcW w:w="78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2.1.2</w:t>
            </w:r>
          </w:p>
        </w:tc>
        <w:tc>
          <w:tcPr>
            <w:tcW w:w="84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第</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一</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个</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信</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封</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商</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务</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及</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技</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术</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文</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件</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w:t>
            </w:r>
          </w:p>
        </w:tc>
        <w:tc>
          <w:tcPr>
            <w:tcW w:w="77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color w:val="auto"/>
                <w:sz w:val="21"/>
                <w:highlight w:val="none"/>
              </w:rPr>
              <w:t>资</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color w:val="auto"/>
                <w:sz w:val="21"/>
                <w:highlight w:val="none"/>
              </w:rPr>
              <w:t>格</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color w:val="auto"/>
                <w:sz w:val="21"/>
                <w:highlight w:val="none"/>
              </w:rPr>
              <w:t>评</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color w:val="auto"/>
                <w:sz w:val="21"/>
                <w:highlight w:val="none"/>
              </w:rPr>
              <w:t>审</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color w:val="auto"/>
                <w:sz w:val="21"/>
                <w:highlight w:val="none"/>
              </w:rPr>
              <w:t>标</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准</w:t>
            </w: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营业执照、资质证书和基本账户开户许可证</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需具备有效的营业执照（或统一社会信用代码证书）、组织机构代码证、资质证书、安全生产许可证和基本账户开户许可证；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资质等级</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 1.4.1 项“资质要求”的规定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财务状况</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1.4.1 项“财务要求”的规定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2"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类似项目业绩</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 1.4.1 项“业绩要求”的规定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7"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信誉</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 1.4.1 项“信誉要求”的规定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7"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szCs w:val="21"/>
                <w:highlight w:val="none"/>
              </w:rPr>
              <w:t>项目经理和项目总工</w:t>
            </w:r>
          </w:p>
        </w:tc>
        <w:tc>
          <w:tcPr>
            <w:tcW w:w="5075" w:type="dxa"/>
            <w:noWrap w:val="0"/>
            <w:vAlign w:val="center"/>
          </w:tcPr>
          <w:p>
            <w:pPr>
              <w:adjustRightInd w:val="0"/>
              <w:snapToGrid w:val="0"/>
              <w:spacing w:before="6" w:after="72" w:afterLines="30"/>
              <w:ind w:left="72" w:leftChars="30" w:right="72" w:rightChars="30"/>
              <w:rPr>
                <w:color w:val="auto"/>
                <w:sz w:val="21"/>
                <w:highlight w:val="none"/>
              </w:rPr>
            </w:pPr>
            <w:r>
              <w:rPr>
                <w:rFonts w:hint="eastAsia" w:ascii="宋体" w:hAnsi="宋体" w:cs="宋体"/>
                <w:color w:val="auto"/>
                <w:sz w:val="21"/>
                <w:szCs w:val="21"/>
                <w:highlight w:val="none"/>
              </w:rPr>
              <w:t>符合第二章“投标人须知”第 1.4.1 项“</w:t>
            </w:r>
            <w:r>
              <w:rPr>
                <w:rFonts w:hint="eastAsia"/>
                <w:color w:val="auto"/>
                <w:sz w:val="21"/>
                <w:szCs w:val="21"/>
                <w:highlight w:val="none"/>
              </w:rPr>
              <w:t>项目经理和项目</w:t>
            </w:r>
            <w:r>
              <w:rPr>
                <w:rFonts w:hint="eastAsia" w:ascii="宋体" w:hAnsi="宋体" w:cs="宋体"/>
                <w:color w:val="auto"/>
                <w:sz w:val="21"/>
                <w:szCs w:val="21"/>
                <w:highlight w:val="none"/>
              </w:rPr>
              <w:t>资格”的规定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其他要求</w:t>
            </w:r>
          </w:p>
        </w:tc>
        <w:tc>
          <w:tcPr>
            <w:tcW w:w="5075" w:type="dxa"/>
            <w:noWrap w:val="0"/>
            <w:vAlign w:val="center"/>
          </w:tcPr>
          <w:p>
            <w:pPr>
              <w:adjustRightInd w:val="0"/>
              <w:snapToGrid w:val="0"/>
              <w:spacing w:before="6" w:after="72" w:afterLines="30"/>
              <w:ind w:left="72" w:leftChars="30" w:right="72" w:rightChars="30"/>
              <w:rPr>
                <w:color w:val="auto"/>
                <w:sz w:val="21"/>
                <w:highlight w:val="none"/>
              </w:rPr>
            </w:pPr>
            <w:r>
              <w:rPr>
                <w:rFonts w:hint="eastAsia" w:ascii="宋体" w:hAnsi="宋体" w:cs="宋体"/>
                <w:color w:val="auto"/>
                <w:sz w:val="21"/>
                <w:szCs w:val="21"/>
                <w:highlight w:val="none"/>
              </w:rPr>
              <w:t>符合第二章“投标人须知”第 1.4.1 项“其他要求”的规定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1" w:hRule="atLeast"/>
          <w:jc w:val="center"/>
        </w:trPr>
        <w:tc>
          <w:tcPr>
            <w:tcW w:w="78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color w:val="auto"/>
                <w:sz w:val="21"/>
                <w:highlight w:val="none"/>
              </w:rPr>
              <w:t>2.1.</w:t>
            </w:r>
            <w:r>
              <w:rPr>
                <w:rFonts w:hint="eastAsia"/>
                <w:color w:val="auto"/>
                <w:sz w:val="21"/>
                <w:highlight w:val="none"/>
              </w:rPr>
              <w:t>1</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2.1.3</w:t>
            </w:r>
          </w:p>
        </w:tc>
        <w:tc>
          <w:tcPr>
            <w:tcW w:w="84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第</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二</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个</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信</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封</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报</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价</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文</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件</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w:t>
            </w:r>
          </w:p>
        </w:tc>
        <w:tc>
          <w:tcPr>
            <w:tcW w:w="77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r>
              <w:rPr>
                <w:rFonts w:hint="eastAsia"/>
                <w:color w:val="auto"/>
                <w:sz w:val="21"/>
                <w:szCs w:val="21"/>
                <w:highlight w:val="none"/>
              </w:rPr>
              <w:t>形式评审与响应性评审标准</w:t>
            </w: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szCs w:val="21"/>
                <w:highlight w:val="none"/>
              </w:rPr>
              <w:t>投标</w:t>
            </w:r>
            <w:r>
              <w:rPr>
                <w:rFonts w:hint="eastAsia"/>
                <w:color w:val="auto"/>
                <w:sz w:val="21"/>
                <w:highlight w:val="none"/>
              </w:rPr>
              <w:t>函填写</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按招标文件规定填报了项目名称、标段号、补遗书编号（如有）、投标报价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5"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color w:val="auto"/>
                <w:sz w:val="21"/>
                <w:highlight w:val="none"/>
              </w:rPr>
            </w:pPr>
          </w:p>
        </w:tc>
        <w:tc>
          <w:tcPr>
            <w:tcW w:w="77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已标价</w:t>
            </w:r>
            <w:r>
              <w:rPr>
                <w:rFonts w:hint="eastAsia"/>
                <w:color w:val="auto"/>
                <w:sz w:val="21"/>
                <w:szCs w:val="21"/>
                <w:highlight w:val="none"/>
              </w:rPr>
              <w:t>报价清单</w:t>
            </w:r>
            <w:r>
              <w:rPr>
                <w:rFonts w:hint="eastAsia"/>
                <w:color w:val="auto"/>
                <w:sz w:val="21"/>
                <w:highlight w:val="none"/>
              </w:rPr>
              <w:t>文字说明</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已标价报价清单文字说明与招标文件规定一致，未进行修改或删除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color w:val="auto"/>
                <w:sz w:val="21"/>
                <w:highlight w:val="none"/>
              </w:rPr>
              <w:t>文件</w:t>
            </w:r>
            <w:r>
              <w:rPr>
                <w:rFonts w:hint="eastAsia"/>
                <w:color w:val="auto"/>
                <w:sz w:val="21"/>
                <w:highlight w:val="none"/>
              </w:rPr>
              <w:t>填写及组成</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组成齐全，没有缺项或缺页，内容均按招标文件规定填写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文件签字盖章</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1"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color w:val="auto"/>
                <w:sz w:val="21"/>
                <w:highlight w:val="none"/>
              </w:rPr>
            </w:pPr>
            <w:r>
              <w:rPr>
                <w:rFonts w:hint="eastAsia"/>
                <w:color w:val="auto"/>
                <w:sz w:val="21"/>
                <w:highlight w:val="none"/>
              </w:rPr>
              <w:t>投标报价</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未超过招标人公布的最高投标限价，大写金额能够确定具体数值</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1"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投标报价唯一性</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同一投标人同一标段未提交两个以上不同的投标报价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2" w:hRule="atLeast"/>
          <w:jc w:val="center"/>
        </w:trPr>
        <w:tc>
          <w:tcPr>
            <w:tcW w:w="78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84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color w:val="auto"/>
                <w:sz w:val="21"/>
                <w:highlight w:val="none"/>
              </w:rPr>
            </w:pPr>
          </w:p>
        </w:tc>
        <w:tc>
          <w:tcPr>
            <w:tcW w:w="200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1"/>
                <w:highlight w:val="none"/>
              </w:rPr>
            </w:pPr>
            <w:r>
              <w:rPr>
                <w:rFonts w:hint="eastAsia"/>
                <w:color w:val="auto"/>
                <w:sz w:val="21"/>
                <w:highlight w:val="none"/>
              </w:rPr>
              <w:t>工程量固化清单</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default" w:eastAsia="宋体"/>
                <w:color w:val="auto"/>
                <w:sz w:val="21"/>
                <w:highlight w:val="none"/>
                <w:lang w:val="en-US" w:eastAsia="zh-CN"/>
              </w:rPr>
            </w:pPr>
            <w:r>
              <w:rPr>
                <w:rFonts w:hint="eastAsia"/>
                <w:color w:val="auto"/>
                <w:sz w:val="21"/>
                <w:highlight w:val="none"/>
                <w:lang w:val="en-US" w:eastAsia="zh-CN"/>
              </w:rPr>
              <w:t>开标一览表</w:t>
            </w:r>
          </w:p>
        </w:tc>
        <w:tc>
          <w:tcPr>
            <w:tcW w:w="5075" w:type="dxa"/>
            <w:noWrap w:val="0"/>
            <w:vAlign w:val="center"/>
          </w:tcPr>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开标一览表中所填报的投标报价与投标函中填报的投</w:t>
            </w:r>
          </w:p>
          <w:p>
            <w:pPr>
              <w:adjustRightInd w:val="0"/>
              <w:snapToGrid w:val="0"/>
              <w:spacing w:before="6" w:after="72" w:afterLines="30"/>
              <w:ind w:left="72" w:leftChars="30" w:right="72" w:rightChars="30"/>
              <w:rPr>
                <w:rFonts w:hint="eastAsia" w:ascii="宋体" w:hAnsi="宋体" w:cs="宋体"/>
                <w:color w:val="auto"/>
                <w:sz w:val="21"/>
                <w:szCs w:val="21"/>
                <w:highlight w:val="none"/>
              </w:rPr>
            </w:pPr>
            <w:r>
              <w:rPr>
                <w:rFonts w:hint="eastAsia" w:ascii="宋体" w:hAnsi="宋体" w:cs="宋体"/>
                <w:color w:val="auto"/>
                <w:sz w:val="21"/>
                <w:szCs w:val="21"/>
                <w:highlight w:val="none"/>
              </w:rPr>
              <w:t>标报价和已标价工程量清单中的投标报价必须一致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2" w:hRule="atLeast"/>
          <w:jc w:val="center"/>
        </w:trPr>
        <w:tc>
          <w:tcPr>
            <w:tcW w:w="785" w:type="dxa"/>
            <w:vMerge w:val="continue"/>
            <w:noWrap w:val="0"/>
            <w:vAlign w:val="center"/>
          </w:tcPr>
          <w:p>
            <w:pPr>
              <w:ind w:left="420"/>
              <w:rPr>
                <w:color w:val="auto"/>
                <w:sz w:val="21"/>
                <w:highlight w:val="none"/>
              </w:rPr>
            </w:pPr>
          </w:p>
        </w:tc>
        <w:tc>
          <w:tcPr>
            <w:tcW w:w="843" w:type="dxa"/>
            <w:vMerge w:val="continue"/>
            <w:noWrap w:val="0"/>
            <w:vAlign w:val="center"/>
          </w:tcPr>
          <w:p>
            <w:pPr>
              <w:ind w:left="420"/>
              <w:rPr>
                <w:color w:val="auto"/>
                <w:sz w:val="21"/>
                <w:highlight w:val="none"/>
              </w:rPr>
            </w:pPr>
          </w:p>
        </w:tc>
        <w:tc>
          <w:tcPr>
            <w:tcW w:w="776" w:type="dxa"/>
            <w:vMerge w:val="continue"/>
            <w:noWrap w:val="0"/>
            <w:vAlign w:val="center"/>
          </w:tcPr>
          <w:p>
            <w:pPr>
              <w:ind w:left="420"/>
              <w:rPr>
                <w:color w:val="auto"/>
                <w:sz w:val="21"/>
                <w:highlight w:val="none"/>
              </w:rPr>
            </w:pPr>
          </w:p>
        </w:tc>
        <w:tc>
          <w:tcPr>
            <w:tcW w:w="2000" w:type="dxa"/>
            <w:noWrap w:val="0"/>
            <w:vAlign w:val="center"/>
          </w:tcPr>
          <w:p>
            <w:pPr>
              <w:ind w:left="0" w:leftChars="0" w:firstLine="0" w:firstLineChars="0"/>
              <w:jc w:val="center"/>
              <w:rPr>
                <w:rFonts w:hint="eastAsia"/>
                <w:color w:val="auto"/>
                <w:sz w:val="21"/>
                <w:highlight w:val="none"/>
              </w:rPr>
            </w:pPr>
            <w:r>
              <w:rPr>
                <w:rFonts w:hint="eastAsia"/>
                <w:color w:val="auto"/>
                <w:sz w:val="21"/>
                <w:highlight w:val="none"/>
              </w:rPr>
              <w:t>具备竞争性</w:t>
            </w:r>
          </w:p>
        </w:tc>
        <w:tc>
          <w:tcPr>
            <w:tcW w:w="5075" w:type="dxa"/>
            <w:noWrap w:val="0"/>
            <w:vAlign w:val="center"/>
          </w:tcPr>
          <w:p>
            <w:pPr>
              <w:adjustRightInd w:val="0"/>
              <w:snapToGrid w:val="0"/>
              <w:spacing w:before="72" w:beforeLines="30" w:after="72" w:afterLines="30"/>
              <w:ind w:right="72" w:rightChars="30"/>
              <w:rPr>
                <w:rFonts w:hint="eastAsia" w:ascii="宋体" w:hAnsi="宋体" w:cs="宋体"/>
                <w:color w:val="auto"/>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0" w:hRule="atLeast"/>
          <w:jc w:val="center"/>
        </w:trPr>
        <w:tc>
          <w:tcPr>
            <w:tcW w:w="1628" w:type="dxa"/>
            <w:gridSpan w:val="2"/>
            <w:noWrap w:val="0"/>
            <w:vAlign w:val="center"/>
          </w:tcPr>
          <w:p>
            <w:pPr>
              <w:pStyle w:val="14"/>
              <w:adjustRightInd w:val="0"/>
              <w:snapToGrid w:val="0"/>
              <w:ind w:left="0" w:leftChars="0" w:firstLine="0" w:firstLineChars="0"/>
              <w:jc w:val="center"/>
              <w:rPr>
                <w:rFonts w:hint="eastAsia" w:ascii="宋体" w:hAnsi="宋体" w:cs="宋体"/>
                <w:b/>
                <w:color w:val="auto"/>
                <w:sz w:val="21"/>
                <w:highlight w:val="none"/>
              </w:rPr>
            </w:pPr>
            <w:r>
              <w:rPr>
                <w:rFonts w:hint="eastAsia" w:ascii="宋体" w:hAnsi="宋体" w:cs="宋体"/>
                <w:b/>
                <w:color w:val="auto"/>
                <w:sz w:val="21"/>
                <w:highlight w:val="none"/>
              </w:rPr>
              <w:t>条款号</w:t>
            </w:r>
          </w:p>
        </w:tc>
        <w:tc>
          <w:tcPr>
            <w:tcW w:w="2776" w:type="dxa"/>
            <w:gridSpan w:val="2"/>
            <w:noWrap w:val="0"/>
            <w:vAlign w:val="center"/>
          </w:tcPr>
          <w:p>
            <w:pPr>
              <w:pStyle w:val="14"/>
              <w:adjustRightInd w:val="0"/>
              <w:snapToGrid w:val="0"/>
              <w:ind w:left="0" w:leftChars="0" w:firstLine="0" w:firstLineChars="0"/>
              <w:jc w:val="center"/>
              <w:rPr>
                <w:rFonts w:hint="eastAsia" w:ascii="宋体" w:hAnsi="宋体" w:cs="宋体"/>
                <w:b/>
                <w:color w:val="auto"/>
                <w:sz w:val="21"/>
                <w:highlight w:val="none"/>
              </w:rPr>
            </w:pPr>
            <w:r>
              <w:rPr>
                <w:rFonts w:hint="eastAsia" w:ascii="宋体" w:hAnsi="宋体" w:cs="宋体"/>
                <w:b/>
                <w:color w:val="auto"/>
                <w:sz w:val="21"/>
                <w:highlight w:val="none"/>
              </w:rPr>
              <w:t>条款内容</w:t>
            </w:r>
          </w:p>
        </w:tc>
        <w:tc>
          <w:tcPr>
            <w:tcW w:w="5075" w:type="dxa"/>
            <w:noWrap w:val="0"/>
            <w:vAlign w:val="center"/>
          </w:tcPr>
          <w:p>
            <w:pPr>
              <w:pStyle w:val="14"/>
              <w:adjustRightInd w:val="0"/>
              <w:snapToGrid w:val="0"/>
              <w:spacing w:before="6" w:after="72" w:afterLines="30"/>
              <w:ind w:left="0" w:leftChars="0" w:right="72" w:rightChars="30" w:firstLine="0" w:firstLineChars="0"/>
              <w:jc w:val="center"/>
              <w:rPr>
                <w:rFonts w:hint="eastAsia" w:ascii="宋体" w:hAnsi="宋体" w:cs="宋体"/>
                <w:b/>
                <w:color w:val="auto"/>
                <w:sz w:val="21"/>
                <w:highlight w:val="none"/>
              </w:rPr>
            </w:pPr>
            <w:r>
              <w:rPr>
                <w:rFonts w:hint="eastAsia" w:ascii="宋体" w:hAnsi="宋体" w:cs="宋体"/>
                <w:b/>
                <w:color w:val="auto"/>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0" w:hRule="atLeast"/>
          <w:jc w:val="center"/>
        </w:trPr>
        <w:tc>
          <w:tcPr>
            <w:tcW w:w="1628" w:type="dxa"/>
            <w:gridSpan w:val="2"/>
            <w:noWrap w:val="0"/>
            <w:vAlign w:val="center"/>
          </w:tcPr>
          <w:p>
            <w:pPr>
              <w:pStyle w:val="14"/>
              <w:tabs>
                <w:tab w:val="center" w:pos="995"/>
              </w:tabs>
              <w:adjustRightInd w:val="0"/>
              <w:snapToGrid w:val="0"/>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2.2.1</w:t>
            </w:r>
          </w:p>
        </w:tc>
        <w:tc>
          <w:tcPr>
            <w:tcW w:w="2776" w:type="dxa"/>
            <w:gridSpan w:val="2"/>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cs="宋体"/>
                <w:color w:val="auto"/>
                <w:sz w:val="21"/>
                <w:highlight w:val="none"/>
              </w:rPr>
              <w:t>第一信封评分</w:t>
            </w:r>
            <w:r>
              <w:rPr>
                <w:rFonts w:hint="eastAsia" w:ascii="宋体" w:hAnsi="宋体" w:cs="宋体"/>
                <w:color w:val="auto"/>
                <w:sz w:val="21"/>
                <w:highlight w:val="none"/>
              </w:rPr>
              <w:t>分值构成（总分1</w:t>
            </w:r>
            <w:r>
              <w:rPr>
                <w:rFonts w:hint="eastAsia" w:cs="宋体"/>
                <w:color w:val="auto"/>
                <w:sz w:val="21"/>
                <w:highlight w:val="none"/>
              </w:rPr>
              <w:t>0</w:t>
            </w:r>
            <w:r>
              <w:rPr>
                <w:rFonts w:hint="eastAsia" w:ascii="宋体" w:hAnsi="宋体" w:cs="宋体"/>
                <w:color w:val="auto"/>
                <w:sz w:val="21"/>
                <w:highlight w:val="none"/>
              </w:rPr>
              <w:t>0分）</w:t>
            </w:r>
          </w:p>
        </w:tc>
        <w:tc>
          <w:tcPr>
            <w:tcW w:w="5075" w:type="dxa"/>
            <w:noWrap w:val="0"/>
            <w:vAlign w:val="center"/>
          </w:tcPr>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施工组织设计：40分</w:t>
            </w:r>
          </w:p>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en-US" w:bidi="zh-CN"/>
              </w:rPr>
              <w:t>主要人员</w:t>
            </w:r>
            <w:r>
              <w:rPr>
                <w:rFonts w:hint="eastAsia" w:ascii="宋体" w:hAnsi="宋体" w:cs="宋体"/>
                <w:color w:val="auto"/>
                <w:sz w:val="21"/>
                <w:szCs w:val="21"/>
                <w:highlight w:val="none"/>
                <w:lang w:val="zh-CN" w:bidi="zh-CN"/>
              </w:rPr>
              <w:t>： 2</w:t>
            </w:r>
            <w:r>
              <w:rPr>
                <w:rFonts w:hint="eastAsia" w:ascii="宋体" w:hAnsi="宋体" w:cs="宋体"/>
                <w:color w:val="auto"/>
                <w:sz w:val="21"/>
                <w:szCs w:val="21"/>
                <w:highlight w:val="none"/>
                <w:lang w:val="en-US" w:bidi="zh-CN"/>
              </w:rPr>
              <w:t>0</w:t>
            </w:r>
            <w:r>
              <w:rPr>
                <w:rFonts w:hint="eastAsia" w:ascii="宋体" w:hAnsi="宋体" w:cs="宋体"/>
                <w:color w:val="auto"/>
                <w:sz w:val="21"/>
                <w:szCs w:val="21"/>
                <w:highlight w:val="none"/>
                <w:lang w:val="zh-CN" w:bidi="zh-CN"/>
              </w:rPr>
              <w:t>分</w:t>
            </w:r>
          </w:p>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履约信誉：1</w:t>
            </w:r>
            <w:r>
              <w:rPr>
                <w:rFonts w:hint="eastAsia" w:ascii="宋体" w:hAnsi="宋体" w:cs="宋体"/>
                <w:color w:val="auto"/>
                <w:sz w:val="21"/>
                <w:szCs w:val="21"/>
                <w:highlight w:val="none"/>
                <w:lang w:val="en-US" w:bidi="zh-CN"/>
              </w:rPr>
              <w:t>0</w:t>
            </w:r>
            <w:r>
              <w:rPr>
                <w:rFonts w:hint="eastAsia" w:ascii="宋体" w:hAnsi="宋体" w:cs="宋体"/>
                <w:color w:val="auto"/>
                <w:sz w:val="21"/>
                <w:szCs w:val="21"/>
                <w:highlight w:val="none"/>
                <w:lang w:val="zh-CN" w:bidi="zh-CN"/>
              </w:rPr>
              <w:t>分</w:t>
            </w:r>
          </w:p>
          <w:p>
            <w:pPr>
              <w:pStyle w:val="14"/>
              <w:adjustRightInd w:val="0"/>
              <w:snapToGrid w:val="0"/>
              <w:spacing w:before="6" w:after="72" w:afterLines="30"/>
              <w:ind w:left="72" w:leftChars="30" w:right="170"/>
              <w:jc w:val="both"/>
              <w:rPr>
                <w:rFonts w:hint="eastAsia" w:ascii="宋体" w:hAnsi="宋体" w:cs="宋体"/>
                <w:color w:val="auto"/>
                <w:sz w:val="21"/>
                <w:highlight w:val="none"/>
              </w:rPr>
            </w:pPr>
            <w:r>
              <w:rPr>
                <w:rFonts w:hint="eastAsia" w:ascii="宋体" w:hAnsi="宋体" w:cs="宋体"/>
                <w:color w:val="auto"/>
                <w:sz w:val="21"/>
                <w:szCs w:val="21"/>
                <w:highlight w:val="none"/>
                <w:lang w:val="zh-CN" w:bidi="zh-CN"/>
              </w:rPr>
              <w:t>业绩：</w:t>
            </w:r>
            <w:r>
              <w:rPr>
                <w:rFonts w:hint="eastAsia" w:ascii="宋体" w:hAnsi="宋体" w:cs="宋体"/>
                <w:color w:val="auto"/>
                <w:sz w:val="21"/>
                <w:szCs w:val="21"/>
                <w:highlight w:val="none"/>
                <w:lang w:val="en-US" w:bidi="zh-CN"/>
              </w:rPr>
              <w:t>30</w:t>
            </w:r>
            <w:r>
              <w:rPr>
                <w:rFonts w:hint="eastAsia" w:ascii="宋体" w:hAnsi="宋体" w:cs="宋体"/>
                <w:color w:val="auto"/>
                <w:sz w:val="21"/>
                <w:szCs w:val="21"/>
                <w:highlight w:val="none"/>
                <w:lang w:val="zh-CN"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8" w:hRule="atLeast"/>
          <w:jc w:val="center"/>
        </w:trPr>
        <w:tc>
          <w:tcPr>
            <w:tcW w:w="1628" w:type="dxa"/>
            <w:gridSpan w:val="2"/>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2.2.3</w:t>
            </w:r>
          </w:p>
        </w:tc>
        <w:tc>
          <w:tcPr>
            <w:tcW w:w="2776" w:type="dxa"/>
            <w:gridSpan w:val="2"/>
            <w:noWrap w:val="0"/>
            <w:vAlign w:val="center"/>
          </w:tcPr>
          <w:p>
            <w:pPr>
              <w:pStyle w:val="14"/>
              <w:adjustRightInd w:val="0"/>
              <w:ind w:left="0" w:leftChars="0" w:firstLine="0" w:firstLineChars="0"/>
              <w:jc w:val="center"/>
              <w:rPr>
                <w:rFonts w:ascii="宋体" w:hAnsi="宋体" w:cs="宋体"/>
                <w:color w:val="auto"/>
                <w:sz w:val="21"/>
                <w:highlight w:val="none"/>
              </w:rPr>
            </w:pPr>
            <w:r>
              <w:rPr>
                <w:rFonts w:hint="eastAsia" w:cs="宋体"/>
                <w:color w:val="auto"/>
                <w:sz w:val="21"/>
                <w:highlight w:val="none"/>
              </w:rPr>
              <w:t>第二信封详细评审标准</w:t>
            </w:r>
          </w:p>
        </w:tc>
        <w:tc>
          <w:tcPr>
            <w:tcW w:w="5075" w:type="dxa"/>
            <w:noWrap w:val="0"/>
            <w:vAlign w:val="center"/>
          </w:tcPr>
          <w:p>
            <w:pPr>
              <w:pStyle w:val="14"/>
              <w:adjustRightInd w:val="0"/>
              <w:snapToGrid w:val="0"/>
              <w:spacing w:before="6" w:after="72" w:afterLines="30"/>
              <w:ind w:left="72" w:leftChars="30" w:right="170"/>
              <w:jc w:val="both"/>
              <w:rPr>
                <w:rFonts w:ascii="宋体" w:hAnsi="宋体" w:cs="宋体"/>
                <w:color w:val="auto"/>
                <w:sz w:val="21"/>
                <w:szCs w:val="21"/>
                <w:highlight w:val="none"/>
                <w:lang w:val="zh-CN" w:bidi="zh-CN"/>
              </w:rPr>
            </w:pPr>
            <w:r>
              <w:rPr>
                <w:rFonts w:ascii="宋体" w:hAnsi="宋体" w:cs="宋体"/>
                <w:color w:val="auto"/>
                <w:sz w:val="21"/>
                <w:szCs w:val="21"/>
                <w:highlight w:val="none"/>
                <w:lang w:val="zh-CN" w:bidi="zh-CN"/>
              </w:rPr>
              <w:t>评标价计算公式</w:t>
            </w:r>
            <w:r>
              <w:rPr>
                <w:rFonts w:hint="eastAsia" w:ascii="宋体" w:hAnsi="宋体" w:cs="宋体"/>
                <w:color w:val="auto"/>
                <w:sz w:val="21"/>
                <w:szCs w:val="21"/>
                <w:highlight w:val="none"/>
                <w:lang w:val="zh-CN" w:bidi="zh-CN"/>
              </w:rPr>
              <w:t>：</w:t>
            </w:r>
          </w:p>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bidi="zh-CN"/>
              </w:rPr>
              <w:t>评标价＝投标函文字报价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3" w:hRule="atLeast"/>
          <w:jc w:val="center"/>
        </w:trPr>
        <w:tc>
          <w:tcPr>
            <w:tcW w:w="1628" w:type="dxa"/>
            <w:gridSpan w:val="2"/>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cs="宋体"/>
                <w:color w:val="auto"/>
                <w:sz w:val="21"/>
                <w:highlight w:val="none"/>
              </w:rPr>
              <w:t>3</w:t>
            </w:r>
            <w:r>
              <w:rPr>
                <w:rFonts w:hint="eastAsia" w:ascii="宋体" w:hAnsi="宋体" w:cs="宋体"/>
                <w:color w:val="auto"/>
                <w:sz w:val="21"/>
                <w:highlight w:val="none"/>
              </w:rPr>
              <w:t>.2.4</w:t>
            </w:r>
          </w:p>
        </w:tc>
        <w:tc>
          <w:tcPr>
            <w:tcW w:w="2776" w:type="dxa"/>
            <w:gridSpan w:val="2"/>
            <w:noWrap w:val="0"/>
            <w:vAlign w:val="center"/>
          </w:tcPr>
          <w:p>
            <w:pPr>
              <w:pStyle w:val="14"/>
              <w:adjustRightInd w:val="0"/>
              <w:snapToGrid w:val="0"/>
              <w:ind w:left="0" w:leftChars="0" w:firstLine="0" w:firstLineChars="0"/>
              <w:jc w:val="center"/>
              <w:rPr>
                <w:rFonts w:hint="eastAsia" w:ascii="宋体" w:hAnsi="宋体" w:cs="宋体"/>
                <w:color w:val="auto"/>
                <w:sz w:val="21"/>
                <w:highlight w:val="none"/>
              </w:rPr>
            </w:pPr>
            <w:r>
              <w:rPr>
                <w:rFonts w:hint="eastAsia" w:ascii="宋体" w:hAnsi="宋体" w:cs="宋体"/>
                <w:color w:val="auto"/>
                <w:sz w:val="21"/>
                <w:highlight w:val="none"/>
              </w:rPr>
              <w:t>通过第一个信封详细评审的投标人数量</w:t>
            </w:r>
          </w:p>
        </w:tc>
        <w:tc>
          <w:tcPr>
            <w:tcW w:w="5075" w:type="dxa"/>
            <w:noWrap w:val="0"/>
            <w:vAlign w:val="center"/>
          </w:tcPr>
          <w:p>
            <w:pPr>
              <w:pStyle w:val="14"/>
              <w:adjustRightInd w:val="0"/>
              <w:snapToGrid w:val="0"/>
              <w:spacing w:before="6" w:after="72" w:afterLines="30"/>
              <w:ind w:left="72" w:leftChars="30" w:right="170"/>
              <w:jc w:val="both"/>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lang w:val="zh-CN" w:eastAsia="zh-CN" w:bidi="zh-CN"/>
              </w:rPr>
              <w:t>按照投标人的商务及技术文件得分由高到低排序，选择前 3 名通过详细评审（若该数量最后一名存在投标人的得分排名相同时，相同排名的投标人均通过详细评审）</w:t>
            </w:r>
          </w:p>
        </w:tc>
      </w:tr>
    </w:tbl>
    <w:p>
      <w:pPr>
        <w:rPr>
          <w:rFonts w:hint="default"/>
          <w:color w:val="auto"/>
          <w:highlight w:val="none"/>
        </w:rPr>
      </w:pPr>
      <w:r>
        <w:rPr>
          <w:rFonts w:hint="default"/>
          <w:color w:val="auto"/>
          <w:highlight w:val="none"/>
        </w:rPr>
        <w:br w:type="page"/>
      </w:r>
    </w:p>
    <w:tbl>
      <w:tblPr>
        <w:tblStyle w:val="11"/>
        <w:tblpPr w:leftFromText="180" w:rightFromText="180" w:vertAnchor="text" w:horzAnchor="page" w:tblpX="1260" w:tblpY="230"/>
        <w:tblOverlap w:val="never"/>
        <w:tblW w:w="9262" w:type="dxa"/>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774"/>
        <w:gridCol w:w="495"/>
        <w:gridCol w:w="570"/>
        <w:gridCol w:w="915"/>
        <w:gridCol w:w="2070"/>
        <w:gridCol w:w="825"/>
        <w:gridCol w:w="36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56" w:hRule="atLeast"/>
        </w:trPr>
        <w:tc>
          <w:tcPr>
            <w:tcW w:w="9262" w:type="dxa"/>
            <w:gridSpan w:val="7"/>
            <w:noWrap w:val="0"/>
            <w:vAlign w:val="center"/>
          </w:tcPr>
          <w:p>
            <w:pPr>
              <w:spacing w:line="36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评分因素与权重分值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694" w:hRule="atLeast"/>
        </w:trPr>
        <w:tc>
          <w:tcPr>
            <w:tcW w:w="774" w:type="dxa"/>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条款号</w:t>
            </w:r>
          </w:p>
        </w:tc>
        <w:tc>
          <w:tcPr>
            <w:tcW w:w="1065" w:type="dxa"/>
            <w:gridSpan w:val="2"/>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b/>
                <w:bCs/>
                <w:color w:val="auto"/>
                <w:spacing w:val="-10"/>
                <w:sz w:val="21"/>
                <w:szCs w:val="21"/>
                <w:highlight w:val="none"/>
              </w:rPr>
            </w:pPr>
            <w:r>
              <w:rPr>
                <w:rFonts w:hint="eastAsia" w:ascii="宋体" w:hAnsi="宋体" w:cs="宋体"/>
                <w:b/>
                <w:bCs/>
                <w:color w:val="auto"/>
                <w:spacing w:val="-10"/>
                <w:sz w:val="21"/>
                <w:szCs w:val="21"/>
                <w:highlight w:val="none"/>
              </w:rPr>
              <w:t>评分因素</w:t>
            </w:r>
          </w:p>
        </w:tc>
        <w:tc>
          <w:tcPr>
            <w:tcW w:w="915" w:type="dxa"/>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评分因素     权重分值</w:t>
            </w:r>
          </w:p>
        </w:tc>
        <w:tc>
          <w:tcPr>
            <w:tcW w:w="2070"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各评分因素细分项</w:t>
            </w: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3613" w:type="dxa"/>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900" w:hRule="atLeast"/>
        </w:trPr>
        <w:tc>
          <w:tcPr>
            <w:tcW w:w="774" w:type="dxa"/>
            <w:vMerge w:val="restart"/>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2.2.2（1）</w:t>
            </w:r>
          </w:p>
        </w:tc>
        <w:tc>
          <w:tcPr>
            <w:tcW w:w="1065"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施工组织设计</w:t>
            </w:r>
          </w:p>
        </w:tc>
        <w:tc>
          <w:tcPr>
            <w:tcW w:w="91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40分</w:t>
            </w:r>
          </w:p>
        </w:tc>
        <w:tc>
          <w:tcPr>
            <w:tcW w:w="20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cs="宋体"/>
                <w:color w:val="auto"/>
                <w:sz w:val="21"/>
                <w:szCs w:val="21"/>
                <w:highlight w:val="none"/>
                <w:u w:val="single"/>
                <w:lang w:val="en" w:eastAsia="zh-CN" w:bidi="ar-SA"/>
              </w:rPr>
            </w:pPr>
            <w:r>
              <w:rPr>
                <w:rFonts w:hint="eastAsia" w:ascii="宋体" w:hAnsi="宋体" w:eastAsia="宋体" w:cs="宋体"/>
                <w:snapToGrid w:val="0"/>
                <w:color w:val="auto"/>
                <w:spacing w:val="-2"/>
                <w:sz w:val="21"/>
                <w:szCs w:val="21"/>
                <w:highlight w:val="none"/>
                <w:lang w:val="en-US" w:eastAsia="zh-CN" w:bidi="ar-SA"/>
              </w:rPr>
              <w:t>总体计划安排</w:t>
            </w:r>
          </w:p>
        </w:tc>
        <w:tc>
          <w:tcPr>
            <w:tcW w:w="825" w:type="dxa"/>
            <w:noWrap w:val="0"/>
            <w:vAlign w:val="center"/>
          </w:tcPr>
          <w:p>
            <w:pPr>
              <w:pStyle w:val="14"/>
              <w:keepNext w:val="0"/>
              <w:keepLines w:val="0"/>
              <w:pageBreakBefore w:val="0"/>
              <w:widowControl w:val="0"/>
              <w:tabs>
                <w:tab w:val="left" w:pos="452"/>
              </w:tabs>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8分</w:t>
            </w:r>
          </w:p>
        </w:tc>
        <w:tc>
          <w:tcPr>
            <w:tcW w:w="3613" w:type="dxa"/>
            <w:noWrap w:val="0"/>
            <w:vAlign w:val="center"/>
          </w:tcPr>
          <w:p>
            <w:pPr>
              <w:pStyle w:val="14"/>
              <w:adjustRightInd w:val="0"/>
              <w:snapToGrid w:val="0"/>
              <w:spacing w:before="72" w:beforeLines="30" w:after="72" w:afterLines="30"/>
              <w:ind w:left="72" w:leftChars="30" w:right="72" w:rightChars="30"/>
              <w:jc w:val="both"/>
              <w:rPr>
                <w:rFonts w:hint="eastAsia" w:cs="宋体"/>
                <w:color w:val="auto"/>
                <w:sz w:val="21"/>
                <w:szCs w:val="21"/>
                <w:highlight w:val="none"/>
              </w:rPr>
            </w:pPr>
            <w:r>
              <w:rPr>
                <w:rFonts w:hint="eastAsia" w:ascii="宋体" w:hAnsi="宋体" w:eastAsia="宋体" w:cs="宋体"/>
                <w:snapToGrid w:val="0"/>
                <w:color w:val="auto"/>
                <w:spacing w:val="-2"/>
                <w:sz w:val="21"/>
                <w:szCs w:val="21"/>
                <w:highlight w:val="none"/>
                <w:lang w:val="en-US" w:eastAsia="zh-CN" w:bidi="ar-SA"/>
              </w:rPr>
              <w:t>总体计划安排</w:t>
            </w:r>
            <w:r>
              <w:rPr>
                <w:rFonts w:hint="eastAsia" w:cs="宋体"/>
                <w:color w:val="auto"/>
                <w:sz w:val="21"/>
                <w:szCs w:val="21"/>
                <w:highlight w:val="none"/>
                <w:lang w:val="en-US" w:eastAsia="zh-CN"/>
              </w:rPr>
              <w:t>合理得 7～8分，较合理得5.9～6.9分，一般得4.8～5.8分。</w:t>
            </w:r>
          </w:p>
        </w:tc>
      </w:tr>
      <w:bookmarkEnd w:id="52"/>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81"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1065"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91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cs="宋体"/>
                <w:color w:val="auto"/>
                <w:sz w:val="21"/>
                <w:szCs w:val="21"/>
                <w:highlight w:val="none"/>
                <w:u w:val="single"/>
                <w:lang w:val="en-US" w:eastAsia="zh-CN"/>
              </w:rPr>
            </w:pPr>
          </w:p>
        </w:tc>
        <w:tc>
          <w:tcPr>
            <w:tcW w:w="20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cs="宋体"/>
                <w:color w:val="auto"/>
                <w:sz w:val="21"/>
                <w:szCs w:val="21"/>
                <w:highlight w:val="none"/>
                <w:u w:val="single"/>
                <w:lang w:val="en" w:eastAsia="zh-CN" w:bidi="ar-SA"/>
              </w:rPr>
            </w:pPr>
            <w:r>
              <w:rPr>
                <w:rFonts w:hint="eastAsia" w:ascii="宋体" w:hAnsi="宋体" w:eastAsia="宋体" w:cs="宋体"/>
                <w:snapToGrid w:val="0"/>
                <w:color w:val="auto"/>
                <w:spacing w:val="-2"/>
                <w:sz w:val="21"/>
                <w:szCs w:val="21"/>
                <w:highlight w:val="none"/>
                <w:lang w:val="en-US" w:eastAsia="zh-CN" w:bidi="ar-SA"/>
              </w:rPr>
              <w:t>技术方案</w:t>
            </w:r>
          </w:p>
        </w:tc>
        <w:tc>
          <w:tcPr>
            <w:tcW w:w="825" w:type="dxa"/>
            <w:noWrap w:val="0"/>
            <w:vAlign w:val="center"/>
          </w:tcPr>
          <w:p>
            <w:pPr>
              <w:pStyle w:val="14"/>
              <w:keepNext w:val="0"/>
              <w:keepLines w:val="0"/>
              <w:pageBreakBefore w:val="0"/>
              <w:widowControl w:val="0"/>
              <w:tabs>
                <w:tab w:val="left" w:pos="452"/>
              </w:tabs>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8分</w:t>
            </w:r>
          </w:p>
        </w:tc>
        <w:tc>
          <w:tcPr>
            <w:tcW w:w="3613" w:type="dxa"/>
            <w:noWrap w:val="0"/>
            <w:vAlign w:val="center"/>
          </w:tcPr>
          <w:p>
            <w:pPr>
              <w:pStyle w:val="14"/>
              <w:adjustRightInd w:val="0"/>
              <w:snapToGrid w:val="0"/>
              <w:spacing w:before="72" w:beforeLines="30" w:after="72" w:afterLines="30"/>
              <w:ind w:left="72" w:leftChars="30" w:right="72" w:rightChars="30"/>
              <w:jc w:val="both"/>
              <w:rPr>
                <w:rFonts w:hint="eastAsia" w:cs="宋体"/>
                <w:color w:val="auto"/>
                <w:sz w:val="21"/>
                <w:szCs w:val="21"/>
                <w:highlight w:val="none"/>
              </w:rPr>
            </w:pPr>
            <w:r>
              <w:rPr>
                <w:rFonts w:hint="eastAsia" w:ascii="宋体" w:hAnsi="宋体" w:eastAsia="宋体" w:cs="宋体"/>
                <w:snapToGrid w:val="0"/>
                <w:color w:val="auto"/>
                <w:spacing w:val="-2"/>
                <w:sz w:val="21"/>
                <w:szCs w:val="21"/>
                <w:highlight w:val="none"/>
                <w:lang w:val="en-US" w:eastAsia="zh-CN" w:bidi="ar-SA"/>
              </w:rPr>
              <w:t>技术方案</w:t>
            </w:r>
            <w:r>
              <w:rPr>
                <w:rFonts w:hint="eastAsia" w:cs="宋体"/>
                <w:color w:val="auto"/>
                <w:sz w:val="21"/>
                <w:szCs w:val="21"/>
                <w:highlight w:val="none"/>
                <w:lang w:val="en-US" w:eastAsia="zh-CN"/>
              </w:rPr>
              <w:t>合理得 7～8分，较合理得5.9～6.9分，一般得4.8～5.8分。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21"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1065"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91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cs="宋体"/>
                <w:color w:val="auto"/>
                <w:sz w:val="21"/>
                <w:szCs w:val="21"/>
                <w:highlight w:val="none"/>
                <w:u w:val="single"/>
                <w:lang w:val="en-US" w:eastAsia="zh-CN"/>
              </w:rPr>
            </w:pPr>
          </w:p>
        </w:tc>
        <w:tc>
          <w:tcPr>
            <w:tcW w:w="20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cs="宋体"/>
                <w:color w:val="auto"/>
                <w:sz w:val="21"/>
                <w:szCs w:val="21"/>
                <w:highlight w:val="none"/>
                <w:u w:val="single"/>
                <w:lang w:val="en" w:eastAsia="zh-CN" w:bidi="ar-SA"/>
              </w:rPr>
            </w:pPr>
            <w:r>
              <w:rPr>
                <w:rFonts w:hint="eastAsia" w:ascii="宋体" w:hAnsi="宋体" w:eastAsia="宋体" w:cs="宋体"/>
                <w:snapToGrid w:val="0"/>
                <w:color w:val="auto"/>
                <w:spacing w:val="-2"/>
                <w:sz w:val="21"/>
                <w:szCs w:val="21"/>
                <w:highlight w:val="none"/>
                <w:lang w:val="en-US" w:eastAsia="zh-CN" w:bidi="ar-SA"/>
              </w:rPr>
              <w:t>人员培训方案</w:t>
            </w:r>
          </w:p>
        </w:tc>
        <w:tc>
          <w:tcPr>
            <w:tcW w:w="825" w:type="dxa"/>
            <w:noWrap w:val="0"/>
            <w:vAlign w:val="center"/>
          </w:tcPr>
          <w:p>
            <w:pPr>
              <w:pStyle w:val="14"/>
              <w:keepNext w:val="0"/>
              <w:keepLines w:val="0"/>
              <w:pageBreakBefore w:val="0"/>
              <w:widowControl w:val="0"/>
              <w:tabs>
                <w:tab w:val="left" w:pos="452"/>
              </w:tabs>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8分</w:t>
            </w:r>
          </w:p>
        </w:tc>
        <w:tc>
          <w:tcPr>
            <w:tcW w:w="3613" w:type="dxa"/>
            <w:noWrap w:val="0"/>
            <w:vAlign w:val="center"/>
          </w:tcPr>
          <w:p>
            <w:pPr>
              <w:pStyle w:val="14"/>
              <w:adjustRightInd w:val="0"/>
              <w:snapToGrid w:val="0"/>
              <w:spacing w:before="72" w:beforeLines="30" w:after="72" w:afterLines="30"/>
              <w:ind w:left="72" w:leftChars="30" w:right="72" w:rightChars="30"/>
              <w:jc w:val="both"/>
              <w:rPr>
                <w:rFonts w:hint="eastAsia" w:cs="宋体"/>
                <w:color w:val="auto"/>
                <w:sz w:val="21"/>
                <w:szCs w:val="21"/>
                <w:highlight w:val="none"/>
              </w:rPr>
            </w:pPr>
            <w:r>
              <w:rPr>
                <w:rFonts w:hint="eastAsia" w:ascii="宋体" w:hAnsi="宋体" w:eastAsia="宋体" w:cs="宋体"/>
                <w:snapToGrid w:val="0"/>
                <w:color w:val="auto"/>
                <w:spacing w:val="-2"/>
                <w:sz w:val="21"/>
                <w:szCs w:val="21"/>
                <w:highlight w:val="none"/>
                <w:lang w:val="en-US" w:eastAsia="zh-CN" w:bidi="ar-SA"/>
              </w:rPr>
              <w:t>人员培训方案</w:t>
            </w:r>
            <w:r>
              <w:rPr>
                <w:rFonts w:hint="eastAsia" w:cs="宋体"/>
                <w:color w:val="auto"/>
                <w:sz w:val="21"/>
                <w:szCs w:val="21"/>
                <w:highlight w:val="none"/>
                <w:lang w:val="en-US" w:eastAsia="zh-CN"/>
              </w:rPr>
              <w:t>合理得 7～8分，较合理得5.9～6.9分，一般得4.8～5.8分。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81"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1065"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91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cs="宋体"/>
                <w:color w:val="auto"/>
                <w:sz w:val="21"/>
                <w:szCs w:val="21"/>
                <w:highlight w:val="none"/>
                <w:u w:val="single"/>
                <w:lang w:val="en-US" w:eastAsia="zh-CN"/>
              </w:rPr>
            </w:pPr>
          </w:p>
        </w:tc>
        <w:tc>
          <w:tcPr>
            <w:tcW w:w="20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cs="宋体"/>
                <w:color w:val="auto"/>
                <w:sz w:val="21"/>
                <w:szCs w:val="21"/>
                <w:highlight w:val="none"/>
                <w:u w:val="single"/>
                <w:lang w:val="en" w:eastAsia="zh-CN" w:bidi="ar-SA"/>
              </w:rPr>
            </w:pPr>
            <w:r>
              <w:rPr>
                <w:rFonts w:hint="eastAsia" w:ascii="宋体" w:hAnsi="宋体" w:eastAsia="宋体" w:cs="宋体"/>
                <w:snapToGrid w:val="0"/>
                <w:color w:val="auto"/>
                <w:spacing w:val="-2"/>
                <w:sz w:val="21"/>
                <w:szCs w:val="21"/>
                <w:highlight w:val="none"/>
                <w:lang w:val="en-US" w:eastAsia="zh-CN" w:bidi="ar-SA"/>
              </w:rPr>
              <w:t>测试及试运行方案</w:t>
            </w:r>
          </w:p>
        </w:tc>
        <w:tc>
          <w:tcPr>
            <w:tcW w:w="825" w:type="dxa"/>
            <w:noWrap w:val="0"/>
            <w:vAlign w:val="center"/>
          </w:tcPr>
          <w:p>
            <w:pPr>
              <w:pStyle w:val="14"/>
              <w:keepNext w:val="0"/>
              <w:keepLines w:val="0"/>
              <w:pageBreakBefore w:val="0"/>
              <w:widowControl w:val="0"/>
              <w:tabs>
                <w:tab w:val="left" w:pos="452"/>
              </w:tabs>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8分</w:t>
            </w:r>
          </w:p>
        </w:tc>
        <w:tc>
          <w:tcPr>
            <w:tcW w:w="3613" w:type="dxa"/>
            <w:noWrap w:val="0"/>
            <w:vAlign w:val="center"/>
          </w:tcPr>
          <w:p>
            <w:pPr>
              <w:pStyle w:val="14"/>
              <w:adjustRightInd w:val="0"/>
              <w:snapToGrid w:val="0"/>
              <w:spacing w:before="72" w:beforeLines="30" w:after="72" w:afterLines="30"/>
              <w:ind w:left="72" w:leftChars="30" w:right="72" w:rightChars="30"/>
              <w:jc w:val="both"/>
              <w:rPr>
                <w:rFonts w:hint="eastAsia" w:cs="宋体"/>
                <w:color w:val="auto"/>
                <w:sz w:val="21"/>
                <w:szCs w:val="21"/>
                <w:highlight w:val="none"/>
              </w:rPr>
            </w:pPr>
            <w:r>
              <w:rPr>
                <w:rFonts w:hint="eastAsia" w:ascii="宋体" w:hAnsi="宋体" w:eastAsia="宋体" w:cs="宋体"/>
                <w:snapToGrid w:val="0"/>
                <w:color w:val="auto"/>
                <w:spacing w:val="-2"/>
                <w:sz w:val="21"/>
                <w:szCs w:val="21"/>
                <w:highlight w:val="none"/>
                <w:lang w:val="en-US" w:eastAsia="zh-CN" w:bidi="ar-SA"/>
              </w:rPr>
              <w:t>测试及试运行方案</w:t>
            </w:r>
            <w:r>
              <w:rPr>
                <w:rFonts w:hint="eastAsia" w:cs="宋体"/>
                <w:color w:val="auto"/>
                <w:sz w:val="21"/>
                <w:szCs w:val="21"/>
                <w:highlight w:val="none"/>
                <w:lang w:val="en-US" w:eastAsia="zh-CN"/>
              </w:rPr>
              <w:t>合理得 7～8分，较合理得5.9～6.9分，一般得4.8～5.8分。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66"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1065"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91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cs="宋体"/>
                <w:color w:val="auto"/>
                <w:sz w:val="21"/>
                <w:szCs w:val="21"/>
                <w:highlight w:val="none"/>
                <w:u w:val="single"/>
                <w:lang w:val="en-US" w:eastAsia="zh-CN"/>
              </w:rPr>
            </w:pPr>
          </w:p>
        </w:tc>
        <w:tc>
          <w:tcPr>
            <w:tcW w:w="20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cs="宋体"/>
                <w:color w:val="auto"/>
                <w:sz w:val="21"/>
                <w:szCs w:val="21"/>
                <w:highlight w:val="none"/>
                <w:u w:val="single"/>
                <w:lang w:val="en" w:eastAsia="zh-CN" w:bidi="ar-SA"/>
              </w:rPr>
            </w:pPr>
            <w:r>
              <w:rPr>
                <w:rFonts w:hint="eastAsia" w:ascii="宋体" w:hAnsi="宋体" w:eastAsia="宋体" w:cs="宋体"/>
                <w:snapToGrid w:val="0"/>
                <w:color w:val="auto"/>
                <w:spacing w:val="-2"/>
                <w:sz w:val="21"/>
                <w:szCs w:val="21"/>
                <w:highlight w:val="none"/>
                <w:lang w:val="en-US" w:eastAsia="zh-CN" w:bidi="ar-SA"/>
              </w:rPr>
              <w:t>售后服务</w:t>
            </w:r>
          </w:p>
        </w:tc>
        <w:tc>
          <w:tcPr>
            <w:tcW w:w="825" w:type="dxa"/>
            <w:noWrap w:val="0"/>
            <w:vAlign w:val="center"/>
          </w:tcPr>
          <w:p>
            <w:pPr>
              <w:pStyle w:val="14"/>
              <w:keepNext w:val="0"/>
              <w:keepLines w:val="0"/>
              <w:pageBreakBefore w:val="0"/>
              <w:widowControl w:val="0"/>
              <w:tabs>
                <w:tab w:val="left" w:pos="452"/>
              </w:tabs>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8分</w:t>
            </w:r>
          </w:p>
        </w:tc>
        <w:tc>
          <w:tcPr>
            <w:tcW w:w="3613" w:type="dxa"/>
            <w:noWrap w:val="0"/>
            <w:vAlign w:val="center"/>
          </w:tcPr>
          <w:p>
            <w:pPr>
              <w:pStyle w:val="14"/>
              <w:adjustRightInd w:val="0"/>
              <w:snapToGrid w:val="0"/>
              <w:spacing w:before="72" w:beforeLines="30" w:after="72" w:afterLines="30"/>
              <w:ind w:left="72" w:leftChars="30" w:right="72" w:rightChars="30"/>
              <w:jc w:val="both"/>
              <w:rPr>
                <w:rFonts w:hint="eastAsia" w:cs="宋体"/>
                <w:color w:val="auto"/>
                <w:sz w:val="21"/>
                <w:szCs w:val="21"/>
                <w:highlight w:val="none"/>
              </w:rPr>
            </w:pPr>
            <w:r>
              <w:rPr>
                <w:rFonts w:hint="eastAsia" w:ascii="宋体" w:hAnsi="宋体" w:eastAsia="宋体" w:cs="宋体"/>
                <w:snapToGrid w:val="0"/>
                <w:color w:val="auto"/>
                <w:spacing w:val="-2"/>
                <w:sz w:val="21"/>
                <w:szCs w:val="21"/>
                <w:highlight w:val="none"/>
                <w:lang w:val="en-US" w:eastAsia="zh-CN" w:bidi="ar-SA"/>
              </w:rPr>
              <w:t>售后服务</w:t>
            </w:r>
            <w:r>
              <w:rPr>
                <w:rFonts w:hint="eastAsia" w:cs="宋体"/>
                <w:color w:val="auto"/>
                <w:sz w:val="21"/>
                <w:szCs w:val="21"/>
                <w:highlight w:val="none"/>
                <w:lang w:val="en-US" w:eastAsia="zh-CN"/>
              </w:rPr>
              <w:t>合理得 7～8分，较合理得5.9～6.9分，一般得4.8～5.8分。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631" w:hRule="atLeast"/>
        </w:trPr>
        <w:tc>
          <w:tcPr>
            <w:tcW w:w="774" w:type="dxa"/>
            <w:vMerge w:val="restart"/>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2.2.2（2）</w:t>
            </w:r>
          </w:p>
        </w:tc>
        <w:tc>
          <w:tcPr>
            <w:tcW w:w="1065"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主要人员</w:t>
            </w:r>
          </w:p>
        </w:tc>
        <w:tc>
          <w:tcPr>
            <w:tcW w:w="91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hint="default" w:cs="宋体"/>
                <w:color w:val="auto"/>
                <w:sz w:val="21"/>
                <w:szCs w:val="21"/>
                <w:highlight w:val="none"/>
                <w:u w:val="single"/>
                <w:lang w:val="en-US" w:eastAsia="zh-CN"/>
              </w:rPr>
            </w:pPr>
            <w:r>
              <w:rPr>
                <w:rFonts w:hint="eastAsia" w:cs="宋体"/>
                <w:color w:val="auto"/>
                <w:sz w:val="21"/>
                <w:szCs w:val="21"/>
                <w:highlight w:val="none"/>
                <w:u w:val="single"/>
                <w:lang w:val="en-US" w:eastAsia="zh-CN"/>
              </w:rPr>
              <w:t>20分</w:t>
            </w:r>
          </w:p>
        </w:tc>
        <w:tc>
          <w:tcPr>
            <w:tcW w:w="2070" w:type="dxa"/>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default" w:ascii="宋体" w:hAnsi="宋体" w:eastAsia="宋体" w:cs="宋体"/>
                <w:snapToGrid w:val="0"/>
                <w:color w:val="auto"/>
                <w:spacing w:val="-2"/>
                <w:sz w:val="21"/>
                <w:szCs w:val="21"/>
                <w:highlight w:val="none"/>
                <w:lang w:val="en-US" w:eastAsia="zh-CN" w:bidi="ar-SA"/>
              </w:rPr>
            </w:pPr>
            <w:r>
              <w:rPr>
                <w:rFonts w:hint="eastAsia" w:ascii="宋体" w:hAnsi="宋体" w:eastAsia="宋体" w:cs="宋体"/>
                <w:snapToGrid w:val="0"/>
                <w:color w:val="auto"/>
                <w:spacing w:val="-2"/>
                <w:sz w:val="21"/>
                <w:szCs w:val="21"/>
                <w:highlight w:val="none"/>
                <w:lang w:val="en-US" w:eastAsia="zh-CN" w:bidi="ar-SA"/>
              </w:rPr>
              <w:t>基本分</w:t>
            </w:r>
          </w:p>
        </w:tc>
        <w:tc>
          <w:tcPr>
            <w:tcW w:w="825" w:type="dxa"/>
            <w:noWrap w:val="0"/>
            <w:vAlign w:val="center"/>
          </w:tcPr>
          <w:p>
            <w:pPr>
              <w:pStyle w:val="14"/>
              <w:keepNext w:val="0"/>
              <w:keepLines w:val="0"/>
              <w:pageBreakBefore w:val="0"/>
              <w:widowControl w:val="0"/>
              <w:tabs>
                <w:tab w:val="left" w:pos="452"/>
              </w:tabs>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12分</w:t>
            </w:r>
          </w:p>
        </w:tc>
        <w:tc>
          <w:tcPr>
            <w:tcW w:w="3613" w:type="dxa"/>
            <w:noWrap w:val="0"/>
            <w:vAlign w:val="center"/>
          </w:tcPr>
          <w:p>
            <w:pPr>
              <w:pStyle w:val="14"/>
              <w:adjustRightInd w:val="0"/>
              <w:snapToGrid w:val="0"/>
              <w:spacing w:before="72" w:beforeLines="30" w:after="72" w:afterLines="30"/>
              <w:ind w:left="72" w:leftChars="30" w:right="72" w:rightChars="30"/>
              <w:jc w:val="both"/>
              <w:rPr>
                <w:rFonts w:hint="eastAsia" w:cs="宋体"/>
                <w:color w:val="auto"/>
                <w:sz w:val="21"/>
                <w:szCs w:val="21"/>
                <w:highlight w:val="none"/>
                <w:lang w:val="en-US" w:eastAsia="zh-CN"/>
              </w:rPr>
            </w:pPr>
            <w:r>
              <w:rPr>
                <w:rFonts w:hint="eastAsia" w:cs="宋体"/>
                <w:color w:val="auto"/>
                <w:sz w:val="21"/>
                <w:szCs w:val="21"/>
                <w:highlight w:val="none"/>
                <w:lang w:val="en-US" w:eastAsia="zh-CN"/>
              </w:rPr>
              <w:t>满足招标文件资格审查条件要求的得12分。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55"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lang w:val="en-US" w:eastAsia="zh-CN"/>
              </w:rPr>
            </w:pPr>
          </w:p>
        </w:tc>
        <w:tc>
          <w:tcPr>
            <w:tcW w:w="1065"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91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cs="宋体"/>
                <w:color w:val="auto"/>
                <w:sz w:val="21"/>
                <w:szCs w:val="21"/>
                <w:highlight w:val="none"/>
                <w:u w:val="single"/>
                <w:lang w:val="en-US" w:eastAsia="zh-CN"/>
              </w:rPr>
            </w:pP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宋体" w:hAnsi="宋体" w:eastAsia="宋体" w:cs="宋体"/>
                <w:snapToGrid w:val="0"/>
                <w:color w:val="auto"/>
                <w:spacing w:val="-2"/>
                <w:sz w:val="21"/>
                <w:szCs w:val="21"/>
                <w:highlight w:val="none"/>
                <w:lang w:val="en-US" w:eastAsia="zh-CN" w:bidi="ar-SA"/>
              </w:rPr>
            </w:pPr>
            <w:r>
              <w:rPr>
                <w:rFonts w:hint="eastAsia" w:eastAsia="宋体" w:cs="宋体"/>
                <w:color w:val="auto"/>
                <w:sz w:val="21"/>
                <w:szCs w:val="21"/>
                <w:highlight w:val="none"/>
                <w:lang w:val="en-US" w:eastAsia="zh-CN"/>
              </w:rPr>
              <w:t>项目经理</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4分</w:t>
            </w:r>
          </w:p>
        </w:tc>
        <w:tc>
          <w:tcPr>
            <w:tcW w:w="36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91" w:beforeLines="30" w:after="91" w:afterLines="30" w:line="240" w:lineRule="auto"/>
              <w:ind w:left="72" w:leftChars="30" w:right="72" w:rightChars="30"/>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拟任项目经理具有副高级及以上职称的加4分。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793"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lang w:val="en-US" w:eastAsia="zh-CN"/>
              </w:rPr>
            </w:pPr>
            <w:bookmarkStart w:id="53" w:name="_GoBack" w:colFirst="4" w:colLast="4"/>
          </w:p>
        </w:tc>
        <w:tc>
          <w:tcPr>
            <w:tcW w:w="1065"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91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cs="宋体"/>
                <w:color w:val="auto"/>
                <w:sz w:val="21"/>
                <w:szCs w:val="21"/>
                <w:highlight w:val="none"/>
                <w:u w:val="single"/>
                <w:lang w:val="en-US" w:eastAsia="zh-CN"/>
              </w:rPr>
            </w:pPr>
          </w:p>
        </w:tc>
        <w:tc>
          <w:tcPr>
            <w:tcW w:w="20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spacing w:val="-2"/>
                <w:sz w:val="21"/>
                <w:szCs w:val="21"/>
                <w:highlight w:val="none"/>
                <w:lang w:val="en-US" w:eastAsia="zh-CN" w:bidi="ar-SA"/>
              </w:rPr>
            </w:pPr>
            <w:r>
              <w:rPr>
                <w:rFonts w:hint="default" w:cs="宋体"/>
                <w:color w:val="auto"/>
                <w:sz w:val="21"/>
                <w:szCs w:val="21"/>
                <w:highlight w:val="none"/>
                <w:lang w:val="en" w:eastAsia="zh-CN"/>
              </w:rPr>
              <w:t>项目总工</w:t>
            </w:r>
          </w:p>
        </w:tc>
        <w:tc>
          <w:tcPr>
            <w:tcW w:w="82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4分</w:t>
            </w:r>
          </w:p>
        </w:tc>
        <w:tc>
          <w:tcPr>
            <w:tcW w:w="361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91" w:beforeLines="30" w:after="91" w:afterLines="30" w:line="240" w:lineRule="auto"/>
              <w:ind w:left="72" w:leftChars="30" w:right="72" w:rightChars="30"/>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拟任项目总工具有副高级及以上职称的加</w:t>
            </w:r>
            <w:r>
              <w:rPr>
                <w:rFonts w:hint="eastAsia"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分</w:t>
            </w:r>
            <w:r>
              <w:rPr>
                <w:rFonts w:hint="eastAsia" w:cs="宋体"/>
                <w:color w:val="auto"/>
                <w:sz w:val="21"/>
                <w:szCs w:val="21"/>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673" w:hRule="atLeast"/>
        </w:trPr>
        <w:tc>
          <w:tcPr>
            <w:tcW w:w="77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bookmarkStart w:id="2" w:name="_bookmark95"/>
            <w:bookmarkEnd w:id="2"/>
            <w:r>
              <w:rPr>
                <w:rFonts w:hint="eastAsia" w:ascii="宋体" w:hAnsi="宋体" w:cs="宋体"/>
                <w:color w:val="auto"/>
                <w:sz w:val="21"/>
                <w:szCs w:val="21"/>
                <w:highlight w:val="none"/>
                <w:lang w:val="en-US" w:eastAsia="zh-CN"/>
              </w:rPr>
              <w:t>2.2.2（3）</w:t>
            </w:r>
          </w:p>
        </w:tc>
        <w:tc>
          <w:tcPr>
            <w:tcW w:w="495" w:type="dxa"/>
            <w:vMerge w:val="restart"/>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其他因素</w:t>
            </w:r>
          </w:p>
        </w:tc>
        <w:tc>
          <w:tcPr>
            <w:tcW w:w="570" w:type="dxa"/>
            <w:noWrap w:val="0"/>
            <w:vAlign w:val="center"/>
          </w:tcPr>
          <w:p>
            <w:pPr>
              <w:keepNext w:val="0"/>
              <w:keepLines w:val="0"/>
              <w:pageBreakBefore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履约 信誉</w:t>
            </w:r>
          </w:p>
        </w:tc>
        <w:tc>
          <w:tcPr>
            <w:tcW w:w="915" w:type="dxa"/>
            <w:noWrap w:val="0"/>
            <w:vAlign w:val="center"/>
          </w:tcPr>
          <w:p>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分</w:t>
            </w:r>
          </w:p>
        </w:tc>
        <w:tc>
          <w:tcPr>
            <w:tcW w:w="65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hint="eastAsia"/>
                <w:color w:val="auto"/>
                <w:highlight w:val="none"/>
              </w:rPr>
            </w:pPr>
            <w:r>
              <w:rPr>
                <w:rFonts w:hint="eastAsia" w:ascii="宋体" w:hAnsi="宋体" w:cs="宋体"/>
                <w:color w:val="auto"/>
                <w:sz w:val="21"/>
                <w:szCs w:val="21"/>
                <w:highlight w:val="none"/>
              </w:rPr>
              <w:t>满足资格审查要求的得</w:t>
            </w:r>
            <w:r>
              <w:rPr>
                <w:rFonts w:hint="eastAsia"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554" w:hRule="atLeast"/>
        </w:trPr>
        <w:tc>
          <w:tcPr>
            <w:tcW w:w="77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宋体" w:hAnsi="宋体" w:cs="宋体"/>
                <w:color w:val="auto"/>
                <w:sz w:val="21"/>
                <w:szCs w:val="21"/>
                <w:highlight w:val="none"/>
              </w:rPr>
            </w:pPr>
          </w:p>
        </w:tc>
        <w:tc>
          <w:tcPr>
            <w:tcW w:w="495" w:type="dxa"/>
            <w:vMerge w:val="continue"/>
            <w:noWrap w:val="0"/>
            <w:vAlign w:val="center"/>
          </w:tcPr>
          <w:p>
            <w:pPr>
              <w:keepNext w:val="0"/>
              <w:keepLines w:val="0"/>
              <w:pageBreakBefore w:val="0"/>
              <w:kinsoku/>
              <w:wordWrap/>
              <w:overflowPunct/>
              <w:topLinePunct w:val="0"/>
              <w:autoSpaceDE/>
              <w:autoSpaceDN/>
              <w:bidi w:val="0"/>
              <w:adjustRightInd w:val="0"/>
              <w:snapToGrid w:val="0"/>
              <w:ind w:left="0"/>
              <w:jc w:val="center"/>
              <w:textAlignment w:val="auto"/>
              <w:rPr>
                <w:rFonts w:hint="eastAsia" w:ascii="宋体" w:hAnsi="宋体" w:cs="宋体"/>
                <w:color w:val="auto"/>
                <w:sz w:val="21"/>
                <w:szCs w:val="21"/>
                <w:highlight w:val="none"/>
              </w:rPr>
            </w:pPr>
          </w:p>
        </w:tc>
        <w:tc>
          <w:tcPr>
            <w:tcW w:w="570" w:type="dxa"/>
            <w:vMerge w:val="restart"/>
            <w:noWrap w:val="0"/>
            <w:vAlign w:val="center"/>
          </w:tcPr>
          <w:p>
            <w:pPr>
              <w:keepNext w:val="0"/>
              <w:keepLines w:val="0"/>
              <w:pageBreakBefore w:val="0"/>
              <w:kinsoku/>
              <w:wordWrap/>
              <w:overflowPunct/>
              <w:topLinePunct w:val="0"/>
              <w:autoSpaceDE/>
              <w:autoSpaceDN/>
              <w:bidi w:val="0"/>
              <w:adjustRightInd w:val="0"/>
              <w:snapToGrid w:val="0"/>
              <w:ind w:left="0" w:hanging="210" w:hanging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tc>
        <w:tc>
          <w:tcPr>
            <w:tcW w:w="915" w:type="dxa"/>
            <w:vMerge w:val="restart"/>
            <w:noWrap w:val="0"/>
            <w:vAlign w:val="center"/>
          </w:tcPr>
          <w:p>
            <w:pPr>
              <w:keepNext w:val="0"/>
              <w:keepLines w:val="0"/>
              <w:pageBreakBefore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分</w:t>
            </w:r>
          </w:p>
        </w:tc>
        <w:tc>
          <w:tcPr>
            <w:tcW w:w="65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ascii="宋体" w:hAnsi="宋体" w:cs="宋体"/>
                <w:color w:val="auto"/>
                <w:sz w:val="21"/>
                <w:szCs w:val="21"/>
                <w:highlight w:val="none"/>
              </w:rPr>
            </w:pPr>
            <w:r>
              <w:rPr>
                <w:rFonts w:hint="eastAsia" w:ascii="宋体" w:hAnsi="宋体" w:cs="宋体"/>
                <w:color w:val="auto"/>
                <w:sz w:val="21"/>
                <w:szCs w:val="21"/>
                <w:highlight w:val="none"/>
              </w:rPr>
              <w:t>满足资格审查要求的得</w:t>
            </w:r>
            <w:r>
              <w:rPr>
                <w:rFonts w:hint="eastAsia" w:cs="宋体"/>
                <w:color w:val="auto"/>
                <w:sz w:val="21"/>
                <w:szCs w:val="21"/>
                <w:highlight w:val="none"/>
              </w:rPr>
              <w:t>基本分</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w:t>
            </w:r>
            <w:r>
              <w:rPr>
                <w:rFonts w:hint="eastAsia" w:cs="宋体"/>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2458" w:hRule="atLeast"/>
        </w:trPr>
        <w:tc>
          <w:tcPr>
            <w:tcW w:w="774"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495"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570"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915" w:type="dxa"/>
            <w:vMerge w:val="continue"/>
            <w:noWrap w:val="0"/>
            <w:vAlign w:val="center"/>
          </w:tcPr>
          <w:p>
            <w:pPr>
              <w:adjustRightInd w:val="0"/>
              <w:snapToGrid w:val="0"/>
              <w:spacing w:before="72" w:beforeLines="30" w:after="72" w:afterLines="30" w:line="320" w:lineRule="exact"/>
              <w:ind w:left="120" w:leftChars="50" w:right="120" w:rightChars="50"/>
              <w:rPr>
                <w:color w:val="auto"/>
                <w:highlight w:val="none"/>
              </w:rPr>
            </w:pPr>
          </w:p>
        </w:tc>
        <w:tc>
          <w:tcPr>
            <w:tcW w:w="65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在满足资格审查条件基本要求的基础上，</w:t>
            </w:r>
            <w:r>
              <w:rPr>
                <w:rFonts w:hint="eastAsia" w:ascii="宋体" w:hAnsi="宋体" w:eastAsia="宋体" w:cs="宋体"/>
                <w:color w:val="auto"/>
                <w:sz w:val="21"/>
                <w:szCs w:val="21"/>
                <w:highlight w:val="none"/>
              </w:rPr>
              <w:t>近5年每</w:t>
            </w:r>
            <w:r>
              <w:rPr>
                <w:rFonts w:hint="eastAsia" w:ascii="宋体" w:hAnsi="宋体" w:eastAsia="宋体" w:cs="宋体"/>
                <w:color w:val="auto"/>
                <w:sz w:val="21"/>
                <w:szCs w:val="21"/>
                <w:highlight w:val="none"/>
                <w:lang w:val="en-US" w:eastAsia="zh-CN"/>
              </w:rPr>
              <w:t>增加独立</w:t>
            </w:r>
            <w:r>
              <w:rPr>
                <w:rFonts w:hint="eastAsia" w:ascii="宋体" w:hAnsi="宋体" w:eastAsia="宋体" w:cs="宋体"/>
                <w:color w:val="auto"/>
                <w:sz w:val="21"/>
                <w:szCs w:val="21"/>
                <w:highlight w:val="none"/>
              </w:rPr>
              <w:t>完成一个合同金额</w:t>
            </w:r>
            <w:r>
              <w:rPr>
                <w:rFonts w:hint="eastAsia" w:ascii="宋体" w:hAnsi="宋体" w:eastAsia="宋体" w:cs="宋体"/>
                <w:color w:val="auto"/>
                <w:sz w:val="21"/>
                <w:szCs w:val="21"/>
                <w:highlight w:val="none"/>
                <w:lang w:val="en-US" w:eastAsia="zh-CN"/>
              </w:rPr>
              <w:t>不小于780</w:t>
            </w:r>
            <w:r>
              <w:rPr>
                <w:rFonts w:hint="eastAsia" w:ascii="宋体" w:hAnsi="宋体" w:eastAsia="宋体" w:cs="宋体"/>
                <w:color w:val="auto"/>
                <w:sz w:val="21"/>
                <w:szCs w:val="21"/>
                <w:highlight w:val="none"/>
              </w:rPr>
              <w:t>万元的公路机电工程</w:t>
            </w:r>
            <w:r>
              <w:rPr>
                <w:rFonts w:hint="eastAsia" w:ascii="宋体" w:hAnsi="宋体" w:eastAsia="宋体" w:cs="宋体"/>
                <w:color w:val="auto"/>
                <w:sz w:val="21"/>
                <w:szCs w:val="21"/>
                <w:highlight w:val="none"/>
                <w:lang w:val="en-US" w:eastAsia="zh-CN"/>
              </w:rPr>
              <w:t>施工项目</w:t>
            </w:r>
            <w:r>
              <w:rPr>
                <w:rFonts w:hint="eastAsia" w:ascii="宋体" w:hAnsi="宋体" w:eastAsia="宋体" w:cs="宋体"/>
                <w:color w:val="auto"/>
                <w:sz w:val="21"/>
                <w:szCs w:val="21"/>
                <w:highlight w:val="none"/>
              </w:rPr>
              <w:t>加</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本项最多加</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注：提供</w:t>
            </w:r>
            <w:r>
              <w:rPr>
                <w:rFonts w:hint="eastAsia" w:ascii="宋体" w:hAnsi="宋体" w:eastAsia="宋体" w:cs="宋体"/>
                <w:color w:val="auto"/>
                <w:sz w:val="21"/>
                <w:szCs w:val="21"/>
                <w:highlight w:val="none"/>
              </w:rPr>
              <w:t>中标通知书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合同协议书和交工验收证书（或竣工验收证书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或由发包人出具的业绩证明材料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，如投标人未提供相关业绩的证明材料，无法证实投标人所填报业绩，则该项目业绩不予认定。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654" w:hRule="atLeast"/>
        </w:trPr>
        <w:tc>
          <w:tcPr>
            <w:tcW w:w="9262" w:type="dxa"/>
            <w:gridSpan w:val="7"/>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p>
          <w:p>
            <w:pPr>
              <w:keepNext w:val="0"/>
              <w:keepLines w:val="0"/>
              <w:pageBreakBefore w:val="0"/>
              <w:widowControl w:val="0"/>
              <w:kinsoku/>
              <w:wordWrap/>
              <w:overflowPunct/>
              <w:topLinePunct w:val="0"/>
              <w:autoSpaceDE w:val="0"/>
              <w:autoSpaceDN w:val="0"/>
              <w:bidi w:val="0"/>
              <w:adjustRightInd w:val="0"/>
              <w:snapToGrid w:val="0"/>
              <w:spacing w:before="72" w:beforeLines="30" w:after="72" w:afterLines="30" w:line="240" w:lineRule="auto"/>
              <w:ind w:left="72" w:leftChars="30" w:right="72"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1、本项目评标办法3.6.1款不适用，删除。</w:t>
            </w:r>
          </w:p>
          <w:p>
            <w:pPr>
              <w:widowControl/>
              <w:textAlignment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2、各评审因素得分应以评标委员会各成员的打分平均值确定，评标委员会成员总数为7人以上时，该平均值以去掉一个最高分和一个最低分后计算。</w:t>
            </w:r>
          </w:p>
        </w:tc>
      </w:tr>
    </w:tbl>
    <w:p>
      <w:pPr>
        <w:rPr>
          <w:rFonts w:hint="default"/>
          <w:color w:val="auto"/>
          <w:highlight w:val="none"/>
        </w:rPr>
      </w:pPr>
    </w:p>
    <w:p>
      <w:pPr>
        <w:pStyle w:val="5"/>
        <w:numPr>
          <w:ilvl w:val="0"/>
          <w:numId w:val="2"/>
        </w:numPr>
        <w:adjustRightInd w:val="0"/>
        <w:snapToGrid w:val="0"/>
        <w:spacing w:line="336" w:lineRule="auto"/>
        <w:ind w:left="240" w:leftChars="0" w:firstLineChars="0"/>
        <w:outlineLvl w:val="2"/>
        <w:rPr>
          <w:rFonts w:hint="eastAsia"/>
          <w:b/>
          <w:bCs/>
          <w:color w:val="auto"/>
          <w:sz w:val="28"/>
          <w:highlight w:val="none"/>
        </w:rPr>
      </w:pPr>
      <w:r>
        <w:rPr>
          <w:rFonts w:hint="eastAsia"/>
          <w:b/>
          <w:bCs/>
          <w:color w:val="auto"/>
          <w:sz w:val="28"/>
          <w:highlight w:val="none"/>
        </w:rPr>
        <w:t>评标方法</w:t>
      </w:r>
    </w:p>
    <w:p>
      <w:pPr>
        <w:pStyle w:val="5"/>
        <w:adjustRightInd w:val="0"/>
        <w:snapToGrid w:val="0"/>
        <w:spacing w:line="336" w:lineRule="auto"/>
        <w:ind w:firstLine="480" w:firstLineChars="200"/>
        <w:jc w:val="both"/>
        <w:rPr>
          <w:rFonts w:hint="eastAsia"/>
          <w:color w:val="auto"/>
          <w:highlight w:val="none"/>
        </w:rPr>
      </w:pPr>
      <w:bookmarkStart w:id="3" w:name="_bookmark96"/>
      <w:bookmarkEnd w:id="3"/>
      <w:bookmarkStart w:id="4" w:name="_Toc5731"/>
      <w:bookmarkStart w:id="5" w:name="_Toc1560"/>
      <w:r>
        <w:rPr>
          <w:rFonts w:hint="eastAsia"/>
          <w:color w:val="auto"/>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numPr>
          <w:ilvl w:val="0"/>
          <w:numId w:val="3"/>
        </w:numPr>
        <w:tabs>
          <w:tab w:val="left" w:pos="845"/>
        </w:tabs>
        <w:adjustRightInd w:val="0"/>
        <w:snapToGrid w:val="0"/>
        <w:spacing w:line="336" w:lineRule="auto"/>
        <w:jc w:val="both"/>
        <w:outlineLvl w:val="2"/>
        <w:rPr>
          <w:rFonts w:hint="eastAsia" w:ascii="宋体" w:hAnsi="宋体" w:cs="宋体"/>
          <w:b/>
          <w:bCs/>
          <w:color w:val="auto"/>
          <w:sz w:val="28"/>
          <w:highlight w:val="none"/>
        </w:rPr>
      </w:pPr>
      <w:bookmarkStart w:id="6" w:name="_Toc14297"/>
      <w:r>
        <w:rPr>
          <w:rFonts w:hint="eastAsia" w:ascii="宋体" w:hAnsi="宋体" w:cs="宋体"/>
          <w:b/>
          <w:bCs/>
          <w:color w:val="auto"/>
          <w:sz w:val="28"/>
          <w:highlight w:val="none"/>
        </w:rPr>
        <w:t>评审标准</w:t>
      </w:r>
      <w:bookmarkEnd w:id="4"/>
      <w:bookmarkEnd w:id="5"/>
      <w:bookmarkEnd w:id="6"/>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7" w:name="_bookmark97"/>
      <w:bookmarkEnd w:id="7"/>
      <w:bookmarkStart w:id="8" w:name="_Toc24585"/>
      <w:bookmarkStart w:id="9" w:name="_Toc32510"/>
      <w:bookmarkStart w:id="10" w:name="_Toc6514"/>
      <w:r>
        <w:rPr>
          <w:rFonts w:hint="eastAsia" w:cs="宋体"/>
          <w:b/>
          <w:bCs/>
          <w:color w:val="auto"/>
          <w:sz w:val="24"/>
          <w:highlight w:val="none"/>
        </w:rPr>
        <w:t xml:space="preserve">2.1 </w:t>
      </w:r>
      <w:r>
        <w:rPr>
          <w:rFonts w:hint="eastAsia" w:ascii="宋体" w:hAnsi="宋体" w:cs="宋体"/>
          <w:b/>
          <w:bCs/>
          <w:color w:val="auto"/>
          <w:sz w:val="24"/>
          <w:highlight w:val="none"/>
        </w:rPr>
        <w:t>初步评审标准</w:t>
      </w:r>
      <w:bookmarkEnd w:id="8"/>
      <w:bookmarkEnd w:id="9"/>
      <w:bookmarkEnd w:id="10"/>
    </w:p>
    <w:p>
      <w:pPr>
        <w:pStyle w:val="5"/>
        <w:adjustRightInd w:val="0"/>
        <w:snapToGrid w:val="0"/>
        <w:spacing w:line="336" w:lineRule="auto"/>
        <w:ind w:firstLine="480" w:firstLineChars="200"/>
        <w:jc w:val="both"/>
        <w:rPr>
          <w:rFonts w:hint="eastAsia"/>
          <w:color w:val="auto"/>
          <w:kern w:val="2"/>
          <w:highlight w:val="none"/>
        </w:rPr>
      </w:pPr>
      <w:r>
        <w:rPr>
          <w:rFonts w:hint="eastAsia"/>
          <w:color w:val="auto"/>
          <w:highlight w:val="none"/>
        </w:rPr>
        <w:t>2.1.1</w:t>
      </w:r>
      <w:r>
        <w:rPr>
          <w:rFonts w:hint="eastAsia"/>
          <w:color w:val="auto"/>
          <w:kern w:val="2"/>
          <w:highlight w:val="none"/>
        </w:rPr>
        <w:t>形式评审标准：见评标办法前附表。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2.1.2</w:t>
      </w:r>
      <w:r>
        <w:rPr>
          <w:rFonts w:hint="eastAsia"/>
          <w:color w:val="auto"/>
          <w:kern w:val="2"/>
          <w:highlight w:val="none"/>
        </w:rPr>
        <w:t>资格评审标准：见评标办法前附表</w:t>
      </w:r>
      <w:r>
        <w:rPr>
          <w:rFonts w:hint="eastAsia"/>
          <w:color w:val="auto"/>
          <w:highlight w:val="none"/>
        </w:rPr>
        <w:t>（适用于未进行资格预审的</w:t>
      </w:r>
      <w:r>
        <w:rPr>
          <w:rFonts w:hint="eastAsia"/>
          <w:color w:val="auto"/>
          <w:spacing w:val="-120"/>
          <w:highlight w:val="none"/>
        </w:rPr>
        <w:t>）</w:t>
      </w:r>
      <w:r>
        <w:rPr>
          <w:rFonts w:hint="eastAsia"/>
          <w:color w:val="auto"/>
          <w:kern w:val="2"/>
          <w:highlight w:val="none"/>
        </w:rPr>
        <w:t>。</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2.1.3</w:t>
      </w:r>
      <w:r>
        <w:rPr>
          <w:rFonts w:hint="eastAsia"/>
          <w:color w:val="auto"/>
          <w:kern w:val="2"/>
          <w:highlight w:val="none"/>
        </w:rPr>
        <w:t>响应性评审标准：见评标办法前附表。</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11" w:name="_bookmark98"/>
      <w:bookmarkEnd w:id="11"/>
      <w:bookmarkStart w:id="12" w:name="_Toc29679"/>
      <w:bookmarkStart w:id="13" w:name="_Toc29504"/>
      <w:bookmarkStart w:id="14" w:name="_Toc8793"/>
      <w:r>
        <w:rPr>
          <w:rFonts w:hint="eastAsia" w:cs="宋体"/>
          <w:b/>
          <w:bCs/>
          <w:color w:val="auto"/>
          <w:sz w:val="24"/>
          <w:highlight w:val="none"/>
        </w:rPr>
        <w:t xml:space="preserve">2.2 </w:t>
      </w:r>
      <w:r>
        <w:rPr>
          <w:rFonts w:hint="eastAsia" w:ascii="宋体" w:hAnsi="宋体" w:cs="宋体"/>
          <w:b/>
          <w:bCs/>
          <w:color w:val="auto"/>
          <w:sz w:val="24"/>
          <w:highlight w:val="none"/>
        </w:rPr>
        <w:t>分值构成与评分标准</w:t>
      </w:r>
      <w:bookmarkEnd w:id="12"/>
      <w:bookmarkEnd w:id="13"/>
      <w:bookmarkEnd w:id="14"/>
    </w:p>
    <w:p>
      <w:pPr>
        <w:pStyle w:val="5"/>
        <w:adjustRightInd w:val="0"/>
        <w:snapToGrid w:val="0"/>
        <w:spacing w:line="336" w:lineRule="auto"/>
        <w:ind w:firstLine="480" w:firstLineChars="200"/>
        <w:jc w:val="both"/>
        <w:rPr>
          <w:rFonts w:hint="eastAsia"/>
          <w:color w:val="auto"/>
          <w:highlight w:val="none"/>
        </w:rPr>
      </w:pPr>
      <w:bookmarkStart w:id="15" w:name="_bookmark99"/>
      <w:bookmarkEnd w:id="15"/>
      <w:bookmarkStart w:id="16" w:name="_Toc28665"/>
      <w:bookmarkStart w:id="17" w:name="_Toc1391"/>
      <w:r>
        <w:rPr>
          <w:rFonts w:hint="eastAsia"/>
          <w:color w:val="auto"/>
          <w:highlight w:val="none"/>
        </w:rPr>
        <w:t>2.2.1 第一个信封评分分值构成</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（1）施工组织设计：见评标办法前附表；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（2）主要人员：见评标办法前附表；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（3）其他评分因素：见评标办法前附表。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2.2.2 第一个信封评分评分标准</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（1）施工组织设计评分标准：见评标办法前附表；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（2）主要人员评分标准：见评标办法前附表；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（3）其他因素评分标准：见评标办法前附表。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2.2.3 第二个信封详细评审标准：见评标办法前附表。</w:t>
      </w:r>
    </w:p>
    <w:p>
      <w:pPr>
        <w:tabs>
          <w:tab w:val="left" w:pos="845"/>
        </w:tabs>
        <w:adjustRightInd w:val="0"/>
        <w:snapToGrid w:val="0"/>
        <w:spacing w:line="336" w:lineRule="auto"/>
        <w:jc w:val="both"/>
        <w:outlineLvl w:val="2"/>
        <w:rPr>
          <w:rFonts w:hint="eastAsia" w:ascii="宋体" w:hAnsi="宋体" w:cs="宋体"/>
          <w:b/>
          <w:bCs/>
          <w:color w:val="auto"/>
          <w:sz w:val="28"/>
          <w:highlight w:val="none"/>
        </w:rPr>
      </w:pPr>
      <w:bookmarkStart w:id="18" w:name="_Toc19981"/>
      <w:r>
        <w:rPr>
          <w:rFonts w:hint="eastAsia" w:ascii="宋体" w:hAnsi="宋体" w:cs="宋体"/>
          <w:b/>
          <w:bCs/>
          <w:color w:val="auto"/>
          <w:sz w:val="28"/>
          <w:highlight w:val="none"/>
        </w:rPr>
        <w:t>3. 评标程序</w:t>
      </w:r>
      <w:bookmarkEnd w:id="16"/>
      <w:bookmarkEnd w:id="17"/>
      <w:bookmarkEnd w:id="18"/>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19" w:name="_bookmark100"/>
      <w:bookmarkEnd w:id="19"/>
      <w:bookmarkStart w:id="20" w:name="_Toc3248"/>
      <w:bookmarkStart w:id="21" w:name="_Toc7816"/>
      <w:bookmarkStart w:id="22" w:name="_Toc12914"/>
      <w:r>
        <w:rPr>
          <w:rFonts w:hint="eastAsia" w:cs="宋体"/>
          <w:b/>
          <w:bCs/>
          <w:color w:val="auto"/>
          <w:sz w:val="24"/>
          <w:highlight w:val="none"/>
        </w:rPr>
        <w:t xml:space="preserve">3.1 </w:t>
      </w:r>
      <w:r>
        <w:rPr>
          <w:rFonts w:hint="eastAsia" w:ascii="宋体" w:hAnsi="宋体" w:cs="宋体"/>
          <w:b/>
          <w:bCs/>
          <w:color w:val="auto"/>
          <w:sz w:val="24"/>
          <w:highlight w:val="none"/>
        </w:rPr>
        <w:t>第一个信封初步评审</w:t>
      </w:r>
      <w:bookmarkEnd w:id="20"/>
      <w:bookmarkEnd w:id="21"/>
      <w:bookmarkEnd w:id="22"/>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3.1.1 </w:t>
      </w:r>
      <w:r>
        <w:rPr>
          <w:rFonts w:hint="eastAsia" w:ascii="宋体" w:hAnsi="宋体" w:cs="宋体"/>
          <w:color w:val="auto"/>
          <w:sz w:val="24"/>
          <w:highlight w:val="none"/>
        </w:rPr>
        <w:t>评标委员会可以要求投标人提交第二章“投标人须知”</w:t>
      </w:r>
      <w:r>
        <w:rPr>
          <w:rFonts w:hint="eastAsia" w:ascii="宋体" w:hAnsi="宋体" w:cs="宋体"/>
          <w:color w:val="auto"/>
          <w:spacing w:val="-31"/>
          <w:sz w:val="24"/>
          <w:highlight w:val="none"/>
        </w:rPr>
        <w:t xml:space="preserve">第 </w:t>
      </w:r>
      <w:r>
        <w:rPr>
          <w:rFonts w:hint="eastAsia" w:ascii="宋体" w:hAnsi="宋体" w:cs="宋体"/>
          <w:color w:val="auto"/>
          <w:sz w:val="24"/>
          <w:highlight w:val="none"/>
        </w:rPr>
        <w:t>3.5.1</w:t>
      </w:r>
      <w:r>
        <w:rPr>
          <w:rFonts w:hint="eastAsia" w:ascii="宋体" w:hAnsi="宋体" w:cs="宋体"/>
          <w:color w:val="auto"/>
          <w:spacing w:val="1"/>
          <w:sz w:val="24"/>
          <w:highlight w:val="none"/>
        </w:rPr>
        <w:t xml:space="preserve"> </w:t>
      </w:r>
      <w:r>
        <w:rPr>
          <w:rFonts w:hint="eastAsia" w:ascii="宋体" w:hAnsi="宋体" w:cs="宋体"/>
          <w:color w:val="auto"/>
          <w:spacing w:val="-16"/>
          <w:sz w:val="24"/>
          <w:highlight w:val="none"/>
        </w:rPr>
        <w:t xml:space="preserve">项至第 </w:t>
      </w:r>
      <w:r>
        <w:rPr>
          <w:rFonts w:hint="eastAsia" w:ascii="宋体" w:hAnsi="宋体" w:cs="宋体"/>
          <w:color w:val="auto"/>
          <w:sz w:val="24"/>
          <w:highlight w:val="none"/>
        </w:rPr>
        <w:t xml:space="preserve">3.5.6 </w:t>
      </w:r>
      <w:r>
        <w:rPr>
          <w:rFonts w:hint="eastAsia" w:ascii="宋体" w:hAnsi="宋体" w:cs="宋体"/>
          <w:color w:val="auto"/>
          <w:spacing w:val="-1"/>
          <w:sz w:val="24"/>
          <w:highlight w:val="none"/>
        </w:rPr>
        <w:t xml:space="preserve">项规定的有关证明和证件的原件，以便核验。评标委员会依据本章第 </w:t>
      </w:r>
      <w:r>
        <w:rPr>
          <w:rFonts w:hint="eastAsia" w:ascii="宋体" w:hAnsi="宋体" w:cs="宋体"/>
          <w:color w:val="auto"/>
          <w:sz w:val="24"/>
          <w:highlight w:val="none"/>
        </w:rPr>
        <w:t>2.1</w:t>
      </w:r>
      <w:r>
        <w:rPr>
          <w:rFonts w:hint="eastAsia" w:ascii="宋体" w:hAnsi="宋体" w:cs="宋体"/>
          <w:color w:val="auto"/>
          <w:spacing w:val="47"/>
          <w:sz w:val="24"/>
          <w:highlight w:val="none"/>
        </w:rPr>
        <w:t xml:space="preserve"> </w:t>
      </w:r>
      <w:r>
        <w:rPr>
          <w:rFonts w:hint="eastAsia" w:ascii="宋体" w:hAnsi="宋体" w:cs="宋体"/>
          <w:color w:val="auto"/>
          <w:sz w:val="24"/>
          <w:highlight w:val="none"/>
        </w:rPr>
        <w:t>款规定的标准对投标文件第一个信封（商务及技术文件）进行初步评审。有一项不符合评审</w:t>
      </w:r>
      <w:r>
        <w:rPr>
          <w:rFonts w:hint="eastAsia" w:ascii="宋体" w:hAnsi="宋体" w:cs="宋体"/>
          <w:color w:val="auto"/>
          <w:spacing w:val="-8"/>
          <w:sz w:val="24"/>
          <w:highlight w:val="none"/>
        </w:rPr>
        <w:t>标准的，评标委员会应否决其投标。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3" w:name="_bookmark101"/>
      <w:bookmarkEnd w:id="23"/>
      <w:bookmarkStart w:id="24" w:name="_Toc32385"/>
      <w:bookmarkStart w:id="25" w:name="_Toc6398"/>
      <w:bookmarkStart w:id="26" w:name="_Toc12711"/>
      <w:r>
        <w:rPr>
          <w:rFonts w:hint="eastAsia" w:ascii="宋体" w:hAnsi="宋体" w:cs="宋体"/>
          <w:b/>
          <w:bCs/>
          <w:color w:val="auto"/>
          <w:sz w:val="24"/>
          <w:highlight w:val="none"/>
        </w:rPr>
        <w:t>3.2 第一个信封详细评审</w:t>
      </w:r>
      <w:bookmarkEnd w:id="24"/>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3.2.1 评标委员会按本章第 2.2 款规定的量化因素和分值进行打分，并计算出各投标人的商务和技术得分。</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（1）按本章第 2.2.2 项（1）目规定的评审因素和分值对施工组织设计部分计算出得分A；</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（2）按本章第 2.2.2 项（2）目规定的评审因素和分值对主要人员部分计算出得分B；</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（3）按本章第 2.2.2 项（3）目规定的评审因素和分值对其他部分计算出得分C。</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3.2.2 投标人的商务和技术得分分值计算保留小数点后两位，小数点后第三位“四舍五入”。</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3.2.3 投标人的商务和技术得分=A+B+C。</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3.2.4 评标委员会按照投标人的商务和技术得分由高到低排序，排名在评标办法前附表规定数量以内的投标人，其投标文件第一个信封（商务及技术文件）通过详细评审。</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ascii="宋体" w:hAnsi="宋体" w:cs="宋体"/>
          <w:color w:val="auto"/>
          <w:sz w:val="24"/>
          <w:highlight w:val="none"/>
        </w:rPr>
        <w:t>3.2.5通过投标文件第一个信封（商务及技术文件）初步评审的投标人不少于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7" w:name="_Toc8662"/>
      <w:r>
        <w:rPr>
          <w:rFonts w:hint="eastAsia" w:cs="宋体"/>
          <w:b/>
          <w:bCs/>
          <w:color w:val="auto"/>
          <w:sz w:val="24"/>
          <w:highlight w:val="none"/>
        </w:rPr>
        <w:t xml:space="preserve">3.3 </w:t>
      </w:r>
      <w:r>
        <w:rPr>
          <w:rFonts w:hint="eastAsia" w:ascii="宋体" w:hAnsi="宋体" w:cs="宋体"/>
          <w:b/>
          <w:bCs/>
          <w:color w:val="auto"/>
          <w:sz w:val="24"/>
          <w:highlight w:val="none"/>
        </w:rPr>
        <w:t>第二个信封开标</w:t>
      </w:r>
      <w:bookmarkEnd w:id="25"/>
      <w:bookmarkEnd w:id="26"/>
      <w:bookmarkEnd w:id="27"/>
    </w:p>
    <w:p>
      <w:pPr>
        <w:pStyle w:val="5"/>
        <w:adjustRightInd w:val="0"/>
        <w:snapToGrid w:val="0"/>
        <w:spacing w:line="336" w:lineRule="auto"/>
        <w:ind w:firstLine="432" w:firstLineChars="200"/>
        <w:jc w:val="both"/>
        <w:rPr>
          <w:rFonts w:hint="eastAsia"/>
          <w:color w:val="auto"/>
          <w:highlight w:val="none"/>
        </w:rPr>
      </w:pPr>
      <w:r>
        <w:rPr>
          <w:rFonts w:hint="eastAsia"/>
          <w:color w:val="auto"/>
          <w:spacing w:val="-12"/>
          <w:highlight w:val="none"/>
        </w:rPr>
        <w:t>第一个信封</w:t>
      </w:r>
      <w:r>
        <w:rPr>
          <w:rFonts w:hint="eastAsia"/>
          <w:color w:val="auto"/>
          <w:highlight w:val="none"/>
        </w:rPr>
        <w:t>（商务及技术文件</w:t>
      </w:r>
      <w:r>
        <w:rPr>
          <w:rFonts w:hint="eastAsia"/>
          <w:color w:val="auto"/>
          <w:spacing w:val="-60"/>
          <w:highlight w:val="none"/>
        </w:rPr>
        <w:t>）</w:t>
      </w:r>
      <w:r>
        <w:rPr>
          <w:rFonts w:hint="eastAsia"/>
          <w:color w:val="auto"/>
          <w:spacing w:val="-8"/>
          <w:highlight w:val="none"/>
        </w:rPr>
        <w:t>评审结束后，招标人将按照第二章</w:t>
      </w:r>
      <w:r>
        <w:rPr>
          <w:rFonts w:hint="eastAsia"/>
          <w:color w:val="auto"/>
          <w:highlight w:val="none"/>
        </w:rPr>
        <w:t>“投标人须知”</w:t>
      </w:r>
      <w:r>
        <w:rPr>
          <w:rFonts w:hint="eastAsia"/>
          <w:color w:val="auto"/>
          <w:spacing w:val="-6"/>
          <w:highlight w:val="none"/>
        </w:rPr>
        <w:t xml:space="preserve">第 </w:t>
      </w:r>
      <w:r>
        <w:rPr>
          <w:rFonts w:hint="eastAsia"/>
          <w:color w:val="auto"/>
          <w:highlight w:val="none"/>
        </w:rPr>
        <w:t>5.1 款规定的时间和地点对通过投标文件第一个信封（商务及技术文件）评审的投标文件第二个信封（报价文件）进行开标。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28" w:name="_bookmark102"/>
      <w:bookmarkEnd w:id="28"/>
      <w:bookmarkStart w:id="29" w:name="_Toc1964"/>
      <w:bookmarkStart w:id="30" w:name="_Toc17943"/>
      <w:bookmarkStart w:id="31" w:name="_Toc31309"/>
      <w:r>
        <w:rPr>
          <w:rFonts w:hint="eastAsia" w:cs="宋体"/>
          <w:b/>
          <w:bCs/>
          <w:color w:val="auto"/>
          <w:sz w:val="24"/>
          <w:highlight w:val="none"/>
        </w:rPr>
        <w:t xml:space="preserve">3.4 </w:t>
      </w:r>
      <w:r>
        <w:rPr>
          <w:rFonts w:hint="eastAsia" w:ascii="宋体" w:hAnsi="宋体" w:cs="宋体"/>
          <w:b/>
          <w:bCs/>
          <w:color w:val="auto"/>
          <w:sz w:val="24"/>
          <w:highlight w:val="none"/>
        </w:rPr>
        <w:t>第二个信封初步评审</w:t>
      </w:r>
      <w:bookmarkEnd w:id="29"/>
      <w:bookmarkEnd w:id="30"/>
      <w:bookmarkEnd w:id="31"/>
    </w:p>
    <w:p>
      <w:pPr>
        <w:pStyle w:val="5"/>
        <w:adjustRightInd w:val="0"/>
        <w:snapToGrid w:val="0"/>
        <w:spacing w:line="336" w:lineRule="auto"/>
        <w:ind w:firstLine="432" w:firstLineChars="200"/>
        <w:jc w:val="both"/>
        <w:rPr>
          <w:rFonts w:hint="eastAsia"/>
          <w:color w:val="auto"/>
          <w:spacing w:val="-12"/>
          <w:highlight w:val="none"/>
        </w:rPr>
      </w:pPr>
      <w:r>
        <w:rPr>
          <w:rFonts w:hint="eastAsia"/>
          <w:color w:val="auto"/>
          <w:spacing w:val="-12"/>
          <w:highlight w:val="none"/>
        </w:rPr>
        <w:t>3.4.1 评标委员会依据本章第 2.1.1 项、第 2.1.3 项规定的评审标准对投标文件第二个信封（报价文件）进行初步评审。有一项不符合评审标准的，评标委员会应否决其投标。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32" w:name="_bookmark103"/>
      <w:bookmarkEnd w:id="32"/>
      <w:bookmarkStart w:id="33" w:name="_Toc30746"/>
      <w:bookmarkStart w:id="34" w:name="_Toc24782"/>
      <w:bookmarkStart w:id="35" w:name="_Toc15998"/>
      <w:r>
        <w:rPr>
          <w:rFonts w:hint="eastAsia" w:cs="宋体"/>
          <w:b/>
          <w:bCs/>
          <w:color w:val="auto"/>
          <w:sz w:val="24"/>
          <w:highlight w:val="none"/>
        </w:rPr>
        <w:t xml:space="preserve">3.5 </w:t>
      </w:r>
      <w:r>
        <w:rPr>
          <w:rFonts w:hint="eastAsia" w:ascii="宋体" w:hAnsi="宋体" w:cs="宋体"/>
          <w:b/>
          <w:bCs/>
          <w:color w:val="auto"/>
          <w:sz w:val="24"/>
          <w:highlight w:val="none"/>
        </w:rPr>
        <w:t>第二个信封详细评审</w:t>
      </w:r>
      <w:bookmarkEnd w:id="33"/>
      <w:bookmarkEnd w:id="34"/>
      <w:bookmarkEnd w:id="35"/>
    </w:p>
    <w:p>
      <w:pPr>
        <w:pStyle w:val="15"/>
        <w:tabs>
          <w:tab w:val="left" w:pos="1505"/>
        </w:tabs>
        <w:adjustRightInd w:val="0"/>
        <w:snapToGrid w:val="0"/>
        <w:spacing w:line="336" w:lineRule="auto"/>
        <w:ind w:left="0" w:firstLine="456" w:firstLineChars="200"/>
        <w:jc w:val="both"/>
        <w:rPr>
          <w:rFonts w:hint="eastAsia" w:ascii="宋体" w:hAnsi="宋体" w:cs="宋体"/>
          <w:color w:val="auto"/>
          <w:sz w:val="24"/>
          <w:highlight w:val="none"/>
        </w:rPr>
      </w:pPr>
      <w:r>
        <w:rPr>
          <w:rFonts w:hint="eastAsia" w:cs="宋体"/>
          <w:color w:val="auto"/>
          <w:spacing w:val="-6"/>
          <w:sz w:val="24"/>
          <w:highlight w:val="none"/>
        </w:rPr>
        <w:t xml:space="preserve">3.5.1 </w:t>
      </w:r>
      <w:r>
        <w:rPr>
          <w:rFonts w:hint="eastAsia" w:ascii="宋体" w:hAnsi="宋体" w:cs="宋体"/>
          <w:color w:val="auto"/>
          <w:spacing w:val="-6"/>
          <w:sz w:val="24"/>
          <w:highlight w:val="none"/>
        </w:rPr>
        <w:t xml:space="preserve">评标委员会按本章第 </w:t>
      </w:r>
      <w:r>
        <w:rPr>
          <w:rFonts w:hint="eastAsia" w:ascii="宋体" w:hAnsi="宋体" w:cs="宋体"/>
          <w:color w:val="auto"/>
          <w:sz w:val="24"/>
          <w:highlight w:val="none"/>
        </w:rPr>
        <w:t xml:space="preserve">2.2 </w:t>
      </w:r>
      <w:r>
        <w:rPr>
          <w:rFonts w:hint="eastAsia" w:ascii="宋体" w:hAnsi="宋体" w:cs="宋体"/>
          <w:color w:val="auto"/>
          <w:spacing w:val="-2"/>
          <w:sz w:val="24"/>
          <w:highlight w:val="none"/>
        </w:rPr>
        <w:t>款规定的量化因素和分值进行打分，并计算出评标价</w:t>
      </w:r>
      <w:r>
        <w:rPr>
          <w:rFonts w:hint="eastAsia" w:cs="宋体"/>
          <w:color w:val="auto"/>
          <w:spacing w:val="-2"/>
          <w:sz w:val="24"/>
          <w:highlight w:val="none"/>
        </w:rPr>
        <w:t>，并编制价格比较一览表</w:t>
      </w:r>
      <w:r>
        <w:rPr>
          <w:rFonts w:hint="eastAsia" w:ascii="宋体" w:hAnsi="宋体" w:cs="宋体"/>
          <w:color w:val="auto"/>
          <w:sz w:val="24"/>
          <w:highlight w:val="none"/>
        </w:rPr>
        <w:t>。</w:t>
      </w:r>
    </w:p>
    <w:p>
      <w:pPr>
        <w:pStyle w:val="15"/>
        <w:tabs>
          <w:tab w:val="left" w:pos="1505"/>
        </w:tabs>
        <w:adjustRightInd w:val="0"/>
        <w:snapToGrid w:val="0"/>
        <w:spacing w:line="336" w:lineRule="auto"/>
        <w:ind w:left="0" w:firstLine="464" w:firstLineChars="200"/>
        <w:jc w:val="both"/>
        <w:rPr>
          <w:rFonts w:hint="eastAsia" w:ascii="宋体" w:hAnsi="宋体" w:cs="宋体"/>
          <w:color w:val="auto"/>
          <w:sz w:val="24"/>
          <w:highlight w:val="none"/>
        </w:rPr>
      </w:pPr>
      <w:r>
        <w:rPr>
          <w:rFonts w:hint="eastAsia" w:cs="宋体"/>
          <w:color w:val="auto"/>
          <w:spacing w:val="-4"/>
          <w:sz w:val="24"/>
          <w:highlight w:val="none"/>
        </w:rPr>
        <w:t xml:space="preserve">3.5.2 </w:t>
      </w:r>
      <w:r>
        <w:rPr>
          <w:rFonts w:hint="eastAsia" w:ascii="宋体" w:hAnsi="宋体" w:cs="宋体"/>
          <w:color w:val="auto"/>
          <w:spacing w:val="-4"/>
          <w:sz w:val="24"/>
          <w:highlight w:val="none"/>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36" w:name="_bookmark104"/>
      <w:bookmarkEnd w:id="36"/>
      <w:bookmarkStart w:id="37" w:name="_Toc7684"/>
      <w:bookmarkStart w:id="38" w:name="_Toc27394"/>
      <w:bookmarkStart w:id="39" w:name="_Toc19633"/>
      <w:r>
        <w:rPr>
          <w:rFonts w:hint="eastAsia" w:cs="宋体"/>
          <w:b/>
          <w:bCs/>
          <w:color w:val="auto"/>
          <w:sz w:val="24"/>
          <w:highlight w:val="none"/>
        </w:rPr>
        <w:t xml:space="preserve">3.6 </w:t>
      </w:r>
      <w:r>
        <w:rPr>
          <w:rFonts w:hint="eastAsia" w:ascii="宋体" w:hAnsi="宋体" w:cs="宋体"/>
          <w:b/>
          <w:bCs/>
          <w:color w:val="auto"/>
          <w:sz w:val="24"/>
          <w:highlight w:val="none"/>
        </w:rPr>
        <w:t>投标文件相关信息的核查</w:t>
      </w:r>
      <w:bookmarkEnd w:id="37"/>
      <w:bookmarkEnd w:id="38"/>
      <w:bookmarkEnd w:id="39"/>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3.6.1 </w:t>
      </w:r>
      <w:r>
        <w:rPr>
          <w:rFonts w:hint="eastAsia" w:ascii="宋体" w:hAnsi="宋体" w:cs="宋体"/>
          <w:color w:val="auto"/>
          <w:sz w:val="24"/>
          <w:highlight w:val="none"/>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pStyle w:val="15"/>
        <w:tabs>
          <w:tab w:val="left" w:pos="1505"/>
        </w:tabs>
        <w:adjustRightInd w:val="0"/>
        <w:snapToGrid w:val="0"/>
        <w:spacing w:line="336" w:lineRule="auto"/>
        <w:ind w:left="0" w:firstLine="464" w:firstLineChars="200"/>
        <w:jc w:val="both"/>
        <w:rPr>
          <w:rFonts w:hint="eastAsia" w:ascii="宋体" w:hAnsi="宋体" w:cs="宋体"/>
          <w:color w:val="auto"/>
          <w:sz w:val="24"/>
          <w:highlight w:val="none"/>
        </w:rPr>
      </w:pPr>
      <w:r>
        <w:rPr>
          <w:rFonts w:hint="eastAsia" w:cs="宋体"/>
          <w:color w:val="auto"/>
          <w:spacing w:val="-4"/>
          <w:sz w:val="24"/>
          <w:highlight w:val="none"/>
        </w:rPr>
        <w:t xml:space="preserve">3.6.2 </w:t>
      </w:r>
      <w:r>
        <w:rPr>
          <w:rFonts w:hint="eastAsia" w:ascii="宋体" w:hAnsi="宋体" w:cs="宋体"/>
          <w:color w:val="auto"/>
          <w:spacing w:val="-4"/>
          <w:sz w:val="24"/>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（1）有下列情形之一的，属于投标人相互串通投标：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a.投标人之间协商投标报价等投标文件的实质性内容；</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b.投标人之间约定中标人；</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c.投标人之间约定部分投标人放弃投标或中标；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d.属于同一集团、协会、商会等组织成员的投标人按照该组织要求协同投标；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e.投标人之间为谋取中标或排斥特定投标人而采取的其他联合行动。</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（2）有下列情形之一的，视为投标人相互串通投标：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a.不同投标人的投标文件由同一单位或个人编制； b.不同投标人委托同一单位或个人办理投标事宜；</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c.不同投标人的投标文件载明的项目管理成员为同一人；</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d.不同投标人的投标文件异常一致或投标报价呈规律性差异；</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 xml:space="preserve">e.不同投标人的投标文件相互混装；                   </w:t>
      </w:r>
    </w:p>
    <w:p>
      <w:pPr>
        <w:pStyle w:val="5"/>
        <w:adjustRightInd w:val="0"/>
        <w:snapToGrid w:val="0"/>
        <w:spacing w:line="336" w:lineRule="auto"/>
        <w:ind w:firstLine="476" w:firstLineChars="200"/>
        <w:jc w:val="both"/>
        <w:rPr>
          <w:rFonts w:hint="eastAsia"/>
          <w:color w:val="auto"/>
          <w:highlight w:val="none"/>
        </w:rPr>
      </w:pPr>
      <w:r>
        <w:rPr>
          <w:rFonts w:hint="eastAsia"/>
          <w:color w:val="auto"/>
          <w:spacing w:val="-1"/>
          <w:highlight w:val="none"/>
        </w:rPr>
        <w:t>f.</w:t>
      </w:r>
      <w:r>
        <w:rPr>
          <w:rFonts w:hint="eastAsia"/>
          <w:color w:val="auto"/>
          <w:highlight w:val="none"/>
        </w:rPr>
        <w:t>不同投标人的投标保证金从同一单位或个人的账户转出。</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（3）有下列情形之一的，属于招标人与投标人串通投标：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a.招标人在开标前开启投标文件并将有关信息泄露给其他投标人;</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b.招标人直接或间接向投标人泄露标底、评标委员会成员等信息；</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c.招标人明示或暗示投标人压低或抬高投标报价；</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 xml:space="preserve">d.招标人授意投标人撤换、修改投标文件；           </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e.招标人明示或暗示投标人为特定投标人中标提供方便；</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f.招标人与投标人为谋求特定投标人中标而采取的其他串通行为。</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（4）投标人有下列情形之一的，属于弄虚作假的行为：</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a.使用通过受让或租借等方式获取的资格、资质证书投标；</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b.使用伪造、变造的许可证件；</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c.提供虚假的财务状况或业绩；</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d.提供虚假的项目负责人或主要技术人员简历、劳动关系证明；</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e.提供虚假的信用状况；</w:t>
      </w:r>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f.其他弄虚作假的行为。</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40" w:name="_bookmark105"/>
      <w:bookmarkEnd w:id="40"/>
      <w:bookmarkStart w:id="41" w:name="_Toc9697"/>
      <w:bookmarkStart w:id="42" w:name="_Toc31286"/>
      <w:bookmarkStart w:id="43" w:name="_Toc15870"/>
      <w:r>
        <w:rPr>
          <w:rFonts w:hint="eastAsia" w:cs="宋体"/>
          <w:b/>
          <w:bCs/>
          <w:color w:val="auto"/>
          <w:sz w:val="24"/>
          <w:highlight w:val="none"/>
        </w:rPr>
        <w:t xml:space="preserve">3.7 </w:t>
      </w:r>
      <w:r>
        <w:rPr>
          <w:rFonts w:hint="eastAsia" w:ascii="宋体" w:hAnsi="宋体" w:cs="宋体"/>
          <w:b/>
          <w:bCs/>
          <w:color w:val="auto"/>
          <w:sz w:val="24"/>
          <w:highlight w:val="none"/>
        </w:rPr>
        <w:t>投标文件的澄清和说明</w:t>
      </w:r>
      <w:bookmarkEnd w:id="41"/>
      <w:bookmarkEnd w:id="42"/>
      <w:bookmarkEnd w:id="43"/>
    </w:p>
    <w:p>
      <w:pPr>
        <w:pStyle w:val="15"/>
        <w:tabs>
          <w:tab w:val="left" w:pos="1505"/>
        </w:tabs>
        <w:adjustRightInd w:val="0"/>
        <w:snapToGrid w:val="0"/>
        <w:spacing w:line="336" w:lineRule="auto"/>
        <w:ind w:left="0" w:firstLine="444" w:firstLineChars="200"/>
        <w:jc w:val="both"/>
        <w:rPr>
          <w:rFonts w:hint="eastAsia" w:ascii="宋体" w:hAnsi="宋体" w:cs="宋体"/>
          <w:color w:val="auto"/>
          <w:sz w:val="24"/>
          <w:highlight w:val="none"/>
        </w:rPr>
      </w:pPr>
      <w:r>
        <w:rPr>
          <w:rFonts w:hint="eastAsia" w:cs="宋体"/>
          <w:color w:val="auto"/>
          <w:spacing w:val="-9"/>
          <w:sz w:val="24"/>
          <w:highlight w:val="none"/>
        </w:rPr>
        <w:t xml:space="preserve">3.7.1 </w:t>
      </w:r>
      <w:r>
        <w:rPr>
          <w:rFonts w:hint="eastAsia" w:ascii="宋体" w:hAnsi="宋体" w:cs="宋体"/>
          <w:color w:val="auto"/>
          <w:spacing w:val="-9"/>
          <w:sz w:val="24"/>
          <w:highlight w:val="none"/>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15"/>
        <w:tabs>
          <w:tab w:val="left" w:pos="1505"/>
        </w:tabs>
        <w:adjustRightInd w:val="0"/>
        <w:snapToGrid w:val="0"/>
        <w:spacing w:line="336" w:lineRule="auto"/>
        <w:ind w:left="0" w:firstLine="468" w:firstLineChars="200"/>
        <w:jc w:val="both"/>
        <w:rPr>
          <w:rFonts w:hint="eastAsia" w:ascii="宋体" w:hAnsi="宋体" w:cs="宋体"/>
          <w:color w:val="auto"/>
          <w:sz w:val="24"/>
          <w:highlight w:val="none"/>
        </w:rPr>
      </w:pPr>
      <w:r>
        <w:rPr>
          <w:rFonts w:hint="eastAsia" w:cs="宋体"/>
          <w:color w:val="auto"/>
          <w:spacing w:val="-3"/>
          <w:sz w:val="24"/>
          <w:highlight w:val="none"/>
        </w:rPr>
        <w:t xml:space="preserve">3.7.2 </w:t>
      </w:r>
      <w:r>
        <w:rPr>
          <w:rFonts w:hint="eastAsia" w:ascii="宋体" w:hAnsi="宋体" w:cs="宋体"/>
          <w:color w:val="auto"/>
          <w:spacing w:val="-3"/>
          <w:sz w:val="24"/>
          <w:highlight w:val="none"/>
        </w:rPr>
        <w:t>澄清和说明不得超出投标文件的范围或改变投标文件的实质性内容</w:t>
      </w:r>
      <w:r>
        <w:rPr>
          <w:rFonts w:hint="eastAsia" w:ascii="宋体" w:hAnsi="宋体" w:cs="宋体"/>
          <w:color w:val="auto"/>
          <w:sz w:val="24"/>
          <w:highlight w:val="none"/>
        </w:rPr>
        <w:t>（算术性错误的修正除外</w:t>
      </w:r>
      <w:r>
        <w:rPr>
          <w:rFonts w:hint="eastAsia" w:ascii="宋体" w:hAnsi="宋体" w:cs="宋体"/>
          <w:color w:val="auto"/>
          <w:spacing w:val="-120"/>
          <w:sz w:val="24"/>
          <w:highlight w:val="none"/>
        </w:rPr>
        <w:t>）</w:t>
      </w:r>
      <w:r>
        <w:rPr>
          <w:rFonts w:hint="eastAsia" w:ascii="宋体" w:hAnsi="宋体" w:cs="宋体"/>
          <w:color w:val="auto"/>
          <w:sz w:val="24"/>
          <w:highlight w:val="none"/>
        </w:rPr>
        <w:t>。投标人的书面澄清、说明属于投标文件的组成部分。</w:t>
      </w:r>
    </w:p>
    <w:p>
      <w:pPr>
        <w:pStyle w:val="15"/>
        <w:tabs>
          <w:tab w:val="left" w:pos="1505"/>
        </w:tabs>
        <w:adjustRightInd w:val="0"/>
        <w:snapToGrid w:val="0"/>
        <w:spacing w:line="336" w:lineRule="auto"/>
        <w:ind w:left="0" w:firstLine="436" w:firstLineChars="200"/>
        <w:jc w:val="both"/>
        <w:rPr>
          <w:rFonts w:hint="eastAsia" w:ascii="宋体" w:hAnsi="宋体" w:cs="宋体"/>
          <w:color w:val="auto"/>
          <w:sz w:val="24"/>
          <w:highlight w:val="none"/>
        </w:rPr>
      </w:pPr>
      <w:r>
        <w:rPr>
          <w:rFonts w:hint="eastAsia" w:cs="宋体"/>
          <w:color w:val="auto"/>
          <w:spacing w:val="-11"/>
          <w:sz w:val="24"/>
          <w:highlight w:val="none"/>
        </w:rPr>
        <w:t xml:space="preserve">3.7.3 </w:t>
      </w:r>
      <w:r>
        <w:rPr>
          <w:rFonts w:hint="eastAsia" w:ascii="宋体" w:hAnsi="宋体" w:cs="宋体"/>
          <w:color w:val="auto"/>
          <w:spacing w:val="-11"/>
          <w:sz w:val="24"/>
          <w:highlight w:val="none"/>
        </w:rPr>
        <w:t>评标委员会不得暗示或诱导投标人作出澄清、说明，对投标人提交的澄清、说明有疑问的，可以要求投标人进一步澄清或说明，直至满足评标委员会的要求。</w:t>
      </w:r>
    </w:p>
    <w:p>
      <w:pPr>
        <w:pStyle w:val="15"/>
        <w:tabs>
          <w:tab w:val="left" w:pos="1505"/>
        </w:tabs>
        <w:adjustRightInd w:val="0"/>
        <w:snapToGrid w:val="0"/>
        <w:spacing w:line="336" w:lineRule="auto"/>
        <w:ind w:left="0" w:firstLine="468" w:firstLineChars="200"/>
        <w:jc w:val="both"/>
        <w:rPr>
          <w:rFonts w:hint="eastAsia" w:ascii="宋体" w:hAnsi="宋体" w:cs="宋体"/>
          <w:color w:val="auto"/>
          <w:sz w:val="10"/>
          <w:highlight w:val="none"/>
        </w:rPr>
      </w:pPr>
      <w:r>
        <w:rPr>
          <w:rFonts w:hint="eastAsia" w:cs="宋体"/>
          <w:color w:val="auto"/>
          <w:spacing w:val="-3"/>
          <w:sz w:val="24"/>
          <w:highlight w:val="none"/>
        </w:rPr>
        <w:t xml:space="preserve">3.7.4 </w:t>
      </w:r>
      <w:r>
        <w:rPr>
          <w:rFonts w:hint="eastAsia" w:ascii="宋体" w:hAnsi="宋体" w:cs="宋体"/>
          <w:color w:val="auto"/>
          <w:spacing w:val="-3"/>
          <w:sz w:val="24"/>
          <w:highlight w:val="none"/>
        </w:rPr>
        <w:t>凡超出招标文件规定的或给发包人带来未曾要求的利益的变化、偏差或其他因素在评标时不予考虑。</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44" w:name="_bookmark106"/>
      <w:bookmarkEnd w:id="44"/>
      <w:bookmarkStart w:id="45" w:name="_Toc28916"/>
      <w:bookmarkStart w:id="46" w:name="_Toc22779"/>
      <w:bookmarkStart w:id="47" w:name="_Toc6190"/>
      <w:r>
        <w:rPr>
          <w:rFonts w:hint="eastAsia" w:cs="宋体"/>
          <w:b/>
          <w:bCs/>
          <w:color w:val="auto"/>
          <w:sz w:val="24"/>
          <w:highlight w:val="none"/>
        </w:rPr>
        <w:t xml:space="preserve">3.8 </w:t>
      </w:r>
      <w:r>
        <w:rPr>
          <w:rFonts w:hint="eastAsia" w:ascii="宋体" w:hAnsi="宋体" w:cs="宋体"/>
          <w:b/>
          <w:bCs/>
          <w:color w:val="auto"/>
          <w:sz w:val="24"/>
          <w:highlight w:val="none"/>
        </w:rPr>
        <w:t>不得否决投标的情形</w:t>
      </w:r>
      <w:bookmarkEnd w:id="45"/>
      <w:bookmarkEnd w:id="46"/>
      <w:bookmarkEnd w:id="47"/>
    </w:p>
    <w:p>
      <w:pPr>
        <w:pStyle w:val="5"/>
        <w:adjustRightInd w:val="0"/>
        <w:snapToGrid w:val="0"/>
        <w:spacing w:line="336" w:lineRule="auto"/>
        <w:ind w:firstLine="480" w:firstLineChars="200"/>
        <w:jc w:val="both"/>
        <w:rPr>
          <w:rFonts w:hint="eastAsia"/>
          <w:color w:val="auto"/>
          <w:highlight w:val="none"/>
        </w:rPr>
      </w:pPr>
      <w:r>
        <w:rPr>
          <w:rFonts w:hint="eastAsia"/>
          <w:color w:val="auto"/>
          <w:highlight w:val="none"/>
        </w:rPr>
        <w:t>投标文件存在第二章“投标人须知”第 1.12.3 项所列情形的，均视为细微偏差，评标委员会不得否决投标人的投标，应按照第二章“投标人须知”第 1.12.4 项规定的原则处理。</w:t>
      </w:r>
    </w:p>
    <w:p>
      <w:pPr>
        <w:pStyle w:val="15"/>
        <w:tabs>
          <w:tab w:val="left" w:pos="905"/>
        </w:tabs>
        <w:adjustRightInd w:val="0"/>
        <w:snapToGrid w:val="0"/>
        <w:spacing w:line="336" w:lineRule="auto"/>
        <w:ind w:left="0" w:firstLine="482" w:firstLineChars="200"/>
        <w:jc w:val="both"/>
        <w:outlineLvl w:val="3"/>
        <w:rPr>
          <w:rFonts w:hint="eastAsia" w:ascii="宋体" w:hAnsi="宋体" w:cs="宋体"/>
          <w:b/>
          <w:bCs/>
          <w:color w:val="auto"/>
          <w:sz w:val="24"/>
          <w:highlight w:val="none"/>
        </w:rPr>
      </w:pPr>
      <w:bookmarkStart w:id="48" w:name="_bookmark107"/>
      <w:bookmarkEnd w:id="48"/>
      <w:bookmarkStart w:id="49" w:name="_Toc22646"/>
      <w:bookmarkStart w:id="50" w:name="_Toc2841"/>
      <w:bookmarkStart w:id="51" w:name="_Toc9689"/>
      <w:r>
        <w:rPr>
          <w:rFonts w:hint="eastAsia" w:cs="宋体"/>
          <w:b/>
          <w:bCs/>
          <w:color w:val="auto"/>
          <w:sz w:val="24"/>
          <w:highlight w:val="none"/>
        </w:rPr>
        <w:t xml:space="preserve">3.9 </w:t>
      </w:r>
      <w:r>
        <w:rPr>
          <w:rFonts w:hint="eastAsia" w:ascii="宋体" w:hAnsi="宋体" w:cs="宋体"/>
          <w:b/>
          <w:bCs/>
          <w:color w:val="auto"/>
          <w:sz w:val="24"/>
          <w:highlight w:val="none"/>
        </w:rPr>
        <w:t>评标结果</w:t>
      </w:r>
      <w:bookmarkEnd w:id="49"/>
      <w:bookmarkEnd w:id="50"/>
      <w:bookmarkEnd w:id="51"/>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3.9.1 </w:t>
      </w:r>
      <w:r>
        <w:rPr>
          <w:rFonts w:hint="eastAsia" w:ascii="宋体" w:hAnsi="宋体" w:cs="宋体"/>
          <w:color w:val="auto"/>
          <w:sz w:val="24"/>
          <w:highlight w:val="none"/>
        </w:rPr>
        <w:t>除第二章“投标人须知”前附表授权直接确定中标人外，评标委员会按照得分由高到低的顺序推荐中标候选人，并标明排序。</w:t>
      </w:r>
    </w:p>
    <w:p>
      <w:pPr>
        <w:pStyle w:val="15"/>
        <w:tabs>
          <w:tab w:val="left" w:pos="1505"/>
        </w:tabs>
        <w:adjustRightInd w:val="0"/>
        <w:snapToGrid w:val="0"/>
        <w:spacing w:line="336" w:lineRule="auto"/>
        <w:ind w:left="0" w:firstLineChars="200"/>
        <w:jc w:val="both"/>
        <w:rPr>
          <w:rFonts w:hint="eastAsia" w:ascii="宋体" w:hAnsi="宋体" w:cs="宋体"/>
          <w:color w:val="auto"/>
          <w:sz w:val="24"/>
          <w:highlight w:val="none"/>
        </w:rPr>
      </w:pPr>
      <w:r>
        <w:rPr>
          <w:rFonts w:hint="eastAsia" w:cs="宋体"/>
          <w:color w:val="auto"/>
          <w:sz w:val="24"/>
          <w:highlight w:val="none"/>
        </w:rPr>
        <w:t xml:space="preserve">3.9.2 </w:t>
      </w:r>
      <w:r>
        <w:rPr>
          <w:rFonts w:hint="eastAsia" w:ascii="宋体" w:hAnsi="宋体" w:cs="宋体"/>
          <w:color w:val="auto"/>
          <w:sz w:val="24"/>
          <w:highlight w:val="none"/>
        </w:rPr>
        <w:t>评标委员会完成评标后，应向招标人提交书面评标报告。</w:t>
      </w:r>
    </w:p>
    <w:p>
      <w:pPr>
        <w:pageBreakBefore w:val="0"/>
        <w:wordWrap/>
        <w:overflowPunct/>
        <w:topLinePunct w:val="0"/>
        <w:bidi w:val="0"/>
        <w:spacing w:line="240" w:lineRule="auto"/>
        <w:ind w:left="0" w:leftChars="0" w:firstLine="0" w:firstLineChars="0"/>
        <w:jc w:val="left"/>
        <w:rPr>
          <w:rFonts w:hint="default"/>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A91CB"/>
    <w:multiLevelType w:val="singleLevel"/>
    <w:tmpl w:val="8C7A91CB"/>
    <w:lvl w:ilvl="0" w:tentative="0">
      <w:start w:val="1"/>
      <w:numFmt w:val="decimal"/>
      <w:suff w:val="space"/>
      <w:lvlText w:val="%1."/>
      <w:lvlJc w:val="left"/>
      <w:pPr>
        <w:ind w:left="91"/>
      </w:pPr>
    </w:lvl>
  </w:abstractNum>
  <w:abstractNum w:abstractNumId="1">
    <w:nsid w:val="2036A8B1"/>
    <w:multiLevelType w:val="singleLevel"/>
    <w:tmpl w:val="2036A8B1"/>
    <w:lvl w:ilvl="0" w:tentative="0">
      <w:start w:val="1"/>
      <w:numFmt w:val="decimal"/>
      <w:suff w:val="nothing"/>
      <w:lvlText w:val="（%1）"/>
      <w:lvlJc w:val="left"/>
      <w:pPr>
        <w:ind w:left="30"/>
      </w:pPr>
    </w:lvl>
  </w:abstractNum>
  <w:abstractNum w:abstractNumId="2">
    <w:nsid w:val="6C785E14"/>
    <w:multiLevelType w:val="singleLevel"/>
    <w:tmpl w:val="6C785E14"/>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YzkwODM4NDY5MTQ0ODA2NGZhYTBmZGJmNjNkOTMifQ=="/>
  </w:docVars>
  <w:rsids>
    <w:rsidRoot w:val="557E1660"/>
    <w:rsid w:val="00FE0086"/>
    <w:rsid w:val="059041E1"/>
    <w:rsid w:val="05A37499"/>
    <w:rsid w:val="07AA7E48"/>
    <w:rsid w:val="106618D1"/>
    <w:rsid w:val="112F2A74"/>
    <w:rsid w:val="12731C6C"/>
    <w:rsid w:val="25315CF7"/>
    <w:rsid w:val="27E440EE"/>
    <w:rsid w:val="2C8868D9"/>
    <w:rsid w:val="382E6954"/>
    <w:rsid w:val="3A8F71F9"/>
    <w:rsid w:val="3CFA2D1F"/>
    <w:rsid w:val="3F353E9E"/>
    <w:rsid w:val="42377429"/>
    <w:rsid w:val="4989732B"/>
    <w:rsid w:val="4C8114CD"/>
    <w:rsid w:val="4D602609"/>
    <w:rsid w:val="4E4A4C32"/>
    <w:rsid w:val="4F6C05F9"/>
    <w:rsid w:val="51375A82"/>
    <w:rsid w:val="53952704"/>
    <w:rsid w:val="554B412D"/>
    <w:rsid w:val="557E1660"/>
    <w:rsid w:val="59466E0D"/>
    <w:rsid w:val="60500D64"/>
    <w:rsid w:val="6CEE0D79"/>
    <w:rsid w:val="71541077"/>
    <w:rsid w:val="74D44261"/>
    <w:rsid w:val="79E434D9"/>
    <w:rsid w:val="7ACA1375"/>
    <w:rsid w:val="7BA1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宋体" w:cs="Times New Roman"/>
      <w:kern w:val="2"/>
      <w:sz w:val="24"/>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1"/>
    <w:pPr>
      <w:autoSpaceDE w:val="0"/>
      <w:autoSpaceDN w:val="0"/>
      <w:adjustRightInd w:val="0"/>
      <w:spacing w:beforeLines="0" w:afterLines="0"/>
      <w:jc w:val="left"/>
      <w:outlineLvl w:val="2"/>
    </w:pPr>
    <w:rPr>
      <w:rFonts w:hint="eastAsia" w:ascii="黑体" w:hAnsi="黑体" w:eastAsia="黑体"/>
      <w:b/>
      <w:sz w:val="44"/>
      <w:szCs w:val="24"/>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w:basedOn w:val="1"/>
    <w:next w:val="1"/>
    <w:qFormat/>
    <w:uiPriority w:val="0"/>
    <w:rPr>
      <w:sz w:val="24"/>
      <w:szCs w:val="24"/>
    </w:r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autoSpaceDE w:val="0"/>
      <w:autoSpaceDN w:val="0"/>
      <w:adjustRightInd w:val="0"/>
      <w:snapToGrid w:val="0"/>
      <w:spacing w:beforeLines="0" w:afterLines="0"/>
      <w:jc w:val="left"/>
    </w:pPr>
    <w:rPr>
      <w:rFonts w:hint="default"/>
      <w:sz w:val="18"/>
      <w:szCs w:val="24"/>
    </w:rPr>
  </w:style>
  <w:style w:type="paragraph" w:styleId="8">
    <w:name w:val="header"/>
    <w:basedOn w:val="1"/>
    <w:unhideWhenUsed/>
    <w:qFormat/>
    <w:uiPriority w:val="0"/>
    <w:pPr>
      <w:pBdr>
        <w:bottom w:val="single" w:color="auto" w:sz="6" w:space="1"/>
      </w:pBdr>
      <w:tabs>
        <w:tab w:val="center" w:pos="4153"/>
        <w:tab w:val="right" w:pos="8306"/>
      </w:tabs>
      <w:autoSpaceDE w:val="0"/>
      <w:autoSpaceDN w:val="0"/>
      <w:adjustRightInd w:val="0"/>
      <w:snapToGrid w:val="0"/>
      <w:spacing w:beforeLines="0" w:afterLines="0"/>
      <w:jc w:val="center"/>
    </w:pPr>
    <w:rPr>
      <w:rFonts w:hint="default"/>
      <w:sz w:val="18"/>
      <w:szCs w:val="24"/>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6"/>
    <w:qFormat/>
    <w:uiPriority w:val="0"/>
    <w:pPr>
      <w:ind w:firstLine="420"/>
    </w:pPr>
  </w:style>
  <w:style w:type="character" w:styleId="13">
    <w:name w:val="Hyperlink"/>
    <w:basedOn w:val="12"/>
    <w:qFormat/>
    <w:uiPriority w:val="0"/>
    <w:rPr>
      <w:color w:val="0000FF"/>
      <w:u w:val="single"/>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List Paragraph"/>
    <w:basedOn w:val="1"/>
    <w:qFormat/>
    <w:uiPriority w:val="1"/>
    <w:pPr>
      <w:spacing w:before="2"/>
      <w:ind w:left="1474" w:firstLine="480"/>
    </w:pPr>
    <w:rPr>
      <w:rFonts w:ascii="宋体" w:hAnsi="宋体" w:eastAsia="宋体" w:cs="宋体"/>
      <w:lang w:val="zh-CN" w:eastAsia="zh-CN" w:bidi="zh-CN"/>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3238</Words>
  <Characters>3527</Characters>
  <Lines>0</Lines>
  <Paragraphs>0</Paragraphs>
  <TotalTime>1</TotalTime>
  <ScaleCrop>false</ScaleCrop>
  <LinksUpToDate>false</LinksUpToDate>
  <CharactersWithSpaces>3818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2022-06-15T03:58:00Z</dcterms:created>
  <dc:creator>WPS_1600825042</dc:creator>
  <cp:lastModifiedBy>Sol</cp:lastModifiedBy>
  <dcterms:modified xsi:type="dcterms:W3CDTF">2025-08-20T00:48:07Z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D1FEC840081E48F8BF302EAB8022B9F6</vt:lpwstr>
  </property>
</Properties>
</file>