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40D2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14:textFill>
            <w14:solidFill>
              <w14:schemeClr w14:val="tx1"/>
            </w14:solidFill>
          </w14:textFill>
        </w:rPr>
        <w:t>江西省制造业数字化转型实施方案</w:t>
      </w:r>
    </w:p>
    <w:p w14:paraId="77F063A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13"/>
          <w:szCs w:val="13"/>
          <w:shd w:val="clear" w:fill="FFFFFF"/>
          <w14:textFill>
            <w14:solidFill>
              <w14:schemeClr w14:val="tx1"/>
            </w14:solidFill>
          </w14:textFill>
        </w:rPr>
      </w:pPr>
    </w:p>
    <w:p w14:paraId="6FCDA51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制造业数字化转型是数字经济和实体经济深度融合的主攻方向，是推动经济高质量发展的重要支撑。为深入贯彻落实党中央、国务院关于推进新型工业化和发展数字经济的决策部署，加快数智化建设，推动全省经济高质量发展，特制定本实施方案。</w:t>
      </w:r>
    </w:p>
    <w:p w14:paraId="08C307D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黑体" w:hAnsi="黑体" w:eastAsia="黑体" w:cs="黑体"/>
          <w:b w:val="0"/>
          <w:bCs w:val="0"/>
          <w:color w:val="000000" w:themeColor="text1"/>
          <w:sz w:val="24"/>
          <w:szCs w:val="24"/>
          <w14:textFill>
            <w14:solidFill>
              <w14:schemeClr w14:val="tx1"/>
            </w14:solidFill>
          </w14:textFill>
        </w:rPr>
      </w:pPr>
      <w:r>
        <w:rPr>
          <w:rStyle w:val="6"/>
          <w:rFonts w:hint="eastAsia" w:ascii="黑体" w:hAnsi="黑体" w:eastAsia="黑体" w:cs="黑体"/>
          <w:b w:val="0"/>
          <w:bCs w:val="0"/>
          <w:i w:val="0"/>
          <w:iCs w:val="0"/>
          <w:caps w:val="0"/>
          <w:color w:val="000000" w:themeColor="text1"/>
          <w:spacing w:val="0"/>
          <w:sz w:val="24"/>
          <w:szCs w:val="24"/>
          <w:shd w:val="clear" w:fill="FFFFFF"/>
          <w14:textFill>
            <w14:solidFill>
              <w14:schemeClr w14:val="tx1"/>
            </w14:solidFill>
          </w14:textFill>
        </w:rPr>
        <w:t>一、总体要求</w:t>
      </w:r>
    </w:p>
    <w:p w14:paraId="6BEEE92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（一）指导思想。</w:t>
      </w:r>
      <w:r>
        <w:rPr>
          <w:rFonts w:hint="eastAsia" w:ascii="仿宋_GB2312" w:hAnsi="仿宋_GB2312" w:eastAsia="仿宋_GB2312" w:cs="仿宋_GB2312"/>
          <w:i w:val="0"/>
          <w:iCs w:val="0"/>
          <w:caps w:val="0"/>
          <w:color w:val="000000" w:themeColor="text1"/>
          <w:spacing w:val="-6"/>
          <w:sz w:val="24"/>
          <w:szCs w:val="24"/>
          <w:shd w:val="clear" w:fill="FFFFFF"/>
          <w14:textFill>
            <w14:solidFill>
              <w14:schemeClr w14:val="tx1"/>
            </w14:solidFill>
          </w14:textFill>
        </w:rPr>
        <w:t>以习近平新时代中国特色社会主义思想为指导，深入贯彻党的二十大精神和习近平总书记视察江西重要讲话精神，完整、准确、全面贯彻新发展理念，聚焦“作示范、勇争先”的目标要求，以新一代信息技术与制造业深度融合发展为路径，以智能制造为牵引，以工业互联网创新发展为抓手，推动制造业智能化、绿色化、融合化发展，为构建现代化产业体系、建设新兴工业强省提供有力支撑。</w:t>
      </w:r>
    </w:p>
    <w:p w14:paraId="61128CD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（二）发展目标。</w:t>
      </w: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加快数字化、网络化、智能化技术在各领域的应用，推动制造业发展质量变革、效率变革、动力变革。到2025年，新型基础设施支撑更加有效，工业互联网平台普及率力争达到45%。数字化服务资源有效满足企业需求，规模以上工业企业普查问诊实现全覆盖。推动1万家以上企业运用新一代信息技术实施数字化转型，带动30万家企业上云用云降本提质增效。两化融合（信息化和工业化融合）发展指数超过全国平均水平，基本形成覆盖产业链上下游及跨行业融合的数字化转型生态，为加快建设新兴工业强省赋能增效。</w:t>
      </w:r>
    </w:p>
    <w:p w14:paraId="16BB082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Style w:val="6"/>
          <w:rFonts w:hint="eastAsia" w:ascii="黑体" w:hAnsi="黑体" w:eastAsia="黑体" w:cs="黑体"/>
          <w:b w:val="0"/>
          <w:bCs w:val="0"/>
          <w:i w:val="0"/>
          <w:iCs w:val="0"/>
          <w:caps w:val="0"/>
          <w:color w:val="000000" w:themeColor="text1"/>
          <w:spacing w:val="0"/>
          <w:sz w:val="24"/>
          <w:szCs w:val="24"/>
          <w:shd w:val="clear" w:fill="FFFFFF"/>
          <w14:textFill>
            <w14:solidFill>
              <w14:schemeClr w14:val="tx1"/>
            </w14:solidFill>
          </w14:textFill>
        </w:rPr>
      </w:pPr>
      <w:r>
        <w:rPr>
          <w:rStyle w:val="6"/>
          <w:rFonts w:hint="eastAsia" w:ascii="黑体" w:hAnsi="黑体" w:eastAsia="黑体" w:cs="黑体"/>
          <w:b w:val="0"/>
          <w:bCs w:val="0"/>
          <w:i w:val="0"/>
          <w:iCs w:val="0"/>
          <w:caps w:val="0"/>
          <w:color w:val="000000" w:themeColor="text1"/>
          <w:spacing w:val="0"/>
          <w:sz w:val="24"/>
          <w:szCs w:val="24"/>
          <w:shd w:val="clear" w:fill="FFFFFF"/>
          <w14:textFill>
            <w14:solidFill>
              <w14:schemeClr w14:val="tx1"/>
            </w14:solidFill>
          </w14:textFill>
        </w:rPr>
        <w:t>二、重点任务</w:t>
      </w:r>
    </w:p>
    <w:p w14:paraId="2E097B4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（一）开展实施路径优化行动。</w:t>
      </w:r>
    </w:p>
    <w:p w14:paraId="6F08D32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1．发挥龙头企业数字化转型示范引领作用。支持龙头企业建设工业互联网平台，开放先进技术和应用场景，孵化可复制、可推广的行业数字化解决方案，向产业链上下游中小企业辐射推广。实施龙头企业数字化转型“一企一战略”，支持龙头企业设立首席信息官或首席数据官，打造数字化转型标杆。将数字化转型目标纳入国有企业经营业绩考核。到2025年，国家级“数字领航”企业达到3家。</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（责任单位：省工业和信息化厅、省国资委，各市、县〔区〕人民政府。以下责任单位均涉及各市、县〔区〕人民政府，不再列出）</w:t>
      </w:r>
    </w:p>
    <w:p w14:paraId="38E2B63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2．促进重点行业数字化转型。制定重点行业数字化转型路线图，分行业出台数字化转型行动计划。支持分行业分领域打造标杆，每年培育一批智能工厂（车间）、工业互联网标杆工厂、5G（第五代移动通信）全连接工厂和两化融合标杆企业，在重点行业形成“一行业一标杆”。依托国家工业互联网大数据中心江西分中心建设“产业大脑”总平台，支持地方政府围绕主导产业和优势产业建设“产业大脑”，根据相关规定，按照项目投入的一定比例给予奖补。</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（责任单位：省工业和信息化厅、省发展改革委、省国资委）</w:t>
      </w:r>
    </w:p>
    <w:p w14:paraId="7D41CEF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3．加快开发区数字化转型。聚焦开发区数字化水平不高、数据集成融合难和生态构建能力不强等问题，推进开发区加快实施网络设施升级、数字化改造和平台建设。推进工业互联网一体化进园区，开展“工业互联网+园区/产业集群”和园区数字化管理平台建设，推动工业互联网全面赋能园区。探索发展跨越物理边界的“虚拟”产业园区和产业集群，加快产业资源虚拟化集聚、平台化运营和网络化协同。到2025年，建成工业互联网园区标杆20个左右，省级以上开发区基本实现数字化管理。</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（责任单位：省工业和信息化厅、省发展改革委、省科技厅、省商务厅）</w:t>
      </w:r>
    </w:p>
    <w:p w14:paraId="1C8BFBB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4．推动产业链供应链数字化转型。以龙头企业为重点培育一批生态主导型产业链“链主”企业，支持“链主”企业、第三方机构携手产业链上下游企业，建立联合培训、标准共享的协同管理体系，实现大中小企业融通发展。鼓励龙头企业、行业组织、第三方机构等打造“平台+供应链”模式，为上下游企业及供应商、服务商提供全产业链数据服务，提升产业链整体数字化水平。</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（责任单位：省重点产业链链长制牵头部门）</w:t>
      </w:r>
    </w:p>
    <w:p w14:paraId="6D1BD9B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5．深化中小企业数字化应用。推行普惠性“上云用数赋智”服务，引导企业有序推进工业设备和核心业务上云。开展中小企业数字化水平评测、两化融合管理体系贯标和数据管理能力成熟度评估模型贯标，完善评测结果的市场化采信机制。聚焦中小企业数字化改造需求和融资需求，挖掘一批优质转型产品和解决方案，提供中小企业“用得上、用得起、用得好”的数字化解决方案，推动中小企业积极打造试点示范，分行业形成一批应用成效显著的企业样板，加快中小企业“看样学样”。对获评国家级示范的标杆项目予以支持。到2025年，以“专精特新”中小企业为重点打造“小灯塔”企业300家左右，两化融合管理体系贯标企业1500家，数据管理能力成熟度评估企业100家。</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（责任单位：省工业和信息化厅、省发展改革委、省委网信办、省市场监管局）</w:t>
      </w:r>
    </w:p>
    <w:p w14:paraId="051880C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6．开展智能化改造。支持企业建设智能制造单元、智能产线、智能车间（数字车间），提升核心装备和关键工序数字化水平。加快全要素数据采集与应用，推广设备联网监控、机器视觉质量检测、柔性化工厂运营等应用场景，推进人工智能在生产制造环节的普及使用。加大智能装备产品创新与应用推广力度，建设一批智能制造行业性区域性公共服务平台和研发创新服务综合体。对企业实施数字化转型重大项目，按照公开、公平、公正原则择优确定支持对象，根据项目数字化改造投入的一定比例给予资金奖补。到2025年，培育升级版智能工厂、数字车间2000个以上，智能制造标杆企业200家。</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w:t>
      </w:r>
    </w:p>
    <w:p w14:paraId="590A88C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（二）开展基础设施强基行动。</w:t>
      </w:r>
    </w:p>
    <w:p w14:paraId="520988B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7．推进信息基础设施建设。全面推进“双千兆”网络建设，持续优化产业园区及配套服务载体5G网络建设，全省5G基站建设数达到10万个。加快推进IPv6（互联网协议第6版）在制造业领域深度部署。推进物联网、卫星互联网、车联网等基础设施建设，布局人工智能基础设施，建设数据集和开源工具库。推动区块链基础设施部署，形成可信区块链服务支撑平台。发挥南昌国家级互联网骨干直联点作用，推进全省算力网络布局，推动国际互联网数据专用通道在赣布局。</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（责任单位：省发展改革委、省通信管理局、省委网信办、省科技厅、省广电局、省工业和信息化厅、中国电信江西公司、中国移动江西公司、中国联通江西省分公司、中国铁塔江西省分公司、省广电网络公司）</w:t>
      </w:r>
    </w:p>
    <w:p w14:paraId="4DE1A2F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8．加快工业互联网创新发展。按照数字化管理、平台化设计、智能化制造、网络化协同、个性化定制、服务化延伸等模式，推动工业互联网赋能制造业发展。以“大企业建平台、小企业用平台”为路径，支持建设跨行业、跨领域工业互联网平台和特色型、专业型工业互联网平台，根据建设成效给予奖补。实施“工业互联网+安全生产”，开展“5G+工业互联网”标杆项目、应用场景、标杆企业和园区的培育建设。加快建设国家工业互联网大数据中心江西分中心，布局一批设区市级和行业级工业互联网大数据分中心。有序引导工业互联网标识解析二级节点建设，推动标识解析规模化应用。到2025年，培育国家级工业互联网平台5家左右、省级工业互联网平台100家，建成工业互联网标识解析二级节点20个以上。</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（责任单位：省工业和信息化厅、省发展改革委、省科技厅、省通信管理局、省应急厅）</w:t>
      </w:r>
    </w:p>
    <w:p w14:paraId="1601520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（三）开展服务能力提升行动。</w:t>
      </w:r>
    </w:p>
    <w:p w14:paraId="0851947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9．培育数字化转型服务商。支持龙头企业剥离数字化业务部门成立独立法人，推动基础电信企业向综合服务商转型，培育一批细分行业数字化工程承包商。加大招引力度，吸引国内外顶尖数字化研究机构和优秀服务商来赣投资发展。建立服务绩效考核评价机制，分类建立全省数字化转型服务商生态资源池。到2025年，数字化转型服务商达到300家以上。</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（责任单位：省工业和信息化厅、省发展改革委、省科技厅、省国资委、省通信管理局）</w:t>
      </w:r>
    </w:p>
    <w:p w14:paraId="20DBCFF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u w:val="single"/>
          <w:shd w:val="clear" w:fill="FFFFFF"/>
          <w14:textFill>
            <w14:solidFill>
              <w14:schemeClr w14:val="tx1"/>
            </w14:solidFill>
          </w14:textFill>
        </w:rPr>
        <w:t>10．建立数字化转型问诊服务体系。开展“</w:t>
      </w:r>
      <w:r>
        <w:rPr>
          <w:rFonts w:hint="eastAsia" w:ascii="仿宋_GB2312" w:hAnsi="仿宋_GB2312" w:eastAsia="仿宋_GB2312" w:cs="仿宋_GB2312"/>
          <w:i w:val="0"/>
          <w:iCs w:val="0"/>
          <w:caps w:val="0"/>
          <w:color w:val="000000" w:themeColor="text1"/>
          <w:spacing w:val="0"/>
          <w:sz w:val="24"/>
          <w:szCs w:val="24"/>
          <w:highlight w:val="red"/>
          <w:u w:val="single"/>
          <w:shd w:val="clear" w:fill="FFFFFF"/>
          <w14:textFill>
            <w14:solidFill>
              <w14:schemeClr w14:val="tx1"/>
            </w14:solidFill>
          </w14:textFill>
        </w:rPr>
        <w:t>数字化转型促进中心、数字化诊所、数字专员”</w:t>
      </w:r>
      <w:r>
        <w:rPr>
          <w:rFonts w:hint="eastAsia" w:ascii="仿宋_GB2312" w:hAnsi="仿宋_GB2312" w:eastAsia="仿宋_GB2312" w:cs="仿宋_GB2312"/>
          <w:i w:val="0"/>
          <w:iCs w:val="0"/>
          <w:caps w:val="0"/>
          <w:color w:val="000000" w:themeColor="text1"/>
          <w:spacing w:val="0"/>
          <w:sz w:val="24"/>
          <w:szCs w:val="24"/>
          <w:u w:val="single"/>
          <w:shd w:val="clear" w:fill="FFFFFF"/>
          <w14:textFill>
            <w14:solidFill>
              <w14:schemeClr w14:val="tx1"/>
            </w14:solidFill>
          </w14:textFill>
        </w:rPr>
        <w:t>服务体系建设，为企业转型升级提供基础指导、智力支持和普惠性服务。在重点行业和地区建设数字化转型促进中心</w:t>
      </w:r>
      <w:r>
        <w:rPr>
          <w:rFonts w:hint="eastAsia" w:ascii="仿宋_GB2312" w:hAnsi="仿宋_GB2312" w:eastAsia="仿宋_GB2312" w:cs="仿宋_GB2312"/>
          <w:i w:val="0"/>
          <w:iCs w:val="0"/>
          <w:caps w:val="0"/>
          <w:color w:val="000000" w:themeColor="text1"/>
          <w:spacing w:val="0"/>
          <w:sz w:val="24"/>
          <w:szCs w:val="24"/>
          <w:highlight w:val="red"/>
          <w:u w:val="single"/>
          <w:shd w:val="clear" w:fill="FFFFFF"/>
          <w14:textFill>
            <w14:solidFill>
              <w14:schemeClr w14:val="tx1"/>
            </w14:solidFill>
          </w14:textFill>
        </w:rPr>
        <w:t>。建设“数字化诊所”，开展“把脉问诊”活动，动态保持“数字化诊所”100家左右。对数字化转型促进中心、数字化诊所，根据建设成效给予奖补。</w:t>
      </w:r>
      <w:r>
        <w:rPr>
          <w:rFonts w:hint="eastAsia" w:ascii="仿宋_GB2312" w:hAnsi="仿宋_GB2312" w:eastAsia="仿宋_GB2312" w:cs="仿宋_GB2312"/>
          <w:i w:val="0"/>
          <w:iCs w:val="0"/>
          <w:caps w:val="0"/>
          <w:color w:val="000000" w:themeColor="text1"/>
          <w:spacing w:val="0"/>
          <w:sz w:val="24"/>
          <w:szCs w:val="24"/>
          <w:u w:val="single"/>
          <w:shd w:val="clear" w:fill="FFFFFF"/>
          <w14:textFill>
            <w14:solidFill>
              <w14:schemeClr w14:val="tx1"/>
            </w14:solidFill>
          </w14:textFill>
        </w:rPr>
        <w:t>健全省市县三级数字专员工作推进机制，入库“数字专员”3000人以上。开展企业数字化发展水平评价普查，以“一企一档”方式建立产业数字化评价结果档案库。引导本地企业开展数字化诊断，全面开展数字化转型入企“问诊”行动，“一企一诊断书”方式为企业提供转型方案。</w:t>
      </w:r>
      <w:r>
        <w:rPr>
          <w:rStyle w:val="6"/>
          <w:rFonts w:hint="eastAsia" w:ascii="仿宋_GB2312" w:hAnsi="仿宋_GB2312" w:eastAsia="仿宋_GB2312" w:cs="仿宋_GB2312"/>
          <w:b/>
          <w:bCs/>
          <w:i w:val="0"/>
          <w:iCs w:val="0"/>
          <w:caps w:val="0"/>
          <w:color w:val="000000" w:themeColor="text1"/>
          <w:spacing w:val="0"/>
          <w:sz w:val="24"/>
          <w:szCs w:val="24"/>
          <w:u w:val="single"/>
          <w:shd w:val="clear" w:fill="FFFFFF"/>
          <w14:textFill>
            <w14:solidFill>
              <w14:schemeClr w14:val="tx1"/>
            </w14:solidFill>
          </w14:textFill>
        </w:rPr>
        <w:t>（责任单位：省工业和信息化厅、省发展改革委、省科技厅、省国资委）</w:t>
      </w:r>
    </w:p>
    <w:p w14:paraId="7902971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（四）开展生态体系构建行动。</w:t>
      </w:r>
    </w:p>
    <w:p w14:paraId="4928532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11．建设数字化转型服务平台。支持各地建设工业互联网平台应用创新推广中心、数字化转型服务平台等数字化公共服务平台（含数字化转型服务商、工业互联网平台等），聚焦中小企业特征及需求，研制小型化、快速化、轻量化、精准化产品，围绕“评估、规划、实施、优化”全流程向中小企业提供专业化服务，根据相关规定对数字化公共服务平台按照不超过所服务中小企业数字化转型改造成本的30%予以奖补，单个平台最高奖补不超过500万。建设产业数字化转型场景赋能公共服务平台，分地区分类别动态建立场景清单；搭建数字化转型供需对接平台，分行业分区域推进数字化转型供需对接；定期发布数字化转型产品、方案和服务清单，每年征集和遴选100个典型应用场景、100个实践案例。</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（责任单位：省工业和信息化厅、省发展改革委、省科技厅）</w:t>
      </w:r>
    </w:p>
    <w:p w14:paraId="64A1773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12．强化数字化转型技术和产业基础。加强数字化转型关键共性技术攻关，研发和推广平台化、组件化的行业系统解决方案。强化人工智能技术应用，发展智能硬件产品，加快智能传感终端、高端芯片、通用处理器等领域研发突破和迭代应用。发展工业软件和工业APP（工业应用软件），推进“软件定义”赋能，加大首版次软件认定力度，支持50项以上工业软件研发应用，推广应用1000个工业APP。加强数据要素支撑，探索推动工业数据的采集、传输、加工、存储和共享，推进工业大数据分级分类。鼓励企业、行业协会等参与数字化领域相关国家标准、行业标准、地方标准和团体标准制修订。</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（责任单位：省科技厅、省工业和信息化厅、省发展改革委、省市场监管局）</w:t>
      </w:r>
    </w:p>
    <w:p w14:paraId="21CAC3D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13．构建数字化安全防护体系。开展工业领域数据安全检测评估，指导工业企业落实数据安全主体责任。加强工业领域重要数据和核心数据目录备案管理，强化数据安全分级防护措施，提升数据全生命周期安全保护能力。</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（责任单位：省工业和信息化厅、省委网信办、省公安厅）</w:t>
      </w:r>
    </w:p>
    <w:p w14:paraId="248F4BE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Style w:val="6"/>
          <w:rFonts w:hint="eastAsia" w:ascii="黑体" w:hAnsi="黑体" w:eastAsia="黑体" w:cs="黑体"/>
          <w:b w:val="0"/>
          <w:bCs w:val="0"/>
          <w:i w:val="0"/>
          <w:iCs w:val="0"/>
          <w:caps w:val="0"/>
          <w:color w:val="000000" w:themeColor="text1"/>
          <w:spacing w:val="0"/>
          <w:sz w:val="24"/>
          <w:szCs w:val="24"/>
          <w:shd w:val="clear" w:fill="FFFFFF"/>
          <w14:textFill>
            <w14:solidFill>
              <w14:schemeClr w14:val="tx1"/>
            </w14:solidFill>
          </w14:textFill>
        </w:rPr>
      </w:pPr>
      <w:r>
        <w:rPr>
          <w:rStyle w:val="6"/>
          <w:rFonts w:hint="eastAsia" w:ascii="黑体" w:hAnsi="黑体" w:eastAsia="黑体" w:cs="黑体"/>
          <w:b w:val="0"/>
          <w:bCs w:val="0"/>
          <w:i w:val="0"/>
          <w:iCs w:val="0"/>
          <w:caps w:val="0"/>
          <w:color w:val="000000" w:themeColor="text1"/>
          <w:spacing w:val="0"/>
          <w:sz w:val="24"/>
          <w:szCs w:val="24"/>
          <w:shd w:val="clear" w:fill="FFFFFF"/>
          <w14:textFill>
            <w14:solidFill>
              <w14:schemeClr w14:val="tx1"/>
            </w14:solidFill>
          </w14:textFill>
        </w:rPr>
        <w:t>三、保障措施</w:t>
      </w:r>
    </w:p>
    <w:p w14:paraId="7A4090C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（一）强化组织领导。</w:t>
      </w: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省工业强省建设工作领导小组统筹协调全省数字化转型工作，组建数字化转型专家咨询委员会，研究制定数字化转型发展评价办法。各地要选择数字化基础好、转型需求迫切、带动作用显著的企业、开发区等，梳理数字化转型需求，制定转型任务清单，结合实际制定本地区工作方案，组织落地实施。各有关部门按照职责分工，完善政策措施，强化资源整合和力量协同，形成工作合力。</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（责任单位：省工业强省建设工作领导小组成员单位）</w:t>
      </w:r>
    </w:p>
    <w:p w14:paraId="3CEB774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（二）强化资金支持。</w:t>
      </w: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用好省级相关资金，引导制造业数字化转型。各地要加大对数字化转型的支持力度，按照“政府补一点、平台让一点、企业出一点”的原则，鼓励创新开展数字化转型服务券等方式，降低企业转型成本。加大对工业和信息化融合试点示范、服务平台支持力度。鼓励金融机构创新面向企业数字化转型的金融产品、服务模式，加大对数字化转型的融资支持力度，为数字化转型企业提供综合性金融服务，满足企业多元化金融需求。对符合条件的数字化转型和新基建项目，支持申报专项债券需求和贷款贴息。</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（责任单位：省工业和信息化厅、省财政厅、省发展改革委、省金融监管局、江西银保监局、人行南昌中心支行）</w:t>
      </w:r>
    </w:p>
    <w:p w14:paraId="5DD0298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0" w:lineRule="atLeast"/>
        <w:ind w:left="0" w:right="0" w:firstLine="482"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（三）强化示范引领。</w:t>
      </w: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打造数字化转型场景清单，加大优秀产品和解决方案规模化推广应用。打造一批数字化转型样本企业，培育一批优秀场景、解决方案并复制推广。加强交流推广和政策宣传培训，营造数字化转型发展氛围，提高企业数字化转型意识和能力。</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（责任单位：省工业和信息化厅、省发展改革委、省科技厅）</w:t>
      </w:r>
    </w:p>
    <w:p w14:paraId="2F33F72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0" w:lineRule="atLeast"/>
        <w:ind w:left="0" w:right="0" w:firstLine="482"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（四）强化人才支撑。</w:t>
      </w:r>
      <w:r>
        <w:rPr>
          <w:rFonts w:hint="eastAsia" w:ascii="仿宋_GB2312" w:hAnsi="仿宋_GB2312" w:eastAsia="仿宋_GB2312" w:cs="仿宋_GB2312"/>
          <w:i w:val="0"/>
          <w:iCs w:val="0"/>
          <w:caps w:val="0"/>
          <w:color w:val="000000" w:themeColor="text1"/>
          <w:spacing w:val="0"/>
          <w:sz w:val="24"/>
          <w:szCs w:val="24"/>
          <w:shd w:val="clear" w:fill="FFFFFF"/>
          <w14:textFill>
            <w14:solidFill>
              <w14:schemeClr w14:val="tx1"/>
            </w14:solidFill>
          </w14:textFill>
        </w:rPr>
        <w:t>开展数字化转型招才引智工作，定期发布全省数字化转型人才需求目录。实施“引培生”计划，优先引进数字化转型人才，在“才聚江西·智荟赣鄱”组团引才活动中设立数字化转型专场。加强数字化领域企业专业人才培养，支持高等院校建设新一代信息技术产业学院，鼓励高校、行业协会、企业联合共建实验室和实训基地，开展多层次数字化转型人才培训。</w:t>
      </w: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t>（责任单位：省委组织部、省教育厅、省发展改革委、省人力资源社会保障厅、省科技厅、省工业和信息化厅、省国资委）</w:t>
      </w:r>
    </w:p>
    <w:p w14:paraId="4EC3568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30" w:lineRule="atLeast"/>
        <w:ind w:left="0" w:right="0" w:firstLine="482" w:firstLineChars="200"/>
        <w:jc w:val="both"/>
        <w:textAlignment w:val="auto"/>
        <w:rPr>
          <w:rStyle w:val="6"/>
          <w:rFonts w:hint="eastAsia" w:ascii="仿宋_GB2312" w:hAnsi="仿宋_GB2312" w:eastAsia="仿宋_GB2312" w:cs="仿宋_GB2312"/>
          <w:b/>
          <w:bCs/>
          <w:i w:val="0"/>
          <w:iCs w:val="0"/>
          <w:caps w:val="0"/>
          <w:color w:val="000000" w:themeColor="text1"/>
          <w:spacing w:val="-6"/>
          <w:sz w:val="24"/>
          <w:szCs w:val="24"/>
          <w:shd w:val="clear" w:fill="FFFFFF"/>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14:textFill>
            <w14:solidFill>
              <w14:schemeClr w14:val="tx1"/>
            </w14:solidFill>
          </w14:textFill>
        </w:rPr>
        <w:t>（五）强化监测评估。</w:t>
      </w:r>
      <w:r>
        <w:rPr>
          <w:rFonts w:hint="eastAsia" w:ascii="仿宋_GB2312" w:hAnsi="仿宋_GB2312" w:eastAsia="仿宋_GB2312" w:cs="仿宋_GB2312"/>
          <w:i w:val="0"/>
          <w:iCs w:val="0"/>
          <w:caps w:val="0"/>
          <w:color w:val="000000" w:themeColor="text1"/>
          <w:spacing w:val="-6"/>
          <w:sz w:val="24"/>
          <w:szCs w:val="24"/>
          <w:shd w:val="clear" w:fill="FFFFFF"/>
          <w14:textFill>
            <w14:solidFill>
              <w14:schemeClr w14:val="tx1"/>
            </w14:solidFill>
          </w14:textFill>
        </w:rPr>
        <w:t>编制数字化转型评价指标体系，建设江西省产业数字化公共服务平台，对数字化转型工作开展监测评价，定期对工作落实情况进行跟踪评估。将制造业数字化转型相关工作纳入数字经济发展水平监测评价体系。各地推进制造业数字化转型列入工业高质量发展考核评价。</w:t>
      </w:r>
      <w:r>
        <w:rPr>
          <w:rStyle w:val="6"/>
          <w:rFonts w:hint="eastAsia" w:ascii="仿宋_GB2312" w:hAnsi="仿宋_GB2312" w:eastAsia="仿宋_GB2312" w:cs="仿宋_GB2312"/>
          <w:b/>
          <w:bCs/>
          <w:i w:val="0"/>
          <w:iCs w:val="0"/>
          <w:caps w:val="0"/>
          <w:color w:val="000000" w:themeColor="text1"/>
          <w:spacing w:val="-6"/>
          <w:sz w:val="24"/>
          <w:szCs w:val="24"/>
          <w:shd w:val="clear" w:fill="FFFFFF"/>
          <w14:textFill>
            <w14:solidFill>
              <w14:schemeClr w14:val="tx1"/>
            </w14:solidFill>
          </w14:textFill>
        </w:rPr>
        <w:t>（责任单位：省工业和信息化厅、省发展改革委、省统计局）</w:t>
      </w:r>
    </w:p>
    <w:p w14:paraId="520F7DC3">
      <w:pPr>
        <w:keepNext w:val="0"/>
        <w:keepLines w:val="0"/>
        <w:pageBreakBefore w:val="0"/>
        <w:kinsoku/>
        <w:wordWrap/>
        <w:overflowPunct/>
        <w:autoSpaceDE/>
        <w:autoSpaceDN/>
        <w:bidi w:val="0"/>
        <w:spacing w:line="440" w:lineRule="atLeast"/>
        <w:textAlignment w:val="auto"/>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pPr>
      <w:r>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br w:type="page"/>
      </w:r>
    </w:p>
    <w:p w14:paraId="4AC556C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江西省制造业数字化转型行动计划</w:t>
      </w:r>
    </w:p>
    <w:p w14:paraId="3D780B2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(2024-2025年)</w:t>
      </w:r>
    </w:p>
    <w:p w14:paraId="2CB2AA7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仿宋_GB2312" w:hAnsi="仿宋_GB2312" w:eastAsia="仿宋_GB2312" w:cs="仿宋_GB2312"/>
          <w:b/>
          <w:bCs/>
          <w:i w:val="0"/>
          <w:iCs w:val="0"/>
          <w:caps w:val="0"/>
          <w:color w:val="000000" w:themeColor="text1"/>
          <w:spacing w:val="0"/>
          <w:sz w:val="24"/>
          <w:szCs w:val="24"/>
          <w:shd w:val="clear" w:fill="FFFFFF"/>
          <w14:textFill>
            <w14:solidFill>
              <w14:schemeClr w14:val="tx1"/>
            </w14:solidFill>
          </w14:textFill>
        </w:rPr>
      </w:pPr>
    </w:p>
    <w:p w14:paraId="1545B49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为深入贯彻落实党中央、国务院关于推进新型工业化和发展数字经济的决策部署，根据省委、省政府有关会议精神和《江西省制造业重点产业链现代化建设“1269”行动计划(2023-2026年)》《江西省制造业数字化转型实施方案》等文件要求，为加快数智化建设，全方位纵深推进制造业数字化转型，助力全省制造业高质量发展，特制定本行动计划。</w:t>
      </w:r>
    </w:p>
    <w:p w14:paraId="5C5AC23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Style w:val="6"/>
          <w:rFonts w:hint="eastAsia" w:ascii="黑体" w:hAnsi="黑体" w:eastAsia="黑体" w:cs="黑体"/>
          <w:b w:val="0"/>
          <w:bCs w:val="0"/>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黑体" w:hAnsi="黑体" w:eastAsia="黑体" w:cs="黑体"/>
          <w:b w:val="0"/>
          <w:bCs w:val="0"/>
          <w:i w:val="0"/>
          <w:iCs w:val="0"/>
          <w:caps w:val="0"/>
          <w:color w:val="000000" w:themeColor="text1"/>
          <w:spacing w:val="0"/>
          <w:sz w:val="24"/>
          <w:szCs w:val="24"/>
          <w:shd w:val="clear" w:fill="FFFFFF"/>
          <w:lang w:val="en-US" w:eastAsia="zh-CN"/>
          <w14:textFill>
            <w14:solidFill>
              <w14:schemeClr w14:val="tx1"/>
            </w14:solidFill>
          </w14:textFill>
        </w:rPr>
        <w:t>一、总体要求</w:t>
      </w:r>
    </w:p>
    <w:p w14:paraId="5B4AA84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楷体_GB2312" w:hAnsi="楷体_GB2312" w:eastAsia="楷体_GB2312" w:cs="楷体_GB2312"/>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(一)指导思想</w:t>
      </w:r>
    </w:p>
    <w:p w14:paraId="5305C92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以习近平新时代中国特色社会主义思想为指导，全面贯彻党的二十大、二十届二中全会和中央经济工作会议精神，深入贯彻习近平总书记考察江西重要讲话精神，认真落实省委十五届四次、五次全会部署要求，聚焦“走在前、勇争先、善作为”目标要求，以新一代信息技术与制造业深度融合发展为路径，以智能制造为牵引，以工业互联网创新发展为抓手，打造一批数字化转型标杆，推动重点行业数字化转型，加快中小企业数字化转型步伐，助力制造业强省建设，努力构建体现江西特色和优势的现代化产业体系。</w:t>
      </w:r>
    </w:p>
    <w:p w14:paraId="692D056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(二)主要目标</w:t>
      </w:r>
    </w:p>
    <w:p w14:paraId="0A722D9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按照“普查、分类诊断、出具方案、改造实施”路径，解决企业不会转、不敢转、不想转等问题，全面推进制造业数字化转型。力争用2年左右时间，培育打造数字化转型标杆企业2000家，推进数字化改造企业10000家以上，实现重点产业集群工业互联网赋能全覆盖、重点行业“产业大脑”全覆盖、规上工业企业“智改数转网联”全覆盖，全省制造业数字化水平明显提升。</w:t>
      </w:r>
    </w:p>
    <w:p w14:paraId="187873A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Style w:val="6"/>
          <w:rFonts w:hint="eastAsia" w:ascii="黑体" w:hAnsi="黑体" w:eastAsia="黑体" w:cs="黑体"/>
          <w:b w:val="0"/>
          <w:bCs w:val="0"/>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黑体" w:hAnsi="黑体" w:eastAsia="黑体" w:cs="黑体"/>
          <w:b w:val="0"/>
          <w:bCs w:val="0"/>
          <w:i w:val="0"/>
          <w:iCs w:val="0"/>
          <w:caps w:val="0"/>
          <w:color w:val="000000" w:themeColor="text1"/>
          <w:spacing w:val="0"/>
          <w:sz w:val="24"/>
          <w:szCs w:val="24"/>
          <w:shd w:val="clear" w:fill="FFFFFF"/>
          <w:lang w:val="en-US" w:eastAsia="zh-CN"/>
          <w14:textFill>
            <w14:solidFill>
              <w14:schemeClr w14:val="tx1"/>
            </w14:solidFill>
          </w14:textFill>
        </w:rPr>
        <w:t>二、重点任务</w:t>
      </w:r>
    </w:p>
    <w:p w14:paraId="21B8CFC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(一)实施“数智化工厂”改造示范引领行动</w:t>
      </w:r>
    </w:p>
    <w:p w14:paraId="3605F93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1.强化龙头企业引领带动。</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龙头企业和“链主”企业对标国家级“数字领航”企业标准，率先开展集成应用创新，建设工业互联网平台，牵头或参与制定制造业数字化转型国家、行业和团体标准，面向行业开放先进技术、应用场景，形成引领产业数字化转型的标杆示范，建设“数智工厂”500家以上，打造“数字领航”企业20家左右。</w:t>
      </w:r>
    </w:p>
    <w:p w14:paraId="2D9AB6C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2.打造中小企业数字化转型“小灯塔”。</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以“专精特新”中小企业为重点加快打造“小灯塔”企业，制定“小灯塔”企业建设指南，分行业分场景打造400家左右“小灯塔”企业，引领中小企业“看样学样”。</w:t>
      </w:r>
    </w:p>
    <w:p w14:paraId="1BD9FC1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3.培育制造业“智改数转网联”示范标杆。</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深入推进新一代信息技术与制造业融合发展，推动5G、工业互联网、人工智能等数字技术在企业的深度应用，建设智能制造单元、智能产业、智能车间(数字车间)，引导企业综合集成应用数字化装备和云化软件产品等，分行业分类型培育一批5G工厂、“5G+工业互联网”、两化融合、智能制造等数字化转型标杆，培育省级智能工厂、数字车间2000个以上，数字化转型标杆企业2000家以上、国家级标杆示范100家左右。</w:t>
      </w:r>
    </w:p>
    <w:p w14:paraId="1786A14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(二)实施产业链数字化能力提升行动</w:t>
      </w:r>
    </w:p>
    <w:p w14:paraId="6A5323B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4.加快推进“产业大脑”建设。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在产业集聚优势明显、产业智库健全、运营模式明晰和产业发展路径明确的区域，运用“揭榜挂帅”等方式建成30个左右“产业大脑”，建设行业工业互联网、产学研融通等协作性平台，通过打造产业侧、政府侧、企业侧等系列智能化应用，提升“产业大脑”智能决策与服务产业链的能力，推动产业链关键企业数智化改造，带动上下游整体推进数字化转型。</w:t>
      </w:r>
    </w:p>
    <w:p w14:paraId="275AEAD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5.深化产业链上下游协作。</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链主”企业、龙头企业等建设行业型工业互联网平台，并通过业务剥离、合资合作等方式成立平台运营新主体,向产业链上下游企业输出数字化转型解决方案。建立“链主”企业与上下游企业对接机制，每年开展10场左右“链主”企业与中小企业数字化转型供需对接专场活动，推动中小企业广泛实施数字化转型，促进产业链大中小企业融通发展。</w:t>
      </w:r>
    </w:p>
    <w:p w14:paraId="26F23AD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6.分类实施“一链一场景”。</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对电子信息、有色、装备制造等上下游依存度高的产业，按照“一链一策、一企一策”，选取“链主”企业和“关键节点”企业为突破口，以拉动上下游企业数字化转型和企业数字工厂建设双轮驱动，推进“链式”数字化转型。对纺织服装、医药、现代家具等离散型生产及产业链依存度较低的产业，以提升单体企业数字化程度为重点，推动机器换人、设备换芯和生产换线，打造数字化产线、数字化车间和智能工厂。</w:t>
      </w:r>
    </w:p>
    <w:p w14:paraId="4E8EE50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(三)实施产业集群数字化转型扩面行动</w:t>
      </w:r>
    </w:p>
    <w:p w14:paraId="35913FB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7.开展产业集群数字化转型试点。</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按照标准宣贯、优选服务商、需求对接、实施改造、标杆打造、效果验证、成效推广的试点模式，面向县(市、区)和开发区分三批开展数字化转型试点，在全省60%左右的县(市、区)开展产业集群数字化转型试点。加强各地数字化转型工作交流，定期组织现场观摩和“走进典型”活动，形成一批可复制、可推广的典型经验。</w:t>
      </w:r>
    </w:p>
    <w:p w14:paraId="729AF85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8.大力推动“平台+园区”建设。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面向市、县(区)和开发区开展产业数字化转型先行区建设，积极创建国家级“5G+工业互联网”先导区。实施产业集群整体数字化改造，推进以“工业互联网平台+园区”为核心架构的数字化转型，探索发展跨越物理边界的“虚拟”产业园区和产业集群，大力发展中央工厂、协同制造、共享制造、众包众创、集采集销等新模式，建设一批功能完备的工业互联网园区。建成工业互联网园区标杆30个左右、省级以上开发区全部实现数字化管理。</w:t>
      </w:r>
    </w:p>
    <w:p w14:paraId="36628D5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u w:val="single"/>
          <w:shd w:val="clear" w:fill="FFFFFF"/>
          <w:lang w:val="en-US" w:eastAsia="zh-CN"/>
          <w14:textFill>
            <w14:solidFill>
              <w14:schemeClr w14:val="tx1"/>
            </w14:solidFill>
          </w14:textFill>
        </w:rPr>
        <w:t>9.完善数字化转型支撑体系。</w:t>
      </w: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t>聚焦重点行业领域，遴选一批转型需求迫切、示范带动作用突出的企业，常态化推进数字化转型入企诊断工作，对8000家左右规上企业开展入企深度问诊。常态化开展制造业数字化综合发展水平评价，大力推动企业开展数字化转型、两化融合管理体系、数据管理能力成熟度、智能制造成熟度和中小企业数字化水平等贯标(评测)，建立完善的市场化采信机制。</w:t>
      </w:r>
      <w:r>
        <w:rPr>
          <w:rFonts w:hint="eastAsia" w:ascii="仿宋_GB2312" w:hAnsi="仿宋_GB2312" w:eastAsia="仿宋_GB2312" w:cs="仿宋_GB2312"/>
          <w:i w:val="0"/>
          <w:iCs w:val="0"/>
          <w:caps w:val="0"/>
          <w:color w:val="000000" w:themeColor="text1"/>
          <w:spacing w:val="0"/>
          <w:sz w:val="24"/>
          <w:szCs w:val="24"/>
          <w:highlight w:val="red"/>
          <w:u w:val="single"/>
          <w:shd w:val="clear" w:fill="FFFFFF"/>
          <w:lang w:val="en-US" w:eastAsia="zh-CN"/>
          <w14:textFill>
            <w14:solidFill>
              <w14:schemeClr w14:val="tx1"/>
            </w14:solidFill>
          </w14:textFill>
        </w:rPr>
        <w:t>加快构建“数字化转型促进中心、数字化诊所、数字专员”三级服务体系，</w:t>
      </w: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t>分类建立数字化转型服务商资源池，常态化保持1000人以上的数字专员队伍</w:t>
      </w:r>
      <w:r>
        <w:rPr>
          <w:rFonts w:hint="eastAsia" w:ascii="仿宋_GB2312" w:hAnsi="仿宋_GB2312" w:eastAsia="仿宋_GB2312" w:cs="仿宋_GB2312"/>
          <w:i w:val="0"/>
          <w:iCs w:val="0"/>
          <w:caps w:val="0"/>
          <w:color w:val="000000" w:themeColor="text1"/>
          <w:spacing w:val="0"/>
          <w:sz w:val="24"/>
          <w:szCs w:val="24"/>
          <w:highlight w:val="red"/>
          <w:u w:val="single"/>
          <w:shd w:val="clear" w:fill="FFFFFF"/>
          <w:lang w:val="en-US" w:eastAsia="zh-CN"/>
          <w14:textFill>
            <w14:solidFill>
              <w14:schemeClr w14:val="tx1"/>
            </w14:solidFill>
          </w14:textFill>
        </w:rPr>
        <w:t>，培育数字化转型促进中心30家左右、数字化诊所100家左右，</w:t>
      </w: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t>遴选数字化服务商300家左右，形成面向制造业数字化转型服务的产业和技术支撑能力。</w:t>
      </w:r>
    </w:p>
    <w:p w14:paraId="332867F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Style w:val="6"/>
          <w:rFonts w:hint="eastAsia" w:ascii="黑体" w:hAnsi="黑体" w:eastAsia="黑体" w:cs="黑体"/>
          <w:b w:val="0"/>
          <w:bCs w:val="0"/>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黑体" w:hAnsi="黑体" w:eastAsia="黑体" w:cs="黑体"/>
          <w:b w:val="0"/>
          <w:bCs w:val="0"/>
          <w:i w:val="0"/>
          <w:iCs w:val="0"/>
          <w:caps w:val="0"/>
          <w:color w:val="000000" w:themeColor="text1"/>
          <w:spacing w:val="0"/>
          <w:sz w:val="24"/>
          <w:szCs w:val="24"/>
          <w:shd w:val="clear" w:fill="FFFFFF"/>
          <w:lang w:val="en-US" w:eastAsia="zh-CN"/>
          <w14:textFill>
            <w14:solidFill>
              <w14:schemeClr w14:val="tx1"/>
            </w14:solidFill>
          </w14:textFill>
        </w:rPr>
        <w:t>三、保障机制</w:t>
      </w:r>
    </w:p>
    <w:p w14:paraId="02B5E92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(一)强化组织领导。</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省直有关部门要把深入推进制造业数字化转型作为推进“1269”行动计划的重要抓手，高度重视数字化转型工作。各地要统筹推进制造业数字化转型工作，结合实际制定工作计划，建立数字化改造项目库，建立数字化转型标杆、数字化标准对标、数字化诊断企业和数字化服务商等数字化转型清单，定期调度项目和清单完成情况。开展数字化转型工作监测评价，定期对工作落实情况进行跟踪评估。</w:t>
      </w:r>
    </w:p>
    <w:p w14:paraId="0E6CBD0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(二)强化政策支持。</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统筹省工业发展专项资金，设立制造业数字化转型重点板块，同时积极争取国家资金和金融支持，加大对制造业数字化转型重点场景、重大平台、重大项目及标杆示范的支持力度。加大制造业的信贷投放力度，支持制造业数字化:智能化改造。各地要结合产业特点和实际需求，科学制定制造业数字化转型各项政策，形成省、市、区县梯度政策体系。加强人才培养，鼓励大中专院校开设制造业数字化转型相关特色课程、开展实训活动等,培育一批既懂数字技术又懂工业生产的专业人才。</w:t>
      </w:r>
    </w:p>
    <w:p w14:paraId="59E6CEF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default" w:ascii="仿宋_GB2312" w:hAnsi="仿宋_GB2312" w:eastAsia="仿宋_GB2312" w:cs="仿宋_GB2312"/>
          <w:i w:val="0"/>
          <w:iCs w:val="0"/>
          <w:caps w:val="0"/>
          <w:color w:val="000000" w:themeColor="text1"/>
          <w:spacing w:val="0"/>
          <w:sz w:val="24"/>
          <w:szCs w:val="24"/>
          <w:shd w:val="clear" w:fill="FFFFFF"/>
          <w:lang w:val="en-US"/>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(三)强化示范推广。</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推动数字化转型服务平台等公共服务平台建设，加强数字化转型经验模式总结和宣传推广，打造一批数字化转型典型场景，培育一批数字化转型标杆企业，举办各类观摩会、供需对接会等活动。</w:t>
      </w:r>
    </w:p>
    <w:p w14:paraId="487448BB">
      <w:pPr>
        <w:keepNext w:val="0"/>
        <w:keepLines w:val="0"/>
        <w:pageBreakBefore w:val="0"/>
        <w:kinsoku/>
        <w:wordWrap/>
        <w:overflowPunct/>
        <w:autoSpaceDE/>
        <w:autoSpaceDN/>
        <w:bidi w:val="0"/>
        <w:spacing w:line="440" w:lineRule="atLeast"/>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br w:type="page"/>
      </w:r>
    </w:p>
    <w:p w14:paraId="2643B1F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关于支持制造业数字化转型的若干措施</w:t>
      </w:r>
    </w:p>
    <w:p w14:paraId="4106146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pPr>
    </w:p>
    <w:p w14:paraId="08DFF7F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为贯彻落实《江西省制造业数字化转型实施方案》《江西省制造业数字化转型行动计划(2024-2025年)》，聚焦省制造业重点产业链现代化建设“1269”行动计划，通过省级工业发展专项资金，引导和支持制造业数字化转型，推动全省制造业高端化、智能化、绿色化发展，提出如下措施:</w:t>
      </w:r>
    </w:p>
    <w:p w14:paraId="6D9D88F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一、支持各设区市开展数字化转型入企诊断。</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支持各设区市对L3级(含)以上工业企业开展入企诊断，按L4级(含)以下每家企业1万元、L5级(含)以上每家企业2万元标准，对设区市给予奖补，累计支持8000家企业。</w:t>
      </w:r>
    </w:p>
    <w:p w14:paraId="48CDC01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二、支持制造业企业数字化改造。</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企业通过数字化改造实现提档升级。设区市依据诊断结果组织企业开展数字化转型，对通过项目改造达到L6级(含)以上和现有L6级以上实现升级的企业，采取“赛马制”按升阶升级达标企业数量、进度和质量对设区市予以奖补，总计按2000家企业计数。</w:t>
      </w:r>
    </w:p>
    <w:p w14:paraId="516F9B4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三、支持制造业企业打造“数字领航”企业。</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围绕省12条制造业重点产业链，支持企业聚焦全要素、全流程、全生态数字化转型，全面推动企业在成本、质量、效益、绿色、安全等方面转型发展，打造“数字领航”企业。累计支持20家省级“数字领航”企业，每家奖励500万元。</w:t>
      </w:r>
    </w:p>
    <w:p w14:paraId="7BB93AB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四、支持制造业企业打造“小灯塔”企业。</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支持专精特新中小企业聚焦细分行业创建面向行业标杆的“小灯塔”企业。累计支持400家省级“小灯塔”企业，每家奖励100 万元。</w:t>
      </w:r>
    </w:p>
    <w:p w14:paraId="074DCCF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五、支持制造业企业打造“数智工厂”标杆。</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支持企业围绕工厂智能化、管理信息化、生产精益化，打造特色鲜明的“数智工厂”。累计支持500家省级“数智工厂”企业，每家奖励100万元。</w:t>
      </w:r>
    </w:p>
    <w:p w14:paraId="3171A46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六、支持制造业企业争创国家标杆。</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对获得国家数字化转型领域标杆的企业和工业互联网平台，每家奖励100万元。</w:t>
      </w:r>
    </w:p>
    <w:p w14:paraId="7D043BC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七、支持“产业大脑”建设。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支持建设全省“产业大脑”总平台。支持有条件的地方政府围绕制造业主导产业和优势产业建设省级“产业大脑”，按照投入的一定比例给予 500万元至1000万元奖补，累计支持30个左右。</w:t>
      </w:r>
    </w:p>
    <w:p w14:paraId="69E3EBC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八、支持产业集群数字化转型试点。</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支持省级以上开发区开展产业集群数字化转型试点，打造工业互联网园区，每个试点开发区奖补不超过1000万元。</w:t>
      </w:r>
    </w:p>
    <w:p w14:paraId="2EB74FF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九、支持数字化转型服务体系建设。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各地建设工业互联网平台应用创新推广中心、数字化转型服务平台等数字化公共服务平台(含数字化转型服务商、工业互联网平台等)，对数字化公共服务平台给予奖补。支持建设数字化转型促进中心，对认定为省级数字化转型促进中心的，每家给予管理单位建设补助200万元。支持建设线上线下相结合的全省制造业数字化转型公共服务平台和数字化转型场景赋能平台，</w:t>
      </w:r>
    </w:p>
    <w:p w14:paraId="29A279D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十、支持工业互联网建设。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特色型、区域型、行业型工业互联网平台建设，对认定为省级工业互联网平台的，根据建设成效给予奖补。支持工业互联网标识解析二级节点建设，对获得《中华人民共和国互联网域名服务许可证(工业互联网标识注册服务 )》的新建节点奖补200万元。</w:t>
      </w:r>
    </w:p>
    <w:p w14:paraId="1150B6C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十一、鼓励金融机构加大支持力度。</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鼓励银行、担保公司等金融机构设立数字化转型专项金融产品，为制造业企业提供金融支持，引导企业加大数字化转型投入。</w:t>
      </w:r>
    </w:p>
    <w:p w14:paraId="39FA471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本措施实施期限为2024年至2026年,由省工业和信息化厅会同省财政厅根据需要对有关措施制定具体实施细则，加强政策绩效跟踪评价，强化结果应用，不达标的不予奖励。</w:t>
      </w:r>
    </w:p>
    <w:p w14:paraId="0DC9B71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本措施中，除获国家标杆外，企业各类标杆奖补选取最高一档进行奖补，不重复享受，企业等级水平参考《江西省制造业数字化综合发展水平评价指南》。</w:t>
      </w:r>
    </w:p>
    <w:p w14:paraId="45D3B07C">
      <w:pPr>
        <w:keepNext w:val="0"/>
        <w:keepLines w:val="0"/>
        <w:pageBreakBefore w:val="0"/>
        <w:kinsoku/>
        <w:wordWrap/>
        <w:overflowPunct/>
        <w:autoSpaceDE/>
        <w:autoSpaceDN/>
        <w:bidi w:val="0"/>
        <w:spacing w:line="440" w:lineRule="atLeast"/>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br w:type="page"/>
      </w:r>
    </w:p>
    <w:p w14:paraId="14F19647">
      <w:pPr>
        <w:keepNext w:val="0"/>
        <w:keepLines w:val="0"/>
        <w:widowControl/>
        <w:suppressLineNumbers w:val="0"/>
        <w:jc w:val="left"/>
      </w:pPr>
    </w:p>
    <w:p w14:paraId="25812D5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吉安市制造业数字化转型行动计划</w:t>
      </w:r>
    </w:p>
    <w:p w14:paraId="13309CF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（2024-2025年）</w:t>
      </w:r>
    </w:p>
    <w:p w14:paraId="283A6AB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2CBDD78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为贯彻落实《江西省制造业数字化转型实施方案》（赣府厅字〔2023</w:t>
      </w:r>
      <w:r>
        <w:rPr>
          <w:rFonts w:hint="default"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46号）和《吉安市培育壮大千亿产业集群攻坚战实施方案》(吉攻坚指发</w:t>
      </w:r>
      <w:r>
        <w:rPr>
          <w:rFonts w:hint="default"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2023</w:t>
      </w:r>
      <w:r>
        <w:rPr>
          <w:rFonts w:hint="default"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1号），全方位纵深推进全市制造业数字化转型，加速企业数字化变革，现实施如下行动计划。</w:t>
      </w:r>
    </w:p>
    <w:p w14:paraId="1735F96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黑体" w:hAnsi="黑体" w:eastAsia="黑体" w:cs="黑体"/>
          <w:i w:val="0"/>
          <w:iCs w:val="0"/>
          <w:caps w:val="0"/>
          <w:color w:val="000000" w:themeColor="text1"/>
          <w:spacing w:val="0"/>
          <w:sz w:val="24"/>
          <w:szCs w:val="24"/>
          <w:shd w:val="clear" w:fill="FFFFFF"/>
          <w:lang w:val="en-US" w:eastAsia="zh-CN"/>
          <w14:textFill>
            <w14:solidFill>
              <w14:schemeClr w14:val="tx1"/>
            </w14:solidFill>
          </w14:textFill>
        </w:rPr>
        <w:t>一、工作目标</w:t>
      </w:r>
    </w:p>
    <w:p w14:paraId="334FF1F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到2025年，推动企业实施数字化改造1200家以上，规上工业企业数字化转型比例超60%，实现重点产业集群工业互联网赋能全覆盖、规上工业企业“智改数转网联”全覆盖，以数字化引领制造业质量变革、效率变革、动力变革，产业综合实力显著增强。</w:t>
      </w:r>
    </w:p>
    <w:p w14:paraId="25CA382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黑体" w:hAnsi="黑体" w:eastAsia="黑体" w:cs="黑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黑体" w:hAnsi="黑体" w:eastAsia="黑体" w:cs="黑体"/>
          <w:i w:val="0"/>
          <w:iCs w:val="0"/>
          <w:caps w:val="0"/>
          <w:color w:val="000000" w:themeColor="text1"/>
          <w:spacing w:val="0"/>
          <w:sz w:val="24"/>
          <w:szCs w:val="24"/>
          <w:shd w:val="clear" w:fill="FFFFFF"/>
          <w:lang w:val="en-US" w:eastAsia="zh-CN"/>
          <w14:textFill>
            <w14:solidFill>
              <w14:schemeClr w14:val="tx1"/>
            </w14:solidFill>
          </w14:textFill>
        </w:rPr>
        <w:t>二、重点任务</w:t>
      </w:r>
    </w:p>
    <w:p w14:paraId="26A3F82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（一）实施企业数智改造“破点”行动</w:t>
      </w:r>
    </w:p>
    <w:p w14:paraId="3039234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1.培育“数字领航”企业。</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支持龙头企业和“链主”企业对标国家级“数字领航”企业标准，率先开展集成应用创新，建设工业互联网平台，发挥价值引领、辐射带动作用，形成引领产业数字化转型的标杆示范，打造“数字领航”企业 3家以上。</w:t>
      </w:r>
    </w:p>
    <w:p w14:paraId="36DDBB2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2.建设“数智工厂”。</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聚焦六大主导产业，支持在产业链中处于关键环节的中大型制造业企业推进管理数字化建设和生产线智能化改造，实现人、机、料、法、环、测等生产要素的自主感知、精准控制和协同优化，建设“数智化”工厂55家左右。</w:t>
      </w:r>
    </w:p>
    <w:p w14:paraId="3CFD16E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3.打造“小灯塔”样本。</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以“专精特新”中小企业为重点，分行业分场景打造一批“小灯塔”企业，通过数字化转型产生变革性“灯塔”应用，引领中小企业“看样学样”，打造“小灯塔”企业45家左右。</w:t>
      </w:r>
    </w:p>
    <w:p w14:paraId="6EAD49D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4.培育“智改数转网联”示范标杆。</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深入推进新一代信息技术与制造业融合发展，分行业分类型培育一批 5G工厂、“5G+工业互联网”、两化融合、智能制造等数字化转型标杆，新增通过两化融合、数字化转型等贯标企业100家以上，培育省级智能工厂、数字车间达220个以上，数字化转型标杆企业220家以上，新增企业上云10000家以上。</w:t>
      </w:r>
    </w:p>
    <w:p w14:paraId="0B0D58A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（二）实施产业链网联“协链”行动</w:t>
      </w:r>
    </w:p>
    <w:p w14:paraId="5E235C2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5.推进“产业大脑”建设。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聚焦六大主导产业，以产业链整体提升为目的，力争揭榜建设PCB、LED、碳酸钙新材料等细分领域的省级“产业大脑”。鼓励各地根据本地产业特点，分领域建设“产业大脑”，打造产业侧、政府侧、企业侧等系列智能化应用，带动上下游整体推进数字化转型。</w:t>
      </w:r>
    </w:p>
    <w:p w14:paraId="06BF7F8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6.深化产业链上下游协作。</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建设完善工业互联网标识解析二级节点，支持企业基于标识开展供应链管理、产品追溯、全生命周期管理等创新应用。鼓励“链主”企业、龙头企业等建设行业型工业互联网平台，开展协同采购、协同制造、供应链金融、协同配送等创新应用。建立“链主”企业与上下游企业对接机制，举办数字化转型供需对接专场活动。</w:t>
      </w:r>
    </w:p>
    <w:p w14:paraId="6C9F6C4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7.分类实施链式数转。</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对电子信息、先进装备制造、新能源等上下游依存度高的产业，以拉动上下游企业数字化转型和企业数字工厂建设为双轮驱动，推进“链式”数字化转型。对生物医药、绿色食品、新材料等离散型生产及产业链依存度较低的行业，以提升单体企业数字化程度为重点，推动机器换人、设备换芯和生产换线。</w:t>
      </w:r>
    </w:p>
    <w:p w14:paraId="6979014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（三）实施产业集群数转“扩面”行动</w:t>
      </w:r>
    </w:p>
    <w:p w14:paraId="29B4BF2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8.统筹产业集群数转试点。</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统筹推进经开区产业集群和吉安县中小企业数字化转型试点工作，形成可复制、可推广的典型经验，推动全市数字化转型走深走实。积极推动基础条件好、产业结构优的县（市、区）和工业园区申报省级数字化转型试点。</w:t>
      </w:r>
    </w:p>
    <w:p w14:paraId="7B7D52D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9.大力推动“平台+园区”建设。</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对标国家级“5G+工业互联网”先导区，积极创建省级“5G+工业互联网”示范园区，推进以“工业互联网平台+园区”为核心架构的数字化转型，建成工业互联网园区标杆3个以上、省级以上开发区全部实现数字化管理。</w:t>
      </w:r>
    </w:p>
    <w:p w14:paraId="10B3838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u w:val="single"/>
          <w:shd w:val="clear" w:fill="FFFFFF"/>
          <w:lang w:val="en-US" w:eastAsia="zh-CN"/>
          <w14:textFill>
            <w14:solidFill>
              <w14:schemeClr w14:val="tx1"/>
            </w14:solidFill>
          </w14:textFill>
        </w:rPr>
        <w:t>10.完善数字化转型服务体系。</w:t>
      </w: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t>分阶段开展数字化转型问诊、贯标，对800家左右规上企业开展入企深度问诊。</w:t>
      </w:r>
      <w:r>
        <w:rPr>
          <w:rFonts w:hint="eastAsia" w:ascii="仿宋_GB2312" w:hAnsi="仿宋_GB2312" w:eastAsia="仿宋_GB2312" w:cs="仿宋_GB2312"/>
          <w:i w:val="0"/>
          <w:iCs w:val="0"/>
          <w:caps w:val="0"/>
          <w:color w:val="000000" w:themeColor="text1"/>
          <w:spacing w:val="0"/>
          <w:sz w:val="24"/>
          <w:szCs w:val="24"/>
          <w:highlight w:val="red"/>
          <w:u w:val="single"/>
          <w:shd w:val="clear" w:fill="FFFFFF"/>
          <w:lang w:val="en-US" w:eastAsia="zh-CN"/>
          <w14:textFill>
            <w14:solidFill>
              <w14:schemeClr w14:val="tx1"/>
            </w14:solidFill>
          </w14:textFill>
        </w:rPr>
        <w:t>加快构建“数字化转型促进中心、数字化诊所、数字专员”三级服务体系，</w:t>
      </w: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t>常态化保持100人以上的数字专员队伍，建立数字化转型服务商资源池，遴选数字化服务商20家左右，形成面向制造业数字化转型服务的产业和技术支撑能力。</w:t>
      </w:r>
    </w:p>
    <w:p w14:paraId="714D399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11.构建数字化安全体系。</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实施工业互联网企业网络安全分级分类管理制度，开展“工业互联网+安全生产”试点，支持重点企业建设安全态势感知和综合防护系统，推动企业加大设备设施动态监测监控、安全风险辨识管控等安全生产重点环节信息化投入，不断提升企业本质安全水平。</w:t>
      </w:r>
    </w:p>
    <w:p w14:paraId="00EF2E6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黑体" w:hAnsi="黑体" w:eastAsia="黑体" w:cs="黑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黑体" w:hAnsi="黑体" w:eastAsia="黑体" w:cs="黑体"/>
          <w:i w:val="0"/>
          <w:iCs w:val="0"/>
          <w:caps w:val="0"/>
          <w:color w:val="000000" w:themeColor="text1"/>
          <w:spacing w:val="0"/>
          <w:sz w:val="24"/>
          <w:szCs w:val="24"/>
          <w:shd w:val="clear" w:fill="FFFFFF"/>
          <w:lang w:val="en-US" w:eastAsia="zh-CN"/>
          <w14:textFill>
            <w14:solidFill>
              <w14:schemeClr w14:val="tx1"/>
            </w14:solidFill>
          </w14:textFill>
        </w:rPr>
        <w:t>三、保障机制</w:t>
      </w:r>
    </w:p>
    <w:p w14:paraId="4006982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6"/>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（一）建立工作机制。</w:t>
      </w:r>
      <w:r>
        <w:rPr>
          <w:rFonts w:hint="eastAsia" w:ascii="仿宋_GB2312" w:hAnsi="仿宋_GB2312" w:eastAsia="仿宋_GB2312" w:cs="仿宋_GB2312"/>
          <w:i w:val="0"/>
          <w:iCs w:val="0"/>
          <w:caps w:val="0"/>
          <w:color w:val="000000" w:themeColor="text1"/>
          <w:spacing w:val="-6"/>
          <w:sz w:val="24"/>
          <w:szCs w:val="24"/>
          <w:shd w:val="clear" w:fill="FFFFFF"/>
          <w:lang w:val="en-US" w:eastAsia="zh-CN"/>
          <w14:textFill>
            <w14:solidFill>
              <w14:schemeClr w14:val="tx1"/>
            </w14:solidFill>
          </w14:textFill>
        </w:rPr>
        <w:t>各地要把深入推进制造业数字化转型作为“一把手”工程，成立制造业数字化转型工作专班，统筹推进制造业数字化转型工作。各地要结合实际制定工作计划，系统梳理数字化转型需求，分行业、分类型建立数字化转型项目储备库，制定转型任务清单，清单化落实实施。</w:t>
      </w:r>
    </w:p>
    <w:p w14:paraId="3D54B78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（二）加大政策支持。</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加大制造业数字化转型政策支持力度，统筹市工业发展专项资金，设立制造业数字化转型重点板块，重点支持企业数字化改造、两化融合、数字化转型问诊等，同时积极争取国家级、省级资金和金融资金。各地要结合产业特点和实际需求，制定差异化、强有力的数字化转型政策措施，形成有效的驱动力。</w:t>
      </w:r>
    </w:p>
    <w:p w14:paraId="68A202F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楷体_GB2312" w:hAnsi="楷体_GB2312" w:eastAsia="楷体_GB2312" w:cs="楷体_GB2312"/>
          <w:b/>
          <w:bCs/>
          <w:i w:val="0"/>
          <w:iCs w:val="0"/>
          <w:caps w:val="0"/>
          <w:color w:val="000000" w:themeColor="text1"/>
          <w:spacing w:val="0"/>
          <w:sz w:val="24"/>
          <w:szCs w:val="24"/>
          <w:shd w:val="clear" w:fill="FFFFFF"/>
          <w:lang w:val="en-US" w:eastAsia="zh-CN"/>
          <w14:textFill>
            <w14:solidFill>
              <w14:schemeClr w14:val="tx1"/>
            </w14:solidFill>
          </w14:textFill>
        </w:rPr>
        <w:t>（三）强化考核引导。</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强化推进制造业数字化转型发展考核，将数字化转型成效纳入年度考核重要内容，常态化开展数字化转型工作监测评价，定期对工作落实情况进行通报。各地要细化任务目标，压实责任，全面落实好各项重点</w:t>
      </w:r>
    </w:p>
    <w:p w14:paraId="7597C3A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right="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任务和政策举措。</w:t>
      </w:r>
    </w:p>
    <w:p w14:paraId="5882EB4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394DD25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附件1：全市“智改数转网联”预期目标</w:t>
      </w:r>
    </w:p>
    <w:p w14:paraId="6FFBBBE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附件2：名词解释</w:t>
      </w:r>
    </w:p>
    <w:p w14:paraId="78E9621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64F142A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3970084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42303E2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3FD4088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69F7DDF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516B17F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344A2F8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right="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46A253E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795AD5C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附件1</w:t>
      </w:r>
    </w:p>
    <w:p w14:paraId="60F4D85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09FD377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jc w:val="center"/>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-15875</wp:posOffset>
            </wp:positionH>
            <wp:positionV relativeFrom="paragraph">
              <wp:posOffset>489585</wp:posOffset>
            </wp:positionV>
            <wp:extent cx="4074160" cy="4798695"/>
            <wp:effectExtent l="0" t="0" r="2540" b="1905"/>
            <wp:wrapTopAndBottom/>
            <wp:docPr id="3" name="图片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
                    <pic:cNvPicPr>
                      <a:picLocks noChangeAspect="1"/>
                    </pic:cNvPicPr>
                  </pic:nvPicPr>
                  <pic:blipFill>
                    <a:blip r:embed="rId5"/>
                    <a:stretch>
                      <a:fillRect/>
                    </a:stretch>
                  </pic:blipFill>
                  <pic:spPr>
                    <a:xfrm>
                      <a:off x="0" y="0"/>
                      <a:ext cx="4074160" cy="4798695"/>
                    </a:xfrm>
                    <a:prstGeom prst="rect">
                      <a:avLst/>
                    </a:prstGeom>
                  </pic:spPr>
                </pic:pic>
              </a:graphicData>
            </a:graphic>
          </wp:anchor>
        </w:drawing>
      </w: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全市“智改数转网联”预期目标</w:t>
      </w:r>
    </w:p>
    <w:p w14:paraId="06487A7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33665E9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附件 2</w:t>
      </w:r>
    </w:p>
    <w:p w14:paraId="257966D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1D1BF4A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right="0"/>
        <w:jc w:val="center"/>
        <w:textAlignment w:val="auto"/>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pPr>
      <w:r>
        <w:rPr>
          <w:rStyle w:val="6"/>
          <w:rFonts w:hint="eastAsia" w:ascii="方正小标宋简体" w:hAnsi="方正小标宋简体" w:eastAsia="方正小标宋简体" w:cs="方正小标宋简体"/>
          <w:b w:val="0"/>
          <w:bCs w:val="0"/>
          <w:i w:val="0"/>
          <w:iCs w:val="0"/>
          <w:caps w:val="0"/>
          <w:color w:val="000000" w:themeColor="text1"/>
          <w:spacing w:val="0"/>
          <w:sz w:val="32"/>
          <w:szCs w:val="32"/>
          <w:shd w:val="clear" w:fill="FFFFFF"/>
          <w:lang w:val="en-US" w:eastAsia="zh-CN"/>
          <w14:textFill>
            <w14:solidFill>
              <w14:schemeClr w14:val="tx1"/>
            </w14:solidFill>
          </w14:textFill>
        </w:rPr>
        <w:t>名词解释</w:t>
      </w:r>
    </w:p>
    <w:p w14:paraId="6012C73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p>
    <w:p w14:paraId="69ABF07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“智改数转网联”：</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企业通过实施数字化、网络化、智能化改造，大幅提升企业数智化水平，企业的“提质减人降本增效”取得明显成效。</w:t>
      </w:r>
    </w:p>
    <w:p w14:paraId="03CDDCF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“数字领航企业”：</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“数字领航”企业被称为中国版“灯塔工厂”，是我国在制造业领域树立的发展“旗帜”，是国家智能制造领域最高荣誉，榜单聚焦全要素、全流程、全生态数字化转型。未来两年，聚焦 12条重点产业链头雁企业，全省预计打造 20家数字领航企业。</w:t>
      </w:r>
    </w:p>
    <w:p w14:paraId="69F5282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“小灯塔企业”：</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“小灯塔”企业是指在数字化转型方面具有代表性的样本企业，获评三星级及以上省级两化融合示范的专精特新中小企业，列为“小灯塔”候选企业。</w:t>
      </w:r>
    </w:p>
    <w:p w14:paraId="759DF58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“数智工厂”：</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“数智工厂”是指利用新一代信息技术将传统工厂数字化、智能化和网络化的生产模式。未来两年，聚焦数字化水平高、在产业链中处于关键环节的中大型制造业企业，全省预计打造 500家数智工厂。</w:t>
      </w:r>
    </w:p>
    <w:p w14:paraId="1594A86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“数字化转型成熟度贯标”：</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指企业在进行数字化转型过程中，通过一系列的标准和指标来评估和衡量其转型的程度和成熟度。这些标准和指标可以帮助企业确定其数字化转型的目标，并指导企业在实施和推进过程中方向和重点。</w:t>
      </w:r>
    </w:p>
    <w:p w14:paraId="5B18CFC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“产业大脑”：</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产业大脑以工业互联网为重要支撑，以数据资源为核心要素，运用新一代信息技术，以产业链整合重构为路径，融合创新链、政策链、资金链、人才链，集成企业侧、产业侧、政府侧应用场景，旨在实现企业生产经营数字化、产业生态建设数字化、政府经济治理数字化，助推产业向高级化、现代化，智能化迈进。</w:t>
      </w:r>
    </w:p>
    <w:p w14:paraId="6662A61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shd w:val="clear" w:fill="FFFFFF"/>
          <w:lang w:val="en-US" w:eastAsia="zh-CN"/>
          <w14:textFill>
            <w14:solidFill>
              <w14:schemeClr w14:val="tx1"/>
            </w14:solidFill>
          </w14:textFill>
        </w:rPr>
        <w:t>“数字化转型促进中心”：</w:t>
      </w:r>
      <w:r>
        <w:rPr>
          <w:rFonts w:hint="eastAsia" w:ascii="仿宋_GB2312" w:hAnsi="仿宋_GB2312" w:eastAsia="仿宋_GB2312" w:cs="仿宋_GB2312"/>
          <w:i w:val="0"/>
          <w:iCs w:val="0"/>
          <w:caps w:val="0"/>
          <w:color w:val="000000" w:themeColor="text1"/>
          <w:spacing w:val="0"/>
          <w:sz w:val="24"/>
          <w:szCs w:val="24"/>
          <w:shd w:val="clear" w:fill="FFFFFF"/>
          <w:lang w:val="en-US" w:eastAsia="zh-CN"/>
          <w14:textFill>
            <w14:solidFill>
              <w14:schemeClr w14:val="tx1"/>
            </w14:solidFill>
          </w14:textFill>
        </w:rPr>
        <w:t>数字化转型促进中心是推进产业数字化转型的公共服务体系，通过提供基础技术、试验设备、转型路径、典型场景等公共服务，降低产业数字化转型成本。</w:t>
      </w:r>
    </w:p>
    <w:p w14:paraId="2FA260F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red"/>
          <w:u w:val="single"/>
          <w:shd w:val="clear" w:fill="FFFFFF"/>
          <w:lang w:val="en-US" w:eastAsia="zh-CN"/>
          <w14:textFill>
            <w14:solidFill>
              <w14:schemeClr w14:val="tx1"/>
            </w14:solidFill>
          </w14:textFill>
        </w:rPr>
        <w:t>“数字化</w:t>
      </w:r>
      <w:bookmarkStart w:id="0" w:name="_GoBack"/>
      <w:bookmarkEnd w:id="0"/>
      <w:r>
        <w:rPr>
          <w:rFonts w:hint="eastAsia" w:ascii="仿宋_GB2312" w:hAnsi="仿宋_GB2312" w:eastAsia="仿宋_GB2312" w:cs="仿宋_GB2312"/>
          <w:b/>
          <w:bCs/>
          <w:i w:val="0"/>
          <w:iCs w:val="0"/>
          <w:caps w:val="0"/>
          <w:color w:val="000000" w:themeColor="text1"/>
          <w:spacing w:val="0"/>
          <w:sz w:val="24"/>
          <w:szCs w:val="24"/>
          <w:highlight w:val="red"/>
          <w:u w:val="single"/>
          <w:shd w:val="clear" w:fill="FFFFFF"/>
          <w:lang w:val="en-US" w:eastAsia="zh-CN"/>
          <w14:textFill>
            <w14:solidFill>
              <w14:schemeClr w14:val="tx1"/>
            </w14:solidFill>
          </w14:textFill>
        </w:rPr>
        <w:t>诊所”：</w:t>
      </w:r>
      <w:r>
        <w:rPr>
          <w:rFonts w:hint="eastAsia" w:ascii="仿宋_GB2312" w:hAnsi="仿宋_GB2312" w:eastAsia="仿宋_GB2312" w:cs="仿宋_GB2312"/>
          <w:i w:val="0"/>
          <w:iCs w:val="0"/>
          <w:caps w:val="0"/>
          <w:color w:val="000000" w:themeColor="text1"/>
          <w:spacing w:val="0"/>
          <w:sz w:val="24"/>
          <w:szCs w:val="24"/>
          <w:highlight w:val="red"/>
          <w:u w:val="single"/>
          <w:shd w:val="clear" w:fill="FFFFFF"/>
          <w:lang w:val="en-US" w:eastAsia="zh-CN"/>
          <w14:textFill>
            <w14:solidFill>
              <w14:schemeClr w14:val="tx1"/>
            </w14:solidFill>
          </w14:textFill>
        </w:rPr>
        <w:t>聚焦解决企业“向哪转”“怎么转”“想转不会转”等问题症结，帮助企业发现问题并展开咨询论证，进行系统规划设计，提供充实完善的技术服务、金融服务、市场服务、人才服务、信息服务和经营管理服务等解决方案，推进企业降本增效和智能化、绿色化、服务化、协同化转型发展。</w:t>
      </w:r>
    </w:p>
    <w:p w14:paraId="598F689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both"/>
        <w:textAlignment w:val="auto"/>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u w:val="single"/>
          <w:shd w:val="clear" w:fill="FFFFFF"/>
          <w:lang w:val="en-US" w:eastAsia="zh-CN"/>
          <w14:textFill>
            <w14:solidFill>
              <w14:schemeClr w14:val="tx1"/>
            </w14:solidFill>
          </w14:textFill>
        </w:rPr>
        <w:t>“数字专员”：</w:t>
      </w: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t>具有相关数字化素养的专业人才，对企业开展数字化诊断，摸清企业数字化现状和转型需求，帮助企业梳理数字化转型存在的不足和问题。</w:t>
      </w:r>
    </w:p>
    <w:p w14:paraId="5B08D8F8">
      <w:pP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br w:type="page"/>
      </w:r>
    </w:p>
    <w:p w14:paraId="7652A153">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jc w:val="center"/>
        <w:textAlignment w:val="auto"/>
        <w:rPr>
          <w:rFonts w:hint="eastAsia" w:ascii="方正小标宋简体" w:hAnsi="方正小标宋简体" w:eastAsia="方正小标宋简体" w:cs="方正小标宋简体"/>
          <w:color w:val="000000" w:themeColor="text1"/>
          <w:kern w:val="0"/>
          <w:sz w:val="32"/>
          <w:szCs w:val="32"/>
          <w:lang w:val="en-US" w:eastAsia="zh-CN"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32"/>
          <w:szCs w:val="32"/>
          <w:lang w:val="en-US" w:eastAsia="zh-CN" w:bidi="ar"/>
          <w14:textFill>
            <w14:solidFill>
              <w14:schemeClr w14:val="tx1"/>
            </w14:solidFill>
          </w14:textFill>
        </w:rPr>
        <w:t>吉水县推进</w:t>
      </w:r>
      <w:r>
        <w:rPr>
          <w:rFonts w:ascii="方正小标宋简体" w:hAnsi="方正小标宋简体" w:eastAsia="方正小标宋简体" w:cs="方正小标宋简体"/>
          <w:color w:val="000000" w:themeColor="text1"/>
          <w:kern w:val="0"/>
          <w:sz w:val="32"/>
          <w:szCs w:val="32"/>
          <w:lang w:val="en-US" w:eastAsia="zh-CN" w:bidi="ar"/>
          <w14:textFill>
            <w14:solidFill>
              <w14:schemeClr w14:val="tx1"/>
            </w14:solidFill>
          </w14:textFill>
        </w:rPr>
        <w:t>制造业数字化转型</w:t>
      </w:r>
      <w:r>
        <w:rPr>
          <w:rFonts w:hint="eastAsia" w:ascii="方正小标宋简体" w:hAnsi="方正小标宋简体" w:eastAsia="方正小标宋简体" w:cs="方正小标宋简体"/>
          <w:color w:val="000000" w:themeColor="text1"/>
          <w:kern w:val="0"/>
          <w:sz w:val="32"/>
          <w:szCs w:val="32"/>
          <w:lang w:val="en-US" w:eastAsia="zh-CN" w:bidi="ar"/>
          <w14:textFill>
            <w14:solidFill>
              <w14:schemeClr w14:val="tx1"/>
            </w14:solidFill>
          </w14:textFill>
        </w:rPr>
        <w:t>工作方案（2024-2025年）</w:t>
      </w:r>
    </w:p>
    <w:p w14:paraId="4A1305F6">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14:paraId="2E7B06FD">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为深入贯彻党中央、国务院和省委、省政府关于推进新型工业化和发展数字经济的决策部署，认真落实《江西省制造业数字化转型实施方案》(赣府厅字〔2023〕46号)</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none"/>
          <w:lang w:eastAsia="zh-CN"/>
          <w14:textFill>
            <w14:solidFill>
              <w14:schemeClr w14:val="tx1"/>
            </w14:solidFill>
          </w14:textFill>
        </w:rPr>
        <w:t>《江西省推动大规模设备更新和消费品以旧换新实施方案》（赣府发〔2024〕9号）、</w:t>
      </w:r>
      <w:r>
        <w:rPr>
          <w:rFonts w:hint="eastAsia" w:ascii="仿宋_GB2312" w:hAnsi="仿宋_GB2312" w:eastAsia="仿宋_GB2312" w:cs="仿宋_GB2312"/>
          <w:color w:val="000000" w:themeColor="text1"/>
          <w:sz w:val="24"/>
          <w:szCs w:val="24"/>
          <w:u w:val="none"/>
          <w14:textFill>
            <w14:solidFill>
              <w14:schemeClr w14:val="tx1"/>
            </w14:solidFill>
          </w14:textFill>
        </w:rPr>
        <w:t>《吉安市培育壮大千亿产业集群攻坚战实</w:t>
      </w:r>
      <w:r>
        <w:rPr>
          <w:rFonts w:hint="eastAsia" w:ascii="仿宋_GB2312" w:hAnsi="仿宋_GB2312" w:eastAsia="仿宋_GB2312" w:cs="仿宋_GB2312"/>
          <w:color w:val="000000" w:themeColor="text1"/>
          <w:sz w:val="24"/>
          <w:szCs w:val="24"/>
          <w14:textFill>
            <w14:solidFill>
              <w14:schemeClr w14:val="tx1"/>
            </w14:solidFill>
          </w14:textFill>
        </w:rPr>
        <w:t>施方案》(吉攻坚指发〔2023〕1号）</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吉</w:t>
      </w:r>
      <w:r>
        <w:rPr>
          <w:rFonts w:hint="eastAsia" w:ascii="仿宋_GB2312" w:hAnsi="仿宋_GB2312" w:eastAsia="仿宋_GB2312" w:cs="仿宋_GB2312"/>
          <w:color w:val="000000" w:themeColor="text1"/>
          <w:sz w:val="24"/>
          <w:szCs w:val="24"/>
          <w14:textFill>
            <w14:solidFill>
              <w14:schemeClr w14:val="tx1"/>
            </w14:solidFill>
          </w14:textFill>
        </w:rPr>
        <w:t>安市制造业数字化转型行动计划(2024-2025年)》</w:t>
      </w:r>
      <w:r>
        <w:rPr>
          <w:rFonts w:hint="eastAsia" w:ascii="仿宋_GB2312" w:hAnsi="仿宋_GB2312" w:eastAsia="仿宋_GB2312" w:cs="仿宋_GB2312"/>
          <w:color w:val="000000" w:themeColor="text1"/>
          <w:sz w:val="24"/>
          <w:szCs w:val="24"/>
          <w:lang w:eastAsia="zh-CN"/>
          <w14:textFill>
            <w14:solidFill>
              <w14:schemeClr w14:val="tx1"/>
            </w14:solidFill>
          </w14:textFill>
        </w:rPr>
        <w:t>（吉工强市办〔2024〕7号）</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文件精神</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聚焦规模以上工业企业</w:t>
      </w:r>
      <w:r>
        <w:rPr>
          <w:rFonts w:hint="eastAsia" w:ascii="仿宋_GB2312" w:hAnsi="仿宋_GB2312" w:eastAsia="仿宋_GB2312" w:cs="仿宋_GB2312"/>
          <w:color w:val="000000" w:themeColor="text1"/>
          <w:sz w:val="24"/>
          <w:szCs w:val="24"/>
          <w:lang w:eastAsia="zh-CN"/>
          <w14:textFill>
            <w14:solidFill>
              <w14:schemeClr w14:val="tx1"/>
            </w14:solidFill>
          </w14:textFill>
        </w:rPr>
        <w:t>及成长型工业企业（以下简称重点企业）</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eastAsia="仿宋_GB2312" w:cs="仿宋_GB2312"/>
          <w:color w:val="000000" w:themeColor="text1"/>
          <w:sz w:val="24"/>
          <w:szCs w:val="24"/>
          <w14:textFill>
            <w14:solidFill>
              <w14:schemeClr w14:val="tx1"/>
            </w14:solidFill>
          </w14:textFill>
        </w:rPr>
        <w:t>全方位纵深推进全</w:t>
      </w:r>
      <w:r>
        <w:rPr>
          <w:rFonts w:hint="eastAsia" w:ascii="仿宋_GB2312" w:eastAsia="仿宋_GB2312" w:cs="仿宋_GB2312"/>
          <w:color w:val="000000" w:themeColor="text1"/>
          <w:sz w:val="24"/>
          <w:szCs w:val="24"/>
          <w:lang w:eastAsia="zh-CN"/>
          <w14:textFill>
            <w14:solidFill>
              <w14:schemeClr w14:val="tx1"/>
            </w14:solidFill>
          </w14:textFill>
        </w:rPr>
        <w:t>县</w:t>
      </w:r>
      <w:r>
        <w:rPr>
          <w:rFonts w:hint="eastAsia" w:ascii="仿宋_GB2312" w:eastAsia="仿宋_GB2312" w:cs="仿宋_GB2312"/>
          <w:color w:val="000000" w:themeColor="text1"/>
          <w:sz w:val="24"/>
          <w:szCs w:val="24"/>
          <w14:textFill>
            <w14:solidFill>
              <w14:schemeClr w14:val="tx1"/>
            </w14:solidFill>
          </w14:textFill>
        </w:rPr>
        <w:t>制造业数字化转型，</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推动发展新质生产力，</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深化</w:t>
      </w:r>
      <w:r>
        <w:rPr>
          <w:rFonts w:hint="eastAsia" w:ascii="仿宋_GB2312" w:hAnsi="仿宋_GB2312" w:eastAsia="仿宋_GB2312" w:cs="仿宋_GB2312"/>
          <w:color w:val="000000" w:themeColor="text1"/>
          <w:sz w:val="24"/>
          <w:szCs w:val="24"/>
          <w14:textFill>
            <w14:solidFill>
              <w14:schemeClr w14:val="tx1"/>
            </w14:solidFill>
          </w14:textFill>
        </w:rPr>
        <w:t>企业数字化变革，</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加速</w:t>
      </w:r>
      <w:r>
        <w:rPr>
          <w:rFonts w:hint="eastAsia" w:ascii="仿宋_GB2312" w:hAnsi="仿宋_GB2312" w:eastAsia="仿宋_GB2312" w:cs="仿宋_GB2312"/>
          <w:color w:val="000000" w:themeColor="text1"/>
          <w:sz w:val="24"/>
          <w:szCs w:val="24"/>
          <w14:textFill>
            <w14:solidFill>
              <w14:schemeClr w14:val="tx1"/>
            </w14:solidFill>
          </w14:textFill>
        </w:rPr>
        <w:t>打造新型工业强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县</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特制定本方案。</w:t>
      </w:r>
    </w:p>
    <w:p w14:paraId="419CE65A">
      <w:pPr>
        <w:keepNext w:val="0"/>
        <w:keepLines w:val="0"/>
        <w:pageBreakBefore w:val="0"/>
        <w:widowControl w:val="0"/>
        <w:numPr>
          <w:ilvl w:val="0"/>
          <w:numId w:val="1"/>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指导思想</w:t>
      </w:r>
    </w:p>
    <w:p w14:paraId="56DECBB6">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黑体" w:hAnsi="黑体" w:eastAsia="黑体" w:cs="黑体"/>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以习近平新时代中国特色社会主义思想为指导，全面贯彻党的</w:t>
      </w:r>
      <w:r>
        <w:rPr>
          <w:rFonts w:hint="eastAsia" w:ascii="仿宋_GB2312" w:hAnsi="仿宋_GB2312" w:eastAsia="仿宋_GB2312" w:cs="仿宋_GB2312"/>
          <w:color w:val="000000" w:themeColor="text1"/>
          <w:sz w:val="24"/>
          <w:szCs w:val="24"/>
          <w:lang w:eastAsia="zh-CN"/>
          <w14:textFill>
            <w14:solidFill>
              <w14:schemeClr w14:val="tx1"/>
            </w14:solidFill>
          </w14:textFill>
        </w:rPr>
        <w:t>二十</w:t>
      </w:r>
      <w:r>
        <w:rPr>
          <w:rFonts w:hint="eastAsia" w:ascii="仿宋_GB2312" w:hAnsi="仿宋_GB2312" w:eastAsia="仿宋_GB2312" w:cs="仿宋_GB2312"/>
          <w:color w:val="000000" w:themeColor="text1"/>
          <w:sz w:val="24"/>
          <w:szCs w:val="24"/>
          <w14:textFill>
            <w14:solidFill>
              <w14:schemeClr w14:val="tx1"/>
            </w14:solidFill>
          </w14:textFill>
        </w:rPr>
        <w:t>大精神，深入学习贯彻习近平总书记考察江西重要讲话精神，聚焦“走在前、勇争先、善作为”目标要求，以核心产业提速、数字转型提质为主要途径，以深化新一代信息技术与制造业融合发展为主线，以智能制造为主攻方向，大力推进数字产业化和产业数字化，加速行业数字化转型和企业数字化变革，全面推进制造业智能化</w:t>
      </w:r>
      <w:r>
        <w:rPr>
          <w:rFonts w:hint="eastAsia" w:ascii="仿宋_GB2312" w:hAnsi="仿宋_GB2312" w:eastAsia="仿宋_GB2312" w:cs="仿宋_GB2312"/>
          <w:color w:val="000000" w:themeColor="text1"/>
          <w:sz w:val="24"/>
          <w:szCs w:val="24"/>
          <w:lang w:eastAsia="zh-CN"/>
          <w14:textFill>
            <w14:solidFill>
              <w14:schemeClr w14:val="tx1"/>
            </w14:solidFill>
          </w14:textFill>
        </w:rPr>
        <w:t>、绿色化、融合化</w:t>
      </w:r>
      <w:r>
        <w:rPr>
          <w:rFonts w:hint="eastAsia" w:ascii="仿宋_GB2312" w:hAnsi="仿宋_GB2312" w:eastAsia="仿宋_GB2312" w:cs="仿宋_GB2312"/>
          <w:color w:val="000000" w:themeColor="text1"/>
          <w:sz w:val="24"/>
          <w:szCs w:val="24"/>
          <w14:textFill>
            <w14:solidFill>
              <w14:schemeClr w14:val="tx1"/>
            </w14:solidFill>
          </w14:textFill>
        </w:rPr>
        <w:t>发展，为数字</w:t>
      </w:r>
      <w:r>
        <w:rPr>
          <w:rFonts w:hint="eastAsia" w:ascii="仿宋_GB2312" w:hAnsi="仿宋_GB2312" w:eastAsia="仿宋_GB2312" w:cs="仿宋_GB2312"/>
          <w:color w:val="000000" w:themeColor="text1"/>
          <w:sz w:val="24"/>
          <w:szCs w:val="24"/>
          <w:lang w:eastAsia="zh-CN"/>
          <w14:textFill>
            <w14:solidFill>
              <w14:schemeClr w14:val="tx1"/>
            </w14:solidFill>
          </w14:textFill>
        </w:rPr>
        <w:t>政府</w:t>
      </w:r>
      <w:r>
        <w:rPr>
          <w:rFonts w:hint="eastAsia" w:ascii="仿宋_GB2312" w:hAnsi="仿宋_GB2312" w:eastAsia="仿宋_GB2312" w:cs="仿宋_GB2312"/>
          <w:color w:val="000000" w:themeColor="text1"/>
          <w:sz w:val="24"/>
          <w:szCs w:val="24"/>
          <w14:textFill>
            <w14:solidFill>
              <w14:schemeClr w14:val="tx1"/>
            </w14:solidFill>
          </w14:textFill>
        </w:rPr>
        <w:t>和</w:t>
      </w:r>
      <w:r>
        <w:rPr>
          <w:rFonts w:hint="eastAsia" w:ascii="仿宋_GB2312" w:hAnsi="仿宋_GB2312" w:eastAsia="仿宋_GB2312" w:cs="仿宋_GB2312"/>
          <w:color w:val="000000" w:themeColor="text1"/>
          <w:sz w:val="24"/>
          <w:szCs w:val="24"/>
          <w:lang w:eastAsia="zh-CN"/>
          <w14:textFill>
            <w14:solidFill>
              <w14:schemeClr w14:val="tx1"/>
            </w14:solidFill>
          </w14:textFill>
        </w:rPr>
        <w:t>数字园区</w:t>
      </w:r>
      <w:r>
        <w:rPr>
          <w:rFonts w:hint="eastAsia" w:ascii="仿宋_GB2312" w:hAnsi="仿宋_GB2312" w:eastAsia="仿宋_GB2312" w:cs="仿宋_GB2312"/>
          <w:color w:val="000000" w:themeColor="text1"/>
          <w:sz w:val="24"/>
          <w:szCs w:val="24"/>
          <w14:textFill>
            <w14:solidFill>
              <w14:schemeClr w14:val="tx1"/>
            </w14:solidFill>
          </w14:textFill>
        </w:rPr>
        <w:t>建设提供</w:t>
      </w:r>
      <w:r>
        <w:rPr>
          <w:rFonts w:hint="eastAsia" w:ascii="仿宋_GB2312" w:hAnsi="仿宋_GB2312" w:eastAsia="仿宋_GB2312" w:cs="仿宋_GB2312"/>
          <w:color w:val="000000" w:themeColor="text1"/>
          <w:sz w:val="24"/>
          <w:szCs w:val="24"/>
          <w:lang w:eastAsia="zh-CN"/>
          <w14:textFill>
            <w14:solidFill>
              <w14:schemeClr w14:val="tx1"/>
            </w14:solidFill>
          </w14:textFill>
        </w:rPr>
        <w:t>有力</w:t>
      </w:r>
      <w:r>
        <w:rPr>
          <w:rFonts w:hint="eastAsia" w:ascii="仿宋_GB2312" w:hAnsi="仿宋_GB2312" w:eastAsia="仿宋_GB2312" w:cs="仿宋_GB2312"/>
          <w:color w:val="000000" w:themeColor="text1"/>
          <w:sz w:val="24"/>
          <w:szCs w:val="24"/>
          <w14:textFill>
            <w14:solidFill>
              <w14:schemeClr w14:val="tx1"/>
            </w14:solidFill>
          </w14:textFill>
        </w:rPr>
        <w:t>支撑</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p>
    <w:p w14:paraId="2DDFB447">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二</w:t>
      </w:r>
      <w:r>
        <w:rPr>
          <w:rFonts w:hint="eastAsia" w:ascii="黑体" w:hAnsi="黑体" w:eastAsia="黑体" w:cs="黑体"/>
          <w:color w:val="000000" w:themeColor="text1"/>
          <w:sz w:val="24"/>
          <w:szCs w:val="24"/>
          <w:lang w:eastAsia="zh-CN"/>
          <w14:textFill>
            <w14:solidFill>
              <w14:schemeClr w14:val="tx1"/>
            </w14:solidFill>
          </w14:textFill>
        </w:rPr>
        <w:t>、</w:t>
      </w:r>
      <w:r>
        <w:rPr>
          <w:rFonts w:hint="eastAsia" w:ascii="黑体" w:hAnsi="黑体" w:eastAsia="黑体" w:cs="黑体"/>
          <w:color w:val="000000" w:themeColor="text1"/>
          <w:sz w:val="24"/>
          <w:szCs w:val="24"/>
          <w14:textFill>
            <w14:solidFill>
              <w14:schemeClr w14:val="tx1"/>
            </w14:solidFill>
          </w14:textFill>
        </w:rPr>
        <w:t>发展目标</w:t>
      </w:r>
    </w:p>
    <w:p w14:paraId="1FEF6416">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pPr>
      <w:r>
        <w:rPr>
          <w:rFonts w:hint="eastAsia" w:ascii="仿宋_GB2312" w:eastAsia="仿宋_GB2312" w:cs="仿宋_GB2312"/>
          <w:color w:val="000000" w:themeColor="text1"/>
          <w:sz w:val="24"/>
          <w:szCs w:val="24"/>
          <w:u w:val="single" w:color="auto"/>
          <w:lang w:eastAsia="zh-CN"/>
          <w14:textFill>
            <w14:solidFill>
              <w14:schemeClr w14:val="tx1"/>
            </w14:solidFill>
          </w14:textFill>
        </w:rPr>
        <w:t>到</w:t>
      </w:r>
      <w:r>
        <w:rPr>
          <w:rFonts w:hint="eastAsia" w:ascii="仿宋_GB2312" w:eastAsia="仿宋_GB2312" w:cs="仿宋_GB2312"/>
          <w:color w:val="000000" w:themeColor="text1"/>
          <w:sz w:val="24"/>
          <w:szCs w:val="24"/>
          <w:u w:val="single" w:color="auto"/>
          <w14:textFill>
            <w14:solidFill>
              <w14:schemeClr w14:val="tx1"/>
            </w14:solidFill>
          </w14:textFill>
        </w:rPr>
        <w:t>2025年，</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力争</w:t>
      </w:r>
      <w:r>
        <w:rPr>
          <w:rFonts w:hint="eastAsia" w:ascii="仿宋_GB2312" w:eastAsia="仿宋_GB2312" w:cs="仿宋_GB2312"/>
          <w:color w:val="000000" w:themeColor="text1"/>
          <w:sz w:val="24"/>
          <w:szCs w:val="24"/>
          <w:u w:val="single" w:color="auto"/>
          <w14:textFill>
            <w14:solidFill>
              <w14:schemeClr w14:val="tx1"/>
            </w14:solidFill>
          </w14:textFill>
        </w:rPr>
        <w:t>推动企业实施数字化改造</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110</w:t>
      </w:r>
      <w:r>
        <w:rPr>
          <w:rFonts w:hint="eastAsia" w:ascii="仿宋_GB2312" w:eastAsia="仿宋_GB2312" w:cs="仿宋_GB2312"/>
          <w:color w:val="000000" w:themeColor="text1"/>
          <w:sz w:val="24"/>
          <w:szCs w:val="24"/>
          <w:u w:val="single" w:color="auto"/>
          <w14:textFill>
            <w14:solidFill>
              <w14:schemeClr w14:val="tx1"/>
            </w14:solidFill>
          </w14:textFill>
        </w:rPr>
        <w:t>家以上，</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其中通过数字化改造达到</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L6级（含）以上</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的</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企业50家以上，</w:t>
      </w:r>
      <w:r>
        <w:rPr>
          <w:rFonts w:hint="eastAsia" w:ascii="仿宋_GB2312" w:eastAsia="仿宋_GB2312" w:cs="仿宋_GB2312"/>
          <w:color w:val="000000" w:themeColor="text1"/>
          <w:sz w:val="24"/>
          <w:szCs w:val="24"/>
          <w:u w:val="single" w:color="auto"/>
          <w14:textFill>
            <w14:solidFill>
              <w14:schemeClr w14:val="tx1"/>
            </w14:solidFill>
          </w14:textFill>
        </w:rPr>
        <w:t>规上工业企业</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L3级全覆盖</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培育市级及以上中小企业数字化转型服务商1家，</w:t>
      </w:r>
      <w:r>
        <w:rPr>
          <w:rFonts w:hint="eastAsia" w:ascii="仿宋_GB2312" w:hAnsi="仿宋_GB2312" w:eastAsia="仿宋_GB2312" w:cs="仿宋_GB2312"/>
          <w:color w:val="000000" w:themeColor="text1"/>
          <w:sz w:val="24"/>
          <w:szCs w:val="24"/>
          <w:highlight w:val="red"/>
          <w:u w:val="single" w:color="auto"/>
          <w:lang w:val="en-US" w:eastAsia="zh-CN"/>
          <w14:textFill>
            <w14:solidFill>
              <w14:schemeClr w14:val="tx1"/>
            </w14:solidFill>
          </w14:textFill>
        </w:rPr>
        <w:t>力争</w:t>
      </w:r>
      <w:r>
        <w:rPr>
          <w:rFonts w:hint="eastAsia" w:ascii="仿宋_GB2312" w:eastAsia="仿宋_GB2312" w:cs="仿宋_GB2312"/>
          <w:color w:val="000000" w:themeColor="text1"/>
          <w:sz w:val="24"/>
          <w:szCs w:val="24"/>
          <w:highlight w:val="red"/>
          <w:u w:val="single" w:color="auto"/>
          <w:lang w:val="en-US" w:eastAsia="zh-CN"/>
          <w14:textFill>
            <w14:solidFill>
              <w14:schemeClr w14:val="tx1"/>
            </w14:solidFill>
          </w14:textFill>
        </w:rPr>
        <w:t>打造</w:t>
      </w:r>
      <w:r>
        <w:rPr>
          <w:rFonts w:hint="eastAsia" w:ascii="仿宋_GB2312" w:hAnsi="仿宋_GB2312" w:eastAsia="仿宋_GB2312" w:cs="仿宋_GB2312"/>
          <w:color w:val="000000" w:themeColor="text1"/>
          <w:sz w:val="24"/>
          <w:szCs w:val="24"/>
          <w:highlight w:val="red"/>
          <w:u w:val="single" w:color="auto"/>
          <w:lang w:val="en-US" w:eastAsia="zh-CN"/>
          <w14:textFill>
            <w14:solidFill>
              <w14:schemeClr w14:val="tx1"/>
            </w14:solidFill>
          </w14:textFill>
        </w:rPr>
        <w:t>数字化诊所1个、</w:t>
      </w:r>
      <w:r>
        <w:rPr>
          <w:rFonts w:hint="eastAsia" w:ascii="仿宋_GB2312" w:eastAsia="仿宋_GB2312" w:cs="仿宋_GB2312"/>
          <w:color w:val="000000" w:themeColor="text1"/>
          <w:sz w:val="24"/>
          <w:szCs w:val="24"/>
          <w:u w:val="single" w:color="auto"/>
          <w14:textFill>
            <w14:solidFill>
              <w14:schemeClr w14:val="tx1"/>
            </w14:solidFill>
          </w14:textFill>
        </w:rPr>
        <w:t>“数字领航”</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（培育）</w:t>
      </w:r>
      <w:r>
        <w:rPr>
          <w:rFonts w:hint="eastAsia" w:ascii="仿宋_GB2312" w:eastAsia="仿宋_GB2312" w:cs="仿宋_GB2312"/>
          <w:color w:val="000000" w:themeColor="text1"/>
          <w:sz w:val="24"/>
          <w:szCs w:val="24"/>
          <w:u w:val="single" w:color="auto"/>
          <w14:textFill>
            <w14:solidFill>
              <w14:schemeClr w14:val="tx1"/>
            </w14:solidFill>
          </w14:textFill>
        </w:rPr>
        <w:t>企业</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1</w:t>
      </w:r>
      <w:r>
        <w:rPr>
          <w:rFonts w:hint="eastAsia" w:ascii="仿宋_GB2312" w:eastAsia="仿宋_GB2312" w:cs="仿宋_GB2312"/>
          <w:color w:val="000000" w:themeColor="text1"/>
          <w:sz w:val="24"/>
          <w:szCs w:val="24"/>
          <w:u w:val="single" w:color="auto"/>
          <w14:textFill>
            <w14:solidFill>
              <w14:schemeClr w14:val="tx1"/>
            </w14:solidFill>
          </w14:textFill>
        </w:rPr>
        <w:t>家</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eastAsia="仿宋_GB2312" w:cs="仿宋_GB2312"/>
          <w:color w:val="000000" w:themeColor="text1"/>
          <w:sz w:val="24"/>
          <w:szCs w:val="24"/>
          <w:u w:val="single" w:color="auto"/>
          <w14:textFill>
            <w14:solidFill>
              <w14:schemeClr w14:val="tx1"/>
            </w14:solidFill>
          </w14:textFill>
        </w:rPr>
        <w:t>数智</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eastAsia="仿宋_GB2312" w:cs="仿宋_GB2312"/>
          <w:color w:val="000000" w:themeColor="text1"/>
          <w:sz w:val="24"/>
          <w:szCs w:val="24"/>
          <w:u w:val="single" w:color="auto"/>
          <w14:textFill>
            <w14:solidFill>
              <w14:schemeClr w14:val="tx1"/>
            </w14:solidFill>
          </w14:textFill>
        </w:rPr>
        <w:t>工厂</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4</w:t>
      </w:r>
      <w:r>
        <w:rPr>
          <w:rFonts w:hint="eastAsia" w:ascii="仿宋_GB2312" w:eastAsia="仿宋_GB2312" w:cs="仿宋_GB2312"/>
          <w:color w:val="000000" w:themeColor="text1"/>
          <w:sz w:val="24"/>
          <w:szCs w:val="24"/>
          <w:u w:val="single" w:color="auto"/>
          <w14:textFill>
            <w14:solidFill>
              <w14:schemeClr w14:val="tx1"/>
            </w14:solidFill>
          </w14:textFill>
        </w:rPr>
        <w:t>家</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以上、“</w:t>
      </w:r>
      <w:r>
        <w:rPr>
          <w:rFonts w:hint="eastAsia" w:ascii="仿宋_GB2312" w:eastAsia="仿宋_GB2312" w:cs="仿宋_GB2312"/>
          <w:color w:val="000000" w:themeColor="text1"/>
          <w:sz w:val="24"/>
          <w:szCs w:val="24"/>
          <w:u w:val="single" w:color="auto"/>
          <w14:textFill>
            <w14:solidFill>
              <w14:schemeClr w14:val="tx1"/>
            </w14:solidFill>
          </w14:textFill>
        </w:rPr>
        <w:t>小灯塔</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企业4</w:t>
      </w:r>
      <w:r>
        <w:rPr>
          <w:rFonts w:hint="eastAsia" w:ascii="仿宋_GB2312" w:eastAsia="仿宋_GB2312" w:cs="仿宋_GB2312"/>
          <w:color w:val="000000" w:themeColor="text1"/>
          <w:sz w:val="24"/>
          <w:szCs w:val="24"/>
          <w:u w:val="single" w:color="auto"/>
          <w14:textFill>
            <w14:solidFill>
              <w14:schemeClr w14:val="tx1"/>
            </w14:solidFill>
          </w14:textFill>
        </w:rPr>
        <w:t>家</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以上、数字化转型标杆企业</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20家以上、两化融合贯标（或数字化转型、工业互联网、数据管理等贯标）企业10家以上，争取</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电子信息产业集群成功申报省级产业集群数字化转型试点，将</w:t>
      </w:r>
      <w:r>
        <w:rPr>
          <w:rFonts w:hint="eastAsia" w:ascii="仿宋_GB2312" w:hAnsi="仿宋_GB2312" w:eastAsia="仿宋_GB2312" w:cs="仿宋_GB2312"/>
          <w:color w:val="000000" w:themeColor="text1"/>
          <w:kern w:val="2"/>
          <w:sz w:val="24"/>
          <w:szCs w:val="24"/>
          <w:u w:val="single" w:color="auto"/>
          <w14:textFill>
            <w14:solidFill>
              <w14:schemeClr w14:val="tx1"/>
            </w14:solidFill>
          </w14:textFill>
        </w:rPr>
        <w:t>工业园区打造成省级“两化融合”示范园区和数字化转型标杆园区。</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具体完成目标如下：</w:t>
      </w:r>
    </w:p>
    <w:p w14:paraId="70580EC0">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2024年，培育市级及以上中小企业数字化转型服务商1家，</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力争</w:t>
      </w:r>
      <w:r>
        <w:rPr>
          <w:rFonts w:hint="eastAsia" w:ascii="仿宋_GB2312" w:eastAsia="仿宋_GB2312" w:cs="仿宋_GB2312"/>
          <w:color w:val="000000" w:themeColor="text1"/>
          <w:sz w:val="24"/>
          <w:szCs w:val="24"/>
          <w:u w:val="single" w:color="auto"/>
          <w14:textFill>
            <w14:solidFill>
              <w14:schemeClr w14:val="tx1"/>
            </w14:solidFill>
          </w14:textFill>
        </w:rPr>
        <w:t>打</w:t>
      </w:r>
      <w:r>
        <w:rPr>
          <w:rFonts w:hint="eastAsia" w:ascii="仿宋_GB2312" w:eastAsia="仿宋_GB2312" w:cs="仿宋_GB2312"/>
          <w:color w:val="000000" w:themeColor="text1"/>
          <w:sz w:val="24"/>
          <w:szCs w:val="24"/>
          <w:highlight w:val="red"/>
          <w:u w:val="single" w:color="auto"/>
          <w14:textFill>
            <w14:solidFill>
              <w14:schemeClr w14:val="tx1"/>
            </w14:solidFill>
          </w14:textFill>
        </w:rPr>
        <w:t>造</w:t>
      </w:r>
      <w:r>
        <w:rPr>
          <w:rFonts w:hint="eastAsia" w:ascii="仿宋_GB2312" w:hAnsi="仿宋_GB2312" w:eastAsia="仿宋_GB2312" w:cs="仿宋_GB2312"/>
          <w:color w:val="000000" w:themeColor="text1"/>
          <w:sz w:val="24"/>
          <w:szCs w:val="24"/>
          <w:highlight w:val="red"/>
          <w:u w:val="single" w:color="auto"/>
          <w:lang w:val="en-US" w:eastAsia="zh-CN"/>
          <w14:textFill>
            <w14:solidFill>
              <w14:schemeClr w14:val="tx1"/>
            </w14:solidFill>
          </w14:textFill>
        </w:rPr>
        <w:t>数字化诊所</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1个、</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eastAsia="仿宋_GB2312" w:cs="仿宋_GB2312"/>
          <w:color w:val="000000" w:themeColor="text1"/>
          <w:sz w:val="24"/>
          <w:szCs w:val="24"/>
          <w:u w:val="single" w:color="auto"/>
          <w14:textFill>
            <w14:solidFill>
              <w14:schemeClr w14:val="tx1"/>
            </w14:solidFill>
          </w14:textFill>
        </w:rPr>
        <w:t>数智</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eastAsia="仿宋_GB2312" w:cs="仿宋_GB2312"/>
          <w:color w:val="000000" w:themeColor="text1"/>
          <w:sz w:val="24"/>
          <w:szCs w:val="24"/>
          <w:u w:val="single" w:color="auto"/>
          <w14:textFill>
            <w14:solidFill>
              <w14:schemeClr w14:val="tx1"/>
            </w14:solidFill>
          </w14:textFill>
        </w:rPr>
        <w:t>工厂</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4</w:t>
      </w:r>
      <w:r>
        <w:rPr>
          <w:rFonts w:hint="eastAsia" w:ascii="仿宋_GB2312" w:eastAsia="仿宋_GB2312" w:cs="仿宋_GB2312"/>
          <w:color w:val="000000" w:themeColor="text1"/>
          <w:sz w:val="24"/>
          <w:szCs w:val="24"/>
          <w:u w:val="single" w:color="auto"/>
          <w14:textFill>
            <w14:solidFill>
              <w14:schemeClr w14:val="tx1"/>
            </w14:solidFill>
          </w14:textFill>
        </w:rPr>
        <w:t>家</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以上、“</w:t>
      </w:r>
      <w:r>
        <w:rPr>
          <w:rFonts w:hint="eastAsia" w:ascii="仿宋_GB2312" w:eastAsia="仿宋_GB2312" w:cs="仿宋_GB2312"/>
          <w:color w:val="000000" w:themeColor="text1"/>
          <w:sz w:val="24"/>
          <w:szCs w:val="24"/>
          <w:u w:val="single" w:color="auto"/>
          <w14:textFill>
            <w14:solidFill>
              <w14:schemeClr w14:val="tx1"/>
            </w14:solidFill>
          </w14:textFill>
        </w:rPr>
        <w:t>小灯塔</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”（培育）</w:t>
      </w:r>
      <w:r>
        <w:rPr>
          <w:rFonts w:hint="eastAsia" w:ascii="仿宋_GB2312" w:eastAsia="仿宋_GB2312" w:cs="仿宋_GB2312"/>
          <w:color w:val="000000" w:themeColor="text1"/>
          <w:sz w:val="24"/>
          <w:szCs w:val="24"/>
          <w:u w:val="single" w:color="auto"/>
          <w14:textFill>
            <w14:solidFill>
              <w14:schemeClr w14:val="tx1"/>
            </w14:solidFill>
          </w14:textFill>
        </w:rPr>
        <w:t>企业</w:t>
      </w:r>
      <w:r>
        <w:rPr>
          <w:rFonts w:hint="eastAsia" w:ascii="仿宋_GB2312" w:eastAsia="仿宋_GB2312" w:cs="仿宋_GB2312"/>
          <w:color w:val="000000" w:themeColor="text1"/>
          <w:sz w:val="24"/>
          <w:szCs w:val="24"/>
          <w:u w:val="single" w:color="auto"/>
          <w:lang w:val="en-US" w:eastAsia="zh-CN"/>
          <w14:textFill>
            <w14:solidFill>
              <w14:schemeClr w14:val="tx1"/>
            </w14:solidFill>
          </w14:textFill>
        </w:rPr>
        <w:t>4</w:t>
      </w:r>
      <w:r>
        <w:rPr>
          <w:rFonts w:hint="eastAsia" w:ascii="仿宋_GB2312" w:eastAsia="仿宋_GB2312" w:cs="仿宋_GB2312"/>
          <w:color w:val="000000" w:themeColor="text1"/>
          <w:sz w:val="24"/>
          <w:szCs w:val="24"/>
          <w:u w:val="single" w:color="auto"/>
          <w14:textFill>
            <w14:solidFill>
              <w14:schemeClr w14:val="tx1"/>
            </w14:solidFill>
          </w14:textFill>
        </w:rPr>
        <w:t>家</w:t>
      </w:r>
      <w:r>
        <w:rPr>
          <w:rFonts w:hint="eastAsia" w:ascii="仿宋_GB2312" w:eastAsia="仿宋_GB2312" w:cs="仿宋_GB2312"/>
          <w:color w:val="000000" w:themeColor="text1"/>
          <w:sz w:val="24"/>
          <w:szCs w:val="24"/>
          <w:u w:val="single" w:color="auto"/>
          <w:lang w:eastAsia="zh-CN"/>
          <w14:textFill>
            <w14:solidFill>
              <w14:schemeClr w14:val="tx1"/>
            </w14:solidFill>
          </w14:textFill>
        </w:rPr>
        <w:t>以上</w:t>
      </w:r>
      <w:r>
        <w:rPr>
          <w:rFonts w:hint="eastAsia" w:ascii="仿宋_GB2312" w:eastAsia="仿宋_GB2312" w:cs="仿宋_GB2312"/>
          <w:color w:val="000000" w:themeColor="text1"/>
          <w:sz w:val="24"/>
          <w:szCs w:val="24"/>
          <w:u w:val="none" w:color="auto"/>
          <w:lang w:eastAsia="zh-CN"/>
          <w14:textFill>
            <w14:solidFill>
              <w14:schemeClr w14:val="tx1"/>
            </w14:solidFill>
          </w14:textFill>
        </w:rPr>
        <w:t>、数字化转型标杆企业</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10家以上、两化融合贯标企业（或数字化转型、工业互联网、数据管理等贯标）10家以上、实施数字化改造企业60家以上，其中</w:t>
      </w:r>
      <w:r>
        <w:rPr>
          <w:rFonts w:hint="eastAsia" w:ascii="仿宋_GB2312" w:eastAsia="仿宋_GB2312" w:cs="仿宋_GB2312"/>
          <w:color w:val="000000" w:themeColor="text1"/>
          <w:sz w:val="24"/>
          <w:szCs w:val="24"/>
          <w:u w:val="none" w:color="auto"/>
          <w:lang w:eastAsia="zh-CN"/>
          <w14:textFill>
            <w14:solidFill>
              <w14:schemeClr w14:val="tx1"/>
            </w14:solidFill>
          </w14:textFill>
        </w:rPr>
        <w:t>通过数字化改造达到</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L6级（含）以上</w:t>
      </w:r>
      <w:r>
        <w:rPr>
          <w:rFonts w:hint="eastAsia" w:ascii="仿宋_GB2312" w:eastAsia="仿宋_GB2312" w:cs="仿宋_GB2312"/>
          <w:color w:val="000000" w:themeColor="text1"/>
          <w:sz w:val="24"/>
          <w:szCs w:val="24"/>
          <w:u w:val="none" w:color="auto"/>
          <w:lang w:eastAsia="zh-CN"/>
          <w14:textFill>
            <w14:solidFill>
              <w14:schemeClr w14:val="tx1"/>
            </w14:solidFill>
          </w14:textFill>
        </w:rPr>
        <w:t>的</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企业40家以上，规</w:t>
      </w:r>
      <w:r>
        <w:rPr>
          <w:rFonts w:hint="eastAsia" w:ascii="仿宋_GB2312" w:eastAsia="仿宋_GB2312" w:cs="仿宋_GB2312"/>
          <w:color w:val="000000" w:themeColor="text1"/>
          <w:sz w:val="24"/>
          <w:szCs w:val="24"/>
          <w:u w:val="none" w:color="auto"/>
          <w14:textFill>
            <w14:solidFill>
              <w14:schemeClr w14:val="tx1"/>
            </w14:solidFill>
          </w14:textFill>
        </w:rPr>
        <w:t>上工业企业</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L3级覆盖率达80%，争取</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电子信息产业集群成功申报省级产业集群数字化转型试点。</w:t>
      </w:r>
    </w:p>
    <w:p w14:paraId="48A44431">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2025年，</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力争</w:t>
      </w:r>
      <w:r>
        <w:rPr>
          <w:rFonts w:hint="eastAsia" w:ascii="仿宋_GB2312" w:eastAsia="仿宋_GB2312" w:cs="仿宋_GB2312"/>
          <w:color w:val="000000" w:themeColor="text1"/>
          <w:sz w:val="24"/>
          <w:szCs w:val="24"/>
          <w:u w:val="none" w:color="auto"/>
          <w14:textFill>
            <w14:solidFill>
              <w14:schemeClr w14:val="tx1"/>
            </w14:solidFill>
          </w14:textFill>
        </w:rPr>
        <w:t>打造“数字领航”</w:t>
      </w:r>
      <w:r>
        <w:rPr>
          <w:rFonts w:hint="eastAsia" w:ascii="仿宋_GB2312" w:eastAsia="仿宋_GB2312" w:cs="仿宋_GB2312"/>
          <w:color w:val="000000" w:themeColor="text1"/>
          <w:sz w:val="24"/>
          <w:szCs w:val="24"/>
          <w:u w:val="none" w:color="auto"/>
          <w:lang w:eastAsia="zh-CN"/>
          <w14:textFill>
            <w14:solidFill>
              <w14:schemeClr w14:val="tx1"/>
            </w14:solidFill>
          </w14:textFill>
        </w:rPr>
        <w:t>（培育）</w:t>
      </w:r>
      <w:r>
        <w:rPr>
          <w:rFonts w:hint="eastAsia" w:ascii="仿宋_GB2312" w:eastAsia="仿宋_GB2312" w:cs="仿宋_GB2312"/>
          <w:color w:val="000000" w:themeColor="text1"/>
          <w:sz w:val="24"/>
          <w:szCs w:val="24"/>
          <w:u w:val="none" w:color="auto"/>
          <w14:textFill>
            <w14:solidFill>
              <w14:schemeClr w14:val="tx1"/>
            </w14:solidFill>
          </w14:textFill>
        </w:rPr>
        <w:t>企业</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1</w:t>
      </w:r>
      <w:r>
        <w:rPr>
          <w:rFonts w:hint="eastAsia" w:ascii="仿宋_GB2312" w:eastAsia="仿宋_GB2312" w:cs="仿宋_GB2312"/>
          <w:color w:val="000000" w:themeColor="text1"/>
          <w:sz w:val="24"/>
          <w:szCs w:val="24"/>
          <w:u w:val="none" w:color="auto"/>
          <w14:textFill>
            <w14:solidFill>
              <w14:schemeClr w14:val="tx1"/>
            </w14:solidFill>
          </w14:textFill>
        </w:rPr>
        <w:t>家</w:t>
      </w:r>
      <w:r>
        <w:rPr>
          <w:rFonts w:hint="eastAsia" w:ascii="仿宋_GB2312" w:eastAsia="仿宋_GB2312" w:cs="仿宋_GB2312"/>
          <w:color w:val="000000" w:themeColor="text1"/>
          <w:sz w:val="24"/>
          <w:szCs w:val="24"/>
          <w:u w:val="none" w:color="auto"/>
          <w:lang w:eastAsia="zh-CN"/>
          <w14:textFill>
            <w14:solidFill>
              <w14:schemeClr w14:val="tx1"/>
            </w14:solidFill>
          </w14:textFill>
        </w:rPr>
        <w:t>、“</w:t>
      </w:r>
      <w:r>
        <w:rPr>
          <w:rFonts w:hint="eastAsia" w:ascii="仿宋_GB2312" w:eastAsia="仿宋_GB2312" w:cs="仿宋_GB2312"/>
          <w:color w:val="000000" w:themeColor="text1"/>
          <w:sz w:val="24"/>
          <w:szCs w:val="24"/>
          <w:u w:val="none" w:color="auto"/>
          <w14:textFill>
            <w14:solidFill>
              <w14:schemeClr w14:val="tx1"/>
            </w14:solidFill>
          </w14:textFill>
        </w:rPr>
        <w:t>小灯塔</w:t>
      </w:r>
      <w:r>
        <w:rPr>
          <w:rFonts w:hint="eastAsia" w:ascii="仿宋_GB2312" w:eastAsia="仿宋_GB2312" w:cs="仿宋_GB2312"/>
          <w:color w:val="000000" w:themeColor="text1"/>
          <w:sz w:val="24"/>
          <w:szCs w:val="24"/>
          <w:u w:val="none" w:color="auto"/>
          <w:lang w:eastAsia="zh-CN"/>
          <w14:textFill>
            <w14:solidFill>
              <w14:schemeClr w14:val="tx1"/>
            </w14:solidFill>
          </w14:textFill>
        </w:rPr>
        <w:t>”</w:t>
      </w:r>
      <w:r>
        <w:rPr>
          <w:rFonts w:hint="eastAsia" w:ascii="仿宋_GB2312" w:eastAsia="仿宋_GB2312" w:cs="仿宋_GB2312"/>
          <w:color w:val="000000" w:themeColor="text1"/>
          <w:sz w:val="24"/>
          <w:szCs w:val="24"/>
          <w:u w:val="none" w:color="auto"/>
          <w14:textFill>
            <w14:solidFill>
              <w14:schemeClr w14:val="tx1"/>
            </w14:solidFill>
          </w14:textFill>
        </w:rPr>
        <w:t>企业</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4</w:t>
      </w:r>
      <w:r>
        <w:rPr>
          <w:rFonts w:hint="eastAsia" w:ascii="仿宋_GB2312" w:eastAsia="仿宋_GB2312" w:cs="仿宋_GB2312"/>
          <w:color w:val="000000" w:themeColor="text1"/>
          <w:sz w:val="24"/>
          <w:szCs w:val="24"/>
          <w:u w:val="none" w:color="auto"/>
          <w14:textFill>
            <w14:solidFill>
              <w14:schemeClr w14:val="tx1"/>
            </w14:solidFill>
          </w14:textFill>
        </w:rPr>
        <w:t>家</w:t>
      </w:r>
      <w:r>
        <w:rPr>
          <w:rFonts w:hint="eastAsia" w:ascii="仿宋_GB2312" w:eastAsia="仿宋_GB2312" w:cs="仿宋_GB2312"/>
          <w:color w:val="000000" w:themeColor="text1"/>
          <w:sz w:val="24"/>
          <w:szCs w:val="24"/>
          <w:u w:val="none" w:color="auto"/>
          <w:lang w:eastAsia="zh-CN"/>
          <w14:textFill>
            <w14:solidFill>
              <w14:schemeClr w14:val="tx1"/>
            </w14:solidFill>
          </w14:textFill>
        </w:rPr>
        <w:t>以上、数字化转型标杆企业</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10家以上、实施数字化改造企业50家以上，其中</w:t>
      </w:r>
      <w:r>
        <w:rPr>
          <w:rFonts w:hint="eastAsia" w:ascii="仿宋_GB2312" w:eastAsia="仿宋_GB2312" w:cs="仿宋_GB2312"/>
          <w:color w:val="000000" w:themeColor="text1"/>
          <w:sz w:val="24"/>
          <w:szCs w:val="24"/>
          <w:u w:val="none" w:color="auto"/>
          <w:lang w:eastAsia="zh-CN"/>
          <w14:textFill>
            <w14:solidFill>
              <w14:schemeClr w14:val="tx1"/>
            </w14:solidFill>
          </w14:textFill>
        </w:rPr>
        <w:t>通过数字化改造达到</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L6级（含）以上</w:t>
      </w:r>
      <w:r>
        <w:rPr>
          <w:rFonts w:hint="eastAsia" w:ascii="仿宋_GB2312" w:eastAsia="仿宋_GB2312" w:cs="仿宋_GB2312"/>
          <w:color w:val="000000" w:themeColor="text1"/>
          <w:sz w:val="24"/>
          <w:szCs w:val="24"/>
          <w:u w:val="none" w:color="auto"/>
          <w:lang w:eastAsia="zh-CN"/>
          <w14:textFill>
            <w14:solidFill>
              <w14:schemeClr w14:val="tx1"/>
            </w14:solidFill>
          </w14:textFill>
        </w:rPr>
        <w:t>的</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企业10家以上，规</w:t>
      </w:r>
      <w:r>
        <w:rPr>
          <w:rFonts w:hint="eastAsia" w:ascii="仿宋_GB2312" w:eastAsia="仿宋_GB2312" w:cs="仿宋_GB2312"/>
          <w:color w:val="000000" w:themeColor="text1"/>
          <w:sz w:val="24"/>
          <w:szCs w:val="24"/>
          <w:u w:val="none" w:color="auto"/>
          <w14:textFill>
            <w14:solidFill>
              <w14:schemeClr w14:val="tx1"/>
            </w14:solidFill>
          </w14:textFill>
        </w:rPr>
        <w:t>上工业企业</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L3级全覆盖，争取将</w:t>
      </w:r>
      <w:r>
        <w:rPr>
          <w:rFonts w:hint="eastAsia" w:ascii="仿宋_GB2312" w:hAnsi="仿宋_GB2312" w:eastAsia="仿宋_GB2312" w:cs="仿宋_GB2312"/>
          <w:color w:val="000000" w:themeColor="text1"/>
          <w:kern w:val="2"/>
          <w:sz w:val="24"/>
          <w:szCs w:val="24"/>
          <w:u w:val="none" w:color="auto"/>
          <w14:textFill>
            <w14:solidFill>
              <w14:schemeClr w14:val="tx1"/>
            </w14:solidFill>
          </w14:textFill>
        </w:rPr>
        <w:t>工业园区打造</w:t>
      </w:r>
      <w:r>
        <w:rPr>
          <w:rFonts w:hint="eastAsia" w:ascii="仿宋_GB2312" w:hAnsi="仿宋_GB2312" w:eastAsia="仿宋_GB2312" w:cs="仿宋_GB2312"/>
          <w:color w:val="000000" w:themeColor="text1"/>
          <w:kern w:val="2"/>
          <w:sz w:val="24"/>
          <w:szCs w:val="24"/>
          <w:u w:val="none" w:color="auto"/>
          <w:lang w:eastAsia="zh-CN"/>
          <w14:textFill>
            <w14:solidFill>
              <w14:schemeClr w14:val="tx1"/>
            </w14:solidFill>
          </w14:textFill>
        </w:rPr>
        <w:t>成</w:t>
      </w:r>
      <w:r>
        <w:rPr>
          <w:rFonts w:hint="eastAsia" w:ascii="仿宋_GB2312" w:hAnsi="仿宋_GB2312" w:eastAsia="仿宋_GB2312" w:cs="仿宋_GB2312"/>
          <w:color w:val="000000" w:themeColor="text1"/>
          <w:kern w:val="2"/>
          <w:sz w:val="24"/>
          <w:szCs w:val="24"/>
          <w:u w:val="none" w:color="auto"/>
          <w14:textFill>
            <w14:solidFill>
              <w14:schemeClr w14:val="tx1"/>
            </w14:solidFill>
          </w14:textFill>
        </w:rPr>
        <w:t>省级</w:t>
      </w:r>
      <w:r>
        <w:rPr>
          <w:rFonts w:hint="eastAsia" w:ascii="仿宋_GB2312" w:hAnsi="仿宋_GB2312" w:eastAsia="仿宋_GB2312" w:cs="仿宋_GB2312"/>
          <w:color w:val="000000" w:themeColor="text1"/>
          <w:kern w:val="2"/>
          <w:sz w:val="24"/>
          <w:szCs w:val="24"/>
          <w:u w:val="none" w:color="auto"/>
          <w:lang w:eastAsia="zh-CN"/>
          <w14:textFill>
            <w14:solidFill>
              <w14:schemeClr w14:val="tx1"/>
            </w14:solidFill>
          </w14:textFill>
        </w:rPr>
        <w:t>两化融合示范园区、</w:t>
      </w:r>
      <w:r>
        <w:rPr>
          <w:rFonts w:hint="eastAsia" w:ascii="仿宋_GB2312" w:hAnsi="仿宋_GB2312" w:eastAsia="仿宋_GB2312" w:cs="仿宋_GB2312"/>
          <w:color w:val="000000" w:themeColor="text1"/>
          <w:kern w:val="2"/>
          <w:sz w:val="24"/>
          <w:szCs w:val="24"/>
          <w:u w:val="none" w:color="auto"/>
          <w14:textFill>
            <w14:solidFill>
              <w14:schemeClr w14:val="tx1"/>
            </w14:solidFill>
          </w14:textFill>
        </w:rPr>
        <w:t>数字化转型标杆园区。</w:t>
      </w:r>
    </w:p>
    <w:p w14:paraId="15A934D5">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黑体" w:hAnsi="黑体" w:eastAsia="黑体" w:cs="黑体"/>
          <w:color w:val="000000" w:themeColor="text1"/>
          <w:sz w:val="24"/>
          <w:szCs w:val="24"/>
          <w:u w:val="none" w:color="auto"/>
          <w:lang w:val="en-US" w:eastAsia="zh-CN"/>
          <w14:textFill>
            <w14:solidFill>
              <w14:schemeClr w14:val="tx1"/>
            </w14:solidFill>
          </w14:textFill>
        </w:rPr>
      </w:pPr>
      <w:r>
        <w:rPr>
          <w:rFonts w:hint="eastAsia" w:ascii="黑体" w:hAnsi="黑体" w:eastAsia="黑体" w:cs="黑体"/>
          <w:color w:val="000000" w:themeColor="text1"/>
          <w:sz w:val="24"/>
          <w:szCs w:val="24"/>
          <w:u w:val="none" w:color="auto"/>
          <w:lang w:val="en-US" w:eastAsia="zh-CN"/>
          <w14:textFill>
            <w14:solidFill>
              <w14:schemeClr w14:val="tx1"/>
            </w14:solidFill>
          </w14:textFill>
        </w:rPr>
        <w:t>三、</w:t>
      </w:r>
      <w:r>
        <w:rPr>
          <w:rFonts w:hint="eastAsia" w:ascii="黑体" w:hAnsi="黑体" w:eastAsia="黑体" w:cs="黑体"/>
          <w:b w:val="0"/>
          <w:bCs w:val="0"/>
          <w:color w:val="000000" w:themeColor="text1"/>
          <w:sz w:val="24"/>
          <w:szCs w:val="24"/>
          <w:u w:val="none" w:color="auto"/>
          <w14:textFill>
            <w14:solidFill>
              <w14:schemeClr w14:val="tx1"/>
            </w14:solidFill>
          </w14:textFill>
        </w:rPr>
        <w:t>重点</w:t>
      </w:r>
      <w:r>
        <w:rPr>
          <w:rFonts w:hint="eastAsia" w:ascii="黑体" w:hAnsi="黑体" w:eastAsia="黑体" w:cs="黑体"/>
          <w:color w:val="000000" w:themeColor="text1"/>
          <w:sz w:val="24"/>
          <w:szCs w:val="24"/>
          <w:u w:val="none" w:color="auto"/>
          <w:lang w:eastAsia="zh-CN"/>
          <w14:textFill>
            <w14:solidFill>
              <w14:schemeClr w14:val="tx1"/>
            </w14:solidFill>
          </w14:textFill>
        </w:rPr>
        <w:t>任务</w:t>
      </w:r>
    </w:p>
    <w:p w14:paraId="6A25AC91">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楷体_GB2312" w:hAnsi="楷体_GB2312" w:eastAsia="楷体_GB2312" w:cs="楷体_GB2312"/>
          <w:color w:val="000000" w:themeColor="text1"/>
          <w:sz w:val="24"/>
          <w:szCs w:val="24"/>
          <w:u w:val="single" w:color="auto"/>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（一）完善数转服务体系。</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借助基础电信运营商、凯杰科技等平台，</w:t>
      </w:r>
      <w:r>
        <w:rPr>
          <w:rFonts w:hint="eastAsia" w:ascii="仿宋_GB2312" w:hAnsi="仿宋_GB2312" w:eastAsia="仿宋_GB2312" w:cs="仿宋_GB2312"/>
          <w:color w:val="000000" w:themeColor="text1"/>
          <w:sz w:val="24"/>
          <w:szCs w:val="24"/>
          <w:highlight w:val="red"/>
          <w:u w:val="single" w:color="auto"/>
          <w:lang w:eastAsia="zh-CN"/>
          <w14:textFill>
            <w14:solidFill>
              <w14:schemeClr w14:val="tx1"/>
            </w14:solidFill>
          </w14:textFill>
        </w:rPr>
        <w:t>由领导小组办公室牵</w:t>
      </w:r>
      <w:r>
        <w:rPr>
          <w:rFonts w:hint="eastAsia" w:ascii="仿宋_GB2312" w:hAnsi="仿宋_GB2312" w:eastAsia="仿宋_GB2312" w:cs="仿宋_GB2312"/>
          <w:color w:val="000000" w:themeColor="text1"/>
          <w:sz w:val="24"/>
          <w:szCs w:val="24"/>
          <w:highlight w:val="red"/>
          <w:u w:val="single" w:color="auto"/>
          <w:lang w:val="en-US" w:eastAsia="zh-CN"/>
          <w14:textFill>
            <w14:solidFill>
              <w14:schemeClr w14:val="tx1"/>
            </w14:solidFill>
          </w14:textFill>
        </w:rPr>
        <w:t>头启动数字化诊所建设，</w:t>
      </w:r>
      <w:r>
        <w:rPr>
          <w:rFonts w:hint="eastAsia" w:ascii="仿宋_GB2312" w:hAnsi="仿宋_GB2312" w:eastAsia="仿宋_GB2312" w:cs="仿宋_GB2312"/>
          <w:color w:val="000000" w:themeColor="text1"/>
          <w:sz w:val="24"/>
          <w:szCs w:val="24"/>
          <w:u w:val="single" w:color="auto"/>
          <w14:textFill>
            <w14:solidFill>
              <w14:schemeClr w14:val="tx1"/>
            </w14:solidFill>
          </w14:textFill>
        </w:rPr>
        <w:t>推动</w:t>
      </w:r>
      <w:r>
        <w:rPr>
          <w:rFonts w:hint="eastAsia" w:ascii="仿宋_GB2312" w:hAnsi="仿宋_GB2312" w:eastAsia="仿宋_GB2312" w:cs="仿宋_GB2312"/>
          <w:color w:val="000000" w:themeColor="text1"/>
          <w:sz w:val="24"/>
          <w:szCs w:val="24"/>
          <w:u w:val="single" w:color="auto"/>
          <w:lang w:eastAsia="zh-CN"/>
          <w14:textFill>
            <w14:solidFill>
              <w14:schemeClr w14:val="tx1"/>
            </w14:solidFill>
          </w14:textFill>
        </w:rPr>
        <w:t>基础电信</w:t>
      </w:r>
      <w:r>
        <w:rPr>
          <w:rFonts w:hint="eastAsia" w:ascii="仿宋_GB2312" w:hAnsi="仿宋_GB2312" w:eastAsia="仿宋_GB2312" w:cs="仿宋_GB2312"/>
          <w:color w:val="000000" w:themeColor="text1"/>
          <w:sz w:val="24"/>
          <w:szCs w:val="24"/>
          <w:u w:val="single" w:color="auto"/>
          <w14:textFill>
            <w14:solidFill>
              <w14:schemeClr w14:val="tx1"/>
            </w14:solidFill>
          </w14:textFill>
        </w:rPr>
        <w:t>运营商与高新企业开展数字化人才交流，推进产教融合</w:t>
      </w:r>
      <w:r>
        <w:rPr>
          <w:rFonts w:hint="eastAsia" w:ascii="仿宋_GB2312" w:hAnsi="仿宋_GB2312" w:eastAsia="仿宋_GB2312" w:cs="仿宋_GB2312"/>
          <w:color w:val="000000" w:themeColor="text1"/>
          <w:sz w:val="24"/>
          <w:szCs w:val="24"/>
          <w:u w:val="single" w:color="auto"/>
          <w:lang w:eastAsia="zh-CN"/>
          <w14:textFill>
            <w14:solidFill>
              <w14:schemeClr w14:val="tx1"/>
            </w14:solidFill>
          </w14:textFill>
        </w:rPr>
        <w:t>。同时，依托“吉水英才”计划，创新人才引进培育模式，加强“校企合作”，推动井冈山经贸学校等院校开设制造业数字化领域相关学科和专业，共建“工业互联网”实训平台，培养一批既熟悉生产制造又懂得数字技术的复合型</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产业人才</w:t>
      </w:r>
      <w:r>
        <w:rPr>
          <w:rFonts w:hint="eastAsia" w:ascii="仿宋_GB2312" w:hAnsi="仿宋_GB2312" w:eastAsia="仿宋_GB2312" w:cs="仿宋_GB2312"/>
          <w:color w:val="000000" w:themeColor="text1"/>
          <w:sz w:val="24"/>
          <w:szCs w:val="24"/>
          <w:u w:val="single" w:color="auto"/>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进一步提升专业人才及</w:t>
      </w:r>
      <w:r>
        <w:rPr>
          <w:rFonts w:hint="eastAsia" w:ascii="仿宋_GB2312" w:eastAsia="仿宋_GB2312" w:cs="仿宋_GB2312"/>
          <w:color w:val="000000" w:themeColor="text1"/>
          <w:sz w:val="24"/>
          <w:szCs w:val="24"/>
          <w:u w:val="single" w:color="auto"/>
          <w14:textFill>
            <w14:solidFill>
              <w14:schemeClr w14:val="tx1"/>
            </w14:solidFill>
          </w14:textFill>
        </w:rPr>
        <w:t>技术支撑能力</w:t>
      </w:r>
      <w:r>
        <w:rPr>
          <w:rFonts w:hint="eastAsia" w:ascii="仿宋_GB2312" w:hAnsi="仿宋_GB2312" w:eastAsia="仿宋_GB2312" w:cs="仿宋_GB2312"/>
          <w:color w:val="000000" w:themeColor="text1"/>
          <w:sz w:val="24"/>
          <w:szCs w:val="24"/>
          <w:highlight w:val="red"/>
          <w:u w:val="single" w:color="auto"/>
          <w:lang w:val="en-US" w:eastAsia="zh-CN"/>
          <w14:textFill>
            <w14:solidFill>
              <w14:schemeClr w14:val="tx1"/>
            </w14:solidFill>
          </w14:textFill>
        </w:rPr>
        <w:t>，加快构建“数字化诊所、数字专员”服务体系，</w:t>
      </w:r>
      <w:r>
        <w:rPr>
          <w:rFonts w:hint="eastAsia" w:ascii="仿宋_GB2312" w:hAnsi="仿宋_GB2312" w:eastAsia="仿宋_GB2312" w:cs="仿宋_GB2312"/>
          <w:color w:val="000000" w:themeColor="text1"/>
          <w:sz w:val="24"/>
          <w:szCs w:val="24"/>
          <w:u w:val="single" w:color="auto"/>
          <w:lang w:val="en-US" w:eastAsia="zh-CN"/>
          <w14:textFill>
            <w14:solidFill>
              <w14:schemeClr w14:val="tx1"/>
            </w14:solidFill>
          </w14:textFill>
        </w:rPr>
        <w:t>为企业转型升级提供基础指导、智力支持和普惠性服务。</w:t>
      </w:r>
    </w:p>
    <w:p w14:paraId="667599AC">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（二）开展入企</w:t>
      </w: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诊断服务。</w:t>
      </w:r>
      <w:r>
        <w:rPr>
          <w:rFonts w:hint="eastAsia" w:ascii="仿宋_GB2312" w:hAnsi="仿宋_GB2312" w:eastAsia="仿宋_GB2312" w:cs="仿宋_GB2312"/>
          <w:color w:val="000000" w:themeColor="text1"/>
          <w:kern w:val="2"/>
          <w:sz w:val="24"/>
          <w:szCs w:val="24"/>
          <w:u w:val="none" w:color="auto"/>
          <w:lang w:val="en-US" w:eastAsia="zh-CN" w:bidi="zh-CN"/>
          <w14:textFill>
            <w14:solidFill>
              <w14:schemeClr w14:val="tx1"/>
            </w14:solidFill>
          </w14:textFill>
        </w:rPr>
        <w:t>压实“首席服务官”企业数字化转型工作职责，强化与数字专员的协调联动，根据《</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吉水县制造业数字化转型工作企业帮扶安排表</w:t>
      </w:r>
      <w:r>
        <w:rPr>
          <w:rFonts w:hint="eastAsia" w:ascii="仿宋_GB2312" w:hAnsi="仿宋_GB2312" w:eastAsia="仿宋_GB2312" w:cs="仿宋_GB2312"/>
          <w:color w:val="000000" w:themeColor="text1"/>
          <w:kern w:val="2"/>
          <w:sz w:val="24"/>
          <w:szCs w:val="24"/>
          <w:u w:val="none" w:color="auto"/>
          <w:lang w:val="en-US" w:eastAsia="zh-CN" w:bidi="zh-CN"/>
          <w14:textFill>
            <w14:solidFill>
              <w14:schemeClr w14:val="tx1"/>
            </w14:solidFill>
          </w14:textFill>
        </w:rPr>
        <w:t>》（附件1）中转型目标及完成时限，</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加强政策宣传引导，</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协助</w:t>
      </w:r>
      <w:r>
        <w:rPr>
          <w:rFonts w:hint="eastAsia" w:ascii="仿宋_GB2312" w:hAnsi="仿宋_GB2312" w:eastAsia="仿宋_GB2312" w:cs="仿宋_GB2312"/>
          <w:color w:val="000000" w:themeColor="text1"/>
          <w:kern w:val="2"/>
          <w:sz w:val="24"/>
          <w:szCs w:val="24"/>
          <w:u w:val="none" w:color="auto"/>
          <w:lang w:val="en-US" w:eastAsia="zh-CN" w:bidi="zh-CN"/>
          <w14:textFill>
            <w14:solidFill>
              <w14:schemeClr w14:val="tx1"/>
            </w14:solidFill>
          </w14:textFill>
        </w:rPr>
        <w:t>企业开展数字化水平评价普查，</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实时掌握</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重点</w:t>
      </w:r>
      <w:r>
        <w:rPr>
          <w:rFonts w:hint="eastAsia" w:ascii="仿宋_GB2312" w:hAnsi="仿宋_GB2312" w:eastAsia="仿宋_GB2312" w:cs="仿宋_GB2312"/>
          <w:color w:val="000000" w:themeColor="text1"/>
          <w:sz w:val="24"/>
          <w:szCs w:val="24"/>
          <w:u w:val="none" w:color="auto"/>
          <w14:textFill>
            <w14:solidFill>
              <w14:schemeClr w14:val="tx1"/>
            </w14:solidFill>
          </w14:textFill>
        </w:rPr>
        <w:t>企业</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数字化转型动态，</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鼓励企业数字化改造</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。数字专员要每月</w:t>
      </w:r>
      <w:r>
        <w:rPr>
          <w:rFonts w:hint="eastAsia" w:ascii="仿宋_GB2312" w:hAnsi="仿宋_GB2312" w:eastAsia="仿宋_GB2312" w:cs="仿宋_GB2312"/>
          <w:color w:val="000000" w:themeColor="text1"/>
          <w:kern w:val="2"/>
          <w:sz w:val="24"/>
          <w:szCs w:val="24"/>
          <w:u w:val="none" w:color="auto"/>
          <w:lang w:val="en-US" w:eastAsia="zh-CN" w:bidi="zh-CN"/>
          <w14:textFill>
            <w14:solidFill>
              <w14:schemeClr w14:val="tx1"/>
            </w14:solidFill>
          </w14:textFill>
        </w:rPr>
        <w:t>至少走访1次企业开展</w:t>
      </w:r>
      <w:r>
        <w:rPr>
          <w:rFonts w:hint="eastAsia" w:ascii="仿宋_GB2312" w:hAnsi="仿宋_GB2312" w:eastAsia="仿宋_GB2312" w:cs="仿宋_GB2312"/>
          <w:color w:val="000000" w:themeColor="text1"/>
          <w:sz w:val="24"/>
          <w:szCs w:val="24"/>
          <w:u w:val="none" w:color="auto"/>
          <w14:textFill>
            <w14:solidFill>
              <w14:schemeClr w14:val="tx1"/>
            </w14:solidFill>
          </w14:textFill>
        </w:rPr>
        <w:t>数字化水平评价普查</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建立入企诊断清单。根据入企诊断清单情况，领导小组办公室</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及时对接上级部门及服务商，深入企业开展数字化诊断，特别是电子信息企业，制定详细的数字化</w:t>
      </w:r>
      <w:r>
        <w:rPr>
          <w:rFonts w:hint="eastAsia" w:ascii="仿宋_GB2312" w:hAnsi="仿宋_GB2312" w:eastAsia="仿宋_GB2312" w:cs="仿宋_GB2312"/>
          <w:color w:val="000000" w:themeColor="text1"/>
          <w:sz w:val="24"/>
          <w:szCs w:val="24"/>
          <w:u w:val="none" w:color="auto"/>
          <w14:textFill>
            <w14:solidFill>
              <w14:schemeClr w14:val="tx1"/>
            </w14:solidFill>
          </w14:textFill>
        </w:rPr>
        <w:t>转型</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方案，按照转型方案逐步落实。</w:t>
      </w:r>
    </w:p>
    <w:p w14:paraId="37F925A4">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14:textFill>
            <w14:solidFill>
              <w14:schemeClr w14:val="tx1"/>
            </w14:solidFill>
          </w14:textFill>
        </w:rPr>
        <w:t>（</w:t>
      </w: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三</w:t>
      </w:r>
      <w:r>
        <w:rPr>
          <w:rFonts w:hint="eastAsia" w:ascii="楷体_GB2312" w:hAnsi="楷体_GB2312" w:eastAsia="楷体_GB2312" w:cs="楷体_GB2312"/>
          <w:color w:val="000000" w:themeColor="text1"/>
          <w:sz w:val="24"/>
          <w:szCs w:val="24"/>
          <w:u w:val="none" w:color="auto"/>
          <w14:textFill>
            <w14:solidFill>
              <w14:schemeClr w14:val="tx1"/>
            </w14:solidFill>
          </w14:textFill>
        </w:rPr>
        <w:t>）</w:t>
      </w: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推动</w:t>
      </w: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企</w:t>
      </w: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业</w:t>
      </w: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智改数转</w:t>
      </w: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w:t>
      </w:r>
      <w:r>
        <w:rPr>
          <w:rFonts w:hint="eastAsia" w:ascii="仿宋_GB2312" w:hAnsi="仿宋_GB2312" w:eastAsia="仿宋_GB2312" w:cs="仿宋_GB2312"/>
          <w:color w:val="000000" w:themeColor="text1"/>
          <w:kern w:val="2"/>
          <w:sz w:val="24"/>
          <w:szCs w:val="24"/>
          <w:u w:val="none" w:color="auto"/>
          <w:lang w:val="en-US" w:eastAsia="zh-CN" w:bidi="zh-CN"/>
          <w14:textFill>
            <w14:solidFill>
              <w14:schemeClr w14:val="tx1"/>
            </w14:solidFill>
          </w14:textFill>
        </w:rPr>
        <w:t>以推进规上工业企业“智改数转网联”全覆盖为目标，全力实施产业集群“扩面”行动，推动企业实质开展数字化应用，全面提升产业数字化水平；积极</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鼓励企业开展两化融合管理体系、数字化转型成熟度贯标等基础上，支持景旺电子等龙头企业、“链主”企业对标省级“数字领航”企业标准，率先开展集成应用创新，建设工业互联网平台，发挥价值引领、辐射带动作用，形成引领产业数字化转型的标杆示范；</w:t>
      </w:r>
      <w:r>
        <w:rPr>
          <w:rFonts w:hint="eastAsia" w:ascii="仿宋_GB2312" w:eastAsia="仿宋_GB2312" w:cs="仿宋_GB2312"/>
          <w:color w:val="000000" w:themeColor="text1"/>
          <w:sz w:val="24"/>
          <w:szCs w:val="24"/>
          <w:u w:val="none" w:color="auto"/>
          <w14:textFill>
            <w14:solidFill>
              <w14:schemeClr w14:val="tx1"/>
            </w14:solidFill>
          </w14:textFill>
        </w:rPr>
        <w:t>支持在产业链中处于关键环节的制造业企业推进管理数字化建</w:t>
      </w:r>
      <w:r>
        <w:rPr>
          <w:rFonts w:hint="eastAsia" w:ascii="仿宋_GB2312" w:hAnsi="宋体" w:eastAsia="仿宋_GB2312" w:cs="仿宋_GB2312"/>
          <w:color w:val="000000" w:themeColor="text1"/>
          <w:kern w:val="0"/>
          <w:sz w:val="24"/>
          <w:szCs w:val="24"/>
          <w:u w:val="none" w:color="auto"/>
          <w:lang w:val="en-US" w:eastAsia="zh-CN" w:bidi="ar"/>
          <w14:textFill>
            <w14:solidFill>
              <w14:schemeClr w14:val="tx1"/>
            </w14:solidFill>
          </w14:textFill>
        </w:rPr>
        <w:t>设和生产线智能化改造，实现人、机、料、法、环、测等生</w:t>
      </w:r>
      <w:r>
        <w:rPr>
          <w:rFonts w:hint="eastAsia" w:ascii="仿宋_GB2312" w:eastAsia="仿宋_GB2312" w:cs="仿宋_GB2312"/>
          <w:color w:val="000000" w:themeColor="text1"/>
          <w:sz w:val="24"/>
          <w:szCs w:val="24"/>
          <w:u w:val="none" w:color="auto"/>
          <w14:textFill>
            <w14:solidFill>
              <w14:schemeClr w14:val="tx1"/>
            </w14:solidFill>
          </w14:textFill>
        </w:rPr>
        <w:t>产要素的自主感知、精准控制和协同优化，建设“数智”工厂</w:t>
      </w:r>
      <w:r>
        <w:rPr>
          <w:rFonts w:hint="eastAsia" w:ascii="仿宋_GB2312" w:eastAsia="仿宋_GB2312" w:cs="仿宋_GB2312"/>
          <w:color w:val="000000" w:themeColor="text1"/>
          <w:sz w:val="24"/>
          <w:szCs w:val="24"/>
          <w:u w:val="none" w:color="auto"/>
          <w:lang w:eastAsia="zh-CN"/>
          <w14:textFill>
            <w14:solidFill>
              <w14:schemeClr w14:val="tx1"/>
            </w14:solidFill>
          </w14:textFill>
        </w:rPr>
        <w:t>；</w:t>
      </w:r>
      <w:r>
        <w:rPr>
          <w:rFonts w:hint="eastAsia" w:ascii="仿宋_GB2312" w:eastAsia="仿宋_GB2312" w:cs="仿宋_GB2312"/>
          <w:color w:val="000000" w:themeColor="text1"/>
          <w:sz w:val="24"/>
          <w:szCs w:val="24"/>
          <w:u w:val="none" w:color="auto"/>
          <w14:textFill>
            <w14:solidFill>
              <w14:schemeClr w14:val="tx1"/>
            </w14:solidFill>
          </w14:textFill>
        </w:rPr>
        <w:t>以“专精特新”中小企业为重点，分行业分场景打造“小灯塔”企业，通过数字化转型产生变革性“灯塔”应用，引领中小企业“看样学样”</w:t>
      </w:r>
      <w:r>
        <w:rPr>
          <w:rFonts w:hint="eastAsia" w:ascii="仿宋_GB2312" w:eastAsia="仿宋_GB2312" w:cs="仿宋_GB2312"/>
          <w:color w:val="000000" w:themeColor="text1"/>
          <w:sz w:val="24"/>
          <w:szCs w:val="24"/>
          <w:u w:val="none" w:color="auto"/>
          <w:lang w:eastAsia="zh-CN"/>
          <w14:textFill>
            <w14:solidFill>
              <w14:schemeClr w14:val="tx1"/>
            </w14:solidFill>
          </w14:textFill>
        </w:rPr>
        <w:t>。</w:t>
      </w:r>
    </w:p>
    <w:p w14:paraId="25D7FB09">
      <w:pPr>
        <w:keepNext w:val="0"/>
        <w:keepLines w:val="0"/>
        <w:pageBreakBefore w:val="0"/>
        <w:widowControl w:val="0"/>
        <w:numPr>
          <w:ilvl w:val="0"/>
          <w:numId w:val="0"/>
        </w:numPr>
        <w:pBdr>
          <w:bottom w:val="single" w:color="FFFFFF" w:sz="4" w:space="29"/>
        </w:pBdr>
        <w:tabs>
          <w:tab w:val="left" w:pos="3990"/>
        </w:tabs>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（四）</w:t>
      </w:r>
      <w:r>
        <w:rPr>
          <w:rFonts w:hint="eastAsia" w:ascii="楷体_GB2312" w:hAnsi="楷体_GB2312" w:eastAsia="楷体_GB2312" w:cs="楷体_GB2312"/>
          <w:color w:val="000000" w:themeColor="text1"/>
          <w:sz w:val="24"/>
          <w:szCs w:val="24"/>
          <w:u w:val="none" w:color="auto"/>
          <w14:textFill>
            <w14:solidFill>
              <w14:schemeClr w14:val="tx1"/>
            </w14:solidFill>
          </w14:textFill>
        </w:rPr>
        <w:t>推进</w:t>
      </w:r>
      <w:r>
        <w:rPr>
          <w:rFonts w:hint="eastAsia" w:ascii="楷体_GB2312" w:hAnsi="楷体_GB2312" w:eastAsia="楷体_GB2312" w:cs="楷体_GB2312"/>
          <w:color w:val="000000" w:themeColor="text1"/>
          <w:sz w:val="24"/>
          <w:szCs w:val="24"/>
          <w:u w:val="none" w:color="auto"/>
          <w:lang w:eastAsia="zh-CN"/>
          <w14:textFill>
            <w14:solidFill>
              <w14:schemeClr w14:val="tx1"/>
            </w14:solidFill>
          </w14:textFill>
        </w:rPr>
        <w:t>链式网联升级。</w:t>
      </w:r>
      <w:r>
        <w:rPr>
          <w:rFonts w:hint="eastAsia" w:ascii="仿宋_GB2312" w:hAnsi="仿宋_GB2312" w:eastAsia="仿宋_GB2312" w:cs="仿宋_GB2312"/>
          <w:color w:val="000000" w:themeColor="text1"/>
          <w:sz w:val="24"/>
          <w:szCs w:val="24"/>
          <w:u w:val="none" w:color="auto"/>
          <w14:textFill>
            <w14:solidFill>
              <w14:schemeClr w14:val="tx1"/>
            </w14:solidFill>
          </w14:textFill>
        </w:rPr>
        <w:t>聚焦</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“3310”行动计划和制造业重点产业链现代化建设目标，</w:t>
      </w:r>
      <w:r>
        <w:rPr>
          <w:rFonts w:hint="eastAsia" w:ascii="仿宋_GB2312" w:eastAsia="仿宋_GB2312" w:cs="仿宋_GB2312"/>
          <w:color w:val="000000" w:themeColor="text1"/>
          <w:sz w:val="24"/>
          <w:szCs w:val="24"/>
          <w:u w:val="none" w:color="auto"/>
          <w14:textFill>
            <w14:solidFill>
              <w14:schemeClr w14:val="tx1"/>
            </w14:solidFill>
          </w14:textFill>
        </w:rPr>
        <w:t>以产业链整体提升为目的，</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力争揭榜建设PCB或数字声光“产业大脑”，打造产业链、政府侧、企业侧等系列智能化应用，带动上下游整体数字化转型。</w:t>
      </w:r>
      <w:r>
        <w:rPr>
          <w:rFonts w:hint="eastAsia" w:ascii="仿宋_GB2312" w:hAnsi="仿宋_GB2312" w:eastAsia="仿宋_GB2312" w:cs="仿宋_GB2312"/>
          <w:color w:val="000000" w:themeColor="text1"/>
          <w:sz w:val="24"/>
          <w:szCs w:val="24"/>
          <w:u w:val="none" w:color="auto"/>
          <w14:textFill>
            <w14:solidFill>
              <w14:schemeClr w14:val="tx1"/>
            </w14:solidFill>
          </w14:textFill>
        </w:rPr>
        <w:t>以“大企业建平台、小企业用平台”为路径，</w:t>
      </w:r>
      <w:r>
        <w:rPr>
          <w:rFonts w:hint="eastAsia" w:ascii="仿宋_GB2312" w:eastAsia="仿宋_GB2312" w:cs="仿宋_GB2312"/>
          <w:color w:val="000000" w:themeColor="text1"/>
          <w:sz w:val="24"/>
          <w:szCs w:val="24"/>
          <w:u w:val="none" w:color="auto"/>
          <w14:textFill>
            <w14:solidFill>
              <w14:schemeClr w14:val="tx1"/>
            </w14:solidFill>
          </w14:textFill>
        </w:rPr>
        <w:t>鼓励“链主”企业、龙头企业等建设行业型工业互联网平台，开展协同采购、协同制造、</w:t>
      </w:r>
      <w:r>
        <w:rPr>
          <w:rFonts w:hint="eastAsia" w:ascii="仿宋_GB2312" w:hAnsi="宋体" w:eastAsia="仿宋_GB2312" w:cs="仿宋_GB2312"/>
          <w:color w:val="000000" w:themeColor="text1"/>
          <w:kern w:val="0"/>
          <w:sz w:val="24"/>
          <w:szCs w:val="24"/>
          <w:u w:val="none" w:color="auto"/>
          <w:lang w:val="en-US" w:eastAsia="zh-CN" w:bidi="ar"/>
          <w14:textFill>
            <w14:solidFill>
              <w14:schemeClr w14:val="tx1"/>
            </w14:solidFill>
          </w14:textFill>
        </w:rPr>
        <w:t>供应链金融、协同配送等创新应用。</w:t>
      </w:r>
      <w:r>
        <w:rPr>
          <w:rFonts w:hint="eastAsia" w:ascii="仿宋_GB2312" w:eastAsia="仿宋_GB2312" w:cs="仿宋_GB2312"/>
          <w:color w:val="000000" w:themeColor="text1"/>
          <w:sz w:val="24"/>
          <w:szCs w:val="24"/>
          <w:u w:val="none" w:color="auto"/>
          <w14:textFill>
            <w14:solidFill>
              <w14:schemeClr w14:val="tx1"/>
            </w14:solidFill>
          </w14:textFill>
        </w:rPr>
        <w:t>对电子信息</w:t>
      </w:r>
      <w:r>
        <w:rPr>
          <w:rFonts w:hint="eastAsia" w:ascii="仿宋_GB2312" w:eastAsia="仿宋_GB2312" w:cs="仿宋_GB2312"/>
          <w:color w:val="000000" w:themeColor="text1"/>
          <w:sz w:val="24"/>
          <w:szCs w:val="24"/>
          <w:u w:val="none" w:color="auto"/>
          <w:lang w:eastAsia="zh-CN"/>
          <w14:textFill>
            <w14:solidFill>
              <w14:schemeClr w14:val="tx1"/>
            </w14:solidFill>
          </w14:textFill>
        </w:rPr>
        <w:t>、林化香料</w:t>
      </w:r>
      <w:r>
        <w:rPr>
          <w:rFonts w:hint="eastAsia" w:ascii="仿宋_GB2312" w:eastAsia="仿宋_GB2312" w:cs="仿宋_GB2312"/>
          <w:color w:val="000000" w:themeColor="text1"/>
          <w:sz w:val="24"/>
          <w:szCs w:val="24"/>
          <w:u w:val="none" w:color="auto"/>
          <w14:textFill>
            <w14:solidFill>
              <w14:schemeClr w14:val="tx1"/>
            </w14:solidFill>
          </w14:textFill>
        </w:rPr>
        <w:t>等上下游依存度高的产业，以拉动上下游企业数字化转型和企业数字工厂建设为双轮驱动，推进“链式”数字化转型。对</w:t>
      </w:r>
      <w:r>
        <w:rPr>
          <w:rFonts w:hint="eastAsia" w:ascii="仿宋_GB2312" w:eastAsia="仿宋_GB2312" w:cs="仿宋_GB2312"/>
          <w:color w:val="000000" w:themeColor="text1"/>
          <w:sz w:val="24"/>
          <w:szCs w:val="24"/>
          <w:u w:val="none" w:color="auto"/>
          <w:lang w:eastAsia="zh-CN"/>
          <w14:textFill>
            <w14:solidFill>
              <w14:schemeClr w14:val="tx1"/>
            </w14:solidFill>
          </w14:textFill>
        </w:rPr>
        <w:t>新材料</w:t>
      </w:r>
      <w:r>
        <w:rPr>
          <w:rFonts w:hint="eastAsia" w:ascii="仿宋_GB2312" w:eastAsia="仿宋_GB2312" w:cs="仿宋_GB2312"/>
          <w:color w:val="000000" w:themeColor="text1"/>
          <w:sz w:val="24"/>
          <w:szCs w:val="24"/>
          <w:u w:val="none" w:color="auto"/>
          <w14:textFill>
            <w14:solidFill>
              <w14:schemeClr w14:val="tx1"/>
            </w14:solidFill>
          </w14:textFill>
        </w:rPr>
        <w:t>、绿色食品等离散型生产及产业链依存度较低的行业，以提升单体企业数字化程度为重点，推动机器换人、设备换芯和生产换线。</w:t>
      </w:r>
      <w:r>
        <w:rPr>
          <w:rFonts w:hint="eastAsia" w:ascii="仿宋_GB2312" w:eastAsia="仿宋_GB2312" w:cs="仿宋_GB2312"/>
          <w:color w:val="000000" w:themeColor="text1"/>
          <w:sz w:val="24"/>
          <w:szCs w:val="24"/>
          <w:u w:val="none" w:color="auto"/>
          <w:lang w:eastAsia="zh-CN"/>
          <w14:textFill>
            <w14:solidFill>
              <w14:schemeClr w14:val="tx1"/>
            </w14:solidFill>
          </w14:textFill>
        </w:rPr>
        <w:t>配合做好</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市级电子信息“产业大脑”和工业互联网标识解析二级节点建设，落实工业互联网企业网络安全分级分类管理制度。</w:t>
      </w:r>
    </w:p>
    <w:p w14:paraId="5505AB8D">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（五）加大软件企业培育。</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 xml:space="preserve">充分利用产业招商机制，拓宽对接国内优质软件企业的渠道，引进一批高成长性的软件和信息技术服务等领域重点企业，提升全县软件产业发展的支撑力和引领力。    </w:t>
      </w:r>
    </w:p>
    <w:p w14:paraId="56BE5436">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（六）加强数转园区建设。</w:t>
      </w:r>
      <w:r>
        <w:rPr>
          <w:rFonts w:hint="eastAsia" w:ascii="仿宋_GB2312" w:hAnsi="仿宋_GB2312" w:eastAsia="仿宋_GB2312" w:cs="仿宋_GB2312"/>
          <w:color w:val="000000" w:themeColor="text1"/>
          <w:sz w:val="24"/>
          <w:szCs w:val="24"/>
          <w:u w:val="none" w:color="auto"/>
          <w14:textFill>
            <w14:solidFill>
              <w14:schemeClr w14:val="tx1"/>
            </w14:solidFill>
          </w14:textFill>
        </w:rPr>
        <w:t>响应省级开发区数字化转型</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计划</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,通过</w:t>
      </w:r>
      <w:r>
        <w:rPr>
          <w:rFonts w:hint="eastAsia" w:ascii="仿宋_GB2312" w:hAnsi="仿宋_GB2312" w:eastAsia="仿宋_GB2312" w:cs="仿宋_GB2312"/>
          <w:color w:val="000000" w:themeColor="text1"/>
          <w:kern w:val="0"/>
          <w:sz w:val="24"/>
          <w:szCs w:val="24"/>
          <w:u w:val="none" w:color="auto"/>
          <w:shd w:val="clear" w:color="auto" w:fill="FFFFFF"/>
          <w:lang w:bidi="ar"/>
          <w14:textFill>
            <w14:solidFill>
              <w14:schemeClr w14:val="tx1"/>
            </w14:solidFill>
          </w14:textFill>
        </w:rPr>
        <w:t>搭建园区企业协同管理办公系统</w:t>
      </w:r>
      <w:r>
        <w:rPr>
          <w:rFonts w:hint="eastAsia" w:ascii="仿宋_GB2312" w:hAnsi="仿宋_GB2312" w:eastAsia="仿宋_GB2312" w:cs="仿宋_GB2312"/>
          <w:color w:val="000000" w:themeColor="text1"/>
          <w:kern w:val="0"/>
          <w:sz w:val="24"/>
          <w:szCs w:val="24"/>
          <w:u w:val="none" w:color="auto"/>
          <w:shd w:val="clear" w:color="auto" w:fill="FFFFFF"/>
          <w:lang w:eastAsia="zh-CN" w:bidi="ar"/>
          <w14:textFill>
            <w14:solidFill>
              <w14:schemeClr w14:val="tx1"/>
            </w14:solidFill>
          </w14:textFill>
        </w:rPr>
        <w:t>，</w:t>
      </w:r>
      <w:r>
        <w:rPr>
          <w:rFonts w:hint="eastAsia" w:ascii="仿宋_GB2312" w:hAnsi="仿宋_GB2312" w:eastAsia="仿宋_GB2312" w:cs="仿宋_GB2312"/>
          <w:color w:val="000000" w:themeColor="text1"/>
          <w:kern w:val="0"/>
          <w:sz w:val="24"/>
          <w:szCs w:val="24"/>
          <w:u w:val="none" w:color="auto"/>
          <w:shd w:val="clear" w:color="auto" w:fill="FFFFFF"/>
          <w:lang w:bidi="ar"/>
          <w14:textFill>
            <w14:solidFill>
              <w14:schemeClr w14:val="tx1"/>
            </w14:solidFill>
          </w14:textFill>
        </w:rPr>
        <w:t>构建吉水工业园区数字化管理服务平台</w:t>
      </w:r>
      <w:r>
        <w:rPr>
          <w:rFonts w:hint="eastAsia" w:ascii="仿宋_GB2312" w:hAnsi="仿宋_GB2312" w:eastAsia="仿宋_GB2312" w:cs="仿宋_GB2312"/>
          <w:color w:val="000000" w:themeColor="text1"/>
          <w:kern w:val="0"/>
          <w:sz w:val="24"/>
          <w:szCs w:val="24"/>
          <w:u w:val="none" w:color="auto"/>
          <w:shd w:val="clear" w:color="auto" w:fill="FFFFFF"/>
          <w:lang w:eastAsia="zh-CN" w:bidi="ar"/>
          <w14:textFill>
            <w14:solidFill>
              <w14:schemeClr w14:val="tx1"/>
            </w14:solidFill>
          </w14:textFill>
        </w:rPr>
        <w:t>，</w:t>
      </w:r>
      <w:r>
        <w:rPr>
          <w:rFonts w:hint="eastAsia" w:ascii="仿宋_GB2312" w:hAnsi="仿宋_GB2312" w:eastAsia="仿宋_GB2312" w:cs="仿宋_GB2312"/>
          <w:color w:val="000000" w:themeColor="text1"/>
          <w:kern w:val="0"/>
          <w:sz w:val="24"/>
          <w:szCs w:val="24"/>
          <w:u w:val="none" w:color="auto"/>
          <w:shd w:val="clear" w:color="auto" w:fill="FFFFFF"/>
          <w:lang w:bidi="ar"/>
          <w14:textFill>
            <w14:solidFill>
              <w14:schemeClr w14:val="tx1"/>
            </w14:solidFill>
          </w14:textFill>
        </w:rPr>
        <w:t>建设“一企一档”数字档案库</w:t>
      </w:r>
      <w:r>
        <w:rPr>
          <w:rFonts w:hint="eastAsia" w:ascii="仿宋_GB2312" w:hAnsi="仿宋_GB2312" w:eastAsia="仿宋_GB2312" w:cs="仿宋_GB2312"/>
          <w:color w:val="000000" w:themeColor="text1"/>
          <w:kern w:val="0"/>
          <w:sz w:val="24"/>
          <w:szCs w:val="24"/>
          <w:u w:val="none" w:color="auto"/>
          <w:shd w:val="clear" w:color="auto" w:fill="FFFFFF"/>
          <w:lang w:eastAsia="zh-CN" w:bidi="ar"/>
          <w14:textFill>
            <w14:solidFill>
              <w14:schemeClr w14:val="tx1"/>
            </w14:solidFill>
          </w14:textFill>
        </w:rPr>
        <w:t>及</w:t>
      </w:r>
      <w:r>
        <w:rPr>
          <w:rFonts w:hint="eastAsia" w:ascii="仿宋_GB2312" w:hAnsi="仿宋_GB2312" w:eastAsia="仿宋_GB2312" w:cs="仿宋_GB2312"/>
          <w:color w:val="000000" w:themeColor="text1"/>
          <w:kern w:val="0"/>
          <w:sz w:val="24"/>
          <w:szCs w:val="24"/>
          <w:u w:val="none" w:color="auto"/>
          <w:shd w:val="clear" w:color="auto" w:fill="FFFFFF"/>
          <w:lang w:bidi="ar"/>
          <w14:textFill>
            <w14:solidFill>
              <w14:schemeClr w14:val="tx1"/>
            </w14:solidFill>
          </w14:textFill>
        </w:rPr>
        <w:t>工业园区网络建设</w:t>
      </w:r>
      <w:r>
        <w:rPr>
          <w:rFonts w:hint="eastAsia" w:ascii="仿宋_GB2312" w:hAnsi="仿宋_GB2312" w:eastAsia="仿宋_GB2312" w:cs="仿宋_GB2312"/>
          <w:color w:val="000000" w:themeColor="text1"/>
          <w:kern w:val="0"/>
          <w:sz w:val="24"/>
          <w:szCs w:val="24"/>
          <w:u w:val="none" w:color="auto"/>
          <w:shd w:val="clear" w:color="auto" w:fill="FFFFFF"/>
          <w:lang w:eastAsia="zh-CN" w:bidi="ar"/>
          <w14:textFill>
            <w14:solidFill>
              <w14:schemeClr w14:val="tx1"/>
            </w14:solidFill>
          </w14:textFill>
        </w:rPr>
        <w:t>等，</w:t>
      </w:r>
      <w:r>
        <w:rPr>
          <w:rFonts w:hint="eastAsia" w:ascii="仿宋_GB2312" w:hAnsi="仿宋_GB2312" w:eastAsia="仿宋_GB2312" w:cs="仿宋_GB2312"/>
          <w:color w:val="000000" w:themeColor="text1"/>
          <w:sz w:val="24"/>
          <w:szCs w:val="24"/>
          <w:u w:val="none" w:color="auto"/>
          <w14:textFill>
            <w14:solidFill>
              <w14:schemeClr w14:val="tx1"/>
            </w14:solidFill>
          </w14:textFill>
        </w:rPr>
        <w:t>全面推进工业园区数字化、网络化、智能化发展，提升工业园区管理、服务和监管数字化水平</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w:t>
      </w:r>
    </w:p>
    <w:p w14:paraId="767A3CE7">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pPr>
      <w:r>
        <w:rPr>
          <w:rFonts w:hint="eastAsia" w:ascii="黑体" w:hAnsi="黑体" w:eastAsia="黑体" w:cs="黑体"/>
          <w:color w:val="000000" w:themeColor="text1"/>
          <w:kern w:val="2"/>
          <w:sz w:val="24"/>
          <w:szCs w:val="24"/>
          <w:u w:val="none" w:color="auto"/>
          <w:lang w:val="en-US" w:eastAsia="zh-CN" w:bidi="ar-SA"/>
          <w14:textFill>
            <w14:solidFill>
              <w14:schemeClr w14:val="tx1"/>
            </w14:solidFill>
          </w14:textFill>
        </w:rPr>
        <w:t>四、保障措施</w:t>
      </w:r>
    </w:p>
    <w:p w14:paraId="79365A76">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（一）强化组织领导。</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成立吉水县制造业数字化转型工作领导小组（简称领导小组），</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由县委书记、县长任双组长，县政府分管工业经济领导及</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分管财政工作的领</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导任副组长，县工信局、县委组织部、县发改委、</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县财政局、县科技局、</w:t>
      </w:r>
      <w:r>
        <w:rPr>
          <w:rFonts w:hint="eastAsia" w:ascii="仿宋_GB2312" w:hAnsi="仿宋_GB2312" w:eastAsia="仿宋_GB2312" w:cs="仿宋_GB2312"/>
          <w:color w:val="000000" w:themeColor="text1"/>
          <w:sz w:val="24"/>
          <w:szCs w:val="24"/>
          <w:highlight w:val="none"/>
          <w:u w:val="none" w:color="auto"/>
          <w:lang w:val="en-US" w:eastAsia="zh-CN"/>
          <w14:textFill>
            <w14:solidFill>
              <w14:schemeClr w14:val="tx1"/>
            </w14:solidFill>
          </w14:textFill>
        </w:rPr>
        <w:t>县金融办、</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县工业园区管委会、</w:t>
      </w:r>
      <w:r>
        <w:rPr>
          <w:rFonts w:hint="eastAsia" w:ascii="仿宋_GB2312" w:hAnsi="仿宋_GB2312" w:eastAsia="仿宋_GB2312" w:cs="仿宋_GB2312"/>
          <w:color w:val="000000" w:themeColor="text1"/>
          <w:sz w:val="24"/>
          <w:szCs w:val="24"/>
          <w:highlight w:val="none"/>
          <w:u w:val="none" w:color="auto"/>
          <w:lang w:eastAsia="zh-CN"/>
          <w14:textFill>
            <w14:solidFill>
              <w14:schemeClr w14:val="tx1"/>
            </w14:solidFill>
          </w14:textFill>
        </w:rPr>
        <w:t>县移动公司、县电信公司、县联通公司</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为成员单位。领导小组下设办公室，办公室设在县工信局，由县工信局党组书记任办公室主任，县工信局、县发改委、县工业园区管委会分管数字经济的领导任办公室副主任。领导小组</w:t>
      </w:r>
      <w:r>
        <w:rPr>
          <w:rFonts w:hint="eastAsia" w:ascii="仿宋_GB2312" w:hAnsi="仿宋_GB2312" w:eastAsia="仿宋_GB2312" w:cs="仿宋_GB2312"/>
          <w:color w:val="000000" w:themeColor="text1"/>
          <w:sz w:val="24"/>
          <w:szCs w:val="24"/>
          <w:highlight w:val="none"/>
          <w:u w:val="none" w:color="auto"/>
          <w:lang w:val="en-US" w:eastAsia="zh-CN"/>
          <w14:textFill>
            <w14:solidFill>
              <w14:schemeClr w14:val="tx1"/>
            </w14:solidFill>
          </w14:textFill>
        </w:rPr>
        <w:t>办公室牵头统筹推进全县制造业数字化转型工作，</w:t>
      </w:r>
      <w:r>
        <w:rPr>
          <w:rFonts w:hint="eastAsia" w:ascii="仿宋_GB2312" w:hAnsi="仿宋_GB2312" w:eastAsia="仿宋_GB2312" w:cs="仿宋_GB2312"/>
          <w:color w:val="000000" w:themeColor="text1"/>
          <w:sz w:val="24"/>
          <w:szCs w:val="24"/>
          <w:highlight w:val="none"/>
          <w:u w:val="none" w:color="auto"/>
          <w:lang w:eastAsia="zh-CN"/>
          <w14:textFill>
            <w14:solidFill>
              <w14:schemeClr w14:val="tx1"/>
            </w14:solidFill>
          </w14:textFill>
        </w:rPr>
        <w:t>按月调度制造业数字化转型工作进展情况，及时梳理推进过程中存在的问题，研究解决措施，总结经验做法，并每半年提请县委、县政府召开一次专项工作调度会，</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推动诊断、改造、打造标杆等制造业数字化转型工作。</w:t>
      </w:r>
    </w:p>
    <w:p w14:paraId="430D9650">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（二）强化政策引导。</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加大制造业数字化转型政策支持力度，制定</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具有针对性、指导性、实操性的奖励措施，要</w:t>
      </w:r>
      <w:r>
        <w:rPr>
          <w:rFonts w:hint="eastAsia" w:ascii="仿宋_GB2312" w:hAnsi="仿宋_GB2312" w:eastAsia="仿宋_GB2312" w:cs="仿宋_GB2312"/>
          <w:color w:val="000000" w:themeColor="text1"/>
          <w:sz w:val="24"/>
          <w:szCs w:val="24"/>
          <w:u w:val="none" w:color="auto"/>
          <w14:textFill>
            <w14:solidFill>
              <w14:schemeClr w14:val="tx1"/>
            </w14:solidFill>
          </w14:textFill>
        </w:rPr>
        <w:t>充分发挥“财园信贷通”、“科贷通”、“数转贷”、</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“大美吉水贷”、</w:t>
      </w:r>
      <w:r>
        <w:rPr>
          <w:rFonts w:hint="eastAsia" w:ascii="仿宋_GB2312" w:hAnsi="仿宋_GB2312" w:eastAsia="仿宋_GB2312" w:cs="仿宋_GB2312"/>
          <w:color w:val="000000" w:themeColor="text1"/>
          <w:sz w:val="24"/>
          <w:szCs w:val="24"/>
          <w:u w:val="none" w:color="auto"/>
          <w14:textFill>
            <w14:solidFill>
              <w14:schemeClr w14:val="tx1"/>
            </w14:solidFill>
          </w14:textFill>
        </w:rPr>
        <w:t>科技创新和技术改造再贷款等信贷产品，加大对数字经济转型企业信贷支持力度</w:t>
      </w:r>
      <w:r>
        <w:rPr>
          <w:rFonts w:hint="eastAsia" w:ascii="仿宋_GB2312" w:hAnsi="仿宋_GB2312" w:eastAsia="仿宋_GB2312" w:cs="仿宋_GB2312"/>
          <w:color w:val="000000" w:themeColor="text1"/>
          <w:sz w:val="24"/>
          <w:szCs w:val="24"/>
          <w:u w:val="none" w:color="auto"/>
          <w:lang w:eastAsia="zh-CN"/>
          <w14:textFill>
            <w14:solidFill>
              <w14:schemeClr w14:val="tx1"/>
            </w14:solidFill>
          </w14:textFill>
        </w:rPr>
        <w:t>，</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支持企业数字化改造。同时引导企业争取</w:t>
      </w:r>
      <w:r>
        <w:rPr>
          <w:rFonts w:hint="eastAsia" w:ascii="仿宋_GB2312" w:eastAsia="仿宋_GB2312" w:cs="仿宋_GB2312"/>
          <w:color w:val="000000" w:themeColor="text1"/>
          <w:sz w:val="24"/>
          <w:szCs w:val="24"/>
          <w:u w:val="none" w:color="auto"/>
          <w:lang w:eastAsia="zh-CN"/>
          <w14:textFill>
            <w14:solidFill>
              <w14:schemeClr w14:val="tx1"/>
            </w14:solidFill>
          </w14:textFill>
        </w:rPr>
        <w:t>中央、省、市有关制造业数字化转型专项资金及项目，用好用活设备更新、超长</w:t>
      </w:r>
      <w:r>
        <w:rPr>
          <w:rFonts w:hint="eastAsia" w:ascii="仿宋_GB2312" w:eastAsia="仿宋_GB2312" w:cs="仿宋_GB2312"/>
          <w:color w:val="000000" w:themeColor="text1"/>
          <w:sz w:val="24"/>
          <w:szCs w:val="24"/>
          <w:u w:val="none" w:color="auto"/>
          <w:lang w:val="en-US" w:eastAsia="zh-CN"/>
          <w14:textFill>
            <w14:solidFill>
              <w14:schemeClr w14:val="tx1"/>
            </w14:solidFill>
          </w14:textFill>
        </w:rPr>
        <w:t>期</w:t>
      </w:r>
      <w:r>
        <w:rPr>
          <w:rFonts w:hint="eastAsia" w:ascii="仿宋_GB2312" w:eastAsia="仿宋_GB2312" w:cs="仿宋_GB2312"/>
          <w:color w:val="000000" w:themeColor="text1"/>
          <w:sz w:val="24"/>
          <w:szCs w:val="24"/>
          <w:u w:val="none" w:color="auto"/>
          <w:lang w:eastAsia="zh-CN"/>
          <w14:textFill>
            <w14:solidFill>
              <w14:schemeClr w14:val="tx1"/>
            </w14:solidFill>
          </w14:textFill>
        </w:rPr>
        <w:t>国债等政策红利。</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 xml:space="preserve">  </w:t>
      </w:r>
    </w:p>
    <w:p w14:paraId="4D352EED">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default" w:ascii="仿宋_GB2312" w:hAns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（三）</w:t>
      </w:r>
      <w:r>
        <w:rPr>
          <w:rFonts w:hint="eastAsia" w:ascii="楷体_GB2312" w:hAnsi="楷体_GB2312" w:eastAsia="楷体_GB2312" w:cs="楷体_GB2312"/>
          <w:color w:val="000000" w:themeColor="text1"/>
          <w:kern w:val="2"/>
          <w:sz w:val="24"/>
          <w:szCs w:val="24"/>
          <w:u w:val="none" w:color="auto"/>
          <w:lang w:val="en-US" w:eastAsia="zh-CN" w:bidi="ar-SA"/>
          <w14:textFill>
            <w14:solidFill>
              <w14:schemeClr w14:val="tx1"/>
            </w14:solidFill>
          </w14:textFill>
        </w:rPr>
        <w:t>强化宣传动员。</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加强政策宣贯，积极邀请数字化转型领域专家，</w:t>
      </w:r>
      <w:r>
        <w:rPr>
          <w:rFonts w:hint="eastAsia" w:ascii="仿宋_GB2312" w:hAnsi="仿宋_GB2312" w:eastAsia="仿宋_GB2312"/>
          <w:color w:val="000000" w:themeColor="text1"/>
          <w:sz w:val="24"/>
          <w:szCs w:val="24"/>
          <w:u w:val="none" w:color="auto"/>
          <w14:textFill>
            <w14:solidFill>
              <w14:schemeClr w14:val="tx1"/>
            </w14:solidFill>
          </w14:textFill>
        </w:rPr>
        <w:t>召开全县</w:t>
      </w:r>
      <w:r>
        <w:rPr>
          <w:rFonts w:hint="eastAsia" w:ascii="仿宋_GB2312" w:hAnsi="仿宋_GB2312" w:eastAsia="仿宋_GB2312"/>
          <w:color w:val="000000" w:themeColor="text1"/>
          <w:sz w:val="24"/>
          <w:szCs w:val="24"/>
          <w:u w:val="none" w:color="auto"/>
          <w:lang w:eastAsia="zh-CN"/>
          <w14:textFill>
            <w14:solidFill>
              <w14:schemeClr w14:val="tx1"/>
            </w14:solidFill>
          </w14:textFill>
        </w:rPr>
        <w:t>制造业数字化转型政策解读暨动员会</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w:t>
      </w:r>
      <w:r>
        <w:rPr>
          <w:rFonts w:hint="default" w:ascii="仿宋_GB2312" w:hAnsi="仿宋_GB2312" w:eastAsia="仿宋_GB2312" w:cs="仿宋_GB2312"/>
          <w:color w:val="000000" w:themeColor="text1"/>
          <w:sz w:val="24"/>
          <w:szCs w:val="24"/>
          <w:u w:val="none" w:color="auto"/>
          <w:lang w:val="en-US" w:eastAsia="zh-CN"/>
          <w14:textFill>
            <w14:solidFill>
              <w14:schemeClr w14:val="tx1"/>
            </w14:solidFill>
          </w14:textFill>
        </w:rPr>
        <w:t>组织开展优秀转型企业、案例观摩</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等</w:t>
      </w:r>
      <w:r>
        <w:rPr>
          <w:rFonts w:hint="default" w:ascii="仿宋_GB2312" w:hAnsi="仿宋_GB2312" w:eastAsia="仿宋_GB2312" w:cs="仿宋_GB2312"/>
          <w:color w:val="000000" w:themeColor="text1"/>
          <w:sz w:val="24"/>
          <w:szCs w:val="24"/>
          <w:u w:val="none" w:color="auto"/>
          <w:lang w:val="en-US" w:eastAsia="zh-CN"/>
          <w14:textFill>
            <w14:solidFill>
              <w14:schemeClr w14:val="tx1"/>
            </w14:solidFill>
          </w14:textFill>
        </w:rPr>
        <w:t>活动，展现数字化转型成效，激励先进、鞭策后进，营造比学赶超氛围</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。各部门单位要加强政策宣传，</w:t>
      </w:r>
      <w:r>
        <w:rPr>
          <w:rFonts w:hint="default" w:ascii="仿宋_GB2312" w:hAnsi="仿宋_GB2312" w:eastAsia="仿宋_GB2312" w:cs="仿宋_GB2312"/>
          <w:color w:val="000000" w:themeColor="text1"/>
          <w:sz w:val="24"/>
          <w:szCs w:val="24"/>
          <w:u w:val="none" w:color="auto"/>
          <w:lang w:val="en-US" w:eastAsia="zh-CN"/>
          <w14:textFill>
            <w14:solidFill>
              <w14:schemeClr w14:val="tx1"/>
            </w14:solidFill>
          </w14:textFill>
        </w:rPr>
        <w:t>充分发挥媒体作用，加强对数字化改造提升示范企业、典型案例、成功经验的宣传推介力度。</w:t>
      </w:r>
    </w:p>
    <w:p w14:paraId="1ECF7A6C">
      <w:pPr>
        <w:keepNext w:val="0"/>
        <w:keepLines w:val="0"/>
        <w:pageBreakBefore w:val="0"/>
        <w:widowControl w:val="0"/>
        <w:pBdr>
          <w:bottom w:val="single" w:color="FFFFFF" w:sz="4" w:space="29"/>
        </w:pBdr>
        <w:tabs>
          <w:tab w:val="left" w:pos="720"/>
        </w:tabs>
        <w:kinsoku/>
        <w:wordWrap/>
        <w:overflowPunct/>
        <w:topLinePunct/>
        <w:autoSpaceDE/>
        <w:autoSpaceDN/>
        <w:bidi w:val="0"/>
        <w:adjustRightInd w:val="0"/>
        <w:snapToGrid w:val="0"/>
        <w:spacing w:line="440" w:lineRule="atLeast"/>
        <w:ind w:firstLine="480" w:firstLineChars="200"/>
        <w:textAlignment w:val="auto"/>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pPr>
      <w:r>
        <w:rPr>
          <w:rFonts w:hint="eastAsia" w:ascii="楷体_GB2312" w:hAnsi="楷体_GB2312" w:eastAsia="楷体_GB2312" w:cs="楷体_GB2312"/>
          <w:color w:val="000000" w:themeColor="text1"/>
          <w:sz w:val="24"/>
          <w:szCs w:val="24"/>
          <w:u w:val="none" w:color="auto"/>
          <w:lang w:val="en-US" w:eastAsia="zh-CN"/>
          <w14:textFill>
            <w14:solidFill>
              <w14:schemeClr w14:val="tx1"/>
            </w14:solidFill>
          </w14:textFill>
        </w:rPr>
        <w:t>（四）强化调度考核。</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各部门单位要咬定目标任务，按照《吉水县制造业数字化转型工作任务清单》（附件2）职责分工，扎实推进有关工作。领导小组办公室要</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实施“月调度、季通报、年考核”</w:t>
      </w: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机制，每季度对有关部门工作开展情况进行通报，工作成效纳入全县</w:t>
      </w: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综合考核、数字政府、“7+1”战役、“首席服务官落责”机制等考核范畴。</w:t>
      </w:r>
    </w:p>
    <w:p w14:paraId="44599A6E">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jc w:val="both"/>
        <w:textAlignment w:val="auto"/>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pPr>
    </w:p>
    <w:p w14:paraId="30451918">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480" w:firstLineChars="200"/>
        <w:jc w:val="both"/>
        <w:textAlignment w:val="auto"/>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u w:val="none" w:color="auto"/>
          <w:lang w:val="en-US" w:eastAsia="zh-CN"/>
          <w14:textFill>
            <w14:solidFill>
              <w14:schemeClr w14:val="tx1"/>
            </w14:solidFill>
          </w14:textFill>
        </w:rPr>
        <w:t xml:space="preserve">附件：1.吉水县制造业数字化转型工作企业帮扶安排表  </w:t>
      </w:r>
    </w:p>
    <w:p w14:paraId="3F688389">
      <w:pPr>
        <w:keepNext w:val="0"/>
        <w:keepLines w:val="0"/>
        <w:pageBreakBefore w:val="0"/>
        <w:widowControl w:val="0"/>
        <w:numPr>
          <w:ilvl w:val="0"/>
          <w:numId w:val="0"/>
        </w:numPr>
        <w:pBdr>
          <w:bottom w:val="single" w:color="FFFFFF" w:sz="4" w:space="29"/>
        </w:pBdr>
        <w:kinsoku/>
        <w:wordWrap/>
        <w:overflowPunct/>
        <w:topLinePunct/>
        <w:autoSpaceDE/>
        <w:autoSpaceDN/>
        <w:bidi w:val="0"/>
        <w:adjustRightInd w:val="0"/>
        <w:snapToGrid w:val="0"/>
        <w:spacing w:line="440" w:lineRule="atLeast"/>
        <w:ind w:firstLine="960" w:firstLineChars="400"/>
        <w:jc w:val="both"/>
        <w:textAlignment w:val="auto"/>
        <w:rPr>
          <w:color w:val="000000" w:themeColor="text1"/>
          <w:sz w:val="24"/>
          <w:szCs w:val="24"/>
          <w:u w:val="none"/>
          <w14:textFill>
            <w14:solidFill>
              <w14:schemeClr w14:val="tx1"/>
            </w14:solidFill>
          </w14:textFill>
        </w:rPr>
      </w:pPr>
      <w:r>
        <w:rPr>
          <w:rFonts w:hint="eastAsia" w:ascii="仿宋_GB2312" w:hAnsi="仿宋_GB2312" w:eastAsia="仿宋_GB2312" w:cs="仿宋_GB2312"/>
          <w:color w:val="000000" w:themeColor="text1"/>
          <w:kern w:val="2"/>
          <w:sz w:val="24"/>
          <w:szCs w:val="24"/>
          <w:u w:val="none" w:color="auto"/>
          <w:lang w:val="en-US" w:eastAsia="zh-CN" w:bidi="ar-SA"/>
          <w14:textFill>
            <w14:solidFill>
              <w14:schemeClr w14:val="tx1"/>
            </w14:solidFill>
          </w14:textFill>
        </w:rPr>
        <w:t>2.吉水县制造业数字化转型工作任务清单</w:t>
      </w:r>
    </w:p>
    <w:p w14:paraId="1EEB390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仿宋_GB2312" w:hAnsi="仿宋_GB2312" w:eastAsia="仿宋_GB2312" w:cs="仿宋_GB2312"/>
          <w:i w:val="0"/>
          <w:iCs w:val="0"/>
          <w:caps w:val="0"/>
          <w:color w:val="000000" w:themeColor="text1"/>
          <w:spacing w:val="0"/>
          <w:sz w:val="24"/>
          <w:szCs w:val="24"/>
          <w:u w:val="single"/>
          <w:shd w:val="clear" w:fill="FFFFFF"/>
          <w:lang w:val="en-US"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AD9D1">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E9E782">
                          <w:pPr>
                            <w:pStyle w:val="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2E9E782">
                    <w:pPr>
                      <w:pStyle w:val="2"/>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E5DD1"/>
    <w:multiLevelType w:val="singleLevel"/>
    <w:tmpl w:val="C20E5DD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zFiODAzNTI1MDc4MzU5NjkyNWFhYTgyNmMwOWYifQ=="/>
  </w:docVars>
  <w:rsids>
    <w:rsidRoot w:val="368265DB"/>
    <w:rsid w:val="368265DB"/>
    <w:rsid w:val="7B37610E"/>
    <w:rsid w:val="7EB03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12184</Words>
  <Characters>12459</Characters>
  <Lines>0</Lines>
  <Paragraphs>0</Paragraphs>
  <TotalTime>3</TotalTime>
  <ScaleCrop>false</ScaleCrop>
  <LinksUpToDate>false</LinksUpToDate>
  <CharactersWithSpaces>12468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2024-11-07T23:54:00Z</dcterms:created>
  <dc:creator>Administrator</dc:creator>
  <cp:lastModifiedBy>Administrator</cp:lastModifiedBy>
  <dcterms:modified xsi:type="dcterms:W3CDTF">2024-11-08T00:35:39Z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340A30BE8F51490E9B483526B8CB2C9D_11</vt:lpwstr>
  </property>
</Properties>
</file>