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4B45">
      <w:pPr>
        <w:pStyle w:val="13"/>
        <w:widowControl/>
        <w:wordWrap w:val="0"/>
        <w:spacing w:before="0" w:beforeAutospacing="0" w:after="0" w:afterAutospacing="0" w:line="360" w:lineRule="atLeast"/>
        <w:jc w:val="both"/>
        <w:rPr>
          <w:rStyle w:val="9"/>
          <w:rFonts w:hint="eastAsia" w:asciiTheme="minorEastAsia" w:hAnsiTheme="minorEastAsia" w:eastAsiaTheme="minorEastAsia" w:cstheme="minorEastAsia"/>
          <w:color w:val="555555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附件一：</w:t>
      </w:r>
    </w:p>
    <w:p w14:paraId="4D5DDC7C">
      <w:pPr>
        <w:pStyle w:val="13"/>
        <w:bidi w:val="0"/>
        <w:jc w:val="center"/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555555"/>
          <w:sz w:val="44"/>
          <w:szCs w:val="44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询价采购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  <w:lang w:eastAsia="zh-CN"/>
        </w:rPr>
        <w:t>报价</w:t>
      </w: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文件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00" w:firstLineChars="200"/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0"/>
          <w:szCs w:val="30"/>
        </w:rPr>
        <w:t>询价书收悉，我单位认真阅知、理解并全面接受询价书的各项要求，报价如下：</w:t>
      </w:r>
    </w:p>
    <w:tbl>
      <w:tblPr>
        <w:tblStyle w:val="4"/>
        <w:tblW w:w="9333" w:type="dxa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6"/>
        <w:gridCol w:w="1302"/>
        <w:gridCol w:w="1915"/>
        <w:gridCol w:w="2388"/>
        <w:gridCol w:w="1962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333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重油采购项目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13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规格</w:t>
            </w:r>
          </w:p>
        </w:tc>
        <w:tc>
          <w:tcPr>
            <w:tcW w:w="19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(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吨）</w:t>
            </w:r>
          </w:p>
        </w:tc>
        <w:tc>
          <w:tcPr>
            <w:tcW w:w="23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6"/>
                <w:szCs w:val="26"/>
                <w:lang w:val="en-US" w:eastAsia="zh-CN" w:bidi="ar"/>
              </w:rPr>
              <w:t>吨）</w:t>
            </w:r>
          </w:p>
        </w:tc>
        <w:tc>
          <w:tcPr>
            <w:tcW w:w="1962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备注：单价合同，按实际签认数量核计货物结算金额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重油</w:t>
            </w:r>
          </w:p>
        </w:tc>
        <w:tc>
          <w:tcPr>
            <w:tcW w:w="13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热喷油</w:t>
            </w:r>
          </w:p>
        </w:tc>
        <w:tc>
          <w:tcPr>
            <w:tcW w:w="19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  <w:tc>
          <w:tcPr>
            <w:tcW w:w="23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  <w:tc>
          <w:tcPr>
            <w:tcW w:w="1962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5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76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555555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555555"/>
                <w:kern w:val="0"/>
                <w:sz w:val="26"/>
                <w:szCs w:val="26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5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555555"/>
                <w:sz w:val="26"/>
                <w:szCs w:val="2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404040"/>
                <w:kern w:val="0"/>
                <w:sz w:val="26"/>
                <w:szCs w:val="26"/>
                <w:u w:val="none"/>
                <w:lang w:val="en-US" w:eastAsia="zh-CN" w:bidi="ar"/>
              </w:rPr>
              <w:t>3827000</w:t>
            </w:r>
          </w:p>
        </w:tc>
      </w:tr>
    </w:tbl>
    <w:p w14:paraId="079F847F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</w:p>
    <w:p w14:paraId="725B5F31">
      <w:pPr>
        <w:pStyle w:val="8"/>
        <w:widowControl/>
        <w:spacing w:before="0" w:beforeAutospacing="0" w:after="0" w:afterAutospacing="0" w:line="360" w:lineRule="atLeast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年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月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65667"/>
    <w:rsid w:val="29E90B31"/>
    <w:rsid w:val="2B956A8D"/>
    <w:rsid w:val="2BBD5915"/>
    <w:rsid w:val="2D782583"/>
    <w:rsid w:val="326F66FA"/>
    <w:rsid w:val="32E5766C"/>
    <w:rsid w:val="48257029"/>
    <w:rsid w:val="4F495646"/>
    <w:rsid w:val="51137C70"/>
    <w:rsid w:val="586471A6"/>
    <w:rsid w:val="5B693DD4"/>
    <w:rsid w:val="5F633288"/>
    <w:rsid w:val="77B53E30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287</Characters>
  <Lines>2</Lines>
  <Paragraphs>1</Paragraphs>
  <TotalTime>7</TotalTime>
  <ScaleCrop>false</ScaleCrop>
  <LinksUpToDate>false</LinksUpToDate>
  <CharactersWithSpaces>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聂宇翔</cp:lastModifiedBy>
  <cp:lastPrinted>2025-06-26T02:46:14Z</cp:lastPrinted>
  <dcterms:modified xsi:type="dcterms:W3CDTF">2025-06-26T03:30:48Z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150E8F344666474B886FCCA874E100D3_13</vt:lpwstr>
  </property>
  <property fmtid="{D5CDD505-2E9C-101B-9397-08002B2CF9AE}" pid="4" name="KSOTemplateDocerSaveRecord">
    <vt:lpwstr>eyJoZGlkIjoiNDMzZDg4NzdlNjRjNzQwYmMzOGM5MjA5NWIwMDQ4NTciLCJ1c2VySWQiOiIzMTUyMjI1NTEifQ==</vt:lpwstr>
  </property>
</Properties>
</file>