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ascii="方正小标宋简体" w:eastAsia="方正小标宋简体"/>
          <w:b w:val="0"/>
          <w:bCs w:val="0"/>
          <w:sz w:val="28"/>
          <w:szCs w:val="28"/>
        </w:rPr>
      </w:pPr>
      <w:r>
        <w:rPr>
          <w:rFonts w:hint="eastAsia" w:ascii="方正小标宋简体" w:eastAsia="方正小标宋简体"/>
          <w:b w:val="0"/>
          <w:bCs w:val="0"/>
          <w:sz w:val="28"/>
          <w:szCs w:val="28"/>
        </w:rPr>
        <w:t>附件2：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商务要求</w:t>
      </w:r>
    </w:p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27" w:firstLineChars="196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、★报价</w:t>
      </w:r>
      <w:r>
        <w:rPr>
          <w:rFonts w:hint="eastAsia" w:ascii="黑体" w:hAnsi="黑体" w:eastAsia="黑体"/>
          <w:sz w:val="32"/>
          <w:szCs w:val="32"/>
          <w:lang w:eastAsia="zh-CN"/>
        </w:rPr>
        <w:t>要求及收费标准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1.投标单位</w:t>
      </w:r>
      <w:r>
        <w:rPr>
          <w:rFonts w:hint="eastAsia" w:ascii="仿宋_GB2312" w:eastAsia="仿宋_GB2312"/>
          <w:sz w:val="32"/>
          <w:szCs w:val="32"/>
          <w:lang w:eastAsia="zh-CN"/>
        </w:rPr>
        <w:t>在投标时书面报出代理项目</w:t>
      </w:r>
      <w:r>
        <w:rPr>
          <w:rFonts w:hint="eastAsia" w:ascii="仿宋_GB2312" w:eastAsia="仿宋_GB2312"/>
          <w:sz w:val="32"/>
          <w:szCs w:val="32"/>
        </w:rPr>
        <w:t>服务收费</w:t>
      </w:r>
      <w:r>
        <w:rPr>
          <w:rFonts w:hint="eastAsia" w:ascii="仿宋_GB2312" w:eastAsia="仿宋_GB2312"/>
          <w:sz w:val="32"/>
          <w:szCs w:val="32"/>
          <w:lang w:eastAsia="zh-CN"/>
        </w:rPr>
        <w:t>下浮率，本项目</w:t>
      </w:r>
      <w:r>
        <w:rPr>
          <w:rFonts w:hint="eastAsia" w:ascii="仿宋_GB2312" w:eastAsia="仿宋_GB2312"/>
          <w:sz w:val="32"/>
          <w:szCs w:val="32"/>
        </w:rPr>
        <w:t>下浮率以1%为基本单位，如：下浮率20%，则折扣为80%。</w:t>
      </w:r>
      <w:r>
        <w:rPr>
          <w:rFonts w:hint="eastAsia" w:ascii="仿宋_GB2312" w:eastAsia="仿宋_GB2312"/>
          <w:b/>
          <w:bCs/>
          <w:sz w:val="32"/>
          <w:szCs w:val="32"/>
        </w:rPr>
        <w:t>下浮20%以上或超过服务收费标准不得分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firstLine="640" w:firstLineChars="200"/>
        <w:jc w:val="both"/>
        <w:textAlignment w:val="auto"/>
        <w:rPr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本项目不接受联合体报价。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收费标准：中标（成交）服务费按差额定率累进法计算，</w:t>
      </w:r>
      <w:r>
        <w:rPr>
          <w:rFonts w:hint="eastAsia" w:ascii="仿宋_GB2312" w:eastAsia="仿宋_GB2312"/>
          <w:sz w:val="32"/>
          <w:szCs w:val="32"/>
          <w:lang w:eastAsia="zh-CN"/>
        </w:rPr>
        <w:t>收费金额为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代理机构入围投标时所报折扣率*收费基准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。收费基准执行国家《招标代理服务收费管理暂行办法》（〔2003〕857号）</w:t>
      </w:r>
      <w:r>
        <w:rPr>
          <w:rFonts w:hint="eastAsia" w:ascii="仿宋_GB2312" w:eastAsia="仿宋_GB2312"/>
          <w:sz w:val="32"/>
          <w:szCs w:val="32"/>
          <w:lang w:eastAsia="zh-CN"/>
        </w:rPr>
        <w:t>文件规定；计算费率以委托项目中标成交金额为准，单笔代理服务费最低金额5000元，不足最低金额的以最低金额计算。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报价下浮率低于或者等于第一中标单位的，执行第一中标单位的报价下浮率；报价下浮率高于第一中标单位的，执行各自报价下浮率。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568" w:firstLine="0"/>
        <w:textAlignment w:val="auto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</w:rPr>
        <w:t>★</w:t>
      </w:r>
      <w:r>
        <w:rPr>
          <w:rFonts w:hint="eastAsia" w:ascii="黑体" w:hAnsi="黑体" w:eastAsia="黑体"/>
          <w:sz w:val="32"/>
          <w:szCs w:val="32"/>
          <w:lang w:eastAsia="zh-CN"/>
        </w:rPr>
        <w:t>服务时间、对象与方式：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firstLine="640" w:firstLineChars="200"/>
        <w:textAlignment w:val="auto"/>
        <w:rPr>
          <w:rFonts w:ascii="仿宋_GB2312" w:eastAsia="仿宋_GB2312" w:hAnsiTheme="minorHAnsi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 w:hAnsiTheme="minorHAnsi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 w:hAnsiTheme="minorHAnsi"/>
          <w:kern w:val="2"/>
          <w:sz w:val="32"/>
          <w:szCs w:val="32"/>
          <w:lang w:eastAsia="zh-CN"/>
        </w:rPr>
        <w:t>服务时间：服务期限2年，每一年签订一次服务合同；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firstLine="640" w:firstLineChars="200"/>
        <w:textAlignment w:val="auto"/>
        <w:rPr>
          <w:rFonts w:ascii="仿宋_GB2312" w:eastAsia="仿宋_GB2312" w:hAnsiTheme="minorHAnsi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 w:hAnsiTheme="minorHAnsi"/>
          <w:kern w:val="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 w:hAnsiTheme="minorHAnsi"/>
          <w:kern w:val="2"/>
          <w:sz w:val="32"/>
          <w:szCs w:val="32"/>
          <w:lang w:eastAsia="zh-CN"/>
        </w:rPr>
        <w:t xml:space="preserve">服务对象：江西省内各单位   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hAnsiTheme="minorHAnsi"/>
          <w:kern w:val="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 w:hAnsiTheme="minorHAnsi"/>
          <w:kern w:val="2"/>
          <w:sz w:val="32"/>
          <w:szCs w:val="32"/>
          <w:lang w:eastAsia="zh-CN"/>
        </w:rPr>
        <w:t xml:space="preserve">服务方式：提供招标代理服务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 xml:space="preserve">    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  <w:lang w:eastAsia="zh-CN"/>
        </w:rPr>
        <w:t>选取方式：招标人从10家入围名录中随机抽取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家代理机构承接采购项目。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568" w:firstLine="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★专利权和保密要求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27" w:firstLineChars="196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代理机构应保证提供招标代理服务时，不受第三方侵权指控。同时，代理机构不得向第三方泄露招标人提供的技术文件等资料。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27" w:firstLineChars="196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四、★</w:t>
      </w:r>
      <w:r>
        <w:rPr>
          <w:rFonts w:ascii="黑体" w:hAnsi="黑体" w:eastAsia="黑体"/>
          <w:sz w:val="32"/>
          <w:szCs w:val="32"/>
        </w:rPr>
        <w:t>履约保证金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代理机构</w:t>
      </w:r>
      <w:r>
        <w:rPr>
          <w:rFonts w:hint="eastAsia" w:ascii="仿宋_GB2312" w:hAnsi="宋体" w:eastAsia="仿宋_GB2312"/>
          <w:sz w:val="32"/>
          <w:szCs w:val="32"/>
        </w:rPr>
        <w:t>应当在签订合同后7个工作日内，向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招标人</w:t>
      </w:r>
      <w:r>
        <w:rPr>
          <w:rFonts w:hint="eastAsia" w:ascii="仿宋_GB2312" w:hAnsi="宋体" w:eastAsia="仿宋_GB2312"/>
          <w:sz w:val="32"/>
          <w:szCs w:val="32"/>
        </w:rPr>
        <w:t>提交贰万元履约保证金。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履约保证金形式：通过银行</w:t>
      </w:r>
      <w:r>
        <w:rPr>
          <w:rFonts w:hint="eastAsia" w:ascii="楷体_GB2312" w:hAnsi="楷体_GB2312" w:eastAsia="楷体_GB2312" w:cs="楷体_GB2312"/>
          <w:sz w:val="28"/>
          <w:szCs w:val="28"/>
        </w:rPr>
        <w:t>（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代理机构</w:t>
      </w:r>
      <w:r>
        <w:rPr>
          <w:rFonts w:hint="eastAsia" w:ascii="楷体_GB2312" w:hAnsi="楷体_GB2312" w:eastAsia="楷体_GB2312" w:cs="楷体_GB2312"/>
          <w:sz w:val="28"/>
          <w:szCs w:val="28"/>
        </w:rPr>
        <w:t>基本账户银行）</w:t>
      </w:r>
      <w:r>
        <w:rPr>
          <w:rFonts w:hint="eastAsia" w:ascii="仿宋_GB2312" w:hAnsi="宋体" w:eastAsia="仿宋_GB2312"/>
          <w:sz w:val="32"/>
          <w:szCs w:val="32"/>
        </w:rPr>
        <w:t>转入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招标人</w:t>
      </w:r>
      <w:r>
        <w:rPr>
          <w:rFonts w:hint="eastAsia" w:ascii="仿宋_GB2312" w:hAnsi="宋体" w:eastAsia="仿宋_GB2312"/>
          <w:sz w:val="32"/>
          <w:szCs w:val="32"/>
        </w:rPr>
        <w:t>指定账户或银行出具的见索即付的银行保函。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代理机构</w:t>
      </w:r>
      <w:r>
        <w:rPr>
          <w:rFonts w:hint="eastAsia" w:ascii="仿宋_GB2312" w:hAnsi="宋体" w:eastAsia="仿宋_GB2312"/>
          <w:sz w:val="32"/>
          <w:szCs w:val="32"/>
        </w:rPr>
        <w:t>不按合同条款履行的，没收履约保证金，因此造成的损失超过履约保证金数额的，还应当对超过部分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数额</w:t>
      </w:r>
      <w:r>
        <w:rPr>
          <w:rFonts w:hint="eastAsia" w:ascii="仿宋_GB2312" w:hAnsi="宋体" w:eastAsia="仿宋_GB2312"/>
          <w:sz w:val="32"/>
          <w:szCs w:val="32"/>
        </w:rPr>
        <w:t>予以赔偿。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/>
          <w:sz w:val="32"/>
          <w:szCs w:val="32"/>
        </w:rPr>
        <w:t>服务期满后，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未发生没收履约保证金情形及其他违规问题的</w:t>
      </w:r>
      <w:r>
        <w:rPr>
          <w:rFonts w:hint="eastAsia" w:ascii="仿宋_GB2312" w:hAnsi="宋体" w:eastAsia="仿宋_GB2312"/>
          <w:sz w:val="32"/>
          <w:szCs w:val="32"/>
        </w:rPr>
        <w:t>，由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代理机构</w:t>
      </w:r>
      <w:r>
        <w:rPr>
          <w:rFonts w:hint="eastAsia" w:ascii="仿宋_GB2312" w:hAnsi="宋体" w:eastAsia="仿宋_GB2312"/>
          <w:sz w:val="32"/>
          <w:szCs w:val="32"/>
        </w:rPr>
        <w:t>提出书面申请后一次性无息退还履约保证金。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theme="minorBidi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 w:cstheme="minorBidi"/>
          <w:kern w:val="0"/>
          <w:sz w:val="32"/>
          <w:szCs w:val="32"/>
          <w:lang w:val="en-US" w:eastAsia="zh-CN" w:bidi="ar-SA"/>
        </w:rPr>
        <w:t>★违约责任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1.代理机构在组织招标人委托的采购活动中，违反政府及军队采购法规的，</w:t>
      </w:r>
      <w:r>
        <w:rPr>
          <w:rFonts w:hint="eastAsia" w:ascii="仿宋_GB2312" w:eastAsia="仿宋_GB2312"/>
          <w:sz w:val="32"/>
          <w:szCs w:val="32"/>
        </w:rPr>
        <w:t>直接取消</w:t>
      </w:r>
      <w:r>
        <w:rPr>
          <w:rFonts w:hint="eastAsia" w:ascii="仿宋_GB2312" w:eastAsia="仿宋_GB2312"/>
          <w:sz w:val="32"/>
          <w:szCs w:val="32"/>
          <w:lang w:eastAsia="zh-CN"/>
        </w:rPr>
        <w:t>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代理</w:t>
      </w:r>
      <w:r>
        <w:rPr>
          <w:rFonts w:hint="eastAsia" w:ascii="仿宋_GB2312" w:eastAsia="仿宋_GB2312"/>
          <w:sz w:val="32"/>
          <w:szCs w:val="32"/>
        </w:rPr>
        <w:t>资格并没收履约保证金，同时向</w:t>
      </w:r>
      <w:r>
        <w:rPr>
          <w:rFonts w:hint="eastAsia" w:ascii="仿宋_GB2312" w:eastAsia="仿宋_GB2312"/>
          <w:sz w:val="32"/>
          <w:szCs w:val="32"/>
          <w:lang w:eastAsia="zh-CN"/>
        </w:rPr>
        <w:t>招标人</w:t>
      </w:r>
      <w:r>
        <w:rPr>
          <w:rFonts w:hint="eastAsia" w:ascii="仿宋_GB2312" w:eastAsia="仿宋_GB2312"/>
          <w:sz w:val="32"/>
          <w:szCs w:val="32"/>
        </w:rPr>
        <w:t>上级</w:t>
      </w:r>
      <w:r>
        <w:rPr>
          <w:rFonts w:hint="eastAsia" w:ascii="仿宋_GB2312" w:eastAsia="仿宋_GB2312"/>
          <w:sz w:val="32"/>
          <w:szCs w:val="32"/>
          <w:lang w:eastAsia="zh-CN"/>
        </w:rPr>
        <w:t>管理</w:t>
      </w:r>
      <w:r>
        <w:rPr>
          <w:rFonts w:hint="eastAsia" w:ascii="仿宋_GB2312" w:eastAsia="仿宋_GB2312"/>
          <w:sz w:val="32"/>
          <w:szCs w:val="32"/>
        </w:rPr>
        <w:t>部门及地方</w:t>
      </w:r>
      <w:r>
        <w:rPr>
          <w:rFonts w:hint="eastAsia" w:ascii="仿宋_GB2312" w:eastAsia="仿宋_GB2312"/>
          <w:sz w:val="32"/>
          <w:szCs w:val="32"/>
          <w:lang w:eastAsia="zh-CN"/>
        </w:rPr>
        <w:t>财政</w:t>
      </w:r>
      <w:r>
        <w:rPr>
          <w:rFonts w:hint="eastAsia" w:ascii="仿宋_GB2312" w:eastAsia="仿宋_GB2312"/>
          <w:sz w:val="32"/>
          <w:szCs w:val="32"/>
        </w:rPr>
        <w:t>相关单位反映情况并上报违规供应商名单。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代理机构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违规事实、性质、危害程度、主观态度等因素，由</w:t>
      </w:r>
      <w:r>
        <w:rPr>
          <w:rFonts w:hint="eastAsia" w:ascii="仿宋_GB2312" w:eastAsia="仿宋_GB2312"/>
          <w:sz w:val="32"/>
          <w:szCs w:val="32"/>
          <w:lang w:eastAsia="zh-CN"/>
        </w:rPr>
        <w:t>招标人</w:t>
      </w:r>
      <w:r>
        <w:rPr>
          <w:rFonts w:hint="eastAsia" w:ascii="仿宋_GB2312" w:eastAsia="仿宋_GB2312"/>
          <w:sz w:val="32"/>
          <w:szCs w:val="32"/>
        </w:rPr>
        <w:t>上级</w:t>
      </w:r>
      <w:r>
        <w:rPr>
          <w:rFonts w:hint="eastAsia" w:ascii="仿宋_GB2312" w:eastAsia="仿宋_GB2312"/>
          <w:sz w:val="32"/>
          <w:szCs w:val="32"/>
          <w:lang w:eastAsia="zh-CN"/>
        </w:rPr>
        <w:t>管理</w:t>
      </w:r>
      <w:r>
        <w:rPr>
          <w:rFonts w:hint="eastAsia" w:ascii="仿宋_GB2312" w:eastAsia="仿宋_GB2312"/>
          <w:sz w:val="32"/>
          <w:szCs w:val="32"/>
        </w:rPr>
        <w:t>部门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作出给予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代理机构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1年、2年、3年、终身禁止参加军队采购活动的处罚。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同时，有下列情形之一的，应当剔除出名录，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并没收履约保证金</w:t>
      </w:r>
      <w:r>
        <w:rPr>
          <w:rFonts w:hint="eastAsia" w:ascii="仿宋_GB2312" w:hAnsi="Calibri" w:eastAsia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（1）营业执照被吊销的；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（2）受到国家或者地方有关部门禁止代理政府采购业务处罚的；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（3）提供虚假或者不真实证明材料的；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（4）采取不正当手段获取代理资格或者代理业务的；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（5）在组织采购活动中，采取不正当手段获取利益的；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（6）与采购单位、物资采购站、供应商或者评审专家串通，违规确定或者违规引导确定采购结果的；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（7）出租或者出借代理资质的；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（8）不认真履行代理义务，给国家和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军队</w:t>
      </w:r>
      <w:r>
        <w:rPr>
          <w:rFonts w:hint="eastAsia" w:ascii="仿宋_GB2312" w:hAnsi="Calibri" w:eastAsia="仿宋_GB2312"/>
          <w:kern w:val="0"/>
          <w:sz w:val="32"/>
          <w:szCs w:val="32"/>
        </w:rPr>
        <w:t>造成经济损失的；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（9）失密、泄密，给国家和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军队</w:t>
      </w:r>
      <w:r>
        <w:rPr>
          <w:rFonts w:hint="eastAsia" w:ascii="仿宋_GB2312" w:hAnsi="Calibri" w:eastAsia="仿宋_GB2312"/>
          <w:kern w:val="0"/>
          <w:sz w:val="32"/>
          <w:szCs w:val="32"/>
        </w:rPr>
        <w:t>安全造成危害的；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Calibri" w:eastAsia="仿宋_GB2312"/>
          <w:kern w:val="0"/>
          <w:sz w:val="32"/>
          <w:szCs w:val="32"/>
        </w:rPr>
      </w:pPr>
      <w:r>
        <w:rPr>
          <w:rFonts w:hint="eastAsia" w:ascii="仿宋_GB2312" w:hAnsi="Calibri" w:eastAsia="仿宋_GB2312"/>
          <w:kern w:val="0"/>
          <w:sz w:val="32"/>
          <w:szCs w:val="32"/>
        </w:rPr>
        <w:t>（10）其他违反国家和</w:t>
      </w:r>
      <w:r>
        <w:rPr>
          <w:rFonts w:hint="eastAsia" w:ascii="仿宋_GB2312" w:hAnsi="Calibri" w:eastAsia="仿宋_GB2312"/>
          <w:kern w:val="0"/>
          <w:sz w:val="32"/>
          <w:szCs w:val="32"/>
          <w:lang w:eastAsia="zh-CN"/>
        </w:rPr>
        <w:t>军队</w:t>
      </w:r>
      <w:r>
        <w:rPr>
          <w:rFonts w:hint="eastAsia" w:ascii="仿宋_GB2312" w:hAnsi="Calibri" w:eastAsia="仿宋_GB2312"/>
          <w:kern w:val="0"/>
          <w:sz w:val="32"/>
          <w:szCs w:val="32"/>
        </w:rPr>
        <w:t>有关规定的。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/>
          <w:kern w:val="0"/>
          <w:sz w:val="32"/>
          <w:szCs w:val="32"/>
        </w:rPr>
        <w:t>涉嫌犯罪的，依法移送司法机关处理；违法行为给他人造成损失的，依法承担民事责任。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27" w:firstLineChars="196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、其他内容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技术要求及商务要求中“</w:t>
      </w:r>
      <w:r>
        <w:rPr>
          <w:rFonts w:hint="eastAsia" w:ascii="仿宋_GB2312" w:hAnsi="宋体" w:eastAsia="仿宋_GB2312"/>
          <w:b/>
          <w:kern w:val="0"/>
          <w:sz w:val="36"/>
          <w:szCs w:val="36"/>
          <w:lang w:val="zh-CN"/>
        </w:rPr>
        <w:t>★</w:t>
      </w:r>
      <w:r>
        <w:rPr>
          <w:rFonts w:hint="eastAsia" w:ascii="仿宋_GB2312" w:eastAsia="仿宋_GB2312"/>
          <w:sz w:val="32"/>
          <w:szCs w:val="32"/>
        </w:rPr>
        <w:t>”条款，投标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必须完全响应。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left="6400" w:hanging="6400" w:hangingChars="20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701" w:right="1701" w:bottom="1701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- 5 -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- 5 -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263ED"/>
    <w:rsid w:val="18D300E3"/>
    <w:rsid w:val="1A8938B7"/>
    <w:rsid w:val="1BB263ED"/>
    <w:rsid w:val="39D343A4"/>
    <w:rsid w:val="4A1974CF"/>
    <w:rsid w:val="7996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spacing w:before="20" w:after="20" w:line="360" w:lineRule="auto"/>
      <w:jc w:val="left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2022-06-21T02:47:00Z</dcterms:created>
  <dc:creator>李婧</dc:creator>
  <cp:lastModifiedBy>李婧</cp:lastModifiedBy>
  <cp:lastPrinted>2022-06-22T00:42:00Z</cp:lastPrinted>
  <dcterms:modified xsi:type="dcterms:W3CDTF">2022-06-23T00:51:28Z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