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color w:val="auto"/>
          <w:sz w:val="36"/>
          <w:szCs w:val="36"/>
          <w:highlight w:val="none"/>
        </w:rPr>
      </w:pPr>
      <w:r>
        <w:rPr>
          <w:rFonts w:hint="eastAsia"/>
          <w:b/>
          <w:color w:val="auto"/>
          <w:sz w:val="36"/>
          <w:szCs w:val="36"/>
          <w:highlight w:val="none"/>
        </w:rPr>
        <w:t>兴赣北延高速路政大队宿舍家电采购项目询价公告</w:t>
      </w:r>
    </w:p>
    <w:p>
      <w:pPr>
        <w:spacing w:line="420" w:lineRule="exact"/>
        <w:rPr>
          <w:rFonts w:hint="eastAsia" w:ascii="宋体" w:hAnsi="宋体"/>
          <w:b/>
          <w:color w:val="auto"/>
          <w:sz w:val="24"/>
          <w:highlight w:val="none"/>
        </w:rPr>
      </w:pP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一、询价条件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兴赣北延高速公路2020年12月底建成通车，兴赣北延高速路政大队现需新购一批宿舍家电</w:t>
      </w:r>
      <w:r>
        <w:rPr>
          <w:rFonts w:ascii="宋体" w:hAnsi="宋体"/>
          <w:color w:val="auto"/>
          <w:sz w:val="24"/>
          <w:highlight w:val="none"/>
        </w:rPr>
        <w:t>，资金来源为自有资金，该项目已具备采购条件，现</w:t>
      </w:r>
      <w:r>
        <w:rPr>
          <w:rFonts w:hint="eastAsia" w:ascii="宋体" w:hAnsi="宋体"/>
          <w:color w:val="auto"/>
          <w:sz w:val="24"/>
          <w:highlight w:val="none"/>
        </w:rPr>
        <w:t>对该项目进行</w:t>
      </w:r>
      <w:r>
        <w:rPr>
          <w:rFonts w:ascii="宋体" w:hAnsi="宋体"/>
          <w:color w:val="auto"/>
          <w:sz w:val="24"/>
          <w:highlight w:val="none"/>
        </w:rPr>
        <w:t>公开询价</w:t>
      </w:r>
      <w:r>
        <w:rPr>
          <w:rFonts w:hint="eastAsia"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本次询价项目名称：兴赣北延高速路政大队宿舍家电采购项目。</w:t>
      </w:r>
      <w:r>
        <w:rPr>
          <w:rFonts w:ascii="宋体" w:hAnsi="宋体"/>
          <w:color w:val="auto"/>
          <w:sz w:val="24"/>
          <w:highlight w:val="none"/>
        </w:rPr>
        <w:t>采购人</w:t>
      </w:r>
      <w:r>
        <w:rPr>
          <w:rFonts w:hint="eastAsia" w:ascii="宋体" w:hAnsi="宋体"/>
          <w:color w:val="auto"/>
          <w:sz w:val="24"/>
          <w:highlight w:val="none"/>
        </w:rPr>
        <w:t>：赣州高速公路有限责任公司,合同签订人为:</w:t>
      </w:r>
      <w:r>
        <w:rPr>
          <w:rFonts w:ascii="宋体" w:hAnsi="宋体"/>
          <w:color w:val="auto"/>
          <w:sz w:val="24"/>
          <w:highlight w:val="none"/>
        </w:rPr>
        <w:t>赣州兴赣北延高速公路有限责任公司。</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采购</w:t>
      </w:r>
      <w:r>
        <w:rPr>
          <w:rFonts w:hint="eastAsia" w:ascii="宋体" w:hAnsi="宋体"/>
          <w:b/>
          <w:color w:val="auto"/>
          <w:sz w:val="24"/>
          <w:highlight w:val="none"/>
        </w:rPr>
        <w:t>内容及要求</w:t>
      </w:r>
    </w:p>
    <w:tbl>
      <w:tblPr>
        <w:tblStyle w:val="3"/>
        <w:tblW w:w="9200" w:type="dxa"/>
        <w:tblInd w:w="93" w:type="dxa"/>
        <w:tblLayout w:type="autofit"/>
        <w:tblCellMar>
          <w:top w:w="0" w:type="dxa"/>
          <w:left w:w="108" w:type="dxa"/>
          <w:bottom w:w="0" w:type="dxa"/>
          <w:right w:w="108" w:type="dxa"/>
        </w:tblCellMar>
      </w:tblPr>
      <w:tblGrid>
        <w:gridCol w:w="700"/>
        <w:gridCol w:w="1660"/>
        <w:gridCol w:w="700"/>
        <w:gridCol w:w="783"/>
        <w:gridCol w:w="5357"/>
      </w:tblGrid>
      <w:tr>
        <w:tblPrEx>
          <w:tblCellMar>
            <w:top w:w="0" w:type="dxa"/>
            <w:left w:w="108" w:type="dxa"/>
            <w:bottom w:w="0" w:type="dxa"/>
            <w:right w:w="108" w:type="dxa"/>
          </w:tblCellMar>
        </w:tblPrEx>
        <w:trPr>
          <w:trHeight w:val="76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序号</w:t>
            </w:r>
          </w:p>
        </w:tc>
        <w:tc>
          <w:tcPr>
            <w:tcW w:w="16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hint="eastAsia" w:ascii="宋体" w:hAnsi="宋体"/>
                <w:bCs/>
                <w:color w:val="auto"/>
                <w:kern w:val="0"/>
                <w:sz w:val="22"/>
                <w:highlight w:val="none"/>
              </w:rPr>
              <w:t>物品名称</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bCs/>
                <w:color w:val="auto"/>
                <w:kern w:val="0"/>
                <w:sz w:val="22"/>
                <w:highlight w:val="none"/>
              </w:rPr>
              <w:t>单位</w:t>
            </w:r>
          </w:p>
        </w:tc>
        <w:tc>
          <w:tcPr>
            <w:tcW w:w="7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ascii="宋体" w:hAnsi="宋体"/>
                <w:bCs/>
                <w:color w:val="auto"/>
                <w:kern w:val="0"/>
                <w:sz w:val="22"/>
                <w:highlight w:val="none"/>
              </w:rPr>
              <w:t>数量</w:t>
            </w:r>
          </w:p>
        </w:tc>
        <w:tc>
          <w:tcPr>
            <w:tcW w:w="535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olor w:val="auto"/>
                <w:kern w:val="0"/>
                <w:sz w:val="22"/>
                <w:szCs w:val="22"/>
                <w:highlight w:val="none"/>
              </w:rPr>
            </w:pPr>
            <w:r>
              <w:rPr>
                <w:rFonts w:ascii="宋体" w:hAnsi="宋体"/>
                <w:bCs/>
                <w:color w:val="auto"/>
                <w:kern w:val="0"/>
                <w:sz w:val="22"/>
                <w:highlight w:val="none"/>
              </w:rPr>
              <w:t>备  注</w:t>
            </w:r>
          </w:p>
        </w:tc>
      </w:tr>
      <w:tr>
        <w:tblPrEx>
          <w:tblCellMar>
            <w:top w:w="0" w:type="dxa"/>
            <w:left w:w="108" w:type="dxa"/>
            <w:bottom w:w="0" w:type="dxa"/>
            <w:right w:w="108" w:type="dxa"/>
          </w:tblCellMar>
        </w:tblPrEx>
        <w:trPr>
          <w:trHeight w:val="234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w:t>
            </w:r>
          </w:p>
        </w:tc>
        <w:tc>
          <w:tcPr>
            <w:tcW w:w="16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43</w:t>
            </w:r>
            <w:r>
              <w:rPr>
                <w:rFonts w:hint="eastAsia" w:ascii="宋体" w:hAnsi="宋体"/>
                <w:color w:val="auto"/>
                <w:kern w:val="0"/>
                <w:sz w:val="22"/>
                <w:szCs w:val="22"/>
                <w:highlight w:val="none"/>
              </w:rPr>
              <w:t>寸液晶电视</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18</w:t>
            </w:r>
          </w:p>
        </w:tc>
        <w:tc>
          <w:tcPr>
            <w:tcW w:w="535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产品类型：人工智能电视；屏幕尺寸：</w:t>
            </w:r>
            <w:r>
              <w:rPr>
                <w:color w:val="auto"/>
                <w:kern w:val="0"/>
                <w:sz w:val="22"/>
                <w:szCs w:val="22"/>
                <w:highlight w:val="none"/>
              </w:rPr>
              <w:t>43</w:t>
            </w:r>
            <w:r>
              <w:rPr>
                <w:rFonts w:hint="eastAsia" w:ascii="宋体" w:hAnsi="宋体"/>
                <w:color w:val="auto"/>
                <w:kern w:val="0"/>
                <w:sz w:val="22"/>
                <w:szCs w:val="22"/>
                <w:highlight w:val="none"/>
              </w:rPr>
              <w:t>英寸；核心参数：双核心</w:t>
            </w:r>
            <w:r>
              <w:rPr>
                <w:color w:val="auto"/>
                <w:kern w:val="0"/>
                <w:sz w:val="22"/>
                <w:szCs w:val="22"/>
                <w:highlight w:val="none"/>
              </w:rPr>
              <w:t>CPU</w:t>
            </w:r>
            <w:r>
              <w:rPr>
                <w:rFonts w:hint="eastAsia" w:ascii="宋体" w:hAnsi="宋体"/>
                <w:color w:val="auto"/>
                <w:kern w:val="0"/>
                <w:sz w:val="22"/>
                <w:szCs w:val="22"/>
                <w:highlight w:val="none"/>
              </w:rPr>
              <w:t>，运行内存</w:t>
            </w:r>
            <w:r>
              <w:rPr>
                <w:color w:val="auto"/>
                <w:kern w:val="0"/>
                <w:sz w:val="22"/>
                <w:szCs w:val="22"/>
                <w:highlight w:val="none"/>
              </w:rPr>
              <w:t xml:space="preserve"> 1GB</w:t>
            </w:r>
            <w:r>
              <w:rPr>
                <w:rFonts w:hint="eastAsia" w:ascii="宋体" w:hAnsi="宋体"/>
                <w:color w:val="auto"/>
                <w:kern w:val="0"/>
                <w:sz w:val="22"/>
                <w:szCs w:val="22"/>
                <w:highlight w:val="none"/>
              </w:rPr>
              <w:t>；</w:t>
            </w:r>
            <w:r>
              <w:rPr>
                <w:color w:val="auto"/>
                <w:kern w:val="0"/>
                <w:sz w:val="22"/>
                <w:szCs w:val="22"/>
                <w:highlight w:val="none"/>
              </w:rPr>
              <w:t>CPU</w:t>
            </w:r>
            <w:r>
              <w:rPr>
                <w:rFonts w:hint="eastAsia" w:ascii="宋体" w:hAnsi="宋体"/>
                <w:color w:val="auto"/>
                <w:kern w:val="0"/>
                <w:sz w:val="22"/>
                <w:szCs w:val="22"/>
                <w:highlight w:val="none"/>
              </w:rPr>
              <w:t>：</w:t>
            </w:r>
            <w:r>
              <w:rPr>
                <w:color w:val="auto"/>
                <w:kern w:val="0"/>
                <w:sz w:val="22"/>
                <w:szCs w:val="22"/>
                <w:highlight w:val="none"/>
              </w:rPr>
              <w:t xml:space="preserve">Cortex A53 </w:t>
            </w:r>
            <w:r>
              <w:rPr>
                <w:rFonts w:hint="eastAsia" w:ascii="宋体" w:hAnsi="宋体"/>
                <w:color w:val="auto"/>
                <w:kern w:val="0"/>
                <w:sz w:val="22"/>
                <w:szCs w:val="22"/>
                <w:highlight w:val="none"/>
              </w:rPr>
              <w:t>双核；存储内存：</w:t>
            </w:r>
            <w:r>
              <w:rPr>
                <w:color w:val="auto"/>
                <w:kern w:val="0"/>
                <w:sz w:val="22"/>
                <w:szCs w:val="22"/>
                <w:highlight w:val="none"/>
              </w:rPr>
              <w:t>8GB</w:t>
            </w:r>
            <w:r>
              <w:rPr>
                <w:rFonts w:hint="eastAsia" w:ascii="宋体" w:hAnsi="宋体"/>
                <w:color w:val="auto"/>
                <w:kern w:val="0"/>
                <w:sz w:val="22"/>
                <w:szCs w:val="22"/>
                <w:highlight w:val="none"/>
              </w:rPr>
              <w:t>；安装孔距</w:t>
            </w:r>
            <w:r>
              <w:rPr>
                <w:color w:val="auto"/>
                <w:kern w:val="0"/>
                <w:sz w:val="22"/>
                <w:szCs w:val="22"/>
                <w:highlight w:val="none"/>
              </w:rPr>
              <w:t xml:space="preserve"> 200*150mm </w:t>
            </w:r>
            <w:r>
              <w:rPr>
                <w:rFonts w:hint="eastAsia" w:ascii="宋体" w:hAnsi="宋体"/>
                <w:color w:val="auto"/>
                <w:kern w:val="0"/>
                <w:sz w:val="22"/>
                <w:szCs w:val="22"/>
                <w:highlight w:val="none"/>
              </w:rPr>
              <w:t>；端口参数</w:t>
            </w:r>
            <w:r>
              <w:rPr>
                <w:color w:val="auto"/>
                <w:kern w:val="0"/>
                <w:sz w:val="22"/>
                <w:szCs w:val="22"/>
                <w:highlight w:val="none"/>
              </w:rPr>
              <w:t xml:space="preserve"> USB2.0</w:t>
            </w:r>
            <w:r>
              <w:rPr>
                <w:rFonts w:hint="eastAsia" w:ascii="宋体" w:hAnsi="宋体"/>
                <w:color w:val="auto"/>
                <w:kern w:val="0"/>
                <w:sz w:val="22"/>
                <w:szCs w:val="22"/>
                <w:highlight w:val="none"/>
              </w:rPr>
              <w:t>接口</w:t>
            </w:r>
            <w:r>
              <w:rPr>
                <w:color w:val="auto"/>
                <w:kern w:val="0"/>
                <w:sz w:val="22"/>
                <w:szCs w:val="22"/>
                <w:highlight w:val="none"/>
              </w:rPr>
              <w:t xml:space="preserve">2 </w:t>
            </w:r>
            <w:r>
              <w:rPr>
                <w:rFonts w:hint="eastAsia" w:ascii="宋体" w:hAnsi="宋体"/>
                <w:color w:val="auto"/>
                <w:kern w:val="0"/>
                <w:sz w:val="22"/>
                <w:szCs w:val="22"/>
                <w:highlight w:val="none"/>
              </w:rPr>
              <w:t>、</w:t>
            </w:r>
            <w:r>
              <w:rPr>
                <w:color w:val="auto"/>
                <w:kern w:val="0"/>
                <w:sz w:val="22"/>
                <w:szCs w:val="22"/>
                <w:highlight w:val="none"/>
              </w:rPr>
              <w:t>HDMI1.4</w:t>
            </w:r>
            <w:r>
              <w:rPr>
                <w:rFonts w:hint="eastAsia" w:ascii="宋体" w:hAnsi="宋体"/>
                <w:color w:val="auto"/>
                <w:kern w:val="0"/>
                <w:sz w:val="22"/>
                <w:szCs w:val="22"/>
                <w:highlight w:val="none"/>
              </w:rPr>
              <w:t>接口</w:t>
            </w:r>
            <w:r>
              <w:rPr>
                <w:color w:val="auto"/>
                <w:kern w:val="0"/>
                <w:sz w:val="22"/>
                <w:szCs w:val="22"/>
                <w:highlight w:val="none"/>
              </w:rPr>
              <w:t xml:space="preserve">2 </w:t>
            </w:r>
            <w:r>
              <w:rPr>
                <w:rFonts w:hint="eastAsia" w:ascii="宋体" w:hAnsi="宋体"/>
                <w:color w:val="auto"/>
                <w:kern w:val="0"/>
                <w:sz w:val="22"/>
                <w:szCs w:val="22"/>
                <w:highlight w:val="none"/>
              </w:rPr>
              <w:t>；支持格式（高清）：</w:t>
            </w:r>
            <w:r>
              <w:rPr>
                <w:color w:val="auto"/>
                <w:kern w:val="0"/>
                <w:sz w:val="22"/>
                <w:szCs w:val="22"/>
                <w:highlight w:val="none"/>
              </w:rPr>
              <w:t>1080p</w:t>
            </w:r>
            <w:r>
              <w:rPr>
                <w:rFonts w:hint="eastAsia" w:ascii="宋体" w:hAnsi="宋体"/>
                <w:color w:val="auto"/>
                <w:kern w:val="0"/>
                <w:sz w:val="22"/>
                <w:szCs w:val="22"/>
                <w:highlight w:val="none"/>
              </w:rPr>
              <w:t>；整机功率≥</w:t>
            </w:r>
            <w:r>
              <w:rPr>
                <w:color w:val="auto"/>
                <w:kern w:val="0"/>
                <w:sz w:val="22"/>
                <w:szCs w:val="22"/>
                <w:highlight w:val="none"/>
              </w:rPr>
              <w:t>70W</w:t>
            </w:r>
            <w:r>
              <w:rPr>
                <w:rFonts w:hint="eastAsia" w:ascii="宋体" w:hAnsi="宋体"/>
                <w:color w:val="auto"/>
                <w:kern w:val="0"/>
                <w:sz w:val="22"/>
                <w:szCs w:val="22"/>
                <w:highlight w:val="none"/>
              </w:rPr>
              <w:t>，待机功率小于</w:t>
            </w:r>
            <w:r>
              <w:rPr>
                <w:color w:val="auto"/>
                <w:kern w:val="0"/>
                <w:sz w:val="22"/>
                <w:szCs w:val="22"/>
                <w:highlight w:val="none"/>
              </w:rPr>
              <w:t>0.5W</w:t>
            </w:r>
            <w:r>
              <w:rPr>
                <w:rFonts w:hint="eastAsia" w:ascii="宋体" w:hAnsi="宋体"/>
                <w:color w:val="auto"/>
                <w:kern w:val="0"/>
                <w:sz w:val="22"/>
                <w:szCs w:val="22"/>
                <w:highlight w:val="none"/>
              </w:rPr>
              <w:t>；能效等级：</w:t>
            </w:r>
            <w:r>
              <w:rPr>
                <w:color w:val="auto"/>
                <w:kern w:val="0"/>
                <w:sz w:val="22"/>
                <w:szCs w:val="22"/>
                <w:highlight w:val="none"/>
              </w:rPr>
              <w:t xml:space="preserve"> </w:t>
            </w:r>
            <w:r>
              <w:rPr>
                <w:rFonts w:hint="eastAsia" w:ascii="宋体" w:hAnsi="宋体"/>
                <w:color w:val="auto"/>
                <w:kern w:val="0"/>
                <w:sz w:val="22"/>
                <w:szCs w:val="22"/>
                <w:highlight w:val="none"/>
              </w:rPr>
              <w:t>三级能效；产品颜色：黑色；背光方式：直下式；刷屏率：</w:t>
            </w:r>
            <w:r>
              <w:rPr>
                <w:color w:val="auto"/>
                <w:kern w:val="0"/>
                <w:sz w:val="22"/>
                <w:szCs w:val="22"/>
                <w:highlight w:val="none"/>
              </w:rPr>
              <w:t>60HZ</w:t>
            </w:r>
            <w:r>
              <w:rPr>
                <w:rFonts w:hint="eastAsia" w:ascii="宋体" w:hAnsi="宋体"/>
                <w:color w:val="auto"/>
                <w:kern w:val="0"/>
                <w:sz w:val="22"/>
                <w:szCs w:val="22"/>
                <w:highlight w:val="none"/>
              </w:rPr>
              <w:t>；包含壁挂支架，免费安装。</w:t>
            </w:r>
          </w:p>
        </w:tc>
      </w:tr>
      <w:tr>
        <w:tblPrEx>
          <w:tblCellMar>
            <w:top w:w="0" w:type="dxa"/>
            <w:left w:w="108" w:type="dxa"/>
            <w:bottom w:w="0" w:type="dxa"/>
            <w:right w:w="108" w:type="dxa"/>
          </w:tblCellMar>
        </w:tblPrEx>
        <w:trPr>
          <w:trHeight w:val="4080" w:hRule="atLeast"/>
        </w:trPr>
        <w:tc>
          <w:tcPr>
            <w:tcW w:w="70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2</w:t>
            </w:r>
          </w:p>
        </w:tc>
        <w:tc>
          <w:tcPr>
            <w:tcW w:w="1660"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65</w:t>
            </w:r>
            <w:r>
              <w:rPr>
                <w:rFonts w:hint="eastAsia" w:ascii="宋体" w:hAnsi="宋体"/>
                <w:color w:val="auto"/>
                <w:kern w:val="0"/>
                <w:sz w:val="22"/>
                <w:szCs w:val="22"/>
                <w:highlight w:val="none"/>
              </w:rPr>
              <w:t>寸液晶电视</w:t>
            </w:r>
          </w:p>
        </w:tc>
        <w:tc>
          <w:tcPr>
            <w:tcW w:w="70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nil"/>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5357" w:type="dxa"/>
            <w:tcBorders>
              <w:top w:val="nil"/>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产品类型：人工智能电视；屏幕尺寸</w:t>
            </w:r>
            <w:r>
              <w:rPr>
                <w:color w:val="auto"/>
                <w:kern w:val="0"/>
                <w:sz w:val="22"/>
                <w:szCs w:val="22"/>
                <w:highlight w:val="none"/>
              </w:rPr>
              <w:t xml:space="preserve"> 65</w:t>
            </w:r>
            <w:r>
              <w:rPr>
                <w:rFonts w:hint="eastAsia" w:ascii="宋体" w:hAnsi="宋体"/>
                <w:color w:val="auto"/>
                <w:kern w:val="0"/>
                <w:sz w:val="22"/>
                <w:szCs w:val="22"/>
                <w:highlight w:val="none"/>
              </w:rPr>
              <w:t>英寸；屏幕分辨率：超高清</w:t>
            </w:r>
            <w:r>
              <w:rPr>
                <w:color w:val="auto"/>
                <w:kern w:val="0"/>
                <w:sz w:val="22"/>
                <w:szCs w:val="22"/>
                <w:highlight w:val="none"/>
              </w:rPr>
              <w:t>4K</w:t>
            </w:r>
            <w:r>
              <w:rPr>
                <w:rFonts w:hint="eastAsia" w:ascii="宋体" w:hAnsi="宋体"/>
                <w:color w:val="auto"/>
                <w:kern w:val="0"/>
                <w:sz w:val="22"/>
                <w:szCs w:val="22"/>
                <w:highlight w:val="none"/>
              </w:rPr>
              <w:t>；背光源：</w:t>
            </w:r>
            <w:r>
              <w:rPr>
                <w:color w:val="auto"/>
                <w:kern w:val="0"/>
                <w:sz w:val="22"/>
                <w:szCs w:val="22"/>
                <w:highlight w:val="none"/>
              </w:rPr>
              <w:t xml:space="preserve">LED </w:t>
            </w:r>
            <w:r>
              <w:rPr>
                <w:rFonts w:hint="eastAsia" w:ascii="宋体" w:hAnsi="宋体"/>
                <w:color w:val="auto"/>
                <w:kern w:val="0"/>
                <w:sz w:val="22"/>
                <w:szCs w:val="22"/>
                <w:highlight w:val="none"/>
              </w:rPr>
              <w:t>；支持语音控制、语音输入、蓝牙遥控；</w:t>
            </w:r>
            <w:r>
              <w:rPr>
                <w:color w:val="auto"/>
                <w:kern w:val="0"/>
                <w:sz w:val="22"/>
                <w:szCs w:val="22"/>
                <w:highlight w:val="none"/>
              </w:rPr>
              <w:t>CPU</w:t>
            </w:r>
            <w:r>
              <w:rPr>
                <w:rFonts w:hint="eastAsia" w:ascii="宋体" w:hAnsi="宋体"/>
                <w:color w:val="auto"/>
                <w:kern w:val="0"/>
                <w:sz w:val="22"/>
                <w:szCs w:val="22"/>
                <w:highlight w:val="none"/>
              </w:rPr>
              <w:t>核数：四核心，运行内存</w:t>
            </w:r>
            <w:r>
              <w:rPr>
                <w:color w:val="auto"/>
                <w:kern w:val="0"/>
                <w:sz w:val="22"/>
                <w:szCs w:val="22"/>
                <w:highlight w:val="none"/>
              </w:rPr>
              <w:t>2GB</w:t>
            </w:r>
            <w:r>
              <w:rPr>
                <w:rFonts w:hint="eastAsia" w:ascii="宋体" w:hAnsi="宋体"/>
                <w:color w:val="auto"/>
                <w:kern w:val="0"/>
                <w:sz w:val="22"/>
                <w:szCs w:val="22"/>
                <w:highlight w:val="none"/>
              </w:rPr>
              <w:t>，操作系统</w:t>
            </w:r>
            <w:r>
              <w:rPr>
                <w:color w:val="auto"/>
                <w:kern w:val="0"/>
                <w:sz w:val="22"/>
                <w:szCs w:val="22"/>
                <w:highlight w:val="none"/>
              </w:rPr>
              <w:t>Patch Wall</w:t>
            </w:r>
            <w:r>
              <w:rPr>
                <w:rFonts w:hint="eastAsia" w:ascii="宋体" w:hAnsi="宋体"/>
                <w:color w:val="auto"/>
                <w:kern w:val="0"/>
                <w:sz w:val="22"/>
                <w:szCs w:val="22"/>
                <w:highlight w:val="none"/>
              </w:rPr>
              <w:t>人工智能系统，</w:t>
            </w:r>
            <w:r>
              <w:rPr>
                <w:color w:val="auto"/>
                <w:kern w:val="0"/>
                <w:sz w:val="22"/>
                <w:szCs w:val="22"/>
                <w:highlight w:val="none"/>
              </w:rPr>
              <w:t>CPU Cortex A55</w:t>
            </w:r>
            <w:r>
              <w:rPr>
                <w:rFonts w:hint="eastAsia" w:ascii="宋体" w:hAnsi="宋体"/>
                <w:color w:val="auto"/>
                <w:kern w:val="0"/>
                <w:sz w:val="22"/>
                <w:szCs w:val="22"/>
                <w:highlight w:val="none"/>
              </w:rPr>
              <w:t>，存储内存</w:t>
            </w:r>
            <w:r>
              <w:rPr>
                <w:color w:val="auto"/>
                <w:kern w:val="0"/>
                <w:sz w:val="22"/>
                <w:szCs w:val="22"/>
                <w:highlight w:val="none"/>
              </w:rPr>
              <w:t>32GB</w:t>
            </w:r>
            <w:r>
              <w:rPr>
                <w:rFonts w:hint="eastAsia" w:ascii="宋体" w:hAnsi="宋体"/>
                <w:color w:val="auto"/>
                <w:kern w:val="0"/>
                <w:sz w:val="22"/>
                <w:szCs w:val="22"/>
                <w:highlight w:val="none"/>
              </w:rPr>
              <w:t>；铝合金底座、窄边框；端口：</w:t>
            </w:r>
            <w:r>
              <w:rPr>
                <w:color w:val="auto"/>
                <w:kern w:val="0"/>
                <w:sz w:val="22"/>
                <w:szCs w:val="22"/>
                <w:highlight w:val="none"/>
              </w:rPr>
              <w:t>RF</w:t>
            </w:r>
            <w:r>
              <w:rPr>
                <w:rFonts w:hint="eastAsia" w:ascii="宋体" w:hAnsi="宋体"/>
                <w:color w:val="auto"/>
                <w:kern w:val="0"/>
                <w:sz w:val="22"/>
                <w:szCs w:val="22"/>
                <w:highlight w:val="none"/>
              </w:rPr>
              <w:t>接口、</w:t>
            </w:r>
            <w:r>
              <w:rPr>
                <w:color w:val="auto"/>
                <w:kern w:val="0"/>
                <w:sz w:val="22"/>
                <w:szCs w:val="22"/>
                <w:highlight w:val="none"/>
              </w:rPr>
              <w:t>USB2.0</w:t>
            </w:r>
            <w:r>
              <w:rPr>
                <w:rFonts w:hint="eastAsia" w:ascii="宋体" w:hAnsi="宋体"/>
                <w:color w:val="auto"/>
                <w:kern w:val="0"/>
                <w:sz w:val="22"/>
                <w:szCs w:val="22"/>
                <w:highlight w:val="none"/>
              </w:rPr>
              <w:t>接口</w:t>
            </w:r>
            <w:r>
              <w:rPr>
                <w:color w:val="auto"/>
                <w:kern w:val="0"/>
                <w:sz w:val="22"/>
                <w:szCs w:val="22"/>
                <w:highlight w:val="none"/>
              </w:rPr>
              <w:t>2</w:t>
            </w:r>
            <w:r>
              <w:rPr>
                <w:rFonts w:hint="eastAsia" w:ascii="宋体" w:hAnsi="宋体"/>
                <w:color w:val="auto"/>
                <w:kern w:val="0"/>
                <w:sz w:val="22"/>
                <w:szCs w:val="22"/>
                <w:highlight w:val="none"/>
              </w:rPr>
              <w:t>个、光纤音频输出、</w:t>
            </w:r>
            <w:r>
              <w:rPr>
                <w:color w:val="auto"/>
                <w:kern w:val="0"/>
                <w:sz w:val="22"/>
                <w:szCs w:val="22"/>
                <w:highlight w:val="none"/>
              </w:rPr>
              <w:t>HDMI2.0</w:t>
            </w:r>
            <w:r>
              <w:rPr>
                <w:rFonts w:hint="eastAsia" w:ascii="宋体" w:hAnsi="宋体"/>
                <w:color w:val="auto"/>
                <w:kern w:val="0"/>
                <w:sz w:val="22"/>
                <w:szCs w:val="22"/>
                <w:highlight w:val="none"/>
              </w:rPr>
              <w:t>接口</w:t>
            </w:r>
            <w:r>
              <w:rPr>
                <w:color w:val="auto"/>
                <w:kern w:val="0"/>
                <w:sz w:val="22"/>
                <w:szCs w:val="22"/>
                <w:highlight w:val="none"/>
              </w:rPr>
              <w:t>3</w:t>
            </w:r>
            <w:r>
              <w:rPr>
                <w:rFonts w:hint="eastAsia" w:ascii="宋体" w:hAnsi="宋体"/>
                <w:color w:val="auto"/>
                <w:kern w:val="0"/>
                <w:sz w:val="22"/>
                <w:szCs w:val="22"/>
                <w:highlight w:val="none"/>
              </w:rPr>
              <w:t>个、</w:t>
            </w:r>
            <w:r>
              <w:rPr>
                <w:color w:val="auto"/>
                <w:kern w:val="0"/>
                <w:sz w:val="22"/>
                <w:szCs w:val="22"/>
                <w:highlight w:val="none"/>
              </w:rPr>
              <w:t>RBG</w:t>
            </w:r>
            <w:r>
              <w:rPr>
                <w:rFonts w:hint="eastAsia" w:ascii="宋体" w:hAnsi="宋体"/>
                <w:color w:val="auto"/>
                <w:kern w:val="0"/>
                <w:sz w:val="22"/>
                <w:szCs w:val="22"/>
                <w:highlight w:val="none"/>
              </w:rPr>
              <w:t>接口；网络参数：支持有线</w:t>
            </w:r>
            <w:r>
              <w:rPr>
                <w:color w:val="auto"/>
                <w:kern w:val="0"/>
                <w:sz w:val="22"/>
                <w:szCs w:val="22"/>
                <w:highlight w:val="none"/>
              </w:rPr>
              <w:t>&amp;</w:t>
            </w:r>
            <w:r>
              <w:rPr>
                <w:rFonts w:hint="eastAsia" w:ascii="宋体" w:hAnsi="宋体"/>
                <w:color w:val="auto"/>
                <w:kern w:val="0"/>
                <w:sz w:val="22"/>
                <w:szCs w:val="22"/>
                <w:highlight w:val="none"/>
              </w:rPr>
              <w:t>无线；单屏尺寸</w:t>
            </w:r>
            <w:r>
              <w:rPr>
                <w:color w:val="auto"/>
                <w:kern w:val="0"/>
                <w:sz w:val="22"/>
                <w:szCs w:val="22"/>
                <w:highlight w:val="none"/>
              </w:rPr>
              <w:t xml:space="preserve">1449.6*835.6*67.3 </w:t>
            </w:r>
            <w:r>
              <w:rPr>
                <w:rFonts w:hint="eastAsia" w:ascii="宋体" w:hAnsi="宋体"/>
                <w:color w:val="auto"/>
                <w:kern w:val="0"/>
                <w:sz w:val="22"/>
                <w:szCs w:val="22"/>
                <w:highlight w:val="none"/>
              </w:rPr>
              <w:t>；电源功率</w:t>
            </w:r>
            <w:r>
              <w:rPr>
                <w:color w:val="auto"/>
                <w:kern w:val="0"/>
                <w:sz w:val="22"/>
                <w:szCs w:val="22"/>
                <w:highlight w:val="none"/>
              </w:rPr>
              <w:t>190 w</w:t>
            </w:r>
            <w:r>
              <w:rPr>
                <w:rFonts w:hint="eastAsia" w:ascii="宋体" w:hAnsi="宋体"/>
                <w:color w:val="auto"/>
                <w:kern w:val="0"/>
                <w:sz w:val="22"/>
                <w:szCs w:val="22"/>
                <w:highlight w:val="none"/>
              </w:rPr>
              <w:t>；待机功率≤</w:t>
            </w:r>
            <w:r>
              <w:rPr>
                <w:color w:val="auto"/>
                <w:kern w:val="0"/>
                <w:sz w:val="22"/>
                <w:szCs w:val="22"/>
                <w:highlight w:val="none"/>
              </w:rPr>
              <w:t>0.50W</w:t>
            </w:r>
            <w:r>
              <w:rPr>
                <w:rFonts w:hint="eastAsia" w:ascii="宋体" w:hAnsi="宋体"/>
                <w:color w:val="auto"/>
                <w:kern w:val="0"/>
                <w:sz w:val="22"/>
                <w:szCs w:val="22"/>
                <w:highlight w:val="none"/>
              </w:rPr>
              <w:t>；屏显参数：亮度</w:t>
            </w:r>
            <w:r>
              <w:rPr>
                <w:color w:val="auto"/>
                <w:kern w:val="0"/>
                <w:sz w:val="22"/>
                <w:szCs w:val="22"/>
                <w:highlight w:val="none"/>
              </w:rPr>
              <w:t xml:space="preserve"> 600-1000nits</w:t>
            </w:r>
            <w:r>
              <w:rPr>
                <w:rFonts w:hint="eastAsia" w:ascii="宋体" w:hAnsi="宋体"/>
                <w:color w:val="auto"/>
                <w:kern w:val="0"/>
                <w:sz w:val="22"/>
                <w:szCs w:val="22"/>
                <w:highlight w:val="none"/>
              </w:rPr>
              <w:t>、标称对比度</w:t>
            </w:r>
            <w:r>
              <w:rPr>
                <w:color w:val="auto"/>
                <w:kern w:val="0"/>
                <w:sz w:val="22"/>
                <w:szCs w:val="22"/>
                <w:highlight w:val="none"/>
              </w:rPr>
              <w:t xml:space="preserve"> 4000:1</w:t>
            </w:r>
            <w:r>
              <w:rPr>
                <w:rFonts w:hint="eastAsia" w:ascii="宋体" w:hAnsi="宋体"/>
                <w:color w:val="auto"/>
                <w:kern w:val="0"/>
                <w:sz w:val="22"/>
                <w:szCs w:val="22"/>
                <w:highlight w:val="none"/>
              </w:rPr>
              <w:t>、支持格式（高清）：</w:t>
            </w:r>
            <w:r>
              <w:rPr>
                <w:color w:val="auto"/>
                <w:kern w:val="0"/>
                <w:sz w:val="22"/>
                <w:szCs w:val="22"/>
                <w:highlight w:val="none"/>
              </w:rPr>
              <w:t xml:space="preserve">2160p </w:t>
            </w:r>
            <w:r>
              <w:rPr>
                <w:rFonts w:hint="eastAsia" w:ascii="宋体" w:hAnsi="宋体"/>
                <w:color w:val="auto"/>
                <w:kern w:val="0"/>
                <w:sz w:val="22"/>
                <w:szCs w:val="22"/>
                <w:highlight w:val="none"/>
              </w:rPr>
              <w:t>；产品颜色：灰色；能效等级：二级能效；音频参数：扬声器</w:t>
            </w:r>
            <w:r>
              <w:rPr>
                <w:color w:val="auto"/>
                <w:kern w:val="0"/>
                <w:sz w:val="22"/>
                <w:szCs w:val="22"/>
                <w:highlight w:val="none"/>
              </w:rPr>
              <w:t>2</w:t>
            </w:r>
            <w:r>
              <w:rPr>
                <w:rFonts w:hint="eastAsia" w:ascii="宋体" w:hAnsi="宋体"/>
                <w:color w:val="auto"/>
                <w:kern w:val="0"/>
                <w:sz w:val="22"/>
                <w:szCs w:val="22"/>
                <w:highlight w:val="none"/>
              </w:rPr>
              <w:t>个、杜比</w:t>
            </w:r>
            <w:r>
              <w:rPr>
                <w:color w:val="auto"/>
                <w:kern w:val="0"/>
                <w:sz w:val="22"/>
                <w:szCs w:val="22"/>
                <w:highlight w:val="none"/>
              </w:rPr>
              <w:t>DTS-HD</w:t>
            </w:r>
            <w:r>
              <w:rPr>
                <w:rFonts w:hint="eastAsia" w:ascii="宋体" w:hAnsi="宋体"/>
                <w:color w:val="auto"/>
                <w:kern w:val="0"/>
                <w:sz w:val="22"/>
                <w:szCs w:val="22"/>
                <w:highlight w:val="none"/>
              </w:rPr>
              <w:t>音频双解码、杜比音效对白增强；包含壁挂支架，免费安装。</w:t>
            </w:r>
          </w:p>
        </w:tc>
      </w:tr>
      <w:tr>
        <w:tblPrEx>
          <w:tblCellMar>
            <w:top w:w="0" w:type="dxa"/>
            <w:left w:w="108" w:type="dxa"/>
            <w:bottom w:w="0" w:type="dxa"/>
            <w:right w:w="108" w:type="dxa"/>
          </w:tblCellMar>
        </w:tblPrEx>
        <w:trPr>
          <w:trHeight w:val="306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3</w:t>
            </w:r>
          </w:p>
        </w:tc>
        <w:tc>
          <w:tcPr>
            <w:tcW w:w="16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color w:val="auto"/>
                <w:kern w:val="0"/>
                <w:sz w:val="22"/>
                <w:szCs w:val="22"/>
                <w:highlight w:val="none"/>
              </w:rPr>
              <w:t>60</w:t>
            </w:r>
            <w:r>
              <w:rPr>
                <w:rFonts w:hint="eastAsia" w:ascii="宋体" w:hAnsi="宋体"/>
                <w:color w:val="auto"/>
                <w:kern w:val="0"/>
                <w:sz w:val="22"/>
                <w:szCs w:val="22"/>
                <w:highlight w:val="none"/>
              </w:rPr>
              <w:t>升电热水器</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color w:val="auto"/>
                <w:kern w:val="0"/>
                <w:sz w:val="22"/>
                <w:szCs w:val="22"/>
                <w:highlight w:val="none"/>
              </w:rPr>
              <w:t>19</w:t>
            </w:r>
          </w:p>
        </w:tc>
        <w:tc>
          <w:tcPr>
            <w:tcW w:w="535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蓄水容量：</w:t>
            </w:r>
            <w:r>
              <w:rPr>
                <w:color w:val="auto"/>
                <w:kern w:val="0"/>
                <w:sz w:val="22"/>
                <w:szCs w:val="22"/>
                <w:highlight w:val="none"/>
              </w:rPr>
              <w:t>60L</w:t>
            </w:r>
            <w:r>
              <w:rPr>
                <w:rFonts w:hint="eastAsia" w:ascii="宋体" w:hAnsi="宋体"/>
                <w:color w:val="auto"/>
                <w:kern w:val="0"/>
                <w:sz w:val="22"/>
                <w:szCs w:val="22"/>
                <w:highlight w:val="none"/>
              </w:rPr>
              <w:t>；水温调节：</w:t>
            </w:r>
            <w:r>
              <w:rPr>
                <w:color w:val="auto"/>
                <w:kern w:val="0"/>
                <w:sz w:val="22"/>
                <w:szCs w:val="22"/>
                <w:highlight w:val="none"/>
              </w:rPr>
              <w:t>30-75</w:t>
            </w:r>
            <w:r>
              <w:rPr>
                <w:rFonts w:hint="eastAsia" w:ascii="宋体" w:hAnsi="宋体"/>
                <w:color w:val="auto"/>
                <w:kern w:val="0"/>
                <w:sz w:val="22"/>
                <w:szCs w:val="22"/>
                <w:highlight w:val="none"/>
              </w:rPr>
              <w:t>℃；能效等级：</w:t>
            </w:r>
            <w:r>
              <w:rPr>
                <w:color w:val="auto"/>
                <w:kern w:val="0"/>
                <w:sz w:val="22"/>
                <w:szCs w:val="22"/>
                <w:highlight w:val="none"/>
              </w:rPr>
              <w:t>3</w:t>
            </w:r>
            <w:r>
              <w:rPr>
                <w:rFonts w:hint="eastAsia" w:ascii="宋体" w:hAnsi="宋体"/>
                <w:color w:val="auto"/>
                <w:kern w:val="0"/>
                <w:sz w:val="22"/>
                <w:szCs w:val="22"/>
                <w:highlight w:val="none"/>
              </w:rPr>
              <w:t>级；额定功率：</w:t>
            </w:r>
            <w:r>
              <w:rPr>
                <w:color w:val="auto"/>
                <w:kern w:val="0"/>
                <w:sz w:val="22"/>
                <w:szCs w:val="22"/>
                <w:highlight w:val="none"/>
              </w:rPr>
              <w:t>1800W</w:t>
            </w:r>
            <w:r>
              <w:rPr>
                <w:rFonts w:hint="eastAsia" w:ascii="宋体" w:hAnsi="宋体"/>
                <w:color w:val="auto"/>
                <w:kern w:val="0"/>
                <w:sz w:val="22"/>
                <w:szCs w:val="22"/>
                <w:highlight w:val="none"/>
              </w:rPr>
              <w:t>；防漏电装置：</w:t>
            </w:r>
            <w:r>
              <w:rPr>
                <w:color w:val="auto"/>
                <w:kern w:val="0"/>
                <w:sz w:val="22"/>
                <w:szCs w:val="22"/>
                <w:highlight w:val="none"/>
              </w:rPr>
              <w:t>PS</w:t>
            </w:r>
            <w:r>
              <w:rPr>
                <w:rFonts w:hint="eastAsia" w:ascii="宋体" w:hAnsi="宋体"/>
                <w:color w:val="auto"/>
                <w:kern w:val="0"/>
                <w:sz w:val="22"/>
                <w:szCs w:val="22"/>
                <w:highlight w:val="none"/>
              </w:rPr>
              <w:t>三级断电开关；安全保护：防干烧保护、高温保护、高压保护；防水等级：</w:t>
            </w:r>
            <w:r>
              <w:rPr>
                <w:color w:val="auto"/>
                <w:kern w:val="0"/>
                <w:sz w:val="22"/>
                <w:szCs w:val="22"/>
                <w:highlight w:val="none"/>
              </w:rPr>
              <w:t>IPx4</w:t>
            </w:r>
            <w:r>
              <w:rPr>
                <w:rFonts w:hint="eastAsia" w:ascii="宋体" w:hAnsi="宋体"/>
                <w:color w:val="auto"/>
                <w:kern w:val="0"/>
                <w:sz w:val="22"/>
                <w:szCs w:val="22"/>
                <w:highlight w:val="none"/>
              </w:rPr>
              <w:t>（防溅型）；外形设计：亚光喷涂外层、</w:t>
            </w:r>
            <w:r>
              <w:rPr>
                <w:color w:val="auto"/>
                <w:kern w:val="0"/>
                <w:sz w:val="22"/>
                <w:szCs w:val="22"/>
                <w:highlight w:val="none"/>
              </w:rPr>
              <w:t>LED</w:t>
            </w:r>
            <w:r>
              <w:rPr>
                <w:rFonts w:hint="eastAsia" w:ascii="宋体" w:hAnsi="宋体"/>
                <w:color w:val="auto"/>
                <w:kern w:val="0"/>
                <w:sz w:val="22"/>
                <w:szCs w:val="22"/>
                <w:highlight w:val="none"/>
              </w:rPr>
              <w:t>数字显示屏；内胆材质：蓝钻内胆；加热体材质：英格莱</w:t>
            </w:r>
            <w:r>
              <w:rPr>
                <w:color w:val="auto"/>
                <w:kern w:val="0"/>
                <w:sz w:val="22"/>
                <w:szCs w:val="22"/>
                <w:highlight w:val="none"/>
              </w:rPr>
              <w:t>316L</w:t>
            </w:r>
            <w:r>
              <w:rPr>
                <w:rFonts w:hint="eastAsia" w:ascii="宋体" w:hAnsi="宋体"/>
                <w:color w:val="auto"/>
                <w:kern w:val="0"/>
                <w:sz w:val="22"/>
                <w:szCs w:val="22"/>
                <w:highlight w:val="none"/>
              </w:rPr>
              <w:t>不锈钢加热管；产品颜色：白色；产品类型：储水式；安装方式：壁挂式；控制方式：旋钮控制；加热方式：双管加热；</w:t>
            </w:r>
            <w:r>
              <w:rPr>
                <w:color w:val="auto"/>
                <w:kern w:val="0"/>
                <w:sz w:val="22"/>
                <w:szCs w:val="22"/>
                <w:highlight w:val="none"/>
              </w:rPr>
              <w:t xml:space="preserve"> </w:t>
            </w:r>
            <w:r>
              <w:rPr>
                <w:rFonts w:hint="eastAsia" w:ascii="宋体" w:hAnsi="宋体"/>
                <w:color w:val="auto"/>
                <w:kern w:val="0"/>
                <w:sz w:val="22"/>
                <w:szCs w:val="22"/>
                <w:highlight w:val="none"/>
              </w:rPr>
              <w:t>产品尺寸</w:t>
            </w:r>
            <w:r>
              <w:rPr>
                <w:color w:val="auto"/>
                <w:kern w:val="0"/>
                <w:sz w:val="22"/>
                <w:szCs w:val="22"/>
                <w:highlight w:val="none"/>
              </w:rPr>
              <w:t>755×562×317mm</w:t>
            </w:r>
            <w:r>
              <w:rPr>
                <w:rFonts w:hint="eastAsia" w:ascii="宋体" w:hAnsi="宋体"/>
                <w:color w:val="auto"/>
                <w:kern w:val="0"/>
                <w:sz w:val="22"/>
                <w:szCs w:val="22"/>
                <w:highlight w:val="none"/>
              </w:rPr>
              <w:t>；其它特点：防水镀膜、断电记忆、活能水循环装置；包含混水阀</w:t>
            </w:r>
            <w:r>
              <w:rPr>
                <w:color w:val="auto"/>
                <w:kern w:val="0"/>
                <w:sz w:val="22"/>
                <w:szCs w:val="22"/>
                <w:highlight w:val="none"/>
              </w:rPr>
              <w:t xml:space="preserve"> </w:t>
            </w:r>
            <w:r>
              <w:rPr>
                <w:rFonts w:hint="eastAsia" w:ascii="宋体" w:hAnsi="宋体"/>
                <w:color w:val="auto"/>
                <w:kern w:val="0"/>
                <w:sz w:val="22"/>
                <w:szCs w:val="22"/>
                <w:highlight w:val="none"/>
              </w:rPr>
              <w:t>、花洒、水管等配件，免费安装。</w:t>
            </w:r>
          </w:p>
        </w:tc>
      </w:tr>
      <w:tr>
        <w:tblPrEx>
          <w:tblCellMar>
            <w:top w:w="0" w:type="dxa"/>
            <w:left w:w="108" w:type="dxa"/>
            <w:bottom w:w="0" w:type="dxa"/>
            <w:right w:w="108" w:type="dxa"/>
          </w:tblCellMar>
        </w:tblPrEx>
        <w:trPr>
          <w:trHeight w:val="1125"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hint="eastAsia"/>
                <w:color w:val="auto"/>
                <w:kern w:val="0"/>
                <w:sz w:val="22"/>
                <w:szCs w:val="22"/>
                <w:highlight w:val="none"/>
              </w:rPr>
              <w:t>4</w:t>
            </w:r>
          </w:p>
        </w:tc>
        <w:tc>
          <w:tcPr>
            <w:tcW w:w="166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color w:val="auto"/>
                <w:kern w:val="0"/>
                <w:sz w:val="22"/>
                <w:szCs w:val="22"/>
                <w:highlight w:val="none"/>
              </w:rPr>
            </w:pPr>
            <w:r>
              <w:rPr>
                <w:rFonts w:hint="eastAsia" w:ascii="宋体" w:hAnsi="宋体"/>
                <w:color w:val="auto"/>
                <w:kern w:val="0"/>
                <w:sz w:val="22"/>
                <w:szCs w:val="22"/>
                <w:highlight w:val="none"/>
              </w:rPr>
              <w:t>10公斤洗衣机</w:t>
            </w:r>
          </w:p>
        </w:tc>
        <w:tc>
          <w:tcPr>
            <w:tcW w:w="70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w:t>
            </w:r>
          </w:p>
        </w:tc>
        <w:tc>
          <w:tcPr>
            <w:tcW w:w="783"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color w:val="auto"/>
                <w:kern w:val="0"/>
                <w:sz w:val="22"/>
                <w:szCs w:val="22"/>
                <w:highlight w:val="none"/>
              </w:rPr>
            </w:pPr>
            <w:r>
              <w:rPr>
                <w:rFonts w:hint="eastAsia"/>
                <w:color w:val="auto"/>
                <w:kern w:val="0"/>
                <w:sz w:val="22"/>
                <w:szCs w:val="22"/>
                <w:highlight w:val="none"/>
              </w:rPr>
              <w:t>10</w:t>
            </w:r>
          </w:p>
        </w:tc>
        <w:tc>
          <w:tcPr>
            <w:tcW w:w="535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rPr>
              <w:t>品牌10公斤变频 滚筒洗衣机 全自动 手机智能控制 除菌 延保服务 洗涤容量：10-20kg 能效等级：一级能效 电机类型：变频（节能）深度：55.1-60cm</w:t>
            </w:r>
            <w:r>
              <w:rPr>
                <w:rFonts w:hint="eastAsia" w:ascii="宋体" w:hAnsi="宋体"/>
                <w:color w:val="auto"/>
                <w:kern w:val="0"/>
                <w:sz w:val="22"/>
                <w:szCs w:val="22"/>
                <w:highlight w:val="none"/>
                <w:lang w:eastAsia="zh-CN"/>
              </w:rPr>
              <w:t>。</w:t>
            </w:r>
          </w:p>
        </w:tc>
      </w:tr>
    </w:tbl>
    <w:p>
      <w:pPr>
        <w:spacing w:line="420" w:lineRule="exact"/>
        <w:ind w:firstLine="480" w:firstLineChars="200"/>
        <w:rPr>
          <w:rFonts w:hint="eastAsia" w:ascii="宋体" w:hAnsi="宋体"/>
          <w:color w:val="auto"/>
          <w:highlight w:val="none"/>
        </w:rPr>
      </w:pPr>
      <w:r>
        <w:rPr>
          <w:rFonts w:hint="eastAsia" w:ascii="宋体" w:hAnsi="宋体"/>
          <w:color w:val="auto"/>
          <w:sz w:val="24"/>
          <w:highlight w:val="none"/>
        </w:rPr>
        <w:t>供货地点:兴国县良村镇良村收费站兴赣北延高速路政大队大院。</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供货时间：供应商（报价人）必须在2021年2月</w:t>
      </w:r>
      <w:r>
        <w:rPr>
          <w:rFonts w:hint="eastAsia" w:ascii="宋体" w:hAnsi="宋体"/>
          <w:color w:val="auto"/>
          <w:sz w:val="24"/>
          <w:highlight w:val="none"/>
          <w:lang w:val="en-US" w:eastAsia="zh-CN"/>
        </w:rPr>
        <w:t>4</w:t>
      </w:r>
      <w:r>
        <w:rPr>
          <w:rFonts w:hint="eastAsia" w:ascii="宋体" w:hAnsi="宋体"/>
          <w:color w:val="auto"/>
          <w:sz w:val="24"/>
          <w:highlight w:val="none"/>
        </w:rPr>
        <w:t>日前完成供货及安装。</w:t>
      </w:r>
    </w:p>
    <w:p>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三、本次询价的控制价上限及要求</w:t>
      </w:r>
    </w:p>
    <w:p>
      <w:pPr>
        <w:spacing w:line="480" w:lineRule="exact"/>
        <w:ind w:firstLine="482" w:firstLineChars="200"/>
        <w:rPr>
          <w:rFonts w:hint="eastAsia" w:ascii="宋体" w:hAnsi="宋体"/>
          <w:color w:val="auto"/>
          <w:sz w:val="24"/>
          <w:highlight w:val="none"/>
        </w:rPr>
      </w:pPr>
      <w:r>
        <w:rPr>
          <w:rFonts w:hint="eastAsia" w:ascii="宋体" w:hAnsi="宋体"/>
          <w:b/>
          <w:color w:val="auto"/>
          <w:sz w:val="24"/>
          <w:highlight w:val="none"/>
        </w:rPr>
        <w:t>控制价上限：7.68万元。</w:t>
      </w:r>
      <w:r>
        <w:rPr>
          <w:rFonts w:hint="eastAsia" w:ascii="宋体" w:hAnsi="宋体"/>
          <w:color w:val="auto"/>
          <w:sz w:val="24"/>
          <w:highlight w:val="none"/>
        </w:rPr>
        <w:t>本报价包含材料设备费、运费、安装费、税金、利润等所有内容，采购人不再另行支付其他费用。报价人的报价不得高于本限价，否则视为不响应询价文件，而被采购人拒绝。</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四、费用的支付</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、第</w:t>
      </w:r>
      <w:r>
        <w:rPr>
          <w:rFonts w:ascii="宋体" w:hAnsi="宋体"/>
          <w:color w:val="auto"/>
          <w:sz w:val="24"/>
          <w:highlight w:val="none"/>
        </w:rPr>
        <w:t>1</w:t>
      </w:r>
      <w:r>
        <w:rPr>
          <w:rFonts w:hint="eastAsia" w:ascii="宋体" w:hAnsi="宋体"/>
          <w:color w:val="auto"/>
          <w:sz w:val="24"/>
          <w:highlight w:val="none"/>
        </w:rPr>
        <w:t>期支付：安装完成经验收合格后</w:t>
      </w:r>
      <w:r>
        <w:rPr>
          <w:rFonts w:ascii="宋体" w:hAnsi="宋体"/>
          <w:color w:val="auto"/>
          <w:sz w:val="24"/>
          <w:highlight w:val="none"/>
        </w:rPr>
        <w:t>15</w:t>
      </w:r>
      <w:r>
        <w:rPr>
          <w:rFonts w:hint="eastAsia" w:ascii="宋体" w:hAnsi="宋体"/>
          <w:color w:val="auto"/>
          <w:sz w:val="24"/>
          <w:highlight w:val="none"/>
        </w:rPr>
        <w:t>天内支付合同价的95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、第</w:t>
      </w:r>
      <w:r>
        <w:rPr>
          <w:rFonts w:ascii="宋体" w:hAnsi="宋体"/>
          <w:color w:val="auto"/>
          <w:sz w:val="24"/>
          <w:highlight w:val="none"/>
        </w:rPr>
        <w:t>2</w:t>
      </w:r>
      <w:r>
        <w:rPr>
          <w:rFonts w:hint="eastAsia" w:ascii="宋体" w:hAnsi="宋体"/>
          <w:color w:val="auto"/>
          <w:sz w:val="24"/>
          <w:highlight w:val="none"/>
        </w:rPr>
        <w:t>期支付：质保期一年，期满并经采购人验收合格后</w:t>
      </w:r>
      <w:r>
        <w:rPr>
          <w:rFonts w:ascii="宋体" w:hAnsi="宋体"/>
          <w:color w:val="auto"/>
          <w:sz w:val="24"/>
          <w:highlight w:val="none"/>
        </w:rPr>
        <w:t>15</w:t>
      </w:r>
      <w:r>
        <w:rPr>
          <w:rFonts w:hint="eastAsia" w:ascii="宋体" w:hAnsi="宋体"/>
          <w:color w:val="auto"/>
          <w:sz w:val="24"/>
          <w:highlight w:val="none"/>
        </w:rPr>
        <w:t>天内支付合同价的5</w:t>
      </w:r>
      <w:r>
        <w:rPr>
          <w:rFonts w:ascii="宋体" w:hAnsi="宋体"/>
          <w:color w:val="auto"/>
          <w:sz w:val="24"/>
          <w:highlight w:val="none"/>
        </w:rPr>
        <w:t>%</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五、报价人资格要求</w:t>
      </w:r>
    </w:p>
    <w:p>
      <w:pPr>
        <w:spacing w:line="420" w:lineRule="exact"/>
        <w:ind w:firstLine="480" w:firstLineChars="200"/>
        <w:rPr>
          <w:rFonts w:ascii="宋体" w:hAnsi="宋体"/>
          <w:color w:val="auto"/>
          <w:sz w:val="24"/>
          <w:highlight w:val="none"/>
        </w:rPr>
      </w:pPr>
      <w:r>
        <w:rPr>
          <w:rFonts w:ascii="宋体" w:hAnsi="宋体"/>
          <w:color w:val="auto"/>
          <w:sz w:val="24"/>
          <w:highlight w:val="none"/>
        </w:rPr>
        <w:t>1 资质要求：具有有效的营业执照</w:t>
      </w:r>
      <w:r>
        <w:rPr>
          <w:rFonts w:hint="eastAsia" w:ascii="宋体" w:hAnsi="宋体"/>
          <w:color w:val="auto"/>
          <w:sz w:val="24"/>
          <w:highlight w:val="none"/>
        </w:rPr>
        <w:t>（具有本次采购项目经营范围）</w:t>
      </w:r>
      <w:r>
        <w:rPr>
          <w:rFonts w:ascii="宋体" w:hAnsi="宋体"/>
          <w:color w:val="auto"/>
          <w:sz w:val="24"/>
          <w:highlight w:val="none"/>
        </w:rPr>
        <w:t>。</w:t>
      </w:r>
    </w:p>
    <w:p>
      <w:pPr>
        <w:spacing w:line="420" w:lineRule="exact"/>
        <w:ind w:firstLine="480" w:firstLineChars="200"/>
        <w:rPr>
          <w:rFonts w:hint="eastAsia" w:ascii="宋体" w:hAnsi="宋体"/>
          <w:color w:val="auto"/>
          <w:sz w:val="24"/>
          <w:highlight w:val="none"/>
        </w:rPr>
      </w:pPr>
      <w:r>
        <w:rPr>
          <w:rFonts w:ascii="宋体" w:hAnsi="宋体"/>
          <w:color w:val="auto"/>
          <w:sz w:val="24"/>
          <w:highlight w:val="none"/>
        </w:rPr>
        <w:t>2 业绩要求：近一年内</w:t>
      </w:r>
      <w:r>
        <w:rPr>
          <w:rFonts w:hint="eastAsia" w:ascii="宋体" w:hAnsi="宋体"/>
          <w:color w:val="auto"/>
          <w:sz w:val="24"/>
          <w:highlight w:val="none"/>
        </w:rPr>
        <w:t>（合同签订时间为</w:t>
      </w:r>
      <w:r>
        <w:rPr>
          <w:rFonts w:ascii="宋体" w:hAnsi="宋体"/>
          <w:color w:val="auto"/>
          <w:sz w:val="24"/>
          <w:highlight w:val="none"/>
        </w:rPr>
        <w:t>20</w:t>
      </w:r>
      <w:r>
        <w:rPr>
          <w:rFonts w:hint="eastAsia" w:ascii="宋体" w:hAnsi="宋体"/>
          <w:color w:val="auto"/>
          <w:sz w:val="24"/>
          <w:highlight w:val="none"/>
        </w:rPr>
        <w:t>20</w:t>
      </w:r>
      <w:r>
        <w:rPr>
          <w:rFonts w:ascii="宋体" w:hAnsi="宋体"/>
          <w:color w:val="auto"/>
          <w:sz w:val="24"/>
          <w:highlight w:val="none"/>
        </w:rPr>
        <w:t>年1月1日至2020年1</w:t>
      </w:r>
      <w:r>
        <w:rPr>
          <w:rFonts w:hint="eastAsia" w:ascii="宋体" w:hAnsi="宋体"/>
          <w:color w:val="auto"/>
          <w:sz w:val="24"/>
          <w:highlight w:val="none"/>
        </w:rPr>
        <w:t>2</w:t>
      </w:r>
      <w:r>
        <w:rPr>
          <w:rFonts w:ascii="宋体" w:hAnsi="宋体"/>
          <w:color w:val="auto"/>
          <w:sz w:val="24"/>
          <w:highlight w:val="none"/>
        </w:rPr>
        <w:t>月</w:t>
      </w:r>
      <w:r>
        <w:rPr>
          <w:rFonts w:hint="eastAsia" w:ascii="宋体" w:hAnsi="宋体"/>
          <w:color w:val="auto"/>
          <w:sz w:val="24"/>
          <w:highlight w:val="none"/>
        </w:rPr>
        <w:t>31</w:t>
      </w:r>
      <w:r>
        <w:rPr>
          <w:rFonts w:ascii="宋体" w:hAnsi="宋体"/>
          <w:color w:val="auto"/>
          <w:sz w:val="24"/>
          <w:highlight w:val="none"/>
        </w:rPr>
        <w:t>日</w:t>
      </w:r>
      <w:r>
        <w:rPr>
          <w:rFonts w:hint="eastAsia" w:ascii="宋体" w:hAnsi="宋体"/>
          <w:color w:val="auto"/>
          <w:sz w:val="24"/>
          <w:highlight w:val="none"/>
        </w:rPr>
        <w:t>）至少完成1</w:t>
      </w:r>
      <w:r>
        <w:rPr>
          <w:rFonts w:ascii="宋体" w:hAnsi="宋体"/>
          <w:color w:val="auto"/>
          <w:sz w:val="24"/>
          <w:highlight w:val="none"/>
        </w:rPr>
        <w:t>个</w:t>
      </w:r>
      <w:r>
        <w:rPr>
          <w:rFonts w:hint="eastAsia" w:ascii="宋体" w:hAnsi="宋体"/>
          <w:color w:val="auto"/>
          <w:sz w:val="24"/>
          <w:highlight w:val="none"/>
        </w:rPr>
        <w:t>类似项目（每个项目合同金额不少于5万元）</w:t>
      </w:r>
      <w:r>
        <w:rPr>
          <w:rFonts w:ascii="宋体" w:hAnsi="宋体"/>
          <w:color w:val="auto"/>
          <w:sz w:val="24"/>
          <w:highlight w:val="none"/>
        </w:rPr>
        <w:t>。</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六、报价文件组成</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请各报价人派专人携带身份证原件及报价文件，参加本次竞争性谈判活动，报价文件包括：</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（1）法人代表（持法人代表相关证明复印件）或其授权代理人（持授权书原件）；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（2）经办人身份证复印件；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（3）报价函；</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（4）信誉承诺表；</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（5）单位营业执照复印件；</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业绩证明材料（已签正式合同）</w:t>
      </w:r>
      <w:r>
        <w:rPr>
          <w:rFonts w:hint="eastAsia" w:ascii="宋体" w:hAnsi="宋体"/>
          <w:color w:val="auto"/>
          <w:sz w:val="24"/>
          <w:highlight w:val="none"/>
        </w:rPr>
        <w:t>复印件</w:t>
      </w:r>
      <w:r>
        <w:rPr>
          <w:rFonts w:hint="eastAsia" w:ascii="宋体" w:hAnsi="宋体"/>
          <w:color w:val="auto"/>
          <w:sz w:val="24"/>
          <w:highlight w:val="none"/>
          <w:lang w:eastAsia="zh-CN"/>
        </w:rPr>
        <w:t>。</w:t>
      </w:r>
    </w:p>
    <w:p>
      <w:pPr>
        <w:spacing w:line="420" w:lineRule="exact"/>
        <w:ind w:firstLine="600" w:firstLineChars="250"/>
        <w:rPr>
          <w:rFonts w:hint="eastAsia" w:ascii="宋体" w:hAnsi="宋体"/>
          <w:color w:val="auto"/>
          <w:sz w:val="24"/>
          <w:highlight w:val="none"/>
        </w:rPr>
      </w:pPr>
      <w:r>
        <w:rPr>
          <w:rFonts w:hint="eastAsia" w:ascii="宋体" w:hAnsi="宋体"/>
          <w:color w:val="auto"/>
          <w:sz w:val="24"/>
          <w:highlight w:val="none"/>
        </w:rPr>
        <w:t>以上资料均应逐页加盖单位公章并装订成册（一式两份）、不得活页。</w:t>
      </w:r>
    </w:p>
    <w:p>
      <w:pPr>
        <w:spacing w:line="420" w:lineRule="exact"/>
        <w:ind w:firstLine="482" w:firstLineChars="200"/>
        <w:rPr>
          <w:rFonts w:hint="eastAsia" w:ascii="宋体" w:hAnsi="宋体"/>
          <w:color w:val="auto"/>
          <w:sz w:val="24"/>
          <w:highlight w:val="none"/>
        </w:rPr>
      </w:pPr>
      <w:r>
        <w:rPr>
          <w:rFonts w:hint="eastAsia" w:ascii="宋体" w:hAnsi="宋体"/>
          <w:b/>
          <w:color w:val="auto"/>
          <w:sz w:val="24"/>
          <w:highlight w:val="none"/>
        </w:rPr>
        <w:t>七、公告媒介、采购文件获取时间及方式：</w:t>
      </w:r>
      <w:r>
        <w:rPr>
          <w:rFonts w:hint="eastAsia" w:ascii="宋体" w:hAnsi="宋体"/>
          <w:color w:val="auto"/>
          <w:sz w:val="24"/>
          <w:highlight w:val="none"/>
        </w:rPr>
        <w:t>有意向的报价人请于报价文件的递交截止时间前，</w:t>
      </w:r>
      <w:r>
        <w:rPr>
          <w:rFonts w:ascii="宋体" w:hAnsi="宋体"/>
          <w:color w:val="auto"/>
          <w:sz w:val="24"/>
          <w:highlight w:val="none"/>
        </w:rPr>
        <w:t>自行在赣州交通控股集团有限公司官方网站（http://www.gzjtkgjt.com/）或江西省招标投标网（http://www.jxtb.org.cn/）查阅采购公告，在赣州交通控股集团有限公司官方网站（http://www.gzjtkgjt.com/）下载询价采购文件。</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八、报价文件的密封和标识</w:t>
      </w:r>
    </w:p>
    <w:p>
      <w:pPr>
        <w:spacing w:line="42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rPr>
        <w:t>报价文件应密封包装。封套的封口处加盖报价人单位章或由报价人的法定代表人或其委托代理人签字。</w:t>
      </w:r>
    </w:p>
    <w:p>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九、报价文件的递交及相关事宜：</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报价文件的递交截止时间：2021年1月</w:t>
      </w:r>
      <w:r>
        <w:rPr>
          <w:rFonts w:hint="eastAsia" w:ascii="宋体" w:hAnsi="宋体"/>
          <w:color w:val="auto"/>
          <w:sz w:val="24"/>
          <w:highlight w:val="none"/>
          <w:lang w:val="en-US" w:eastAsia="zh-CN"/>
        </w:rPr>
        <w:t>19</w:t>
      </w:r>
      <w:r>
        <w:rPr>
          <w:rFonts w:hint="eastAsia" w:ascii="宋体" w:hAnsi="宋体"/>
          <w:color w:val="auto"/>
          <w:sz w:val="24"/>
          <w:highlight w:val="none"/>
        </w:rPr>
        <w:t>日11：00，递交地址：赣州市章贡区沙河镇赣州东收费站出口旁赣州交通控股集团有限公司</w:t>
      </w:r>
      <w:r>
        <w:rPr>
          <w:rFonts w:hint="eastAsia" w:ascii="宋体" w:hAnsi="宋体"/>
          <w:color w:val="auto"/>
          <w:sz w:val="24"/>
          <w:highlight w:val="none"/>
          <w:lang w:val="en-US" w:eastAsia="zh-CN"/>
        </w:rPr>
        <w:t>9楼会议室</w:t>
      </w:r>
      <w:r>
        <w:rPr>
          <w:rFonts w:hint="eastAsia" w:ascii="宋体" w:hAnsi="宋体"/>
          <w:color w:val="auto"/>
          <w:sz w:val="24"/>
          <w:highlight w:val="none"/>
        </w:rPr>
        <w:t>。采购人将拒绝接受在递交截止时间后送达的报价函。</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十、报价文件的开启程序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1、公布在截止时间前递交报价文件的报价人数量；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2、报价人代表现场检查报价文件密封情况；</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3、开启报价文件，公布报价人名称、报价等，结束后报价人及采购小组签字确认。</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十一、公示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询价结束后3日内，在江西省招标投标网（http://www.jxtb.org.cn）、赣州交通控股集团有限公司网站（http://www.gzjtkgjt.com）上对候选人进行公示。</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十二、联系方式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采购人名称：赣州高速公路有限责任公司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采购人地址：江西省赣州市章贡区沙河镇赣州东收费站出口右侧（赣州交通控股集团有限公司）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杨先生</w:t>
      </w:r>
      <w:r>
        <w:rPr>
          <w:rFonts w:hint="eastAsia" w:ascii="宋体" w:hAnsi="宋体"/>
          <w:color w:val="auto"/>
          <w:sz w:val="24"/>
          <w:highlight w:val="none"/>
        </w:rPr>
        <w:t xml:space="preserve"> </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w:t>
      </w:r>
      <w:r>
        <w:rPr>
          <w:rFonts w:hint="eastAsia" w:ascii="宋体" w:hAnsi="宋体"/>
          <w:color w:val="auto"/>
          <w:sz w:val="24"/>
          <w:highlight w:val="none"/>
          <w:lang w:val="en-US" w:eastAsia="zh-CN"/>
        </w:rPr>
        <w:t>6639066-8021</w:t>
      </w:r>
      <w:r>
        <w:rPr>
          <w:rFonts w:hint="eastAsia" w:ascii="宋体" w:hAnsi="宋体"/>
          <w:color w:val="auto"/>
          <w:sz w:val="24"/>
          <w:highlight w:val="none"/>
        </w:rPr>
        <w:t xml:space="preserve"> </w:t>
      </w:r>
    </w:p>
    <w:p>
      <w:pPr>
        <w:spacing w:line="312" w:lineRule="auto"/>
        <w:ind w:firstLine="482" w:firstLineChars="200"/>
        <w:rPr>
          <w:rFonts w:ascii="宋体" w:hAnsi="宋体"/>
          <w:b/>
          <w:color w:val="auto"/>
          <w:sz w:val="24"/>
          <w:highlight w:val="none"/>
        </w:rPr>
      </w:pPr>
      <w:r>
        <w:rPr>
          <w:rFonts w:hint="eastAsia" w:ascii="宋体" w:hAnsi="宋体"/>
          <w:b/>
          <w:color w:val="auto"/>
          <w:sz w:val="24"/>
          <w:highlight w:val="none"/>
        </w:rPr>
        <w:t>十三、监督部门及联系方式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监督部门：赣州交通控股集团有限公司风控审计部、纪检监察室</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地    址：江西省赣州市章贡区沙河镇赣州东收费站出口右侧（赣州交通控股集团有限公司）</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电    话：0797-8289879、0797-8282685</w:t>
      </w:r>
    </w:p>
    <w:p>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邮政编码：341000</w:t>
      </w:r>
    </w:p>
    <w:p>
      <w:pPr>
        <w:spacing w:line="420" w:lineRule="exact"/>
        <w:ind w:firstLine="480" w:firstLineChars="200"/>
        <w:rPr>
          <w:rFonts w:hint="eastAsia" w:ascii="宋体" w:hAnsi="宋体"/>
          <w:color w:val="auto"/>
          <w:sz w:val="24"/>
          <w:highlight w:val="none"/>
        </w:rPr>
      </w:pPr>
    </w:p>
    <w:p>
      <w:pPr>
        <w:spacing w:line="420" w:lineRule="exact"/>
        <w:ind w:firstLine="480" w:firstLineChars="200"/>
        <w:rPr>
          <w:rFonts w:hint="eastAsia" w:ascii="宋体" w:hAnsi="宋体"/>
          <w:color w:val="auto"/>
          <w:sz w:val="24"/>
          <w:highlight w:val="none"/>
        </w:rPr>
      </w:pPr>
    </w:p>
    <w:p>
      <w:pPr>
        <w:spacing w:line="420" w:lineRule="exact"/>
        <w:ind w:firstLine="4536" w:firstLineChars="1890"/>
        <w:jc w:val="center"/>
        <w:rPr>
          <w:rFonts w:ascii="宋体" w:hAnsi="宋体"/>
          <w:color w:val="auto"/>
          <w:sz w:val="24"/>
          <w:highlight w:val="none"/>
        </w:rPr>
      </w:pPr>
      <w:r>
        <w:rPr>
          <w:rFonts w:hint="eastAsia" w:ascii="宋体" w:hAnsi="宋体"/>
          <w:color w:val="auto"/>
          <w:sz w:val="24"/>
          <w:highlight w:val="none"/>
        </w:rPr>
        <w:t>赣州高速公路有限责任公司</w:t>
      </w:r>
    </w:p>
    <w:p>
      <w:pPr>
        <w:spacing w:line="420" w:lineRule="exact"/>
        <w:ind w:firstLine="4536" w:firstLineChars="1890"/>
        <w:jc w:val="center"/>
      </w:pPr>
      <w:r>
        <w:rPr>
          <w:rFonts w:hint="eastAsia" w:ascii="宋体" w:hAnsi="宋体"/>
          <w:color w:val="auto"/>
          <w:sz w:val="24"/>
          <w:highlight w:val="none"/>
        </w:rPr>
        <w:t>2021年1月13日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713B"/>
    <w:rsid w:val="7C10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2021-01-13T08:42:00Z</dcterms:created>
  <dc:creator>Administrator</dc:creator>
  <cp:lastModifiedBy>Administrator</cp:lastModifiedBy>
  <dcterms:modified xsi:type="dcterms:W3CDTF">2021-01-13T08:42:55Z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