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color w:val="auto"/>
          <w:sz w:val="36"/>
          <w:szCs w:val="36"/>
          <w:highlight w:val="none"/>
        </w:rPr>
      </w:pPr>
      <w:r>
        <w:rPr>
          <w:rFonts w:hint="eastAsia"/>
          <w:b/>
          <w:color w:val="auto"/>
          <w:sz w:val="36"/>
          <w:szCs w:val="36"/>
          <w:highlight w:val="none"/>
        </w:rPr>
        <w:t>兴赣北延高速路政大队家具采购项目询价公告</w:t>
      </w:r>
    </w:p>
    <w:p>
      <w:pPr>
        <w:spacing w:line="420" w:lineRule="exact"/>
        <w:rPr>
          <w:rFonts w:hint="eastAsia" w:ascii="宋体" w:hAnsi="宋体"/>
          <w:b/>
          <w:color w:val="auto"/>
          <w:sz w:val="24"/>
          <w:highlight w:val="none"/>
        </w:rPr>
      </w:pPr>
      <w:bookmarkStart w:id="0" w:name="_GoBack"/>
      <w:bookmarkEnd w:id="0"/>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一、询价条件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兴赣北延高速公路2020年12月底建成通车，兴赣北延高速路政大队现需新购一批家具</w:t>
      </w:r>
      <w:r>
        <w:rPr>
          <w:rFonts w:ascii="宋体" w:hAnsi="宋体"/>
          <w:color w:val="auto"/>
          <w:sz w:val="24"/>
          <w:highlight w:val="none"/>
        </w:rPr>
        <w:t>，资金来源为自有资金，该项目已具备采购条件，现</w:t>
      </w:r>
      <w:r>
        <w:rPr>
          <w:rFonts w:hint="eastAsia" w:ascii="宋体" w:hAnsi="宋体"/>
          <w:color w:val="auto"/>
          <w:sz w:val="24"/>
          <w:highlight w:val="none"/>
        </w:rPr>
        <w:t>对该项目进行</w:t>
      </w:r>
      <w:r>
        <w:rPr>
          <w:rFonts w:ascii="宋体" w:hAnsi="宋体"/>
          <w:color w:val="auto"/>
          <w:sz w:val="24"/>
          <w:highlight w:val="none"/>
        </w:rPr>
        <w:t>公开询价</w:t>
      </w:r>
      <w:r>
        <w:rPr>
          <w:rFonts w:hint="eastAsia"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本次询价项目名称：兴赣北延高速路政大队家具采购项目。</w:t>
      </w:r>
      <w:r>
        <w:rPr>
          <w:rFonts w:ascii="宋体" w:hAnsi="宋体"/>
          <w:color w:val="auto"/>
          <w:sz w:val="24"/>
          <w:highlight w:val="none"/>
        </w:rPr>
        <w:t>采购人</w:t>
      </w:r>
      <w:r>
        <w:rPr>
          <w:rFonts w:hint="eastAsia" w:ascii="宋体" w:hAnsi="宋体"/>
          <w:color w:val="auto"/>
          <w:sz w:val="24"/>
          <w:highlight w:val="none"/>
        </w:rPr>
        <w:t>：赣州高速公路有限责任公司,合同签订人为:</w:t>
      </w:r>
      <w:r>
        <w:rPr>
          <w:rFonts w:ascii="宋体" w:hAnsi="宋体"/>
          <w:color w:val="auto"/>
          <w:sz w:val="24"/>
          <w:highlight w:val="none"/>
        </w:rPr>
        <w:t>赣州兴赣北延高速公路有限责任公司。</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采购</w:t>
      </w:r>
      <w:r>
        <w:rPr>
          <w:rFonts w:hint="eastAsia" w:ascii="宋体" w:hAnsi="宋体"/>
          <w:b/>
          <w:color w:val="auto"/>
          <w:sz w:val="24"/>
          <w:highlight w:val="none"/>
        </w:rPr>
        <w:t>内容及要求</w:t>
      </w:r>
    </w:p>
    <w:tbl>
      <w:tblPr>
        <w:tblStyle w:val="3"/>
        <w:tblW w:w="5000" w:type="pct"/>
        <w:tblInd w:w="0" w:type="dxa"/>
        <w:tblLayout w:type="autofit"/>
        <w:tblCellMar>
          <w:top w:w="0" w:type="dxa"/>
          <w:left w:w="108" w:type="dxa"/>
          <w:bottom w:w="0" w:type="dxa"/>
          <w:right w:w="108" w:type="dxa"/>
        </w:tblCellMar>
      </w:tblPr>
      <w:tblGrid>
        <w:gridCol w:w="648"/>
        <w:gridCol w:w="1537"/>
        <w:gridCol w:w="648"/>
        <w:gridCol w:w="649"/>
        <w:gridCol w:w="5040"/>
      </w:tblGrid>
      <w:tr>
        <w:tblPrEx>
          <w:tblCellMar>
            <w:top w:w="0" w:type="dxa"/>
            <w:left w:w="108" w:type="dxa"/>
            <w:bottom w:w="0" w:type="dxa"/>
            <w:right w:w="108" w:type="dxa"/>
          </w:tblCellMar>
        </w:tblPrEx>
        <w:trPr>
          <w:trHeight w:val="699" w:hRule="atLeast"/>
        </w:trPr>
        <w:tc>
          <w:tcPr>
            <w:tcW w:w="38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bCs/>
                <w:color w:val="auto"/>
                <w:kern w:val="0"/>
                <w:sz w:val="22"/>
                <w:highlight w:val="none"/>
              </w:rPr>
            </w:pPr>
            <w:r>
              <w:rPr>
                <w:rFonts w:ascii="宋体" w:hAnsi="宋体"/>
                <w:bCs/>
                <w:color w:val="auto"/>
                <w:kern w:val="0"/>
                <w:sz w:val="22"/>
                <w:highlight w:val="none"/>
              </w:rPr>
              <w:t>序号</w:t>
            </w:r>
          </w:p>
        </w:tc>
        <w:tc>
          <w:tcPr>
            <w:tcW w:w="902"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bCs/>
                <w:color w:val="auto"/>
                <w:kern w:val="0"/>
                <w:sz w:val="22"/>
                <w:highlight w:val="none"/>
              </w:rPr>
            </w:pPr>
            <w:r>
              <w:rPr>
                <w:rFonts w:hint="eastAsia" w:ascii="宋体" w:hAnsi="宋体"/>
                <w:bCs/>
                <w:color w:val="auto"/>
                <w:kern w:val="0"/>
                <w:sz w:val="22"/>
                <w:highlight w:val="none"/>
              </w:rPr>
              <w:t>物品名称</w:t>
            </w:r>
          </w:p>
        </w:tc>
        <w:tc>
          <w:tcPr>
            <w:tcW w:w="380"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bCs/>
                <w:color w:val="auto"/>
                <w:kern w:val="0"/>
                <w:sz w:val="22"/>
                <w:highlight w:val="none"/>
              </w:rPr>
            </w:pPr>
            <w:r>
              <w:rPr>
                <w:rFonts w:hint="eastAsia" w:ascii="宋体" w:hAnsi="宋体"/>
                <w:bCs/>
                <w:color w:val="auto"/>
                <w:kern w:val="0"/>
                <w:sz w:val="22"/>
                <w:highlight w:val="none"/>
              </w:rPr>
              <w:t>单位</w:t>
            </w:r>
          </w:p>
        </w:tc>
        <w:tc>
          <w:tcPr>
            <w:tcW w:w="381"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bCs/>
                <w:color w:val="auto"/>
                <w:kern w:val="0"/>
                <w:sz w:val="22"/>
                <w:highlight w:val="none"/>
              </w:rPr>
            </w:pPr>
            <w:r>
              <w:rPr>
                <w:rFonts w:ascii="宋体" w:hAnsi="宋体"/>
                <w:bCs/>
                <w:color w:val="auto"/>
                <w:kern w:val="0"/>
                <w:sz w:val="22"/>
                <w:highlight w:val="none"/>
              </w:rPr>
              <w:t>数量</w:t>
            </w:r>
          </w:p>
        </w:tc>
        <w:tc>
          <w:tcPr>
            <w:tcW w:w="2957"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bCs/>
                <w:color w:val="auto"/>
                <w:kern w:val="0"/>
                <w:sz w:val="22"/>
                <w:highlight w:val="none"/>
              </w:rPr>
            </w:pPr>
            <w:r>
              <w:rPr>
                <w:rFonts w:ascii="宋体" w:hAnsi="宋体"/>
                <w:bCs/>
                <w:color w:val="auto"/>
                <w:kern w:val="0"/>
                <w:sz w:val="22"/>
                <w:highlight w:val="none"/>
              </w:rPr>
              <w:t>备  注</w:t>
            </w:r>
          </w:p>
        </w:tc>
      </w:tr>
      <w:tr>
        <w:tblPrEx>
          <w:tblCellMar>
            <w:top w:w="0" w:type="dxa"/>
            <w:left w:w="108" w:type="dxa"/>
            <w:bottom w:w="0" w:type="dxa"/>
            <w:right w:w="108" w:type="dxa"/>
          </w:tblCellMar>
        </w:tblPrEx>
        <w:trPr>
          <w:trHeight w:val="1335" w:hRule="atLeast"/>
        </w:trPr>
        <w:tc>
          <w:tcPr>
            <w:tcW w:w="38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902"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2</w:t>
            </w:r>
            <w:r>
              <w:rPr>
                <w:rFonts w:hint="eastAsia" w:ascii="宋体" w:hAnsi="宋体"/>
                <w:color w:val="auto"/>
                <w:kern w:val="0"/>
                <w:sz w:val="22"/>
                <w:szCs w:val="22"/>
                <w:highlight w:val="none"/>
              </w:rPr>
              <w:t>米办公桌椅</w:t>
            </w:r>
          </w:p>
        </w:tc>
        <w:tc>
          <w:tcPr>
            <w:tcW w:w="380"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81"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2957"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lang w:val="en-US" w:eastAsia="zh-CN"/>
              </w:rPr>
              <w:t>每套含：</w:t>
            </w:r>
            <w:r>
              <w:rPr>
                <w:rFonts w:hint="eastAsia" w:ascii="宋体" w:hAnsi="宋体"/>
                <w:color w:val="auto"/>
                <w:kern w:val="0"/>
                <w:sz w:val="22"/>
                <w:szCs w:val="22"/>
                <w:highlight w:val="none"/>
              </w:rPr>
              <w:t>班台</w:t>
            </w:r>
            <w:r>
              <w:rPr>
                <w:color w:val="auto"/>
                <w:kern w:val="0"/>
                <w:sz w:val="22"/>
                <w:szCs w:val="22"/>
                <w:highlight w:val="none"/>
              </w:rPr>
              <w:t>1</w:t>
            </w:r>
            <w:r>
              <w:rPr>
                <w:rFonts w:hint="eastAsia" w:ascii="宋体" w:hAnsi="宋体"/>
                <w:color w:val="auto"/>
                <w:kern w:val="0"/>
                <w:sz w:val="22"/>
                <w:szCs w:val="22"/>
                <w:highlight w:val="none"/>
              </w:rPr>
              <w:t>张</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规格</w:t>
            </w:r>
            <w:r>
              <w:rPr>
                <w:color w:val="auto"/>
                <w:kern w:val="0"/>
                <w:sz w:val="22"/>
                <w:szCs w:val="22"/>
                <w:highlight w:val="none"/>
              </w:rPr>
              <w:t>2000*1000*760mm</w:t>
            </w:r>
            <w:r>
              <w:rPr>
                <w:rFonts w:hint="eastAsia" w:ascii="宋体" w:hAnsi="宋体"/>
                <w:color w:val="auto"/>
                <w:kern w:val="0"/>
                <w:sz w:val="22"/>
                <w:szCs w:val="22"/>
                <w:highlight w:val="none"/>
              </w:rPr>
              <w:t>，基材</w:t>
            </w:r>
            <w:r>
              <w:rPr>
                <w:rFonts w:hint="eastAsia" w:ascii="宋体" w:hAnsi="宋体"/>
                <w:color w:val="auto"/>
                <w:kern w:val="0"/>
                <w:sz w:val="22"/>
                <w:szCs w:val="22"/>
                <w:highlight w:val="none"/>
                <w:lang w:val="en-US" w:eastAsia="zh-CN"/>
              </w:rPr>
              <w:t>为</w:t>
            </w:r>
            <w:r>
              <w:rPr>
                <w:rFonts w:hint="eastAsia" w:ascii="宋体" w:hAnsi="宋体"/>
                <w:color w:val="auto"/>
                <w:kern w:val="0"/>
                <w:sz w:val="22"/>
                <w:szCs w:val="22"/>
                <w:highlight w:val="none"/>
              </w:rPr>
              <w:t>实木；办公椅</w:t>
            </w:r>
            <w:r>
              <w:rPr>
                <w:color w:val="auto"/>
                <w:kern w:val="0"/>
                <w:sz w:val="22"/>
                <w:szCs w:val="22"/>
                <w:highlight w:val="none"/>
              </w:rPr>
              <w:t>1</w:t>
            </w:r>
            <w:r>
              <w:rPr>
                <w:rFonts w:hint="eastAsia" w:ascii="宋体" w:hAnsi="宋体"/>
                <w:color w:val="auto"/>
                <w:kern w:val="0"/>
                <w:sz w:val="22"/>
                <w:szCs w:val="22"/>
                <w:highlight w:val="none"/>
              </w:rPr>
              <w:t>张</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黑色皮质转椅；班前椅</w:t>
            </w:r>
            <w:r>
              <w:rPr>
                <w:color w:val="auto"/>
                <w:kern w:val="0"/>
                <w:sz w:val="22"/>
                <w:szCs w:val="22"/>
                <w:highlight w:val="none"/>
              </w:rPr>
              <w:t>2</w:t>
            </w:r>
            <w:r>
              <w:rPr>
                <w:rFonts w:hint="eastAsia" w:ascii="宋体" w:hAnsi="宋体"/>
                <w:color w:val="auto"/>
                <w:kern w:val="0"/>
                <w:sz w:val="22"/>
                <w:szCs w:val="22"/>
                <w:highlight w:val="none"/>
              </w:rPr>
              <w:t>张</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黑色西皮。</w:t>
            </w:r>
            <w:r>
              <w:rPr>
                <w:rFonts w:hint="eastAsia" w:ascii="宋体" w:hAnsi="宋体"/>
                <w:color w:val="auto"/>
                <w:kern w:val="0"/>
                <w:sz w:val="22"/>
                <w:szCs w:val="22"/>
                <w:highlight w:val="none"/>
                <w:lang w:val="en-US" w:eastAsia="zh-CN"/>
              </w:rPr>
              <w:t>要求</w:t>
            </w:r>
            <w:r>
              <w:rPr>
                <w:rFonts w:hint="eastAsia" w:ascii="宋体" w:hAnsi="宋体"/>
                <w:color w:val="auto"/>
                <w:kern w:val="0"/>
                <w:sz w:val="22"/>
                <w:szCs w:val="22"/>
                <w:highlight w:val="none"/>
              </w:rPr>
              <w:t>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r>
        <w:tblPrEx>
          <w:tblCellMar>
            <w:top w:w="0" w:type="dxa"/>
            <w:left w:w="108" w:type="dxa"/>
            <w:bottom w:w="0" w:type="dxa"/>
            <w:right w:w="108" w:type="dxa"/>
          </w:tblCellMar>
        </w:tblPrEx>
        <w:trPr>
          <w:trHeight w:val="1275"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沙发、茶几</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hint="eastAsia"/>
                <w:color w:val="auto"/>
                <w:kern w:val="0"/>
                <w:sz w:val="22"/>
                <w:szCs w:val="22"/>
                <w:highlight w:val="none"/>
              </w:rPr>
              <w:t>4</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highlight w:val="none"/>
              </w:rPr>
            </w:pPr>
            <w:r>
              <w:rPr>
                <w:rFonts w:hint="eastAsia" w:ascii="宋体" w:hAnsi="宋体"/>
                <w:color w:val="auto"/>
                <w:kern w:val="0"/>
                <w:sz w:val="22"/>
                <w:szCs w:val="22"/>
                <w:highlight w:val="none"/>
                <w:lang w:val="en-US" w:eastAsia="zh-CN"/>
              </w:rPr>
              <w:t>每套含：</w:t>
            </w:r>
            <w:r>
              <w:rPr>
                <w:rFonts w:hint="eastAsia" w:ascii="宋体" w:hAnsi="宋体" w:cs="宋体"/>
                <w:color w:val="auto"/>
                <w:kern w:val="0"/>
                <w:sz w:val="22"/>
                <w:szCs w:val="22"/>
                <w:highlight w:val="none"/>
              </w:rPr>
              <w:t>沙发1组</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为</w:t>
            </w:r>
            <w:r>
              <w:rPr>
                <w:rFonts w:hint="eastAsia" w:ascii="宋体" w:hAnsi="宋体" w:cs="宋体"/>
                <w:color w:val="auto"/>
                <w:kern w:val="0"/>
                <w:sz w:val="22"/>
                <w:szCs w:val="22"/>
                <w:highlight w:val="none"/>
              </w:rPr>
              <w:t>3+1+1组合，基材</w:t>
            </w:r>
            <w:r>
              <w:rPr>
                <w:rFonts w:hint="eastAsia" w:ascii="宋体" w:hAnsi="宋体" w:cs="宋体"/>
                <w:color w:val="auto"/>
                <w:kern w:val="0"/>
                <w:sz w:val="22"/>
                <w:szCs w:val="22"/>
                <w:highlight w:val="none"/>
                <w:lang w:val="en-US" w:eastAsia="zh-CN"/>
              </w:rPr>
              <w:t>为</w:t>
            </w:r>
            <w:r>
              <w:rPr>
                <w:rFonts w:hint="eastAsia" w:ascii="宋体" w:hAnsi="宋体" w:cs="宋体"/>
                <w:color w:val="auto"/>
                <w:kern w:val="0"/>
                <w:sz w:val="22"/>
                <w:szCs w:val="22"/>
                <w:highlight w:val="none"/>
              </w:rPr>
              <w:t>实木，黑色皮质；茶几1张</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规格</w:t>
            </w:r>
            <w:r>
              <w:rPr>
                <w:rFonts w:hint="default" w:ascii="Times New Roman" w:hAnsi="Times New Roman" w:cs="Times New Roman"/>
                <w:color w:val="auto"/>
                <w:kern w:val="0"/>
                <w:sz w:val="22"/>
                <w:szCs w:val="22"/>
                <w:highlight w:val="none"/>
              </w:rPr>
              <w:t>1200*600*450</w:t>
            </w:r>
            <w:r>
              <w:rPr>
                <w:rFonts w:hint="default" w:ascii="Times New Roman" w:hAnsi="Times New Roman" w:cs="Times New Roman"/>
                <w:color w:val="auto"/>
                <w:kern w:val="0"/>
                <w:sz w:val="22"/>
                <w:szCs w:val="22"/>
                <w:highlight w:val="none"/>
                <w:lang w:val="en-US" w:eastAsia="zh-CN"/>
              </w:rPr>
              <w:t>mm</w:t>
            </w:r>
            <w:r>
              <w:rPr>
                <w:rFonts w:hint="eastAsia" w:ascii="宋体" w:hAnsi="宋体" w:cs="宋体"/>
                <w:color w:val="auto"/>
                <w:kern w:val="0"/>
                <w:sz w:val="22"/>
                <w:szCs w:val="22"/>
                <w:highlight w:val="none"/>
              </w:rPr>
              <w:t>，环保高密度板贴木皮。</w:t>
            </w:r>
            <w:r>
              <w:rPr>
                <w:rFonts w:hint="eastAsia" w:ascii="宋体" w:hAnsi="宋体" w:cs="宋体"/>
                <w:color w:val="auto"/>
                <w:kern w:val="0"/>
                <w:sz w:val="22"/>
                <w:szCs w:val="22"/>
                <w:highlight w:val="none"/>
                <w:lang w:val="en-US" w:eastAsia="zh-CN"/>
              </w:rPr>
              <w:t>要求</w:t>
            </w:r>
            <w:r>
              <w:rPr>
                <w:rFonts w:hint="eastAsia" w:ascii="宋体" w:hAnsi="宋体" w:cs="宋体"/>
                <w:color w:val="auto"/>
                <w:kern w:val="0"/>
                <w:sz w:val="22"/>
                <w:szCs w:val="22"/>
                <w:highlight w:val="none"/>
              </w:rPr>
              <w:t>油漆：品牌环保漆，五金件：304不锈钢，环保：甲醛释放≤0.5mg/L。</w:t>
            </w:r>
          </w:p>
        </w:tc>
      </w:tr>
      <w:tr>
        <w:tblPrEx>
          <w:tblCellMar>
            <w:top w:w="0" w:type="dxa"/>
            <w:left w:w="108" w:type="dxa"/>
            <w:bottom w:w="0" w:type="dxa"/>
            <w:right w:w="108" w:type="dxa"/>
          </w:tblCellMar>
        </w:tblPrEx>
        <w:trPr>
          <w:trHeight w:val="812"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木质文件柜</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规格</w:t>
            </w:r>
            <w:r>
              <w:rPr>
                <w:color w:val="auto"/>
                <w:kern w:val="0"/>
                <w:sz w:val="22"/>
                <w:szCs w:val="22"/>
                <w:highlight w:val="none"/>
              </w:rPr>
              <w:t>1200*400*2000mm</w:t>
            </w:r>
            <w:r>
              <w:rPr>
                <w:rFonts w:hint="eastAsia" w:ascii="宋体" w:hAnsi="宋体"/>
                <w:color w:val="auto"/>
                <w:kern w:val="0"/>
                <w:sz w:val="22"/>
                <w:szCs w:val="22"/>
                <w:highlight w:val="none"/>
              </w:rPr>
              <w:t>。</w:t>
            </w:r>
            <w:r>
              <w:rPr>
                <w:rFonts w:hint="eastAsia" w:ascii="宋体" w:hAnsi="宋体"/>
                <w:color w:val="auto"/>
                <w:kern w:val="0"/>
                <w:sz w:val="22"/>
                <w:szCs w:val="22"/>
                <w:highlight w:val="none"/>
                <w:lang w:val="en-US" w:eastAsia="zh-CN"/>
              </w:rPr>
              <w:t>要求</w:t>
            </w:r>
            <w:r>
              <w:rPr>
                <w:rFonts w:hint="eastAsia" w:ascii="宋体" w:hAnsi="宋体"/>
                <w:color w:val="auto"/>
                <w:kern w:val="0"/>
                <w:sz w:val="22"/>
                <w:szCs w:val="22"/>
                <w:highlight w:val="none"/>
              </w:rPr>
              <w:t>基材：实木，油漆：品牌环保漆，五金件：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r>
        <w:tblPrEx>
          <w:tblCellMar>
            <w:top w:w="0" w:type="dxa"/>
            <w:left w:w="108" w:type="dxa"/>
            <w:bottom w:w="0" w:type="dxa"/>
            <w:right w:w="108" w:type="dxa"/>
          </w:tblCellMar>
        </w:tblPrEx>
        <w:trPr>
          <w:trHeight w:val="1072"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4</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1.4</w:t>
            </w:r>
            <w:r>
              <w:rPr>
                <w:rFonts w:hint="eastAsia" w:ascii="宋体" w:hAnsi="宋体"/>
                <w:color w:val="auto"/>
                <w:kern w:val="0"/>
                <w:sz w:val="22"/>
                <w:szCs w:val="22"/>
                <w:highlight w:val="none"/>
              </w:rPr>
              <w:t>米办公桌椅</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19</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lang w:val="en-US" w:eastAsia="zh-CN"/>
              </w:rPr>
              <w:t>每套含：</w:t>
            </w:r>
            <w:r>
              <w:rPr>
                <w:rFonts w:hint="eastAsia" w:ascii="宋体" w:hAnsi="宋体"/>
                <w:color w:val="auto"/>
                <w:kern w:val="0"/>
                <w:sz w:val="22"/>
                <w:szCs w:val="22"/>
                <w:highlight w:val="none"/>
              </w:rPr>
              <w:t>班台</w:t>
            </w:r>
            <w:r>
              <w:rPr>
                <w:color w:val="auto"/>
                <w:kern w:val="0"/>
                <w:sz w:val="22"/>
                <w:szCs w:val="22"/>
                <w:highlight w:val="none"/>
              </w:rPr>
              <w:t>1</w:t>
            </w:r>
            <w:r>
              <w:rPr>
                <w:rFonts w:hint="eastAsia" w:ascii="宋体" w:hAnsi="宋体"/>
                <w:color w:val="auto"/>
                <w:kern w:val="0"/>
                <w:sz w:val="22"/>
                <w:szCs w:val="22"/>
                <w:highlight w:val="none"/>
              </w:rPr>
              <w:t>张</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规格</w:t>
            </w:r>
            <w:r>
              <w:rPr>
                <w:color w:val="auto"/>
                <w:kern w:val="0"/>
                <w:sz w:val="22"/>
                <w:szCs w:val="22"/>
                <w:highlight w:val="none"/>
              </w:rPr>
              <w:t>1400*700*760mm</w:t>
            </w:r>
            <w:r>
              <w:rPr>
                <w:rFonts w:hint="eastAsia" w:ascii="宋体" w:hAnsi="宋体"/>
                <w:color w:val="auto"/>
                <w:kern w:val="0"/>
                <w:sz w:val="22"/>
                <w:szCs w:val="22"/>
                <w:highlight w:val="none"/>
              </w:rPr>
              <w:t>，基材</w:t>
            </w:r>
            <w:r>
              <w:rPr>
                <w:rFonts w:hint="eastAsia" w:ascii="宋体" w:hAnsi="宋体"/>
                <w:color w:val="auto"/>
                <w:kern w:val="0"/>
                <w:sz w:val="22"/>
                <w:szCs w:val="22"/>
                <w:highlight w:val="none"/>
                <w:lang w:val="en-US" w:eastAsia="zh-CN"/>
              </w:rPr>
              <w:t>为</w:t>
            </w:r>
            <w:r>
              <w:rPr>
                <w:rFonts w:hint="eastAsia" w:ascii="宋体" w:hAnsi="宋体"/>
                <w:color w:val="auto"/>
                <w:kern w:val="0"/>
                <w:sz w:val="22"/>
                <w:szCs w:val="22"/>
                <w:highlight w:val="none"/>
              </w:rPr>
              <w:t>实木；办公椅</w:t>
            </w:r>
            <w:r>
              <w:rPr>
                <w:color w:val="auto"/>
                <w:kern w:val="0"/>
                <w:sz w:val="22"/>
                <w:szCs w:val="22"/>
                <w:highlight w:val="none"/>
              </w:rPr>
              <w:t>1</w:t>
            </w:r>
            <w:r>
              <w:rPr>
                <w:rFonts w:hint="eastAsia" w:ascii="宋体" w:hAnsi="宋体"/>
                <w:color w:val="auto"/>
                <w:kern w:val="0"/>
                <w:sz w:val="22"/>
                <w:szCs w:val="22"/>
                <w:highlight w:val="none"/>
              </w:rPr>
              <w:t>张</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黑色皮质转椅。</w:t>
            </w:r>
            <w:r>
              <w:rPr>
                <w:rFonts w:hint="eastAsia" w:ascii="宋体" w:hAnsi="宋体"/>
                <w:color w:val="auto"/>
                <w:kern w:val="0"/>
                <w:sz w:val="22"/>
                <w:szCs w:val="22"/>
                <w:highlight w:val="none"/>
                <w:lang w:val="en-US" w:eastAsia="zh-CN"/>
              </w:rPr>
              <w:t>要求</w:t>
            </w:r>
            <w:r>
              <w:rPr>
                <w:rFonts w:hint="eastAsia" w:ascii="宋体" w:hAnsi="宋体"/>
                <w:color w:val="auto"/>
                <w:kern w:val="0"/>
                <w:sz w:val="22"/>
                <w:szCs w:val="22"/>
                <w:highlight w:val="none"/>
              </w:rPr>
              <w:t>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r>
        <w:tblPrEx>
          <w:tblCellMar>
            <w:top w:w="0" w:type="dxa"/>
            <w:left w:w="108" w:type="dxa"/>
            <w:bottom w:w="0" w:type="dxa"/>
            <w:right w:w="108" w:type="dxa"/>
          </w:tblCellMar>
        </w:tblPrEx>
        <w:trPr>
          <w:trHeight w:val="465"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5</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铁皮文件柜</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6</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规格</w:t>
            </w:r>
            <w:r>
              <w:rPr>
                <w:color w:val="auto"/>
                <w:kern w:val="0"/>
                <w:sz w:val="22"/>
                <w:szCs w:val="22"/>
                <w:highlight w:val="none"/>
              </w:rPr>
              <w:t>850*400*1850mm</w:t>
            </w:r>
            <w:r>
              <w:rPr>
                <w:rFonts w:hint="eastAsia" w:ascii="宋体" w:hAnsi="宋体"/>
                <w:color w:val="auto"/>
                <w:kern w:val="0"/>
                <w:sz w:val="22"/>
                <w:szCs w:val="22"/>
                <w:highlight w:val="none"/>
              </w:rPr>
              <w:t>，铁皮厚</w:t>
            </w:r>
            <w:r>
              <w:rPr>
                <w:color w:val="auto"/>
                <w:kern w:val="0"/>
                <w:sz w:val="22"/>
                <w:szCs w:val="22"/>
                <w:highlight w:val="none"/>
              </w:rPr>
              <w:t>0.6</w:t>
            </w:r>
            <w:r>
              <w:rPr>
                <w:rFonts w:hint="eastAsia" w:ascii="宋体" w:hAnsi="宋体"/>
                <w:color w:val="auto"/>
                <w:kern w:val="0"/>
                <w:sz w:val="22"/>
                <w:szCs w:val="22"/>
                <w:highlight w:val="none"/>
              </w:rPr>
              <w:t>或以上。</w:t>
            </w:r>
          </w:p>
        </w:tc>
      </w:tr>
      <w:tr>
        <w:tblPrEx>
          <w:tblCellMar>
            <w:top w:w="0" w:type="dxa"/>
            <w:left w:w="108" w:type="dxa"/>
            <w:bottom w:w="0" w:type="dxa"/>
            <w:right w:w="108" w:type="dxa"/>
          </w:tblCellMar>
        </w:tblPrEx>
        <w:trPr>
          <w:trHeight w:val="435"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6</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铁皮档案柜</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4</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规格</w:t>
            </w:r>
            <w:r>
              <w:rPr>
                <w:color w:val="auto"/>
                <w:kern w:val="0"/>
                <w:sz w:val="22"/>
                <w:szCs w:val="22"/>
                <w:highlight w:val="none"/>
              </w:rPr>
              <w:t>850*400*1850mm</w:t>
            </w:r>
            <w:r>
              <w:rPr>
                <w:rFonts w:hint="eastAsia" w:ascii="宋体" w:hAnsi="宋体"/>
                <w:color w:val="auto"/>
                <w:kern w:val="0"/>
                <w:sz w:val="22"/>
                <w:szCs w:val="22"/>
                <w:highlight w:val="none"/>
              </w:rPr>
              <w:t>，铁皮厚</w:t>
            </w:r>
            <w:r>
              <w:rPr>
                <w:color w:val="auto"/>
                <w:kern w:val="0"/>
                <w:sz w:val="22"/>
                <w:szCs w:val="22"/>
                <w:highlight w:val="none"/>
              </w:rPr>
              <w:t>0.6</w:t>
            </w:r>
            <w:r>
              <w:rPr>
                <w:rFonts w:hint="eastAsia" w:ascii="宋体" w:hAnsi="宋体"/>
                <w:color w:val="auto"/>
                <w:kern w:val="0"/>
                <w:sz w:val="22"/>
                <w:szCs w:val="22"/>
                <w:highlight w:val="none"/>
              </w:rPr>
              <w:t>或以上。</w:t>
            </w:r>
          </w:p>
        </w:tc>
      </w:tr>
      <w:tr>
        <w:tblPrEx>
          <w:tblCellMar>
            <w:top w:w="0" w:type="dxa"/>
            <w:left w:w="108" w:type="dxa"/>
            <w:bottom w:w="0" w:type="dxa"/>
            <w:right w:w="108" w:type="dxa"/>
          </w:tblCellMar>
        </w:tblPrEx>
        <w:trPr>
          <w:trHeight w:val="850"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7</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茶水柜</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5</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规格</w:t>
            </w:r>
            <w:r>
              <w:rPr>
                <w:color w:val="auto"/>
                <w:kern w:val="0"/>
                <w:sz w:val="22"/>
                <w:szCs w:val="22"/>
                <w:highlight w:val="none"/>
              </w:rPr>
              <w:t>800*400*880mm</w:t>
            </w:r>
            <w:r>
              <w:rPr>
                <w:rFonts w:hint="eastAsia"/>
                <w:color w:val="auto"/>
                <w:kern w:val="0"/>
                <w:sz w:val="22"/>
                <w:szCs w:val="22"/>
                <w:highlight w:val="none"/>
                <w:lang w:eastAsia="zh-CN"/>
              </w:rPr>
              <w:t>。</w:t>
            </w:r>
            <w:r>
              <w:rPr>
                <w:rFonts w:hint="eastAsia"/>
                <w:color w:val="auto"/>
                <w:kern w:val="0"/>
                <w:sz w:val="22"/>
                <w:szCs w:val="22"/>
                <w:highlight w:val="none"/>
                <w:lang w:val="en-US" w:eastAsia="zh-CN"/>
              </w:rPr>
              <w:t>要求</w:t>
            </w:r>
            <w:r>
              <w:rPr>
                <w:rFonts w:hint="eastAsia" w:ascii="宋体" w:hAnsi="宋体"/>
                <w:color w:val="auto"/>
                <w:kern w:val="0"/>
                <w:sz w:val="22"/>
                <w:szCs w:val="22"/>
                <w:highlight w:val="none"/>
              </w:rPr>
              <w:t>基材：实木，油漆：品牌环保漆，五金件：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r>
        <w:tblPrEx>
          <w:tblCellMar>
            <w:top w:w="0" w:type="dxa"/>
            <w:left w:w="108" w:type="dxa"/>
            <w:bottom w:w="0" w:type="dxa"/>
            <w:right w:w="108" w:type="dxa"/>
          </w:tblCellMar>
        </w:tblPrEx>
        <w:trPr>
          <w:trHeight w:val="360"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8</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吧椅</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304不锈钢，墨绿色。</w:t>
            </w:r>
          </w:p>
        </w:tc>
      </w:tr>
      <w:tr>
        <w:tblPrEx>
          <w:tblCellMar>
            <w:top w:w="0" w:type="dxa"/>
            <w:left w:w="108" w:type="dxa"/>
            <w:bottom w:w="0" w:type="dxa"/>
            <w:right w:w="108" w:type="dxa"/>
          </w:tblCellMar>
        </w:tblPrEx>
        <w:trPr>
          <w:trHeight w:val="1020"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9</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小会议桌椅（党员活动室）</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会议桌</w:t>
            </w:r>
            <w:r>
              <w:rPr>
                <w:color w:val="auto"/>
                <w:kern w:val="0"/>
                <w:sz w:val="22"/>
                <w:szCs w:val="22"/>
                <w:highlight w:val="none"/>
              </w:rPr>
              <w:t>1</w:t>
            </w:r>
            <w:r>
              <w:rPr>
                <w:rFonts w:hint="eastAsia" w:ascii="宋体" w:hAnsi="宋体"/>
                <w:color w:val="auto"/>
                <w:kern w:val="0"/>
                <w:sz w:val="22"/>
                <w:szCs w:val="22"/>
                <w:highlight w:val="none"/>
              </w:rPr>
              <w:t>组：规格</w:t>
            </w:r>
            <w:r>
              <w:rPr>
                <w:color w:val="auto"/>
                <w:kern w:val="0"/>
                <w:sz w:val="22"/>
                <w:szCs w:val="22"/>
                <w:highlight w:val="none"/>
              </w:rPr>
              <w:t>6200*2600*760</w:t>
            </w:r>
            <w:r>
              <w:rPr>
                <w:rFonts w:hint="eastAsia"/>
                <w:color w:val="auto"/>
                <w:kern w:val="0"/>
                <w:sz w:val="22"/>
                <w:szCs w:val="22"/>
                <w:highlight w:val="none"/>
                <w:lang w:val="en-US" w:eastAsia="zh-CN"/>
              </w:rPr>
              <w:t>mm</w:t>
            </w:r>
            <w:r>
              <w:rPr>
                <w:rFonts w:hint="eastAsia" w:ascii="宋体" w:hAnsi="宋体"/>
                <w:color w:val="auto"/>
                <w:kern w:val="0"/>
                <w:sz w:val="22"/>
                <w:szCs w:val="22"/>
                <w:highlight w:val="none"/>
              </w:rPr>
              <w:t>；会议座椅</w:t>
            </w:r>
            <w:r>
              <w:rPr>
                <w:color w:val="auto"/>
                <w:kern w:val="0"/>
                <w:sz w:val="22"/>
                <w:szCs w:val="22"/>
                <w:highlight w:val="none"/>
              </w:rPr>
              <w:t>24</w:t>
            </w:r>
            <w:r>
              <w:rPr>
                <w:rFonts w:hint="eastAsia" w:ascii="宋体" w:hAnsi="宋体"/>
                <w:color w:val="auto"/>
                <w:kern w:val="0"/>
                <w:sz w:val="22"/>
                <w:szCs w:val="22"/>
                <w:highlight w:val="none"/>
              </w:rPr>
              <w:t>张。</w:t>
            </w:r>
            <w:r>
              <w:rPr>
                <w:rFonts w:hint="eastAsia" w:ascii="宋体" w:hAnsi="宋体"/>
                <w:color w:val="auto"/>
                <w:kern w:val="0"/>
                <w:sz w:val="22"/>
                <w:szCs w:val="22"/>
                <w:highlight w:val="none"/>
                <w:lang w:val="en-US" w:eastAsia="zh-CN"/>
              </w:rPr>
              <w:t>要求</w:t>
            </w:r>
            <w:r>
              <w:rPr>
                <w:rFonts w:hint="eastAsia" w:ascii="宋体" w:hAnsi="宋体"/>
                <w:color w:val="auto"/>
                <w:kern w:val="0"/>
                <w:sz w:val="22"/>
                <w:szCs w:val="22"/>
                <w:highlight w:val="none"/>
              </w:rPr>
              <w:t>基材：实木，油漆：品牌环保漆，五金件：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r>
        <w:tblPrEx>
          <w:tblCellMar>
            <w:top w:w="0" w:type="dxa"/>
            <w:left w:w="108" w:type="dxa"/>
            <w:bottom w:w="0" w:type="dxa"/>
            <w:right w:w="108" w:type="dxa"/>
          </w:tblCellMar>
        </w:tblPrEx>
        <w:trPr>
          <w:trHeight w:val="990"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10</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包厢桌椅</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餐桌</w:t>
            </w:r>
            <w:r>
              <w:rPr>
                <w:color w:val="auto"/>
                <w:kern w:val="0"/>
                <w:sz w:val="22"/>
                <w:szCs w:val="22"/>
                <w:highlight w:val="none"/>
              </w:rPr>
              <w:t>1</w:t>
            </w:r>
            <w:r>
              <w:rPr>
                <w:rFonts w:hint="eastAsia" w:ascii="宋体" w:hAnsi="宋体"/>
                <w:color w:val="auto"/>
                <w:kern w:val="0"/>
                <w:sz w:val="22"/>
                <w:szCs w:val="22"/>
                <w:highlight w:val="none"/>
              </w:rPr>
              <w:t>组：规格直径</w:t>
            </w:r>
            <w:r>
              <w:rPr>
                <w:color w:val="auto"/>
                <w:kern w:val="0"/>
                <w:sz w:val="22"/>
                <w:szCs w:val="22"/>
                <w:highlight w:val="none"/>
              </w:rPr>
              <w:t>2.6M</w:t>
            </w:r>
            <w:r>
              <w:rPr>
                <w:rFonts w:hint="eastAsia" w:ascii="宋体" w:hAnsi="宋体"/>
                <w:color w:val="auto"/>
                <w:kern w:val="0"/>
                <w:sz w:val="22"/>
                <w:szCs w:val="22"/>
                <w:highlight w:val="none"/>
              </w:rPr>
              <w:t>；椅子</w:t>
            </w:r>
            <w:r>
              <w:rPr>
                <w:color w:val="auto"/>
                <w:kern w:val="0"/>
                <w:sz w:val="22"/>
                <w:szCs w:val="22"/>
                <w:highlight w:val="none"/>
              </w:rPr>
              <w:t>6</w:t>
            </w:r>
            <w:r>
              <w:rPr>
                <w:rFonts w:hint="eastAsia" w:ascii="宋体" w:hAnsi="宋体"/>
                <w:color w:val="auto"/>
                <w:kern w:val="0"/>
                <w:sz w:val="22"/>
                <w:szCs w:val="22"/>
                <w:highlight w:val="none"/>
              </w:rPr>
              <w:t>张。</w:t>
            </w:r>
            <w:r>
              <w:rPr>
                <w:rFonts w:hint="eastAsia" w:ascii="宋体" w:hAnsi="宋体"/>
                <w:color w:val="auto"/>
                <w:kern w:val="0"/>
                <w:sz w:val="22"/>
                <w:szCs w:val="22"/>
                <w:highlight w:val="none"/>
                <w:lang w:val="en-US" w:eastAsia="zh-CN"/>
              </w:rPr>
              <w:t>要求</w:t>
            </w:r>
            <w:r>
              <w:rPr>
                <w:rFonts w:hint="eastAsia" w:ascii="宋体" w:hAnsi="宋体"/>
                <w:color w:val="auto"/>
                <w:kern w:val="0"/>
                <w:sz w:val="22"/>
                <w:szCs w:val="22"/>
                <w:highlight w:val="none"/>
              </w:rPr>
              <w:t>基材：实木，油漆：品牌环保漆，五金件：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r>
        <w:tblPrEx>
          <w:tblCellMar>
            <w:top w:w="0" w:type="dxa"/>
            <w:left w:w="108" w:type="dxa"/>
            <w:bottom w:w="0" w:type="dxa"/>
            <w:right w:w="108" w:type="dxa"/>
          </w:tblCellMar>
        </w:tblPrEx>
        <w:trPr>
          <w:trHeight w:val="1005" w:hRule="atLeast"/>
        </w:trPr>
        <w:tc>
          <w:tcPr>
            <w:tcW w:w="38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11</w:t>
            </w:r>
          </w:p>
        </w:tc>
        <w:tc>
          <w:tcPr>
            <w:tcW w:w="902"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餐厅桌椅</w:t>
            </w:r>
          </w:p>
        </w:tc>
        <w:tc>
          <w:tcPr>
            <w:tcW w:w="380"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套</w:t>
            </w:r>
          </w:p>
        </w:tc>
        <w:tc>
          <w:tcPr>
            <w:tcW w:w="381"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2957"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餐桌</w:t>
            </w:r>
            <w:r>
              <w:rPr>
                <w:color w:val="auto"/>
                <w:kern w:val="0"/>
                <w:sz w:val="22"/>
                <w:szCs w:val="22"/>
                <w:highlight w:val="none"/>
              </w:rPr>
              <w:t>1</w:t>
            </w:r>
            <w:r>
              <w:rPr>
                <w:rFonts w:hint="eastAsia" w:ascii="宋体" w:hAnsi="宋体"/>
                <w:color w:val="auto"/>
                <w:kern w:val="0"/>
                <w:sz w:val="22"/>
                <w:szCs w:val="22"/>
                <w:highlight w:val="none"/>
              </w:rPr>
              <w:t>张：直径</w:t>
            </w:r>
            <w:r>
              <w:rPr>
                <w:color w:val="auto"/>
                <w:kern w:val="0"/>
                <w:sz w:val="22"/>
                <w:szCs w:val="22"/>
                <w:highlight w:val="none"/>
              </w:rPr>
              <w:t>1.8M</w:t>
            </w:r>
            <w:r>
              <w:rPr>
                <w:rFonts w:hint="eastAsia" w:ascii="宋体" w:hAnsi="宋体"/>
                <w:color w:val="auto"/>
                <w:kern w:val="0"/>
                <w:sz w:val="22"/>
                <w:szCs w:val="22"/>
                <w:highlight w:val="none"/>
              </w:rPr>
              <w:t>，含玻璃转盘；餐椅</w:t>
            </w:r>
            <w:r>
              <w:rPr>
                <w:color w:val="auto"/>
                <w:kern w:val="0"/>
                <w:sz w:val="22"/>
                <w:szCs w:val="22"/>
                <w:highlight w:val="none"/>
              </w:rPr>
              <w:t>12</w:t>
            </w:r>
            <w:r>
              <w:rPr>
                <w:rFonts w:hint="eastAsia" w:ascii="宋体" w:hAnsi="宋体"/>
                <w:color w:val="auto"/>
                <w:kern w:val="0"/>
                <w:sz w:val="22"/>
                <w:szCs w:val="22"/>
                <w:highlight w:val="none"/>
              </w:rPr>
              <w:t>张。</w:t>
            </w:r>
            <w:r>
              <w:rPr>
                <w:rFonts w:hint="eastAsia" w:ascii="宋体" w:hAnsi="宋体"/>
                <w:color w:val="auto"/>
                <w:kern w:val="0"/>
                <w:sz w:val="22"/>
                <w:szCs w:val="22"/>
                <w:highlight w:val="none"/>
                <w:lang w:val="en-US" w:eastAsia="zh-CN"/>
              </w:rPr>
              <w:t>要求</w:t>
            </w:r>
            <w:r>
              <w:rPr>
                <w:rFonts w:hint="eastAsia" w:ascii="宋体" w:hAnsi="宋体"/>
                <w:color w:val="auto"/>
                <w:kern w:val="0"/>
                <w:sz w:val="22"/>
                <w:szCs w:val="22"/>
                <w:highlight w:val="none"/>
              </w:rPr>
              <w:t>基材：实木，油漆：品牌环保漆，五金件：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r>
        <w:tblPrEx>
          <w:tblCellMar>
            <w:top w:w="0" w:type="dxa"/>
            <w:left w:w="108" w:type="dxa"/>
            <w:bottom w:w="0" w:type="dxa"/>
            <w:right w:w="108" w:type="dxa"/>
          </w:tblCellMar>
        </w:tblPrEx>
        <w:trPr>
          <w:trHeight w:val="930" w:hRule="atLeast"/>
        </w:trPr>
        <w:tc>
          <w:tcPr>
            <w:tcW w:w="38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12</w:t>
            </w:r>
          </w:p>
        </w:tc>
        <w:tc>
          <w:tcPr>
            <w:tcW w:w="902"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1.5</w:t>
            </w:r>
            <w:r>
              <w:rPr>
                <w:rFonts w:hint="eastAsia" w:ascii="宋体" w:hAnsi="宋体"/>
                <w:color w:val="auto"/>
                <w:kern w:val="0"/>
                <w:sz w:val="22"/>
                <w:szCs w:val="22"/>
                <w:highlight w:val="none"/>
              </w:rPr>
              <w:t>米床架</w:t>
            </w:r>
          </w:p>
        </w:tc>
        <w:tc>
          <w:tcPr>
            <w:tcW w:w="380"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381"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20</w:t>
            </w:r>
          </w:p>
        </w:tc>
        <w:tc>
          <w:tcPr>
            <w:tcW w:w="2957"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规格</w:t>
            </w:r>
            <w:r>
              <w:rPr>
                <w:color w:val="auto"/>
                <w:kern w:val="0"/>
                <w:sz w:val="22"/>
                <w:szCs w:val="22"/>
                <w:highlight w:val="none"/>
              </w:rPr>
              <w:t>1500*2000mm</w:t>
            </w:r>
            <w:r>
              <w:rPr>
                <w:rFonts w:hint="eastAsia" w:ascii="宋体" w:hAnsi="宋体"/>
                <w:color w:val="auto"/>
                <w:kern w:val="0"/>
                <w:sz w:val="22"/>
                <w:szCs w:val="22"/>
                <w:highlight w:val="none"/>
              </w:rPr>
              <w:t>，橡木（油漆颜色海棠色）</w:t>
            </w:r>
            <w:r>
              <w:rPr>
                <w:color w:val="auto"/>
                <w:kern w:val="0"/>
                <w:sz w:val="22"/>
                <w:szCs w:val="22"/>
                <w:highlight w:val="none"/>
              </w:rPr>
              <w:t xml:space="preserve"> </w:t>
            </w:r>
            <w:r>
              <w:rPr>
                <w:rFonts w:hint="eastAsia" w:ascii="宋体" w:hAnsi="宋体"/>
                <w:color w:val="auto"/>
                <w:kern w:val="0"/>
                <w:sz w:val="22"/>
                <w:szCs w:val="22"/>
                <w:highlight w:val="none"/>
              </w:rPr>
              <w:t>。</w:t>
            </w:r>
            <w:r>
              <w:rPr>
                <w:rFonts w:hint="eastAsia" w:ascii="宋体" w:hAnsi="宋体"/>
                <w:color w:val="auto"/>
                <w:kern w:val="0"/>
                <w:sz w:val="22"/>
                <w:szCs w:val="22"/>
                <w:highlight w:val="none"/>
                <w:lang w:val="en-US" w:eastAsia="zh-CN"/>
              </w:rPr>
              <w:t>要求</w:t>
            </w:r>
            <w:r>
              <w:rPr>
                <w:rFonts w:hint="eastAsia" w:ascii="宋体" w:hAnsi="宋体"/>
                <w:color w:val="auto"/>
                <w:kern w:val="0"/>
                <w:sz w:val="22"/>
                <w:szCs w:val="22"/>
                <w:highlight w:val="none"/>
              </w:rPr>
              <w:t>基材：实木，油漆：品牌环保漆，五金件：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r>
        <w:tblPrEx>
          <w:tblCellMar>
            <w:top w:w="0" w:type="dxa"/>
            <w:left w:w="108" w:type="dxa"/>
            <w:bottom w:w="0" w:type="dxa"/>
            <w:right w:w="108" w:type="dxa"/>
          </w:tblCellMar>
        </w:tblPrEx>
        <w:trPr>
          <w:trHeight w:val="900"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13</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1.8</w:t>
            </w:r>
            <w:r>
              <w:rPr>
                <w:rFonts w:hint="eastAsia" w:ascii="宋体" w:hAnsi="宋体"/>
                <w:color w:val="auto"/>
                <w:kern w:val="0"/>
                <w:sz w:val="22"/>
                <w:szCs w:val="22"/>
                <w:highlight w:val="none"/>
              </w:rPr>
              <w:t>米床架</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规格</w:t>
            </w:r>
            <w:r>
              <w:rPr>
                <w:color w:val="auto"/>
                <w:kern w:val="0"/>
                <w:sz w:val="22"/>
                <w:szCs w:val="22"/>
                <w:highlight w:val="none"/>
              </w:rPr>
              <w:t>2000*2000mm</w:t>
            </w:r>
            <w:r>
              <w:rPr>
                <w:rFonts w:hint="eastAsia" w:ascii="宋体" w:hAnsi="宋体"/>
                <w:color w:val="auto"/>
                <w:kern w:val="0"/>
                <w:sz w:val="22"/>
                <w:szCs w:val="22"/>
                <w:highlight w:val="none"/>
              </w:rPr>
              <w:t>，橡木（油漆颜色海棠色）。</w:t>
            </w:r>
            <w:r>
              <w:rPr>
                <w:rFonts w:hint="eastAsia" w:ascii="宋体" w:hAnsi="宋体"/>
                <w:color w:val="auto"/>
                <w:kern w:val="0"/>
                <w:sz w:val="22"/>
                <w:szCs w:val="22"/>
                <w:highlight w:val="none"/>
                <w:lang w:val="en-US" w:eastAsia="zh-CN"/>
              </w:rPr>
              <w:t>要求</w:t>
            </w:r>
            <w:r>
              <w:rPr>
                <w:rFonts w:hint="eastAsia" w:ascii="宋体" w:hAnsi="宋体"/>
                <w:color w:val="auto"/>
                <w:kern w:val="0"/>
                <w:sz w:val="22"/>
                <w:szCs w:val="22"/>
                <w:highlight w:val="none"/>
              </w:rPr>
              <w:t>基材：实木，油漆：品牌环保漆，五金件：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r>
        <w:tblPrEx>
          <w:tblCellMar>
            <w:top w:w="0" w:type="dxa"/>
            <w:left w:w="108" w:type="dxa"/>
            <w:bottom w:w="0" w:type="dxa"/>
            <w:right w:w="108" w:type="dxa"/>
          </w:tblCellMar>
        </w:tblPrEx>
        <w:trPr>
          <w:trHeight w:val="915"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14</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床头柜</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w:t>
            </w:r>
            <w:r>
              <w:rPr>
                <w:rFonts w:hint="eastAsia"/>
                <w:color w:val="auto"/>
                <w:kern w:val="0"/>
                <w:sz w:val="22"/>
                <w:szCs w:val="22"/>
                <w:highlight w:val="none"/>
              </w:rPr>
              <w:t>6</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橡木（油漆颜色海棠色）。</w:t>
            </w:r>
            <w:r>
              <w:rPr>
                <w:rFonts w:hint="eastAsia" w:ascii="宋体" w:hAnsi="宋体" w:cs="宋体"/>
                <w:color w:val="auto"/>
                <w:kern w:val="0"/>
                <w:sz w:val="22"/>
                <w:szCs w:val="22"/>
                <w:highlight w:val="none"/>
                <w:lang w:val="en-US" w:eastAsia="zh-CN"/>
              </w:rPr>
              <w:t>要求</w:t>
            </w:r>
            <w:r>
              <w:rPr>
                <w:rFonts w:hint="eastAsia" w:ascii="宋体" w:hAnsi="宋体" w:cs="宋体"/>
                <w:color w:val="auto"/>
                <w:kern w:val="0"/>
                <w:sz w:val="22"/>
                <w:szCs w:val="22"/>
                <w:highlight w:val="none"/>
              </w:rPr>
              <w:t>基材：实木，油漆：品牌环保漆，五金件：304不锈钢，环保：甲醛释放≤0.5mg/L。</w:t>
            </w:r>
          </w:p>
        </w:tc>
      </w:tr>
      <w:tr>
        <w:tblPrEx>
          <w:tblCellMar>
            <w:top w:w="0" w:type="dxa"/>
            <w:left w:w="108" w:type="dxa"/>
            <w:bottom w:w="0" w:type="dxa"/>
            <w:right w:w="108" w:type="dxa"/>
          </w:tblCellMar>
        </w:tblPrEx>
        <w:trPr>
          <w:trHeight w:val="360"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15</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1.5</w:t>
            </w:r>
            <w:r>
              <w:rPr>
                <w:rFonts w:hint="eastAsia" w:ascii="宋体" w:hAnsi="宋体"/>
                <w:color w:val="auto"/>
                <w:kern w:val="0"/>
                <w:sz w:val="22"/>
                <w:szCs w:val="22"/>
                <w:highlight w:val="none"/>
              </w:rPr>
              <w:t>米床垫</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20</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规格</w:t>
            </w:r>
            <w:r>
              <w:rPr>
                <w:color w:val="auto"/>
                <w:kern w:val="0"/>
                <w:sz w:val="22"/>
                <w:szCs w:val="22"/>
                <w:highlight w:val="none"/>
              </w:rPr>
              <w:t>1500*2000mm</w:t>
            </w:r>
            <w:r>
              <w:rPr>
                <w:rFonts w:hint="eastAsia" w:ascii="宋体" w:hAnsi="宋体"/>
                <w:color w:val="auto"/>
                <w:kern w:val="0"/>
                <w:sz w:val="22"/>
                <w:szCs w:val="22"/>
                <w:highlight w:val="none"/>
              </w:rPr>
              <w:t>，</w:t>
            </w:r>
            <w:r>
              <w:rPr>
                <w:color w:val="auto"/>
                <w:kern w:val="0"/>
                <w:sz w:val="22"/>
                <w:szCs w:val="22"/>
                <w:highlight w:val="none"/>
              </w:rPr>
              <w:t>15cm</w:t>
            </w:r>
            <w:r>
              <w:rPr>
                <w:rFonts w:hint="eastAsia" w:ascii="宋体" w:hAnsi="宋体"/>
                <w:color w:val="auto"/>
                <w:kern w:val="0"/>
                <w:sz w:val="22"/>
                <w:szCs w:val="22"/>
                <w:highlight w:val="none"/>
              </w:rPr>
              <w:t>厚棕垫。</w:t>
            </w:r>
          </w:p>
        </w:tc>
      </w:tr>
      <w:tr>
        <w:tblPrEx>
          <w:tblCellMar>
            <w:top w:w="0" w:type="dxa"/>
            <w:left w:w="108" w:type="dxa"/>
            <w:bottom w:w="0" w:type="dxa"/>
            <w:right w:w="108" w:type="dxa"/>
          </w:tblCellMar>
        </w:tblPrEx>
        <w:trPr>
          <w:trHeight w:val="360"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16</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1.8</w:t>
            </w:r>
            <w:r>
              <w:rPr>
                <w:rFonts w:hint="eastAsia" w:ascii="宋体" w:hAnsi="宋体"/>
                <w:color w:val="auto"/>
                <w:kern w:val="0"/>
                <w:sz w:val="22"/>
                <w:szCs w:val="22"/>
                <w:highlight w:val="none"/>
              </w:rPr>
              <w:t>米床垫</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规格</w:t>
            </w:r>
            <w:r>
              <w:rPr>
                <w:color w:val="auto"/>
                <w:kern w:val="0"/>
                <w:sz w:val="22"/>
                <w:szCs w:val="22"/>
                <w:highlight w:val="none"/>
              </w:rPr>
              <w:t>2000*2000mm</w:t>
            </w:r>
            <w:r>
              <w:rPr>
                <w:rFonts w:hint="eastAsia" w:ascii="宋体" w:hAnsi="宋体"/>
                <w:color w:val="auto"/>
                <w:kern w:val="0"/>
                <w:sz w:val="22"/>
                <w:szCs w:val="22"/>
                <w:highlight w:val="none"/>
              </w:rPr>
              <w:t>，</w:t>
            </w:r>
            <w:r>
              <w:rPr>
                <w:color w:val="auto"/>
                <w:kern w:val="0"/>
                <w:sz w:val="22"/>
                <w:szCs w:val="22"/>
                <w:highlight w:val="none"/>
              </w:rPr>
              <w:t>15cm</w:t>
            </w:r>
            <w:r>
              <w:rPr>
                <w:rFonts w:hint="eastAsia" w:ascii="宋体" w:hAnsi="宋体"/>
                <w:color w:val="auto"/>
                <w:kern w:val="0"/>
                <w:sz w:val="22"/>
                <w:szCs w:val="22"/>
                <w:highlight w:val="none"/>
              </w:rPr>
              <w:t>厚棕垫。</w:t>
            </w:r>
          </w:p>
        </w:tc>
      </w:tr>
      <w:tr>
        <w:tblPrEx>
          <w:tblCellMar>
            <w:top w:w="0" w:type="dxa"/>
            <w:left w:w="108" w:type="dxa"/>
            <w:bottom w:w="0" w:type="dxa"/>
            <w:right w:w="108" w:type="dxa"/>
          </w:tblCellMar>
        </w:tblPrEx>
        <w:trPr>
          <w:trHeight w:val="990" w:hRule="atLeast"/>
        </w:trPr>
        <w:tc>
          <w:tcPr>
            <w:tcW w:w="38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17</w:t>
            </w:r>
          </w:p>
        </w:tc>
        <w:tc>
          <w:tcPr>
            <w:tcW w:w="902"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衣柜</w:t>
            </w:r>
          </w:p>
        </w:tc>
        <w:tc>
          <w:tcPr>
            <w:tcW w:w="380" w:type="pct"/>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w:t>
            </w:r>
          </w:p>
        </w:tc>
        <w:tc>
          <w:tcPr>
            <w:tcW w:w="381" w:type="pct"/>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17</w:t>
            </w:r>
          </w:p>
        </w:tc>
        <w:tc>
          <w:tcPr>
            <w:tcW w:w="2957" w:type="pct"/>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4</w:t>
            </w:r>
            <w:r>
              <w:rPr>
                <w:rFonts w:hint="eastAsia" w:ascii="宋体" w:hAnsi="宋体"/>
                <w:color w:val="auto"/>
                <w:kern w:val="0"/>
                <w:sz w:val="22"/>
                <w:szCs w:val="22"/>
                <w:highlight w:val="none"/>
              </w:rPr>
              <w:t>门衣柜，规格</w:t>
            </w:r>
            <w:r>
              <w:rPr>
                <w:color w:val="auto"/>
                <w:kern w:val="0"/>
                <w:sz w:val="22"/>
                <w:szCs w:val="22"/>
                <w:highlight w:val="none"/>
              </w:rPr>
              <w:t>1600*600*2100mm</w:t>
            </w:r>
            <w:r>
              <w:rPr>
                <w:rFonts w:hint="eastAsia" w:ascii="宋体" w:hAnsi="宋体"/>
                <w:color w:val="auto"/>
                <w:kern w:val="0"/>
                <w:sz w:val="22"/>
                <w:szCs w:val="22"/>
                <w:highlight w:val="none"/>
              </w:rPr>
              <w:t>，杉木结构（油漆颜色海棠色）。</w:t>
            </w:r>
            <w:r>
              <w:rPr>
                <w:rFonts w:hint="eastAsia" w:ascii="宋体" w:hAnsi="宋体"/>
                <w:color w:val="auto"/>
                <w:kern w:val="0"/>
                <w:sz w:val="22"/>
                <w:szCs w:val="22"/>
                <w:highlight w:val="none"/>
                <w:lang w:val="en-US" w:eastAsia="zh-CN"/>
              </w:rPr>
              <w:t>要求</w:t>
            </w:r>
            <w:r>
              <w:rPr>
                <w:rFonts w:hint="eastAsia" w:ascii="宋体" w:hAnsi="宋体"/>
                <w:color w:val="auto"/>
                <w:kern w:val="0"/>
                <w:sz w:val="22"/>
                <w:szCs w:val="22"/>
                <w:highlight w:val="none"/>
              </w:rPr>
              <w:t>基材：实木，油漆：品牌环保漆，五金件：</w:t>
            </w:r>
            <w:r>
              <w:rPr>
                <w:color w:val="auto"/>
                <w:kern w:val="0"/>
                <w:sz w:val="22"/>
                <w:szCs w:val="22"/>
                <w:highlight w:val="none"/>
              </w:rPr>
              <w:t>304</w:t>
            </w:r>
            <w:r>
              <w:rPr>
                <w:rFonts w:hint="eastAsia" w:ascii="宋体" w:hAnsi="宋体"/>
                <w:color w:val="auto"/>
                <w:kern w:val="0"/>
                <w:sz w:val="22"/>
                <w:szCs w:val="22"/>
                <w:highlight w:val="none"/>
              </w:rPr>
              <w:t>不锈钢，环保：甲醛释放≤</w:t>
            </w:r>
            <w:r>
              <w:rPr>
                <w:color w:val="auto"/>
                <w:kern w:val="0"/>
                <w:sz w:val="22"/>
                <w:szCs w:val="22"/>
                <w:highlight w:val="none"/>
              </w:rPr>
              <w:t>0.5mg/L</w:t>
            </w:r>
            <w:r>
              <w:rPr>
                <w:rFonts w:hint="eastAsia" w:ascii="宋体" w:hAnsi="宋体"/>
                <w:color w:val="auto"/>
                <w:kern w:val="0"/>
                <w:sz w:val="22"/>
                <w:szCs w:val="22"/>
                <w:highlight w:val="none"/>
              </w:rPr>
              <w:t>。</w:t>
            </w:r>
          </w:p>
        </w:tc>
      </w:tr>
    </w:tbl>
    <w:p>
      <w:pPr>
        <w:spacing w:line="420" w:lineRule="exact"/>
        <w:ind w:firstLine="480" w:firstLineChars="200"/>
        <w:rPr>
          <w:rFonts w:hint="eastAsia" w:ascii="宋体" w:hAnsi="宋体"/>
          <w:color w:val="auto"/>
          <w:highlight w:val="none"/>
        </w:rPr>
      </w:pPr>
      <w:r>
        <w:rPr>
          <w:rFonts w:hint="eastAsia" w:ascii="宋体" w:hAnsi="宋体"/>
          <w:color w:val="auto"/>
          <w:sz w:val="24"/>
          <w:highlight w:val="none"/>
        </w:rPr>
        <w:t>供货地点:兴国县良村镇良村收费站兴赣北延高速路政大队大院。</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供货时间：供应商（报价人）必须在2021年2月</w:t>
      </w:r>
      <w:r>
        <w:rPr>
          <w:rFonts w:hint="eastAsia" w:ascii="宋体" w:hAnsi="宋体"/>
          <w:color w:val="auto"/>
          <w:sz w:val="24"/>
          <w:highlight w:val="none"/>
          <w:lang w:val="en-US" w:eastAsia="zh-CN"/>
        </w:rPr>
        <w:t>4</w:t>
      </w:r>
      <w:r>
        <w:rPr>
          <w:rFonts w:hint="eastAsia" w:ascii="宋体" w:hAnsi="宋体"/>
          <w:color w:val="auto"/>
          <w:sz w:val="24"/>
          <w:highlight w:val="none"/>
        </w:rPr>
        <w:t>日前完成供货及安装。</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三、本次询价的控制价上限及要求</w:t>
      </w:r>
    </w:p>
    <w:p>
      <w:pPr>
        <w:spacing w:line="480" w:lineRule="exact"/>
        <w:ind w:firstLine="482" w:firstLineChars="200"/>
        <w:rPr>
          <w:rFonts w:hint="eastAsia" w:ascii="宋体" w:hAnsi="宋体"/>
          <w:color w:val="auto"/>
          <w:sz w:val="24"/>
          <w:highlight w:val="none"/>
        </w:rPr>
      </w:pPr>
      <w:r>
        <w:rPr>
          <w:rFonts w:hint="eastAsia" w:ascii="宋体" w:hAnsi="宋体"/>
          <w:b/>
          <w:color w:val="auto"/>
          <w:sz w:val="24"/>
          <w:highlight w:val="none"/>
        </w:rPr>
        <w:t>控制价上限：16.7万元。</w:t>
      </w:r>
      <w:r>
        <w:rPr>
          <w:rFonts w:hint="eastAsia" w:ascii="宋体" w:hAnsi="宋体"/>
          <w:color w:val="auto"/>
          <w:sz w:val="24"/>
          <w:highlight w:val="none"/>
        </w:rPr>
        <w:t>本报价包含材料设备费、运费、安装费、税金、利润等所有内容，采购人不再另行支付其他费用。报价人的报价不得高于本限价，否则视为不响应询价文件，而被采购人拒绝。</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四、费用的支付</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、第</w:t>
      </w:r>
      <w:r>
        <w:rPr>
          <w:rFonts w:ascii="宋体" w:hAnsi="宋体"/>
          <w:color w:val="auto"/>
          <w:sz w:val="24"/>
          <w:highlight w:val="none"/>
        </w:rPr>
        <w:t>1</w:t>
      </w:r>
      <w:r>
        <w:rPr>
          <w:rFonts w:hint="eastAsia" w:ascii="宋体" w:hAnsi="宋体"/>
          <w:color w:val="auto"/>
          <w:sz w:val="24"/>
          <w:highlight w:val="none"/>
        </w:rPr>
        <w:t>期支付：安装完成经验收合格后</w:t>
      </w:r>
      <w:r>
        <w:rPr>
          <w:rFonts w:ascii="宋体" w:hAnsi="宋体"/>
          <w:color w:val="auto"/>
          <w:sz w:val="24"/>
          <w:highlight w:val="none"/>
        </w:rPr>
        <w:t>15</w:t>
      </w:r>
      <w:r>
        <w:rPr>
          <w:rFonts w:hint="eastAsia" w:ascii="宋体" w:hAnsi="宋体"/>
          <w:color w:val="auto"/>
          <w:sz w:val="24"/>
          <w:highlight w:val="none"/>
        </w:rPr>
        <w:t>天内支付合同价的95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、第</w:t>
      </w:r>
      <w:r>
        <w:rPr>
          <w:rFonts w:ascii="宋体" w:hAnsi="宋体"/>
          <w:color w:val="auto"/>
          <w:sz w:val="24"/>
          <w:highlight w:val="none"/>
        </w:rPr>
        <w:t>2</w:t>
      </w:r>
      <w:r>
        <w:rPr>
          <w:rFonts w:hint="eastAsia" w:ascii="宋体" w:hAnsi="宋体"/>
          <w:color w:val="auto"/>
          <w:sz w:val="24"/>
          <w:highlight w:val="none"/>
        </w:rPr>
        <w:t>期支付：质保期一年，期满并经采购人验收合格后</w:t>
      </w:r>
      <w:r>
        <w:rPr>
          <w:rFonts w:ascii="宋体" w:hAnsi="宋体"/>
          <w:color w:val="auto"/>
          <w:sz w:val="24"/>
          <w:highlight w:val="none"/>
        </w:rPr>
        <w:t>15</w:t>
      </w:r>
      <w:r>
        <w:rPr>
          <w:rFonts w:hint="eastAsia" w:ascii="宋体" w:hAnsi="宋体"/>
          <w:color w:val="auto"/>
          <w:sz w:val="24"/>
          <w:highlight w:val="none"/>
        </w:rPr>
        <w:t>天内支付合同价的5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五、报价人资格要求</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 资质要求：具有有效的营业执照</w:t>
      </w:r>
      <w:r>
        <w:rPr>
          <w:rFonts w:hint="eastAsia" w:ascii="宋体" w:hAnsi="宋体"/>
          <w:color w:val="auto"/>
          <w:sz w:val="24"/>
          <w:highlight w:val="none"/>
        </w:rPr>
        <w:t>（具有本次采购项目经营范围，注册资金50万以上）</w:t>
      </w:r>
      <w:r>
        <w:rPr>
          <w:rFonts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ascii="宋体" w:hAnsi="宋体"/>
          <w:color w:val="auto"/>
          <w:sz w:val="24"/>
          <w:highlight w:val="none"/>
        </w:rPr>
        <w:t>2 业绩要求：近一年内</w:t>
      </w:r>
      <w:r>
        <w:rPr>
          <w:rFonts w:hint="eastAsia" w:ascii="宋体" w:hAnsi="宋体"/>
          <w:color w:val="auto"/>
          <w:sz w:val="24"/>
          <w:highlight w:val="none"/>
        </w:rPr>
        <w:t>（合同签订时间为</w:t>
      </w:r>
      <w:r>
        <w:rPr>
          <w:rFonts w:ascii="宋体" w:hAnsi="宋体"/>
          <w:color w:val="auto"/>
          <w:sz w:val="24"/>
          <w:highlight w:val="none"/>
        </w:rPr>
        <w:t>20</w:t>
      </w:r>
      <w:r>
        <w:rPr>
          <w:rFonts w:hint="eastAsia" w:ascii="宋体" w:hAnsi="宋体"/>
          <w:color w:val="auto"/>
          <w:sz w:val="24"/>
          <w:highlight w:val="none"/>
        </w:rPr>
        <w:t>20</w:t>
      </w:r>
      <w:r>
        <w:rPr>
          <w:rFonts w:ascii="宋体" w:hAnsi="宋体"/>
          <w:color w:val="auto"/>
          <w:sz w:val="24"/>
          <w:highlight w:val="none"/>
        </w:rPr>
        <w:t>年1月1日至2020年1</w:t>
      </w:r>
      <w:r>
        <w:rPr>
          <w:rFonts w:hint="eastAsia" w:ascii="宋体" w:hAnsi="宋体"/>
          <w:color w:val="auto"/>
          <w:sz w:val="24"/>
          <w:highlight w:val="none"/>
        </w:rPr>
        <w:t>2</w:t>
      </w:r>
      <w:r>
        <w:rPr>
          <w:rFonts w:ascii="宋体" w:hAnsi="宋体"/>
          <w:color w:val="auto"/>
          <w:sz w:val="24"/>
          <w:highlight w:val="none"/>
        </w:rPr>
        <w:t>月</w:t>
      </w:r>
      <w:r>
        <w:rPr>
          <w:rFonts w:hint="eastAsia" w:ascii="宋体" w:hAnsi="宋体"/>
          <w:color w:val="auto"/>
          <w:sz w:val="24"/>
          <w:highlight w:val="none"/>
        </w:rPr>
        <w:t>31</w:t>
      </w:r>
      <w:r>
        <w:rPr>
          <w:rFonts w:ascii="宋体" w:hAnsi="宋体"/>
          <w:color w:val="auto"/>
          <w:sz w:val="24"/>
          <w:highlight w:val="none"/>
        </w:rPr>
        <w:t>日</w:t>
      </w:r>
      <w:r>
        <w:rPr>
          <w:rFonts w:hint="eastAsia" w:ascii="宋体" w:hAnsi="宋体"/>
          <w:color w:val="auto"/>
          <w:sz w:val="24"/>
          <w:highlight w:val="none"/>
        </w:rPr>
        <w:t>）至少完成1</w:t>
      </w:r>
      <w:r>
        <w:rPr>
          <w:rFonts w:ascii="宋体" w:hAnsi="宋体"/>
          <w:color w:val="auto"/>
          <w:sz w:val="24"/>
          <w:highlight w:val="none"/>
        </w:rPr>
        <w:t>个</w:t>
      </w:r>
      <w:r>
        <w:rPr>
          <w:rFonts w:hint="eastAsia" w:ascii="宋体" w:hAnsi="宋体"/>
          <w:color w:val="auto"/>
          <w:sz w:val="24"/>
          <w:highlight w:val="none"/>
        </w:rPr>
        <w:t>类似项目（每个项目合同金额不少于5万元）</w:t>
      </w:r>
      <w:r>
        <w:rPr>
          <w:rFonts w:ascii="宋体" w:hAnsi="宋体"/>
          <w:color w:val="auto"/>
          <w:sz w:val="24"/>
          <w:highlight w:val="none"/>
        </w:rPr>
        <w:t>。</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六、报价文件组成</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请各报价人派专人携带身份证原件及报价文件，参加本次竞争性谈判活动，报价文件包括：</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（1）法人代表（持法人代表相关证明复印件）或其授权代理人（持授权书原件）；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（2）经办人身份证复印件；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（3）报价函；</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（4）信誉承诺表；</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（5）单位营业执照复印件；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业绩证明材料（已签正式合同）</w:t>
      </w:r>
      <w:r>
        <w:rPr>
          <w:rFonts w:hint="eastAsia" w:ascii="宋体" w:hAnsi="宋体"/>
          <w:color w:val="auto"/>
          <w:sz w:val="24"/>
          <w:highlight w:val="none"/>
        </w:rPr>
        <w:t>复印件</w:t>
      </w:r>
      <w:r>
        <w:rPr>
          <w:rFonts w:hint="eastAsia" w:ascii="宋体" w:hAnsi="宋体"/>
          <w:color w:val="auto"/>
          <w:sz w:val="24"/>
          <w:highlight w:val="none"/>
          <w:lang w:eastAsia="zh-CN"/>
        </w:rPr>
        <w:t>。</w:t>
      </w:r>
    </w:p>
    <w:p>
      <w:pPr>
        <w:spacing w:line="420" w:lineRule="exact"/>
        <w:ind w:firstLine="600" w:firstLineChars="250"/>
        <w:rPr>
          <w:rFonts w:hint="eastAsia" w:ascii="宋体" w:hAnsi="宋体"/>
          <w:color w:val="auto"/>
          <w:sz w:val="24"/>
          <w:highlight w:val="none"/>
        </w:rPr>
      </w:pPr>
      <w:r>
        <w:rPr>
          <w:rFonts w:hint="eastAsia" w:ascii="宋体" w:hAnsi="宋体"/>
          <w:color w:val="auto"/>
          <w:sz w:val="24"/>
          <w:highlight w:val="none"/>
        </w:rPr>
        <w:t>以上资料均应逐页加盖单位公章并装订成册（一式两份）、不得活页。</w:t>
      </w:r>
    </w:p>
    <w:p>
      <w:pPr>
        <w:spacing w:line="420" w:lineRule="exact"/>
        <w:ind w:firstLine="482" w:firstLineChars="200"/>
        <w:rPr>
          <w:rFonts w:hint="eastAsia" w:ascii="宋体" w:hAnsi="宋体"/>
          <w:color w:val="auto"/>
          <w:sz w:val="24"/>
          <w:highlight w:val="none"/>
        </w:rPr>
      </w:pPr>
      <w:r>
        <w:rPr>
          <w:rFonts w:hint="eastAsia" w:ascii="宋体" w:hAnsi="宋体"/>
          <w:b/>
          <w:color w:val="auto"/>
          <w:sz w:val="24"/>
          <w:highlight w:val="none"/>
        </w:rPr>
        <w:t>七、公告媒介、采购文件获取时间及方式：</w:t>
      </w:r>
      <w:r>
        <w:rPr>
          <w:rFonts w:hint="eastAsia" w:ascii="宋体" w:hAnsi="宋体"/>
          <w:color w:val="auto"/>
          <w:sz w:val="24"/>
          <w:highlight w:val="none"/>
        </w:rPr>
        <w:t>有意向的报价人请于报价文件的递交截止时间前，</w:t>
      </w:r>
      <w:r>
        <w:rPr>
          <w:rFonts w:ascii="宋体" w:hAnsi="宋体"/>
          <w:color w:val="auto"/>
          <w:sz w:val="24"/>
          <w:highlight w:val="none"/>
        </w:rPr>
        <w:t>自行在赣州交通控股集团有限公司官方网站（http://www.gzjtkgjt.com/）或江西省招标投标网（http://www.jxtb.org.cn/）查阅采购公告，在赣州交通控股集团有限公司官方网站（http://www.gzjtkgjt.com/）下载询价采购文件。</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八、报价文件的密封和标识</w:t>
      </w:r>
    </w:p>
    <w:p>
      <w:pPr>
        <w:spacing w:line="42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报价文件应密封包装。封套的封口处加盖报价人单位章或由报价人的法定代表人或其委托代理人签字。</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九、报价文件的递交及相关事宜：</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报价文件的递交截止时间：2021年1月1</w:t>
      </w:r>
      <w:r>
        <w:rPr>
          <w:rFonts w:hint="eastAsia" w:ascii="宋体" w:hAnsi="宋体"/>
          <w:color w:val="auto"/>
          <w:sz w:val="24"/>
          <w:highlight w:val="none"/>
          <w:lang w:val="en-US" w:eastAsia="zh-CN"/>
        </w:rPr>
        <w:t>9</w:t>
      </w:r>
      <w:r>
        <w:rPr>
          <w:rFonts w:hint="eastAsia" w:ascii="宋体" w:hAnsi="宋体"/>
          <w:color w:val="auto"/>
          <w:sz w:val="24"/>
          <w:highlight w:val="none"/>
        </w:rPr>
        <w:t>日9：00，递交地址：赣州市章贡区沙河镇赣州东收费站出口旁赣州交通控股集团有限公司</w:t>
      </w:r>
      <w:r>
        <w:rPr>
          <w:rFonts w:hint="eastAsia" w:ascii="宋体" w:hAnsi="宋体"/>
          <w:color w:val="auto"/>
          <w:sz w:val="24"/>
          <w:highlight w:val="none"/>
          <w:lang w:val="en-US" w:eastAsia="zh-CN"/>
        </w:rPr>
        <w:t>9楼会议室</w:t>
      </w:r>
      <w:r>
        <w:rPr>
          <w:rFonts w:hint="eastAsia" w:ascii="宋体" w:hAnsi="宋体"/>
          <w:color w:val="auto"/>
          <w:sz w:val="24"/>
          <w:highlight w:val="none"/>
        </w:rPr>
        <w:t>。采购人将拒绝接受在递交截止时间后送达的报价函。</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十、报价文件的开启程序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1、公布在截止时间前递交报价文件的报价人数量；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2、报价人代表现场检查报价文件密封情况；</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3、开启报价文件，公布报价人名称、报价等，结束后报价人及采购小组签字确认。</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十一、公示</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询价结束后3日内，在江西省招标投标网（http://www.jxtb.org.cn）、赣州交通控股集团有限公司网站（http://www.gzjtkgjt.com）上对候选人进行公示。</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十二、联系方式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采购人名称：赣州高速公路有限责任公司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采购人地址：江西省赣州市章贡区沙河镇赣州东收费站出口右侧（赣州交通控股集团有限公司）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联系人：温女士 </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电  话：0797-8289692 </w:t>
      </w:r>
    </w:p>
    <w:p>
      <w:pPr>
        <w:spacing w:line="312" w:lineRule="auto"/>
        <w:ind w:firstLine="482" w:firstLineChars="200"/>
        <w:rPr>
          <w:rFonts w:ascii="宋体" w:hAnsi="宋体"/>
          <w:b/>
          <w:color w:val="auto"/>
          <w:sz w:val="24"/>
          <w:highlight w:val="none"/>
        </w:rPr>
      </w:pPr>
      <w:r>
        <w:rPr>
          <w:rFonts w:hint="eastAsia" w:ascii="宋体" w:hAnsi="宋体"/>
          <w:b/>
          <w:color w:val="auto"/>
          <w:sz w:val="24"/>
          <w:highlight w:val="none"/>
        </w:rPr>
        <w:t>十三、监督部门及联系方式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监督部门：赣州交通控股集团有限公司风控审计部、纪检监察室</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    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话：0797-8289879、0797-8282685</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邮政编码：341000</w:t>
      </w:r>
    </w:p>
    <w:p>
      <w:pPr>
        <w:spacing w:line="420" w:lineRule="exact"/>
        <w:ind w:firstLine="480" w:firstLineChars="200"/>
        <w:rPr>
          <w:rFonts w:hint="eastAsia" w:ascii="宋体" w:hAnsi="宋体"/>
          <w:color w:val="auto"/>
          <w:sz w:val="24"/>
          <w:highlight w:val="none"/>
        </w:rPr>
      </w:pPr>
    </w:p>
    <w:p>
      <w:pPr>
        <w:spacing w:line="420" w:lineRule="exact"/>
        <w:ind w:firstLine="480" w:firstLineChars="200"/>
        <w:rPr>
          <w:rFonts w:hint="eastAsia" w:ascii="宋体" w:hAnsi="宋体"/>
          <w:color w:val="auto"/>
          <w:sz w:val="24"/>
          <w:highlight w:val="none"/>
        </w:rPr>
      </w:pPr>
    </w:p>
    <w:p>
      <w:pPr>
        <w:spacing w:line="420" w:lineRule="exact"/>
        <w:ind w:firstLine="4536" w:firstLineChars="1890"/>
        <w:jc w:val="center"/>
        <w:rPr>
          <w:rFonts w:ascii="宋体" w:hAnsi="宋体"/>
          <w:color w:val="auto"/>
          <w:sz w:val="24"/>
          <w:highlight w:val="none"/>
        </w:rPr>
      </w:pPr>
      <w:r>
        <w:rPr>
          <w:rFonts w:hint="eastAsia" w:ascii="宋体" w:hAnsi="宋体"/>
          <w:color w:val="auto"/>
          <w:sz w:val="24"/>
          <w:highlight w:val="none"/>
        </w:rPr>
        <w:t>赣州高速公路有限责任公司</w:t>
      </w:r>
    </w:p>
    <w:p>
      <w:pPr>
        <w:spacing w:line="420" w:lineRule="exact"/>
        <w:ind w:firstLine="4536" w:firstLineChars="1890"/>
        <w:jc w:val="center"/>
        <w:rPr>
          <w:rFonts w:hint="eastAsia" w:ascii="宋体" w:hAnsi="宋体"/>
          <w:bCs/>
          <w:color w:val="auto"/>
          <w:sz w:val="24"/>
          <w:highlight w:val="none"/>
        </w:rPr>
      </w:pPr>
      <w:r>
        <w:rPr>
          <w:rFonts w:hint="eastAsia" w:ascii="宋体" w:hAnsi="宋体"/>
          <w:color w:val="auto"/>
          <w:sz w:val="24"/>
          <w:highlight w:val="none"/>
        </w:rPr>
        <w:t>2021年1月13日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C3E2B"/>
    <w:rsid w:val="6F3C3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2021-01-13T08:40:00Z</dcterms:created>
  <dc:creator>Administrator</dc:creator>
  <cp:lastModifiedBy>Administrator</cp:lastModifiedBy>
  <dcterms:modified xsi:type="dcterms:W3CDTF">2021-01-13T08:41:36Z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