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b/>
          <w:color w:val="auto"/>
          <w:sz w:val="36"/>
          <w:szCs w:val="36"/>
          <w:highlight w:val="none"/>
        </w:rPr>
      </w:pPr>
      <w:r>
        <w:rPr>
          <w:rFonts w:hint="eastAsia"/>
          <w:b/>
          <w:color w:val="auto"/>
          <w:sz w:val="36"/>
          <w:szCs w:val="36"/>
          <w:highlight w:val="none"/>
        </w:rPr>
        <w:t>兴赣北延高速路政大队窗帘采购项目询价公告</w:t>
      </w:r>
    </w:p>
    <w:p>
      <w:pPr>
        <w:spacing w:line="420" w:lineRule="exact"/>
        <w:rPr>
          <w:rFonts w:hint="eastAsia" w:ascii="宋体" w:hAnsi="宋体"/>
          <w:b/>
          <w:color w:val="auto"/>
          <w:sz w:val="24"/>
          <w:highlight w:val="none"/>
        </w:rPr>
      </w:pP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一、询价条件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兴赣北延高速公路2020年12月底建成通车，兴赣北延高速路政大队现需新购一批窗帘</w:t>
      </w:r>
      <w:r>
        <w:rPr>
          <w:rFonts w:ascii="宋体" w:hAnsi="宋体"/>
          <w:color w:val="auto"/>
          <w:sz w:val="24"/>
          <w:highlight w:val="none"/>
        </w:rPr>
        <w:t>，资金来源为自有资金，该项目已具备采购条件，现</w:t>
      </w:r>
      <w:r>
        <w:rPr>
          <w:rFonts w:hint="eastAsia" w:ascii="宋体" w:hAnsi="宋体"/>
          <w:color w:val="auto"/>
          <w:sz w:val="24"/>
          <w:highlight w:val="none"/>
        </w:rPr>
        <w:t>对该项目进行</w:t>
      </w:r>
      <w:r>
        <w:rPr>
          <w:rFonts w:ascii="宋体" w:hAnsi="宋体"/>
          <w:color w:val="auto"/>
          <w:sz w:val="24"/>
          <w:highlight w:val="none"/>
        </w:rPr>
        <w:t>公开询价</w:t>
      </w:r>
      <w:r>
        <w:rPr>
          <w:rFonts w:hint="eastAsia" w:ascii="宋体" w:hAnsi="宋体"/>
          <w:color w:val="auto"/>
          <w:sz w:val="24"/>
          <w:highlight w:val="none"/>
        </w:rPr>
        <w:t>。</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本次询价项目名称：兴赣北延高速路政大队窗帘采购项目。</w:t>
      </w:r>
      <w:r>
        <w:rPr>
          <w:rFonts w:ascii="宋体" w:hAnsi="宋体"/>
          <w:color w:val="auto"/>
          <w:sz w:val="24"/>
          <w:highlight w:val="none"/>
        </w:rPr>
        <w:t>采购人</w:t>
      </w:r>
      <w:r>
        <w:rPr>
          <w:rFonts w:hint="eastAsia" w:ascii="宋体" w:hAnsi="宋体"/>
          <w:color w:val="auto"/>
          <w:sz w:val="24"/>
          <w:highlight w:val="none"/>
        </w:rPr>
        <w:t>：赣州高速公路有限责任公司,合同签订人为:</w:t>
      </w:r>
      <w:r>
        <w:rPr>
          <w:rFonts w:ascii="宋体" w:hAnsi="宋体"/>
          <w:color w:val="auto"/>
          <w:sz w:val="24"/>
          <w:highlight w:val="none"/>
        </w:rPr>
        <w:t>赣州兴赣北延高速公路有限责任公司。</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采购</w:t>
      </w:r>
      <w:r>
        <w:rPr>
          <w:rFonts w:hint="eastAsia" w:ascii="宋体" w:hAnsi="宋体"/>
          <w:b/>
          <w:color w:val="auto"/>
          <w:sz w:val="24"/>
          <w:highlight w:val="none"/>
        </w:rPr>
        <w:t>内容及要求</w:t>
      </w:r>
    </w:p>
    <w:tbl>
      <w:tblPr>
        <w:tblStyle w:val="3"/>
        <w:tblW w:w="9200" w:type="dxa"/>
        <w:tblInd w:w="93" w:type="dxa"/>
        <w:tblLayout w:type="autofit"/>
        <w:tblCellMar>
          <w:top w:w="0" w:type="dxa"/>
          <w:left w:w="108" w:type="dxa"/>
          <w:bottom w:w="0" w:type="dxa"/>
          <w:right w:w="108" w:type="dxa"/>
        </w:tblCellMar>
      </w:tblPr>
      <w:tblGrid>
        <w:gridCol w:w="700"/>
        <w:gridCol w:w="1660"/>
        <w:gridCol w:w="700"/>
        <w:gridCol w:w="783"/>
        <w:gridCol w:w="5357"/>
      </w:tblGrid>
      <w:tr>
        <w:tblPrEx>
          <w:tblCellMar>
            <w:top w:w="0" w:type="dxa"/>
            <w:left w:w="108" w:type="dxa"/>
            <w:bottom w:w="0" w:type="dxa"/>
            <w:right w:w="108" w:type="dxa"/>
          </w:tblCellMar>
        </w:tblPrEx>
        <w:trPr>
          <w:trHeight w:val="624"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rFonts w:ascii="宋体" w:hAnsi="宋体"/>
                <w:bCs/>
                <w:color w:val="auto"/>
                <w:kern w:val="0"/>
                <w:sz w:val="22"/>
                <w:highlight w:val="none"/>
              </w:rPr>
              <w:t>序号</w:t>
            </w:r>
          </w:p>
        </w:tc>
        <w:tc>
          <w:tcPr>
            <w:tcW w:w="1660" w:type="dxa"/>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宋体" w:hAnsi="宋体" w:cs="宋体"/>
                <w:color w:val="auto"/>
                <w:kern w:val="0"/>
                <w:sz w:val="22"/>
                <w:szCs w:val="22"/>
                <w:highlight w:val="none"/>
              </w:rPr>
            </w:pPr>
            <w:r>
              <w:rPr>
                <w:rFonts w:hint="eastAsia" w:ascii="宋体" w:hAnsi="宋体"/>
                <w:bCs/>
                <w:color w:val="auto"/>
                <w:kern w:val="0"/>
                <w:sz w:val="22"/>
                <w:highlight w:val="none"/>
              </w:rPr>
              <w:t>物品名称</w:t>
            </w:r>
          </w:p>
        </w:tc>
        <w:tc>
          <w:tcPr>
            <w:tcW w:w="700" w:type="dxa"/>
            <w:tcBorders>
              <w:top w:val="single" w:color="auto" w:sz="4" w:space="0"/>
              <w:left w:val="nil"/>
              <w:bottom w:val="nil"/>
              <w:right w:val="single" w:color="auto" w:sz="4" w:space="0"/>
            </w:tcBorders>
            <w:shd w:val="clear" w:color="000000" w:fill="FFFFFF"/>
            <w:noWrap w:val="0"/>
            <w:vAlign w:val="center"/>
          </w:tcPr>
          <w:p>
            <w:pPr>
              <w:widowControl/>
              <w:jc w:val="center"/>
              <w:rPr>
                <w:rFonts w:hint="eastAsia" w:ascii="宋体" w:hAnsi="宋体" w:cs="宋体"/>
                <w:color w:val="auto"/>
                <w:kern w:val="0"/>
                <w:sz w:val="22"/>
                <w:szCs w:val="22"/>
                <w:highlight w:val="none"/>
              </w:rPr>
            </w:pPr>
            <w:r>
              <w:rPr>
                <w:rFonts w:hint="eastAsia" w:ascii="宋体" w:hAnsi="宋体"/>
                <w:bCs/>
                <w:color w:val="auto"/>
                <w:kern w:val="0"/>
                <w:sz w:val="22"/>
                <w:highlight w:val="none"/>
              </w:rPr>
              <w:t>单位</w:t>
            </w:r>
          </w:p>
        </w:tc>
        <w:tc>
          <w:tcPr>
            <w:tcW w:w="78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rFonts w:ascii="宋体" w:hAnsi="宋体"/>
                <w:bCs/>
                <w:color w:val="auto"/>
                <w:kern w:val="0"/>
                <w:sz w:val="22"/>
                <w:highlight w:val="none"/>
              </w:rPr>
              <w:t>数量</w:t>
            </w:r>
          </w:p>
        </w:tc>
        <w:tc>
          <w:tcPr>
            <w:tcW w:w="535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olor w:val="auto"/>
                <w:kern w:val="0"/>
                <w:sz w:val="22"/>
                <w:szCs w:val="22"/>
                <w:highlight w:val="none"/>
              </w:rPr>
            </w:pPr>
            <w:r>
              <w:rPr>
                <w:rFonts w:ascii="宋体" w:hAnsi="宋体"/>
                <w:bCs/>
                <w:color w:val="auto"/>
                <w:kern w:val="0"/>
                <w:sz w:val="22"/>
                <w:highlight w:val="none"/>
              </w:rPr>
              <w:t>备  注</w:t>
            </w:r>
          </w:p>
        </w:tc>
      </w:tr>
      <w:tr>
        <w:tblPrEx>
          <w:tblCellMar>
            <w:top w:w="0" w:type="dxa"/>
            <w:left w:w="108" w:type="dxa"/>
            <w:bottom w:w="0" w:type="dxa"/>
            <w:right w:w="108" w:type="dxa"/>
          </w:tblCellMar>
        </w:tblPrEx>
        <w:trPr>
          <w:trHeight w:val="96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1660" w:type="dxa"/>
            <w:tcBorders>
              <w:top w:val="single" w:color="auto" w:sz="4" w:space="0"/>
              <w:left w:val="nil"/>
              <w:bottom w:val="nil"/>
              <w:right w:val="single" w:color="auto" w:sz="4" w:space="0"/>
            </w:tcBorders>
            <w:shd w:val="clear" w:color="000000" w:fill="FFFFFF"/>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办公室窗帘</w:t>
            </w:r>
          </w:p>
        </w:tc>
        <w:tc>
          <w:tcPr>
            <w:tcW w:w="700" w:type="dxa"/>
            <w:tcBorders>
              <w:top w:val="single" w:color="auto" w:sz="4" w:space="0"/>
              <w:left w:val="nil"/>
              <w:bottom w:val="nil"/>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40</w:t>
            </w:r>
          </w:p>
        </w:tc>
        <w:tc>
          <w:tcPr>
            <w:tcW w:w="535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办公楼办公室窗帘：窗户洞规格：</w:t>
            </w:r>
            <w:r>
              <w:rPr>
                <w:color w:val="auto"/>
                <w:kern w:val="0"/>
                <w:sz w:val="22"/>
                <w:szCs w:val="22"/>
                <w:highlight w:val="none"/>
              </w:rPr>
              <w:t>150*210cm</w:t>
            </w:r>
            <w:r>
              <w:rPr>
                <w:rFonts w:hint="eastAsia" w:ascii="宋体" w:hAnsi="宋体"/>
                <w:color w:val="auto"/>
                <w:kern w:val="0"/>
                <w:sz w:val="22"/>
                <w:szCs w:val="22"/>
                <w:highlight w:val="none"/>
              </w:rPr>
              <w:t>：</w:t>
            </w:r>
            <w:r>
              <w:rPr>
                <w:color w:val="auto"/>
                <w:kern w:val="0"/>
                <w:sz w:val="22"/>
                <w:szCs w:val="22"/>
                <w:highlight w:val="none"/>
              </w:rPr>
              <w:t>28</w:t>
            </w:r>
            <w:r>
              <w:rPr>
                <w:rFonts w:hint="eastAsia" w:ascii="宋体" w:hAnsi="宋体"/>
                <w:color w:val="auto"/>
                <w:kern w:val="0"/>
                <w:sz w:val="22"/>
                <w:szCs w:val="22"/>
                <w:highlight w:val="none"/>
              </w:rPr>
              <w:t>套；面料：涤纶半遮光</w:t>
            </w:r>
            <w:r>
              <w:rPr>
                <w:color w:val="auto"/>
                <w:kern w:val="0"/>
                <w:sz w:val="22"/>
                <w:szCs w:val="22"/>
                <w:highlight w:val="none"/>
              </w:rPr>
              <w:t>40%-70%</w:t>
            </w:r>
            <w:r>
              <w:rPr>
                <w:rFonts w:hint="eastAsia" w:ascii="宋体" w:hAnsi="宋体"/>
                <w:color w:val="auto"/>
                <w:kern w:val="0"/>
                <w:sz w:val="22"/>
                <w:szCs w:val="22"/>
                <w:highlight w:val="none"/>
              </w:rPr>
              <w:t>，卷帘；上杆为铝合金，下杆为</w:t>
            </w:r>
            <w:r>
              <w:rPr>
                <w:color w:val="auto"/>
                <w:kern w:val="0"/>
                <w:sz w:val="22"/>
                <w:szCs w:val="22"/>
                <w:highlight w:val="none"/>
              </w:rPr>
              <w:t>PVC</w:t>
            </w:r>
            <w:r>
              <w:rPr>
                <w:rFonts w:hint="eastAsia" w:ascii="宋体" w:hAnsi="宋体"/>
                <w:color w:val="auto"/>
                <w:kern w:val="0"/>
                <w:sz w:val="22"/>
                <w:szCs w:val="22"/>
                <w:highlight w:val="none"/>
              </w:rPr>
              <w:t>，</w:t>
            </w:r>
            <w:r>
              <w:rPr>
                <w:color w:val="auto"/>
                <w:kern w:val="0"/>
                <w:sz w:val="22"/>
                <w:szCs w:val="22"/>
                <w:highlight w:val="none"/>
              </w:rPr>
              <w:t>POM</w:t>
            </w:r>
            <w:r>
              <w:rPr>
                <w:rFonts w:hint="eastAsia" w:ascii="宋体" w:hAnsi="宋体"/>
                <w:color w:val="auto"/>
                <w:kern w:val="0"/>
                <w:sz w:val="22"/>
                <w:szCs w:val="22"/>
                <w:highlight w:val="none"/>
              </w:rPr>
              <w:t>环保静音拉珠。</w:t>
            </w:r>
          </w:p>
        </w:tc>
      </w:tr>
      <w:tr>
        <w:tblPrEx>
          <w:tblCellMar>
            <w:top w:w="0" w:type="dxa"/>
            <w:left w:w="108" w:type="dxa"/>
            <w:bottom w:w="0" w:type="dxa"/>
            <w:right w:w="108" w:type="dxa"/>
          </w:tblCellMar>
        </w:tblPrEx>
        <w:trPr>
          <w:trHeight w:val="855"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2</w:t>
            </w:r>
          </w:p>
        </w:tc>
        <w:tc>
          <w:tcPr>
            <w:tcW w:w="16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宿舍窗帘</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783" w:type="dxa"/>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40</w:t>
            </w:r>
          </w:p>
        </w:tc>
        <w:tc>
          <w:tcPr>
            <w:tcW w:w="5357" w:type="dxa"/>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宿舍落地窗帘，窗户规格：</w:t>
            </w:r>
            <w:r>
              <w:rPr>
                <w:color w:val="auto"/>
                <w:kern w:val="0"/>
                <w:sz w:val="22"/>
                <w:szCs w:val="22"/>
                <w:highlight w:val="none"/>
              </w:rPr>
              <w:t>200*270cm</w:t>
            </w:r>
            <w:r>
              <w:rPr>
                <w:rFonts w:hint="eastAsia" w:ascii="宋体" w:hAnsi="宋体"/>
                <w:color w:val="auto"/>
                <w:kern w:val="0"/>
                <w:sz w:val="22"/>
                <w:szCs w:val="22"/>
                <w:highlight w:val="none"/>
              </w:rPr>
              <w:t>，面料材质为混纺高遮光（</w:t>
            </w:r>
            <w:r>
              <w:rPr>
                <w:color w:val="auto"/>
                <w:kern w:val="0"/>
                <w:sz w:val="22"/>
                <w:szCs w:val="22"/>
                <w:highlight w:val="none"/>
              </w:rPr>
              <w:t>70%-90%</w:t>
            </w:r>
            <w:r>
              <w:rPr>
                <w:rFonts w:hint="eastAsia" w:ascii="宋体" w:hAnsi="宋体"/>
                <w:color w:val="auto"/>
                <w:kern w:val="0"/>
                <w:sz w:val="22"/>
                <w:szCs w:val="22"/>
                <w:highlight w:val="none"/>
              </w:rPr>
              <w:t>），轨道材质加厚铝合金罗马杆。</w:t>
            </w:r>
          </w:p>
        </w:tc>
      </w:tr>
    </w:tbl>
    <w:p>
      <w:pPr>
        <w:spacing w:line="420" w:lineRule="exact"/>
        <w:ind w:firstLine="480" w:firstLineChars="200"/>
        <w:rPr>
          <w:rFonts w:hint="eastAsia" w:ascii="宋体" w:hAnsi="宋体"/>
          <w:color w:val="auto"/>
          <w:highlight w:val="none"/>
        </w:rPr>
      </w:pPr>
      <w:r>
        <w:rPr>
          <w:rFonts w:hint="eastAsia" w:ascii="宋体" w:hAnsi="宋体"/>
          <w:color w:val="auto"/>
          <w:sz w:val="24"/>
          <w:highlight w:val="none"/>
        </w:rPr>
        <w:t>供货地点:兴国县良村镇良村收费站兴赣北延高速路政大队大院。</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供货时间：供应商（报价人）必须在2021年2月</w:t>
      </w:r>
      <w:r>
        <w:rPr>
          <w:rFonts w:hint="eastAsia" w:ascii="宋体" w:hAnsi="宋体"/>
          <w:color w:val="auto"/>
          <w:sz w:val="24"/>
          <w:highlight w:val="none"/>
          <w:lang w:val="en-US" w:eastAsia="zh-CN"/>
        </w:rPr>
        <w:t>4</w:t>
      </w:r>
      <w:r>
        <w:rPr>
          <w:rFonts w:hint="eastAsia" w:ascii="宋体" w:hAnsi="宋体"/>
          <w:color w:val="auto"/>
          <w:sz w:val="24"/>
          <w:highlight w:val="none"/>
        </w:rPr>
        <w:t>日前完成供货及安装。</w:t>
      </w:r>
    </w:p>
    <w:p>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三、本次询价的控制价上限及要求</w:t>
      </w:r>
    </w:p>
    <w:p>
      <w:pPr>
        <w:spacing w:line="480" w:lineRule="exact"/>
        <w:ind w:firstLine="482" w:firstLineChars="200"/>
        <w:rPr>
          <w:rFonts w:hint="eastAsia" w:ascii="宋体" w:hAnsi="宋体"/>
          <w:color w:val="auto"/>
          <w:sz w:val="24"/>
          <w:highlight w:val="none"/>
        </w:rPr>
      </w:pPr>
      <w:r>
        <w:rPr>
          <w:rFonts w:hint="eastAsia" w:ascii="宋体" w:hAnsi="宋体"/>
          <w:b/>
          <w:color w:val="auto"/>
          <w:sz w:val="24"/>
          <w:highlight w:val="none"/>
        </w:rPr>
        <w:t>控制价上限：3.6万元。</w:t>
      </w:r>
      <w:r>
        <w:rPr>
          <w:rFonts w:hint="eastAsia" w:ascii="宋体" w:hAnsi="宋体"/>
          <w:color w:val="auto"/>
          <w:sz w:val="24"/>
          <w:highlight w:val="none"/>
        </w:rPr>
        <w:t>本报价包含材料费、运费、安装费、税金、利润等所有内容，采购人不再另行支付其他费用。报价人的报价不得高于本限价，否则视为不响应询价文件，而被采购人拒绝。</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四、费用的支付</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、第</w:t>
      </w:r>
      <w:r>
        <w:rPr>
          <w:rFonts w:ascii="宋体" w:hAnsi="宋体"/>
          <w:color w:val="auto"/>
          <w:sz w:val="24"/>
          <w:highlight w:val="none"/>
        </w:rPr>
        <w:t>1</w:t>
      </w:r>
      <w:r>
        <w:rPr>
          <w:rFonts w:hint="eastAsia" w:ascii="宋体" w:hAnsi="宋体"/>
          <w:color w:val="auto"/>
          <w:sz w:val="24"/>
          <w:highlight w:val="none"/>
        </w:rPr>
        <w:t>期支付：安装完成经验收合格后</w:t>
      </w:r>
      <w:r>
        <w:rPr>
          <w:rFonts w:ascii="宋体" w:hAnsi="宋体"/>
          <w:color w:val="auto"/>
          <w:sz w:val="24"/>
          <w:highlight w:val="none"/>
        </w:rPr>
        <w:t>15</w:t>
      </w:r>
      <w:r>
        <w:rPr>
          <w:rFonts w:hint="eastAsia" w:ascii="宋体" w:hAnsi="宋体"/>
          <w:color w:val="auto"/>
          <w:sz w:val="24"/>
          <w:highlight w:val="none"/>
        </w:rPr>
        <w:t>天内支付合同价的95</w:t>
      </w:r>
      <w:r>
        <w:rPr>
          <w:rFonts w:ascii="宋体" w:hAnsi="宋体"/>
          <w:color w:val="auto"/>
          <w:sz w:val="24"/>
          <w:highlight w:val="none"/>
        </w:rPr>
        <w:t>%</w:t>
      </w:r>
      <w:r>
        <w:rPr>
          <w:rFonts w:hint="eastAsia" w:ascii="宋体" w:hAnsi="宋体"/>
          <w:color w:val="auto"/>
          <w:sz w:val="24"/>
          <w:highlight w:val="none"/>
        </w:rPr>
        <w:t>；</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、第</w:t>
      </w:r>
      <w:r>
        <w:rPr>
          <w:rFonts w:ascii="宋体" w:hAnsi="宋体"/>
          <w:color w:val="auto"/>
          <w:sz w:val="24"/>
          <w:highlight w:val="none"/>
        </w:rPr>
        <w:t>2</w:t>
      </w:r>
      <w:r>
        <w:rPr>
          <w:rFonts w:hint="eastAsia" w:ascii="宋体" w:hAnsi="宋体"/>
          <w:color w:val="auto"/>
          <w:sz w:val="24"/>
          <w:highlight w:val="none"/>
        </w:rPr>
        <w:t>期支付：质保期一年，期满并经采购人验收合格后</w:t>
      </w:r>
      <w:r>
        <w:rPr>
          <w:rFonts w:ascii="宋体" w:hAnsi="宋体"/>
          <w:color w:val="auto"/>
          <w:sz w:val="24"/>
          <w:highlight w:val="none"/>
        </w:rPr>
        <w:t>15</w:t>
      </w:r>
      <w:r>
        <w:rPr>
          <w:rFonts w:hint="eastAsia" w:ascii="宋体" w:hAnsi="宋体"/>
          <w:color w:val="auto"/>
          <w:sz w:val="24"/>
          <w:highlight w:val="none"/>
        </w:rPr>
        <w:t>天内支付合同价的5</w:t>
      </w:r>
      <w:r>
        <w:rPr>
          <w:rFonts w:ascii="宋体" w:hAnsi="宋体"/>
          <w:color w:val="auto"/>
          <w:sz w:val="24"/>
          <w:highlight w:val="none"/>
        </w:rPr>
        <w:t>%</w:t>
      </w:r>
      <w:r>
        <w:rPr>
          <w:rFonts w:hint="eastAsia" w:ascii="宋体" w:hAnsi="宋体"/>
          <w:color w:val="auto"/>
          <w:sz w:val="24"/>
          <w:highlight w:val="none"/>
        </w:rPr>
        <w:t>。</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五、报价人资格要求</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1 资质要求：具有有效的营业执照</w:t>
      </w:r>
      <w:r>
        <w:rPr>
          <w:rFonts w:hint="eastAsia" w:ascii="宋体" w:hAnsi="宋体"/>
          <w:color w:val="auto"/>
          <w:sz w:val="24"/>
          <w:highlight w:val="none"/>
        </w:rPr>
        <w:t>（具有本次采购项目经营范围）</w:t>
      </w:r>
      <w:r>
        <w:rPr>
          <w:rFonts w:ascii="宋体" w:hAnsi="宋体"/>
          <w:color w:val="auto"/>
          <w:sz w:val="24"/>
          <w:highlight w:val="none"/>
        </w:rPr>
        <w:t>。</w:t>
      </w:r>
    </w:p>
    <w:p>
      <w:pPr>
        <w:spacing w:line="420" w:lineRule="exact"/>
        <w:ind w:firstLine="480" w:firstLineChars="200"/>
        <w:rPr>
          <w:rFonts w:hint="eastAsia" w:ascii="宋体" w:hAnsi="宋体"/>
          <w:color w:val="auto"/>
          <w:sz w:val="24"/>
          <w:highlight w:val="none"/>
        </w:rPr>
      </w:pPr>
      <w:r>
        <w:rPr>
          <w:rFonts w:ascii="宋体" w:hAnsi="宋体"/>
          <w:color w:val="auto"/>
          <w:sz w:val="24"/>
          <w:highlight w:val="none"/>
        </w:rPr>
        <w:t>2 业绩要求：近一年内</w:t>
      </w:r>
      <w:r>
        <w:rPr>
          <w:rFonts w:hint="eastAsia" w:ascii="宋体" w:hAnsi="宋体"/>
          <w:color w:val="auto"/>
          <w:sz w:val="24"/>
          <w:highlight w:val="none"/>
        </w:rPr>
        <w:t>（合同签订时间为</w:t>
      </w:r>
      <w:r>
        <w:rPr>
          <w:rFonts w:ascii="宋体" w:hAnsi="宋体"/>
          <w:color w:val="auto"/>
          <w:sz w:val="24"/>
          <w:highlight w:val="none"/>
        </w:rPr>
        <w:t>20</w:t>
      </w:r>
      <w:r>
        <w:rPr>
          <w:rFonts w:hint="eastAsia" w:ascii="宋体" w:hAnsi="宋体"/>
          <w:color w:val="auto"/>
          <w:sz w:val="24"/>
          <w:highlight w:val="none"/>
        </w:rPr>
        <w:t>20</w:t>
      </w:r>
      <w:r>
        <w:rPr>
          <w:rFonts w:ascii="宋体" w:hAnsi="宋体"/>
          <w:color w:val="auto"/>
          <w:sz w:val="24"/>
          <w:highlight w:val="none"/>
        </w:rPr>
        <w:t>年1月1日至2020年1</w:t>
      </w:r>
      <w:r>
        <w:rPr>
          <w:rFonts w:hint="eastAsia" w:ascii="宋体" w:hAnsi="宋体"/>
          <w:color w:val="auto"/>
          <w:sz w:val="24"/>
          <w:highlight w:val="none"/>
        </w:rPr>
        <w:t>2</w:t>
      </w:r>
      <w:r>
        <w:rPr>
          <w:rFonts w:ascii="宋体" w:hAnsi="宋体"/>
          <w:color w:val="auto"/>
          <w:sz w:val="24"/>
          <w:highlight w:val="none"/>
        </w:rPr>
        <w:t>月</w:t>
      </w:r>
      <w:r>
        <w:rPr>
          <w:rFonts w:hint="eastAsia" w:ascii="宋体" w:hAnsi="宋体"/>
          <w:color w:val="auto"/>
          <w:sz w:val="24"/>
          <w:highlight w:val="none"/>
        </w:rPr>
        <w:t>31</w:t>
      </w:r>
      <w:r>
        <w:rPr>
          <w:rFonts w:ascii="宋体" w:hAnsi="宋体"/>
          <w:color w:val="auto"/>
          <w:sz w:val="24"/>
          <w:highlight w:val="none"/>
        </w:rPr>
        <w:t>日</w:t>
      </w:r>
      <w:r>
        <w:rPr>
          <w:rFonts w:hint="eastAsia" w:ascii="宋体" w:hAnsi="宋体"/>
          <w:color w:val="auto"/>
          <w:sz w:val="24"/>
          <w:highlight w:val="none"/>
        </w:rPr>
        <w:t>）至少完成1</w:t>
      </w:r>
      <w:r>
        <w:rPr>
          <w:rFonts w:ascii="宋体" w:hAnsi="宋体"/>
          <w:color w:val="auto"/>
          <w:sz w:val="24"/>
          <w:highlight w:val="none"/>
        </w:rPr>
        <w:t>个</w:t>
      </w:r>
      <w:r>
        <w:rPr>
          <w:rFonts w:hint="eastAsia" w:ascii="宋体" w:hAnsi="宋体"/>
          <w:color w:val="auto"/>
          <w:sz w:val="24"/>
          <w:highlight w:val="none"/>
        </w:rPr>
        <w:t>类似项目（每个项目合同金额不少于5万元）</w:t>
      </w:r>
      <w:r>
        <w:rPr>
          <w:rFonts w:ascii="宋体" w:hAnsi="宋体"/>
          <w:color w:val="auto"/>
          <w:sz w:val="24"/>
          <w:highlight w:val="none"/>
        </w:rPr>
        <w:t>。</w:t>
      </w: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六、报价文件组成</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请各报价人派专人携带身份证原件及报价文件，参加本次竞争性谈判活动，报价文件包括：</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（1）法人代表（持法人代表相关证明复印件）或其授权代理人（持授权书原件）；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（2）经办人身份证复印件；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（3）报价函；</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（4）信誉承诺表；</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（5）单位营业执照复印件；</w:t>
      </w:r>
    </w:p>
    <w:p>
      <w:pPr>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（6）</w:t>
      </w:r>
      <w:r>
        <w:rPr>
          <w:rFonts w:hint="eastAsia" w:ascii="宋体" w:hAnsi="宋体"/>
          <w:color w:val="auto"/>
          <w:sz w:val="24"/>
          <w:highlight w:val="none"/>
          <w:lang w:val="en-US" w:eastAsia="zh-CN"/>
        </w:rPr>
        <w:t>业绩证明材料（已签正式合同）</w:t>
      </w:r>
      <w:r>
        <w:rPr>
          <w:rFonts w:hint="eastAsia" w:ascii="宋体" w:hAnsi="宋体"/>
          <w:color w:val="auto"/>
          <w:sz w:val="24"/>
          <w:highlight w:val="none"/>
        </w:rPr>
        <w:t>复印件</w:t>
      </w:r>
      <w:r>
        <w:rPr>
          <w:rFonts w:hint="eastAsia" w:ascii="宋体" w:hAnsi="宋体"/>
          <w:color w:val="auto"/>
          <w:sz w:val="24"/>
          <w:highlight w:val="none"/>
          <w:lang w:eastAsia="zh-CN"/>
        </w:rPr>
        <w:t>。</w:t>
      </w:r>
    </w:p>
    <w:p>
      <w:pPr>
        <w:spacing w:line="420" w:lineRule="exact"/>
        <w:ind w:firstLine="600" w:firstLineChars="250"/>
        <w:rPr>
          <w:rFonts w:hint="eastAsia" w:ascii="宋体" w:hAnsi="宋体"/>
          <w:color w:val="auto"/>
          <w:sz w:val="24"/>
          <w:highlight w:val="none"/>
        </w:rPr>
      </w:pPr>
      <w:r>
        <w:rPr>
          <w:rFonts w:hint="eastAsia" w:ascii="宋体" w:hAnsi="宋体"/>
          <w:color w:val="auto"/>
          <w:sz w:val="24"/>
          <w:highlight w:val="none"/>
        </w:rPr>
        <w:t>以上资料均应逐页加盖单位公章并装订成册（一式两份）、不得活页。</w:t>
      </w:r>
    </w:p>
    <w:p>
      <w:pPr>
        <w:spacing w:line="420" w:lineRule="exact"/>
        <w:ind w:firstLine="482" w:firstLineChars="200"/>
        <w:rPr>
          <w:rFonts w:hint="eastAsia" w:ascii="宋体" w:hAnsi="宋体"/>
          <w:color w:val="auto"/>
          <w:sz w:val="24"/>
          <w:highlight w:val="none"/>
        </w:rPr>
      </w:pPr>
      <w:r>
        <w:rPr>
          <w:rFonts w:hint="eastAsia" w:ascii="宋体" w:hAnsi="宋体"/>
          <w:b/>
          <w:color w:val="auto"/>
          <w:sz w:val="24"/>
          <w:highlight w:val="none"/>
        </w:rPr>
        <w:t>七、公告媒介、采购文件获取时间及方式：</w:t>
      </w:r>
      <w:r>
        <w:rPr>
          <w:rFonts w:hint="eastAsia" w:ascii="宋体" w:hAnsi="宋体"/>
          <w:color w:val="auto"/>
          <w:sz w:val="24"/>
          <w:highlight w:val="none"/>
        </w:rPr>
        <w:t>有意向的报价人请于报价文件的递交截止时间前，</w:t>
      </w:r>
      <w:r>
        <w:rPr>
          <w:rFonts w:ascii="宋体" w:hAnsi="宋体"/>
          <w:color w:val="auto"/>
          <w:sz w:val="24"/>
          <w:highlight w:val="none"/>
        </w:rPr>
        <w:t>自行在赣州交通控股集团有限公司官方网站（http://www.gzjtkgjt.com/）或江西省招标投标网（http://www.jxtb.org.cn/）查阅采购公告，在赣州交通控股集团有限公司官方网站（http://www.gzjtkgjt.com/）下载询价采购文件。</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八、报价文件的密封和标识</w:t>
      </w:r>
    </w:p>
    <w:p>
      <w:pPr>
        <w:spacing w:line="420" w:lineRule="exact"/>
        <w:ind w:firstLine="480" w:firstLineChars="200"/>
        <w:outlineLvl w:val="1"/>
        <w:rPr>
          <w:rFonts w:hint="eastAsia" w:ascii="宋体" w:hAnsi="宋体"/>
          <w:color w:val="auto"/>
          <w:sz w:val="24"/>
          <w:highlight w:val="none"/>
        </w:rPr>
      </w:pPr>
      <w:r>
        <w:rPr>
          <w:rFonts w:hint="eastAsia" w:ascii="宋体" w:hAnsi="宋体"/>
          <w:color w:val="auto"/>
          <w:sz w:val="24"/>
          <w:highlight w:val="none"/>
        </w:rPr>
        <w:t>报价文件应密封包装。封套的封口处加盖报价人单位章或由报价人的法定代表人或其委托代理人签字。</w:t>
      </w: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九、报价文件的递交及相关事宜：</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报价文件的递交截止时间：2021年1月1</w:t>
      </w:r>
      <w:r>
        <w:rPr>
          <w:rFonts w:hint="eastAsia" w:ascii="宋体" w:hAnsi="宋体"/>
          <w:color w:val="auto"/>
          <w:sz w:val="24"/>
          <w:highlight w:val="none"/>
          <w:lang w:val="en-US" w:eastAsia="zh-CN"/>
        </w:rPr>
        <w:t>9</w:t>
      </w:r>
      <w:r>
        <w:rPr>
          <w:rFonts w:hint="eastAsia" w:ascii="宋体" w:hAnsi="宋体"/>
          <w:color w:val="auto"/>
          <w:sz w:val="24"/>
          <w:highlight w:val="none"/>
        </w:rPr>
        <w:t>日16：30，递交地址：赣州市章贡区沙河镇赣州东收费站出口旁赣州交通控股集团有限公司</w:t>
      </w:r>
      <w:r>
        <w:rPr>
          <w:rFonts w:hint="eastAsia" w:ascii="宋体" w:hAnsi="宋体"/>
          <w:color w:val="auto"/>
          <w:sz w:val="24"/>
          <w:highlight w:val="none"/>
          <w:lang w:val="en-US" w:eastAsia="zh-CN"/>
        </w:rPr>
        <w:t>9楼会议室</w:t>
      </w:r>
      <w:r>
        <w:rPr>
          <w:rFonts w:hint="eastAsia" w:ascii="宋体" w:hAnsi="宋体"/>
          <w:color w:val="auto"/>
          <w:sz w:val="24"/>
          <w:highlight w:val="none"/>
        </w:rPr>
        <w:t>。采购人将拒绝接受在递交截止时间后送达的报价函。</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十、报价文件的开启程序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1、公布在截止时间前递交报价文件的报价人数量；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2、报价人代表现场检查报价文件密封情况；</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3、开启报价文件，公布报价人名称、报价等，结束后报价人及采购小组签字确认。</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十一、公示</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询价结束后3日内，在江西省招标投标网（http://www.jxtb.org.cn）、赣州交通控股集团有限公司网站（http://www.gzjtkgjt.com）上对候选人进行公示。</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十二、联系方式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采购人名称：赣州高速公路有限责任公司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采购人地址：江西省赣州市章贡区沙河镇赣州东收费站出口右侧（赣州交通控股集团有限公司）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杨先生</w:t>
      </w:r>
      <w:r>
        <w:rPr>
          <w:rFonts w:hint="eastAsia" w:ascii="宋体" w:hAnsi="宋体"/>
          <w:color w:val="auto"/>
          <w:sz w:val="24"/>
          <w:highlight w:val="none"/>
        </w:rPr>
        <w:t xml:space="preserve"> </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电  话：0797-</w:t>
      </w:r>
      <w:r>
        <w:rPr>
          <w:rFonts w:hint="eastAsia" w:ascii="宋体" w:hAnsi="宋体"/>
          <w:color w:val="auto"/>
          <w:sz w:val="24"/>
          <w:highlight w:val="none"/>
          <w:lang w:val="en-US" w:eastAsia="zh-CN"/>
        </w:rPr>
        <w:t>6639066-8021</w:t>
      </w:r>
      <w:r>
        <w:rPr>
          <w:rFonts w:hint="eastAsia" w:ascii="宋体" w:hAnsi="宋体"/>
          <w:color w:val="auto"/>
          <w:sz w:val="24"/>
          <w:highlight w:val="none"/>
        </w:rPr>
        <w:t xml:space="preserve"> </w:t>
      </w:r>
    </w:p>
    <w:p>
      <w:pPr>
        <w:spacing w:line="312" w:lineRule="auto"/>
        <w:ind w:firstLine="482" w:firstLineChars="200"/>
        <w:rPr>
          <w:rFonts w:ascii="宋体" w:hAnsi="宋体"/>
          <w:b/>
          <w:color w:val="auto"/>
          <w:sz w:val="24"/>
          <w:highlight w:val="none"/>
        </w:rPr>
      </w:pPr>
      <w:r>
        <w:rPr>
          <w:rFonts w:hint="eastAsia" w:ascii="宋体" w:hAnsi="宋体"/>
          <w:b/>
          <w:color w:val="auto"/>
          <w:sz w:val="24"/>
          <w:highlight w:val="none"/>
        </w:rPr>
        <w:t>十三、监督部门及联系方式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监督部门：赣州交通控股集团有限公司风控审计部、纪检监察室</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地    址：江西省赣州市章贡区沙河镇赣州东收费站出口右侧（赣州交通控股集团有限公司）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电    话：0797-8289879、0797-8282685</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邮政编码：341000</w:t>
      </w:r>
    </w:p>
    <w:p>
      <w:pPr>
        <w:spacing w:line="420" w:lineRule="exact"/>
        <w:ind w:firstLine="480" w:firstLineChars="200"/>
        <w:rPr>
          <w:rFonts w:hint="eastAsia" w:ascii="宋体" w:hAnsi="宋体"/>
          <w:color w:val="auto"/>
          <w:sz w:val="24"/>
          <w:highlight w:val="none"/>
        </w:rPr>
      </w:pPr>
    </w:p>
    <w:p>
      <w:pPr>
        <w:spacing w:line="420" w:lineRule="exact"/>
        <w:ind w:firstLine="480" w:firstLineChars="200"/>
        <w:rPr>
          <w:rFonts w:hint="eastAsia" w:ascii="宋体" w:hAnsi="宋体"/>
          <w:color w:val="auto"/>
          <w:sz w:val="24"/>
          <w:highlight w:val="none"/>
        </w:rPr>
      </w:pPr>
    </w:p>
    <w:p>
      <w:pPr>
        <w:spacing w:line="420" w:lineRule="exact"/>
        <w:ind w:firstLine="4536" w:firstLineChars="1890"/>
        <w:jc w:val="center"/>
        <w:rPr>
          <w:rFonts w:ascii="宋体" w:hAnsi="宋体"/>
          <w:color w:val="auto"/>
          <w:sz w:val="24"/>
          <w:highlight w:val="none"/>
        </w:rPr>
      </w:pPr>
      <w:r>
        <w:rPr>
          <w:rFonts w:hint="eastAsia" w:ascii="宋体" w:hAnsi="宋体"/>
          <w:color w:val="auto"/>
          <w:sz w:val="24"/>
          <w:highlight w:val="none"/>
        </w:rPr>
        <w:t>赣州高速公路有限责任公司</w:t>
      </w:r>
    </w:p>
    <w:p>
      <w:pPr>
        <w:spacing w:line="420" w:lineRule="exact"/>
        <w:ind w:firstLine="4536" w:firstLineChars="1890"/>
        <w:jc w:val="center"/>
        <w:rPr>
          <w:rFonts w:hint="eastAsia" w:ascii="宋体" w:hAnsi="宋体"/>
          <w:bCs/>
          <w:color w:val="auto"/>
          <w:sz w:val="24"/>
          <w:highlight w:val="none"/>
        </w:rPr>
      </w:pPr>
      <w:r>
        <w:rPr>
          <w:rFonts w:hint="eastAsia" w:ascii="宋体" w:hAnsi="宋体"/>
          <w:color w:val="auto"/>
          <w:sz w:val="24"/>
          <w:highlight w:val="none"/>
        </w:rPr>
        <w:t>2021年1月13日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C78F3"/>
    <w:rsid w:val="6F4C7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2021-01-13T08:44:00Z</dcterms:created>
  <dc:creator>Administrator</dc:creator>
  <cp:lastModifiedBy>Administrator</cp:lastModifiedBy>
  <dcterms:modified xsi:type="dcterms:W3CDTF">2021-01-13T08:44:34Z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